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313055</wp:posOffset>
            </wp:positionH>
            <wp:positionV relativeFrom="page">
              <wp:posOffset>822325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313055</wp:posOffset>
            </wp:positionH>
            <wp:positionV relativeFrom="page">
              <wp:posOffset>789305</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10-Q</w:t>
      </w:r>
    </w:p>
    <w:p>
      <w:pPr>
        <w:spacing w:after="0" w:line="1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29" w:lineRule="exact"/>
        <w:rPr>
          <w:sz w:val="24"/>
          <w:szCs w:val="24"/>
          <w:color w:val="auto"/>
        </w:rPr>
      </w:pPr>
    </w:p>
    <w:p>
      <w:pPr>
        <w:ind w:left="420" w:hanging="273"/>
        <w:spacing w:after="0"/>
        <w:tabs>
          <w:tab w:leader="none" w:pos="4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30" w:lineRule="exact"/>
        <w:rPr>
          <w:sz w:val="24"/>
          <w:szCs w:val="24"/>
          <w:color w:val="auto"/>
        </w:rPr>
      </w:pPr>
    </w:p>
    <w:p>
      <w:pPr>
        <w:ind w:left="420"/>
        <w:spacing w:after="0"/>
        <w:tabs>
          <w:tab w:leader="none" w:pos="3240" w:val="left"/>
        </w:tabs>
        <w:rPr>
          <w:sz w:val="20"/>
          <w:szCs w:val="20"/>
          <w:color w:val="auto"/>
        </w:rPr>
      </w:pPr>
      <w:r>
        <w:rPr>
          <w:rFonts w:ascii="Arial" w:cs="Arial" w:eastAsia="Arial" w:hAnsi="Arial"/>
          <w:sz w:val="15"/>
          <w:szCs w:val="15"/>
          <w:b w:val="1"/>
          <w:bCs w:val="1"/>
          <w:color w:val="auto"/>
        </w:rPr>
        <w:t>For the quarterly period ended</w:t>
      </w:r>
      <w:r>
        <w:rPr>
          <w:sz w:val="20"/>
          <w:szCs w:val="20"/>
          <w:color w:val="auto"/>
        </w:rPr>
        <w:tab/>
      </w:r>
      <w:r>
        <w:rPr>
          <w:rFonts w:ascii="Arial" w:cs="Arial" w:eastAsia="Arial" w:hAnsi="Arial"/>
          <w:sz w:val="14"/>
          <w:szCs w:val="14"/>
          <w:b w:val="1"/>
          <w:bCs w:val="1"/>
          <w:color w:val="auto"/>
        </w:rPr>
        <w:t>March 31, 2025</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420" w:hanging="273"/>
        <w:spacing w:after="0" w:line="207" w:lineRule="auto"/>
        <w:tabs>
          <w:tab w:leader="none" w:pos="4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181" w:lineRule="exact"/>
        <w:rPr>
          <w:sz w:val="24"/>
          <w:szCs w:val="24"/>
          <w:color w:val="auto"/>
        </w:rPr>
      </w:pPr>
    </w:p>
    <w:p>
      <w:pPr>
        <w:ind w:left="420"/>
        <w:spacing w:after="0"/>
        <w:tabs>
          <w:tab w:leader="none" w:pos="30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Commission file number 000-51539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35"/>
          <w:szCs w:val="35"/>
          <w:b w:val="1"/>
          <w:bCs w:val="1"/>
          <w:color w:val="auto"/>
        </w:rPr>
        <w:t>Cimpress plc</w:t>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2"/>
          <w:szCs w:val="12"/>
          <w:color w:val="auto"/>
        </w:rPr>
        <w:t>_________________________________</w:t>
      </w:r>
    </w:p>
    <w:p>
      <w:pPr>
        <w:sectPr>
          <w:pgSz w:w="11900" w:h="16838" w:orient="portrait"/>
          <w:cols w:equalWidth="0" w:num="1">
            <w:col w:w="11260"/>
          </w:cols>
          <w:pgMar w:left="320" w:top="1367" w:right="319" w:bottom="1440" w:gutter="0" w:footer="0" w:header="0"/>
        </w:sectPr>
      </w:pPr>
    </w:p>
    <w:p>
      <w:pPr>
        <w:spacing w:after="0" w:line="121" w:lineRule="exact"/>
        <w:rPr>
          <w:sz w:val="24"/>
          <w:szCs w:val="24"/>
          <w:color w:val="auto"/>
        </w:rPr>
      </w:pPr>
    </w:p>
    <w:p>
      <w:pPr>
        <w:ind w:left="2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98-0417483</w:t>
      </w:r>
    </w:p>
    <w:p>
      <w:pPr>
        <w:spacing w:after="0" w:line="37" w:lineRule="exact"/>
        <w:rPr>
          <w:sz w:val="24"/>
          <w:szCs w:val="24"/>
          <w:color w:val="auto"/>
        </w:rPr>
      </w:pPr>
    </w:p>
    <w:p>
      <w:pPr>
        <w:sectPr>
          <w:pgSz w:w="11900" w:h="16838" w:orient="portrait"/>
          <w:cols w:equalWidth="0" w:num="2">
            <w:col w:w="7340" w:space="720"/>
            <w:col w:w="3200"/>
          </w:cols>
          <w:pgMar w:left="320" w:top="1367" w:right="319" w:bottom="1440" w:gutter="0" w:footer="0" w:header="0"/>
          <w:type w:val="continuous"/>
        </w:sectPr>
      </w:pPr>
    </w:p>
    <w:p>
      <w:pPr>
        <w:spacing w:after="0" w:line="5"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(State or Other Jurisdiction of</w:t>
      </w:r>
    </w:p>
    <w:p>
      <w:pPr>
        <w:spacing w:after="0" w:line="7" w:lineRule="exact"/>
        <w:rPr>
          <w:sz w:val="24"/>
          <w:szCs w:val="24"/>
          <w:color w:val="auto"/>
        </w:rPr>
      </w:pPr>
    </w:p>
    <w:p>
      <w:pPr>
        <w:ind w:left="17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4"/>
          <w:szCs w:val="14"/>
          <w:b w:val="1"/>
          <w:bCs w:val="1"/>
          <w:color w:val="auto"/>
        </w:rPr>
        <w:t>(I.R.S. Employer</w:t>
      </w:r>
    </w:p>
    <w:p>
      <w:pPr>
        <w:jc w:val="center"/>
        <w:ind w:right="2220"/>
        <w:spacing w:after="0"/>
        <w:rPr>
          <w:sz w:val="20"/>
          <w:szCs w:val="20"/>
          <w:color w:val="auto"/>
        </w:rPr>
      </w:pPr>
      <w:r>
        <w:rPr>
          <w:rFonts w:ascii="Arial" w:cs="Arial" w:eastAsia="Arial" w:hAnsi="Arial"/>
          <w:sz w:val="13"/>
          <w:szCs w:val="13"/>
          <w:b w:val="1"/>
          <w:bCs w:val="1"/>
          <w:color w:val="auto"/>
        </w:rPr>
        <w:t>Identification No.)</w:t>
      </w:r>
    </w:p>
    <w:p>
      <w:pPr>
        <w:spacing w:after="0" w:line="96" w:lineRule="exact"/>
        <w:rPr>
          <w:sz w:val="24"/>
          <w:szCs w:val="24"/>
          <w:color w:val="auto"/>
        </w:rPr>
      </w:pPr>
    </w:p>
    <w:p>
      <w:pPr>
        <w:sectPr>
          <w:pgSz w:w="11900" w:h="16838" w:orient="portrait"/>
          <w:cols w:equalWidth="0" w:num="2">
            <w:col w:w="7140" w:space="720"/>
            <w:col w:w="3400"/>
          </w:cols>
          <w:pgMar w:left="320" w:top="1367" w:right="31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First Floor Building 3, Finnabair Business and Technology Park A91 XR61,</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Dundalk, Co. Louth,</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Ireland</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60"/>
          </w:cols>
          <w:pgMar w:left="320" w:top="1367" w:right="319" w:bottom="1440" w:gutter="0" w:footer="0" w:header="0"/>
          <w:type w:val="continuous"/>
        </w:sectPr>
      </w:pPr>
    </w:p>
    <w:p>
      <w:pPr>
        <w:spacing w:after="0" w:line="154" w:lineRule="exact"/>
        <w:rPr>
          <w:sz w:val="24"/>
          <w:szCs w:val="24"/>
          <w:color w:val="auto"/>
        </w:rPr>
      </w:pPr>
    </w:p>
    <w:p>
      <w:pPr>
        <w:ind w:left="13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Exchange on Which Registered</w:t>
      </w:r>
    </w:p>
    <w:p>
      <w:pPr>
        <w:spacing w:after="0" w:line="49" w:lineRule="exact"/>
        <w:rPr>
          <w:sz w:val="24"/>
          <w:szCs w:val="24"/>
          <w:color w:val="auto"/>
        </w:rPr>
      </w:pPr>
    </w:p>
    <w:p>
      <w:pPr>
        <w:sectPr>
          <w:pgSz w:w="11900" w:h="16838" w:orient="portrait"/>
          <w:cols w:equalWidth="0" w:num="3">
            <w:col w:w="4360" w:space="720"/>
            <w:col w:w="2440" w:space="720"/>
            <w:col w:w="3020"/>
          </w:cols>
          <w:pgMar w:left="320" w:top="1367" w:right="31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Ordinary Shares, nominal value of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CMPR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19" w:lineRule="exact"/>
        <w:rPr>
          <w:sz w:val="24"/>
          <w:szCs w:val="24"/>
          <w:color w:val="auto"/>
        </w:rPr>
      </w:pPr>
    </w:p>
    <w:p>
      <w:pPr>
        <w:sectPr>
          <w:pgSz w:w="11900" w:h="16838" w:orient="portrait"/>
          <w:cols w:equalWidth="0" w:num="3">
            <w:col w:w="4660" w:space="720"/>
            <w:col w:w="2220" w:space="720"/>
            <w:col w:w="2940"/>
          </w:cols>
          <w:pgMar w:left="320" w:top="1367" w:right="319" w:bottom="1440" w:gutter="0" w:footer="0" w:header="0"/>
          <w:type w:val="continuous"/>
        </w:sectPr>
      </w:pPr>
    </w:p>
    <w:p>
      <w:pPr>
        <w:ind w:left="4720"/>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304" w:lineRule="exact"/>
        <w:rPr>
          <w:sz w:val="24"/>
          <w:szCs w:val="24"/>
          <w:color w:val="auto"/>
        </w:rPr>
      </w:pPr>
    </w:p>
    <w:p>
      <w:pPr>
        <w:ind w:right="120" w:firstLine="623"/>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73" w:lineRule="exact"/>
        <w:tabs>
          <w:tab w:leader="none" w:pos="1240" w:val="left"/>
        </w:tabs>
        <w:rPr>
          <w:sz w:val="20"/>
          <w:szCs w:val="20"/>
          <w:color w:val="auto"/>
        </w:rPr>
      </w:pPr>
      <w:r>
        <w:rPr>
          <w:rFonts w:ascii="Arial" w:cs="Arial" w:eastAsia="Arial" w:hAnsi="Arial"/>
          <w:sz w:val="15"/>
          <w:szCs w:val="15"/>
          <w:color w:val="auto"/>
        </w:rPr>
        <w:t xml:space="preserve">90 days.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Wingdings" w:cs="Wingdings" w:eastAsia="Wingdings" w:hAnsi="Wingdings"/>
          <w:sz w:val="14"/>
          <w:szCs w:val="14"/>
          <w:b w:val="1"/>
          <w:bCs w:val="1"/>
          <w:color w:val="auto"/>
        </w:rPr>
        <w:t>o</w:t>
      </w:r>
    </w:p>
    <w:p>
      <w:pPr>
        <w:spacing w:after="0" w:line="64" w:lineRule="exact"/>
        <w:rPr>
          <w:sz w:val="24"/>
          <w:szCs w:val="24"/>
          <w:color w:val="auto"/>
        </w:rPr>
      </w:pPr>
    </w:p>
    <w:p>
      <w:pPr>
        <w:ind w:right="180" w:firstLine="623"/>
        <w:spacing w:after="0" w:line="19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4" w:lineRule="exact"/>
        <w:rPr>
          <w:sz w:val="24"/>
          <w:szCs w:val="24"/>
          <w:color w:val="auto"/>
        </w:rPr>
      </w:pPr>
    </w:p>
    <w:p>
      <w:pPr>
        <w:ind w:right="80" w:firstLine="623"/>
        <w:spacing w:after="0" w:line="25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60"/>
          </w:cols>
          <w:pgMar w:left="320" w:top="1367" w:right="319" w:bottom="1440" w:gutter="0" w:footer="0" w:header="0"/>
          <w:type w:val="continuous"/>
        </w:sectPr>
      </w:pPr>
    </w:p>
    <w:p>
      <w:pPr>
        <w:spacing w:after="0" w:line="180" w:lineRule="exact"/>
        <w:rPr>
          <w:sz w:val="24"/>
          <w:szCs w:val="24"/>
          <w:color w:val="auto"/>
        </w:rPr>
      </w:pPr>
    </w:p>
    <w:p>
      <w:pPr>
        <w:ind w:left="24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660"/>
        <w:spacing w:after="0"/>
        <w:rPr>
          <w:sz w:val="20"/>
          <w:szCs w:val="20"/>
          <w:color w:val="auto"/>
        </w:rPr>
      </w:pPr>
      <w:r>
        <w:rPr>
          <w:rFonts w:ascii="Arial" w:cs="Arial" w:eastAsia="Arial" w:hAnsi="Arial"/>
          <w:sz w:val="13"/>
          <w:szCs w:val="13"/>
          <w:color w:val="auto"/>
        </w:rPr>
        <w:t>Accelerated filer</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4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9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5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515" w:lineRule="exact"/>
        <w:rPr>
          <w:sz w:val="24"/>
          <w:szCs w:val="24"/>
          <w:color w:val="auto"/>
        </w:rPr>
      </w:pPr>
    </w:p>
    <w:p>
      <w:pPr>
        <w:sectPr>
          <w:pgSz w:w="11900" w:h="16838" w:orient="portrait"/>
          <w:cols w:equalWidth="0" w:num="5">
            <w:col w:w="3820" w:space="180"/>
            <w:col w:w="1120" w:space="720"/>
            <w:col w:w="1640" w:space="200"/>
            <w:col w:w="1580" w:space="720"/>
            <w:col w:w="1280"/>
          </w:cols>
          <w:pgMar w:left="320" w:top="1367" w:right="319" w:bottom="1440" w:gutter="0" w:footer="0" w:header="0"/>
          <w:type w:val="continuous"/>
        </w:sectPr>
      </w:pPr>
    </w:p>
    <w:p>
      <w:pPr>
        <w:ind w:right="40" w:firstLine="623"/>
        <w:spacing w:after="0" w:line="252" w:lineRule="auto"/>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1" w:lineRule="exact"/>
        <w:rPr>
          <w:sz w:val="24"/>
          <w:szCs w:val="24"/>
          <w:color w:val="auto"/>
        </w:rPr>
      </w:pPr>
    </w:p>
    <w:p>
      <w:pPr>
        <w:ind w:left="620" w:right="2620"/>
        <w:spacing w:after="0" w:line="247" w:lineRule="exact"/>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28, 2025, there were 24,878,772 Cimpress plc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848360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259080</wp:posOffset>
            </wp:positionV>
            <wp:extent cx="693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column">
              <wp:posOffset>109855</wp:posOffset>
            </wp:positionH>
            <wp:positionV relativeFrom="paragraph">
              <wp:posOffset>226060</wp:posOffset>
            </wp:positionV>
            <wp:extent cx="6931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31660" cy="8255"/>
                    </a:xfrm>
                    <a:prstGeom prst="rect">
                      <a:avLst/>
                    </a:prstGeom>
                    <a:noFill/>
                  </pic:spPr>
                </pic:pic>
              </a:graphicData>
            </a:graphic>
          </wp:anchor>
        </w:drawing>
      </w:r>
    </w:p>
    <w:p>
      <w:pPr>
        <w:sectPr>
          <w:pgSz w:w="11900" w:h="16838" w:orient="portrait"/>
          <w:cols w:equalWidth="0" w:num="1">
            <w:col w:w="11260"/>
          </w:cols>
          <w:pgMar w:left="320" w:top="1367"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Nine Months Ended March 31, 2025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2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7740" w:type="dxa"/>
            <w:vAlign w:val="bottom"/>
            <w:vMerge w:val="restart"/>
          </w:tcPr>
          <w:p>
            <w:pPr>
              <w:spacing w:after="0"/>
              <w:rPr>
                <w:sz w:val="19"/>
                <w:szCs w:val="19"/>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Borders>
              <w:bottom w:val="single" w:sz="8" w:color="auto"/>
            </w:tcBorders>
            <w:gridSpan w:val="3"/>
            <w:vMerge w:val="continue"/>
          </w:tcPr>
          <w:p>
            <w:pPr>
              <w:spacing w:after="0"/>
              <w:rPr>
                <w:sz w:val="14"/>
                <w:szCs w:val="14"/>
                <w:color w:val="auto"/>
              </w:rPr>
            </w:pPr>
          </w:p>
        </w:tc>
        <w:tc>
          <w:tcPr>
            <w:tcW w:w="774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1. Financial Statements (unaudited)</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Balance Sheets as of March 31, 2025 and June 30, 2024</w:t>
            </w: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Operations for the three and nine months ended March 31,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Comprehensive (Loss) Income for the three and nine months ended March 31,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Shareholders' Deficit for the three and nine months ended March 31,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Consolidated Statements of Cash Flows for the nine months ended March 31, 2025 and 2024</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ind w:left="200"/>
              <w:spacing w:after="0"/>
              <w:rPr>
                <w:sz w:val="20"/>
                <w:szCs w:val="20"/>
                <w:color w:val="auto"/>
              </w:rPr>
            </w:pPr>
            <w:r>
              <w:rPr>
                <w:rFonts w:ascii="Arial" w:cs="Arial" w:eastAsia="Arial" w:hAnsi="Arial"/>
                <w:sz w:val="16"/>
                <w:szCs w:val="16"/>
                <w:color w:val="auto"/>
              </w:rPr>
              <w:t>Notes to Consolidated Financial Statements</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3.</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Quantitative and Qualitative Disclosures About Market Risk</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4.</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Controls and Procedures</w:t>
            </w: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540" w:type="dxa"/>
            <w:vAlign w:val="bottom"/>
            <w:gridSpan w:val="4"/>
          </w:tcPr>
          <w:p>
            <w:pPr>
              <w:spacing w:after="0"/>
              <w:rPr>
                <w:sz w:val="20"/>
                <w:szCs w:val="20"/>
                <w:color w:val="auto"/>
              </w:rPr>
            </w:pPr>
            <w:r>
              <w:rPr>
                <w:rFonts w:ascii="Arial" w:cs="Arial" w:eastAsia="Arial" w:hAnsi="Arial"/>
                <w:sz w:val="16"/>
                <w:szCs w:val="16"/>
                <w:b w:val="1"/>
                <w:bCs w:val="1"/>
                <w:color w:val="auto"/>
              </w:rPr>
              <w:t>PART II OTHER INFORMATION</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Item 1A. Risk Factors</w:t>
            </w:r>
          </w:p>
        </w:tc>
        <w:tc>
          <w:tcPr>
            <w:tcW w:w="816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2.</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Unregistered Sales of Equity Securities and Use of Proceeds</w:t>
            </w: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Item 6.</w:t>
            </w:r>
          </w:p>
        </w:tc>
        <w:tc>
          <w:tcPr>
            <w:tcW w:w="10020" w:type="dxa"/>
            <w:vAlign w:val="bottom"/>
            <w:gridSpan w:val="3"/>
          </w:tcPr>
          <w:p>
            <w:pPr>
              <w:ind w:left="20"/>
              <w:spacing w:after="0"/>
              <w:rPr>
                <w:sz w:val="20"/>
                <w:szCs w:val="20"/>
                <w:color w:val="auto"/>
              </w:rPr>
            </w:pPr>
            <w:r>
              <w:rPr>
                <w:rFonts w:ascii="Arial" w:cs="Arial" w:eastAsia="Arial" w:hAnsi="Arial"/>
                <w:sz w:val="16"/>
                <w:szCs w:val="16"/>
                <w:color w:val="auto"/>
              </w:rPr>
              <w:t>Exhibits</w:t>
            </w: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540" w:type="dxa"/>
            <w:vAlign w:val="bottom"/>
            <w:gridSpan w:val="4"/>
          </w:tcPr>
          <w:p>
            <w:pPr>
              <w:spacing w:after="0"/>
              <w:rPr>
                <w:sz w:val="20"/>
                <w:szCs w:val="20"/>
                <w:color w:val="auto"/>
              </w:rPr>
            </w:pPr>
            <w:r>
              <w:rPr>
                <w:rFonts w:ascii="Arial" w:cs="Arial" w:eastAsia="Arial" w:hAnsi="Arial"/>
                <w:sz w:val="16"/>
                <w:szCs w:val="16"/>
                <w:color w:val="auto"/>
              </w:rPr>
              <w:t>Signatures</w:t>
            </w:r>
          </w:p>
        </w:tc>
        <w:tc>
          <w:tcPr>
            <w:tcW w:w="6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213"/>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182,997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203,775</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allowances of $7,575 and $7,219, respectively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64,576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101,896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97,016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92,671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88,112</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443,710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457,979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287,517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265,177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assets, net</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77,554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78,681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website development costs, net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96,187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92,212</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87,806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95,059</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792,749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787,138</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61,905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76,560</w:t>
            </w:r>
          </w:p>
        </w:tc>
        <w:tc>
          <w:tcPr>
            <w:tcW w:w="0" w:type="dxa"/>
            <w:vAlign w:val="bottom"/>
          </w:tcPr>
          <w:p>
            <w:pPr>
              <w:spacing w:after="0"/>
              <w:rPr>
                <w:sz w:val="1"/>
                <w:szCs w:val="1"/>
                <w:color w:val="auto"/>
              </w:rPr>
            </w:pPr>
          </w:p>
        </w:tc>
      </w:tr>
      <w:tr>
        <w:trPr>
          <w:trHeight w:val="20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30,888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39,351</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1,878,316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noncontrolling interests and shareholders’ deficit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298,885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326,656</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273,422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245,931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53,013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46,118</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Short-term debt</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9,182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12,488</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19,634</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24,860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679,702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663,963</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20,988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24,701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1,578,050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1,591,807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61,135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61,895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75,148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76,305</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2,415,023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2,418,671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Redeemable noncontrolling interests (Note 10)</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19,871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22,998</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deficit: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Preferred shares, nominal value €0.01 per share, 100,000,000 shares authorized; none issued and outstanding</w:t>
            </w:r>
          </w:p>
        </w:tc>
        <w:tc>
          <w:tcPr>
            <w:tcW w:w="2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824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Ordinary shares, nominal value €0.01 per share, 100,000,000 shares authorized; 42,842,460 and 43,051,269</w:t>
            </w: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7"/>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issued, respectively; 24,871,213 and 25,080,022 shares outstanding, respectively</w:t>
            </w:r>
          </w:p>
        </w:tc>
        <w:tc>
          <w:tcPr>
            <w:tcW w:w="2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Treasury shares, at cost, 17,971,247 shares for both periods presented</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(1,363,550)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(1,363,550)</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585,090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570,283</w:t>
            </w:r>
          </w:p>
        </w:tc>
        <w:tc>
          <w:tcPr>
            <w:tcW w:w="0" w:type="dxa"/>
            <w:vAlign w:val="bottom"/>
          </w:tcPr>
          <w:p>
            <w:pPr>
              <w:spacing w:after="0"/>
              <w:rPr>
                <w:sz w:val="1"/>
                <w:szCs w:val="1"/>
                <w:color w:val="auto"/>
              </w:rPr>
            </w:pPr>
          </w:p>
        </w:tc>
      </w:tr>
      <w:tr>
        <w:trPr>
          <w:trHeight w:val="207"/>
        </w:trPr>
        <w:tc>
          <w:tcPr>
            <w:tcW w:w="82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266,179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272,881</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color w:val="auto"/>
              </w:rPr>
              <w:t>Total shareholders’ deficit attributable to Cimpress plc</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(557,515)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(550,146)</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10)</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shareholders' deficit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(556,578)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(549,512)</w:t>
            </w:r>
          </w:p>
        </w:tc>
        <w:tc>
          <w:tcPr>
            <w:tcW w:w="0" w:type="dxa"/>
            <w:vAlign w:val="bottom"/>
          </w:tcPr>
          <w:p>
            <w:pPr>
              <w:spacing w:after="0"/>
              <w:rPr>
                <w:sz w:val="1"/>
                <w:szCs w:val="1"/>
                <w:color w:val="auto"/>
              </w:rPr>
            </w:pPr>
          </w:p>
        </w:tc>
      </w:tr>
      <w:tr>
        <w:trPr>
          <w:trHeight w:val="22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noncontrolling interests and shareholders’ deficit</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1,878,316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1,892,157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5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9"/>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c>
          <w:tcPr>
            <w:tcW w:w="282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789,468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780,588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2,533,596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2,459,245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Cost of revenue (1)</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416,960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404,668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1,328,952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1,266,874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Technology and development expense (1)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238,081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Marketing and selling expense (1)</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193,316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191,591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621,024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595,622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 (1)</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Amortization of acquired intangible assets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6,919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14,795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25,986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40,541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39,238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160,829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(26,995)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(30,158)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(87,575)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(89,946)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early extinguishment of debt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4,124</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5,429</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83,501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95,169</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35,527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41,211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Net (income) loss attributable to noncontrolling interests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Net (loss) income attributable to Cimpress plc</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58,681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Basic net (loss) income per share attributable to Cimpress plc</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Diluted net (loss) income per share attributable to Cimpress plc</w:t>
            </w:r>
          </w:p>
        </w:tc>
        <w:tc>
          <w:tcPr>
            <w:tcW w:w="320" w:type="dxa"/>
            <w:vAlign w:val="bottom"/>
            <w:tcBorders>
              <w:bottom w:val="single" w:sz="8" w:color="auto"/>
            </w:tcBorders>
          </w:tcPr>
          <w:p>
            <w:pPr>
              <w:jc w:val="right"/>
              <w:ind w:right="143"/>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(0.33)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(0.15)</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jc w:val="right"/>
              <w:ind w:right="163"/>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2.16</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 basic</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24,834,409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26,216,216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24,990,419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26,432,423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ind w:left="20"/>
              <w:spacing w:after="0" w:line="180" w:lineRule="exact"/>
              <w:rPr>
                <w:sz w:val="20"/>
                <w:szCs w:val="20"/>
                <w:color w:val="auto"/>
              </w:rPr>
            </w:pPr>
            <w:r>
              <w:rPr>
                <w:rFonts w:ascii="Arial" w:cs="Arial" w:eastAsia="Arial" w:hAnsi="Arial"/>
                <w:sz w:val="16"/>
                <w:szCs w:val="16"/>
                <w:color w:val="auto"/>
              </w:rPr>
              <w:t>Weighted average shares outstanding — diluted</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24,834,409</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26,216,216</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25,841,781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27,143,619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____________________________________________</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8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820" w:type="dxa"/>
            <w:vAlign w:val="bottom"/>
            <w:gridSpan w:val="3"/>
          </w:tcPr>
          <w:p>
            <w:pPr>
              <w:spacing w:after="0"/>
              <w:rPr>
                <w:sz w:val="20"/>
                <w:szCs w:val="20"/>
                <w:color w:val="auto"/>
              </w:rPr>
            </w:pPr>
            <w:r>
              <w:rPr>
                <w:rFonts w:ascii="Arial" w:cs="Arial" w:eastAsia="Arial" w:hAnsi="Arial"/>
                <w:sz w:val="14"/>
                <w:szCs w:val="14"/>
                <w:color w:val="auto"/>
              </w:rPr>
              <w:t>(1) Share-based compensation expense is allocated as follows: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9"/>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24"/>
                <w:szCs w:val="24"/>
                <w:color w:val="auto"/>
              </w:rPr>
            </w:pPr>
          </w:p>
        </w:tc>
        <w:tc>
          <w:tcPr>
            <w:tcW w:w="282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Technology and development expense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5,692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14,458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15,601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selling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0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 expense</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21,099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23,632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88"/>
        </w:trPr>
        <w:tc>
          <w:tcPr>
            <w:tcW w:w="48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2"/>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40" w:type="dxa"/>
            <w:vAlign w:val="bottom"/>
            <w:shd w:val="clear" w:color="auto" w:fill="CCEEFF"/>
          </w:tcPr>
          <w:p>
            <w:pPr>
              <w:jc w:val="right"/>
              <w:ind w:right="76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(5,181)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41,211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59,642</w:t>
            </w:r>
          </w:p>
        </w:tc>
        <w:tc>
          <w:tcPr>
            <w:tcW w:w="0" w:type="dxa"/>
            <w:vAlign w:val="bottom"/>
          </w:tcPr>
          <w:p>
            <w:pPr>
              <w:spacing w:after="0"/>
              <w:rPr>
                <w:sz w:val="1"/>
                <w:szCs w:val="1"/>
                <w:color w:val="auto"/>
              </w:rPr>
            </w:pP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gains (losses), net of hedges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157"/>
        </w:trPr>
        <w:tc>
          <w:tcPr>
            <w:tcW w:w="4880" w:type="dxa"/>
            <w:vAlign w:val="bottom"/>
          </w:tcPr>
          <w:p>
            <w:pPr>
              <w:ind w:left="220"/>
              <w:spacing w:after="0" w:line="157" w:lineRule="exact"/>
              <w:rPr>
                <w:sz w:val="20"/>
                <w:szCs w:val="20"/>
                <w:color w:val="auto"/>
              </w:rPr>
            </w:pPr>
            <w:r>
              <w:rPr>
                <w:rFonts w:ascii="Arial" w:cs="Arial" w:eastAsia="Arial" w:hAnsi="Arial"/>
                <w:sz w:val="16"/>
                <w:szCs w:val="16"/>
                <w:color w:val="auto"/>
                <w:w w:val="98"/>
              </w:rPr>
              <w:t>Net unrealized (losses) gains on derivative instruments designated</w:t>
            </w:r>
          </w:p>
        </w:tc>
        <w:tc>
          <w:tcPr>
            <w:tcW w:w="94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(1,202)</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vMerge w:val="restart"/>
          </w:tcPr>
          <w:p>
            <w:pPr>
              <w:jc w:val="right"/>
              <w:ind w:right="2"/>
              <w:spacing w:after="0"/>
              <w:rPr>
                <w:sz w:val="20"/>
                <w:szCs w:val="20"/>
                <w:color w:val="auto"/>
              </w:rPr>
            </w:pPr>
            <w:r>
              <w:rPr>
                <w:rFonts w:ascii="Arial" w:cs="Arial" w:eastAsia="Arial" w:hAnsi="Arial"/>
                <w:sz w:val="16"/>
                <w:szCs w:val="16"/>
                <w:color w:val="auto"/>
              </w:rPr>
              <w:t>7,051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(2,388)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4,459</w:t>
            </w:r>
          </w:p>
        </w:tc>
        <w:tc>
          <w:tcPr>
            <w:tcW w:w="0" w:type="dxa"/>
            <w:vAlign w:val="bottom"/>
          </w:tcPr>
          <w:p>
            <w:pPr>
              <w:spacing w:after="0"/>
              <w:rPr>
                <w:sz w:val="1"/>
                <w:szCs w:val="1"/>
                <w:color w:val="auto"/>
              </w:rPr>
            </w:pPr>
          </w:p>
        </w:tc>
      </w:tr>
      <w:tr>
        <w:trPr>
          <w:trHeight w:val="206"/>
        </w:trPr>
        <w:tc>
          <w:tcPr>
            <w:tcW w:w="4880" w:type="dxa"/>
            <w:vAlign w:val="bottom"/>
          </w:tcPr>
          <w:p>
            <w:pPr>
              <w:ind w:left="220"/>
              <w:spacing w:after="0"/>
              <w:rPr>
                <w:sz w:val="20"/>
                <w:szCs w:val="20"/>
                <w:color w:val="auto"/>
              </w:rPr>
            </w:pPr>
            <w:r>
              <w:rPr>
                <w:rFonts w:ascii="Arial" w:cs="Arial" w:eastAsia="Arial" w:hAnsi="Arial"/>
                <w:sz w:val="16"/>
                <w:szCs w:val="16"/>
                <w:color w:val="auto"/>
              </w:rPr>
              <w:t>and qualifying as cash flow hedges</w:t>
            </w:r>
          </w:p>
        </w:tc>
        <w:tc>
          <w:tcPr>
            <w:tcW w:w="94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w w:val="99"/>
              </w:rPr>
              <w:t>Amounts reclassified from accumulated other comprehensive loss</w:t>
            </w:r>
          </w:p>
        </w:tc>
        <w:tc>
          <w:tcPr>
            <w:tcW w:w="9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(3,233)</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(2,772)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(6,265)</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 net (loss) income for derivative instruments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88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9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(7,658)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25,775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53,390</w:t>
            </w:r>
          </w:p>
        </w:tc>
        <w:tc>
          <w:tcPr>
            <w:tcW w:w="0" w:type="dxa"/>
            <w:vAlign w:val="bottom"/>
          </w:tcPr>
          <w:p>
            <w:pPr>
              <w:spacing w:after="0"/>
              <w:rPr>
                <w:sz w:val="1"/>
                <w:szCs w:val="1"/>
                <w:color w:val="auto"/>
              </w:rPr>
            </w:pPr>
          </w:p>
        </w:tc>
      </w:tr>
      <w:tr>
        <w:trPr>
          <w:trHeight w:val="158"/>
        </w:trPr>
        <w:tc>
          <w:tcPr>
            <w:tcW w:w="4880" w:type="dxa"/>
            <w:vAlign w:val="bottom"/>
            <w:shd w:val="clear" w:color="auto" w:fill="CCEEFF"/>
          </w:tcPr>
          <w:p>
            <w:pPr>
              <w:ind w:left="220"/>
              <w:spacing w:after="0" w:line="158" w:lineRule="exact"/>
              <w:rPr>
                <w:sz w:val="20"/>
                <w:szCs w:val="20"/>
                <w:color w:val="auto"/>
              </w:rPr>
            </w:pPr>
            <w:r>
              <w:rPr>
                <w:rFonts w:ascii="Arial" w:cs="Arial" w:eastAsia="Arial" w:hAnsi="Arial"/>
                <w:sz w:val="16"/>
                <w:szCs w:val="16"/>
                <w:color w:val="auto"/>
              </w:rPr>
              <w:t>Add: Comprehensive (income) loss attributable to noncontrolling</w:t>
            </w:r>
          </w:p>
        </w:tc>
        <w:tc>
          <w:tcPr>
            <w:tcW w:w="9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1,450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interests</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80" w:type="dxa"/>
            <w:vAlign w:val="bottom"/>
          </w:tcPr>
          <w:p>
            <w:pPr>
              <w:ind w:left="20"/>
              <w:spacing w:after="0"/>
              <w:rPr>
                <w:sz w:val="20"/>
                <w:szCs w:val="20"/>
                <w:color w:val="auto"/>
              </w:rPr>
            </w:pPr>
            <w:r>
              <w:rPr>
                <w:rFonts w:ascii="Arial" w:cs="Arial" w:eastAsia="Arial" w:hAnsi="Arial"/>
                <w:sz w:val="16"/>
                <w:szCs w:val="16"/>
                <w:color w:val="auto"/>
              </w:rPr>
              <w:t>Total comprehensive (loss) income attributable to Cimpress plc</w:t>
            </w:r>
          </w:p>
        </w:tc>
        <w:tc>
          <w:tcPr>
            <w:tcW w:w="940" w:type="dxa"/>
            <w:vAlign w:val="bottom"/>
            <w:tcBorders>
              <w:bottom w:val="single" w:sz="8" w:color="auto"/>
            </w:tcBorders>
          </w:tcPr>
          <w:p>
            <w:pPr>
              <w:jc w:val="right"/>
              <w:ind w:right="766"/>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(8,112)</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1,942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24,798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5" w:name="page6"/>
    <w:bookmarkEnd w:id="5"/>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CONSOLIDATED STATEMENTS OF SHAREHOLDERS' DEFICIT</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20" w:type="dxa"/>
            <w:vAlign w:val="bottom"/>
            <w:gridSpan w:val="5"/>
          </w:tcPr>
          <w:p>
            <w:pPr>
              <w:ind w:left="540"/>
              <w:spacing w:after="0"/>
              <w:rPr>
                <w:sz w:val="20"/>
                <w:szCs w:val="20"/>
                <w:color w:val="auto"/>
              </w:rPr>
            </w:pPr>
            <w:r>
              <w:rPr>
                <w:rFonts w:ascii="Arial" w:cs="Arial" w:eastAsia="Arial" w:hAnsi="Arial"/>
                <w:sz w:val="12"/>
                <w:szCs w:val="12"/>
                <w:b w:val="1"/>
                <w:bCs w:val="1"/>
                <w:color w:val="auto"/>
              </w:rPr>
              <w:t>Ordinary Shares</w:t>
            </w:r>
          </w:p>
        </w:tc>
        <w:tc>
          <w:tcPr>
            <w:tcW w:w="228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60" w:type="dxa"/>
            <w:vAlign w:val="bottom"/>
          </w:tcPr>
          <w:p>
            <w:pPr>
              <w:spacing w:after="0"/>
              <w:rPr>
                <w:sz w:val="10"/>
                <w:szCs w:val="10"/>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1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60" w:type="dxa"/>
            <w:vAlign w:val="bottom"/>
            <w:gridSpan w:val="2"/>
            <w:vMerge w:val="restart"/>
          </w:tcPr>
          <w:p>
            <w:pPr>
              <w:jc w:val="center"/>
              <w:ind w:right="10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6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4"/>
                <w:szCs w:val="4"/>
                <w:color w:val="auto"/>
              </w:rPr>
            </w:pPr>
          </w:p>
        </w:tc>
        <w:tc>
          <w:tcPr>
            <w:tcW w:w="100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4"/>
                <w:szCs w:val="4"/>
                <w:color w:val="auto"/>
              </w:rPr>
            </w:pPr>
          </w:p>
        </w:tc>
        <w:tc>
          <w:tcPr>
            <w:tcW w:w="940" w:type="dxa"/>
            <w:vAlign w:val="bottom"/>
            <w:gridSpan w:val="2"/>
            <w:vMerge w:val="restart"/>
          </w:tcPr>
          <w:p>
            <w:pPr>
              <w:jc w:val="center"/>
              <w:ind w:right="260"/>
              <w:spacing w:after="0" w:line="117"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12"/>
              <w:spacing w:after="0" w:line="117" w:lineRule="exact"/>
              <w:rPr>
                <w:sz w:val="20"/>
                <w:szCs w:val="20"/>
                <w:color w:val="auto"/>
              </w:rPr>
            </w:pPr>
            <w:r>
              <w:rPr>
                <w:rFonts w:ascii="Arial" w:cs="Arial" w:eastAsia="Arial" w:hAnsi="Arial"/>
                <w:sz w:val="12"/>
                <w:szCs w:val="12"/>
                <w:b w:val="1"/>
                <w:bCs w:val="1"/>
                <w:color w:val="auto"/>
                <w:w w:val="99"/>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Shares Issued</w:t>
            </w: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12"/>
              <w:spacing w:after="0"/>
              <w:rPr>
                <w:sz w:val="20"/>
                <w:szCs w:val="20"/>
                <w:color w:val="auto"/>
              </w:rPr>
            </w:pPr>
            <w:r>
              <w:rPr>
                <w:rFonts w:ascii="Arial" w:cs="Arial" w:eastAsia="Arial" w:hAnsi="Arial"/>
                <w:sz w:val="12"/>
                <w:szCs w:val="12"/>
                <w:b w:val="1"/>
                <w:bCs w:val="1"/>
                <w:color w:val="auto"/>
                <w:w w:val="98"/>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44,316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539,454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(623,145)</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12,621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4,554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4,554</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gain on</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4,131</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44,554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543,754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239,620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(34,622)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(614,183)</w:t>
            </w:r>
          </w:p>
        </w:tc>
        <w:tc>
          <w:tcPr>
            <w:tcW w:w="0" w:type="dxa"/>
            <w:vAlign w:val="bottom"/>
          </w:tcPr>
          <w:p>
            <w:pPr>
              <w:spacing w:after="0"/>
              <w:rPr>
                <w:sz w:val="1"/>
                <w:szCs w:val="1"/>
                <w:color w:val="auto"/>
              </w:rPr>
            </w:pPr>
          </w:p>
        </w:tc>
      </w:tr>
      <w:tr>
        <w:trPr>
          <w:trHeight w:val="180"/>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9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Issuance of ordinary shares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18,051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18,051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58,105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loss on</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(10,216)</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9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44,604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560,019</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297,590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(47,223)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(552,543)</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2023</w:t>
            </w: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6" w:name="page7"/>
    <w:bookmarkEnd w:id="6"/>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3"/>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3"/>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3"/>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86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color w:val="auto"/>
              </w:rPr>
              <w:t>Balance at December 31,</w:t>
            </w:r>
          </w:p>
        </w:tc>
        <w:tc>
          <w:tcPr>
            <w:tcW w:w="94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44,604</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560,019</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297,590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(47,223)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(552,543)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retirement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(13,659)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(87,058)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(100,729)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18,765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18,765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14"/>
                <w:szCs w:val="14"/>
                <w:color w:val="auto"/>
              </w:rPr>
              <w:t>4,279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4"/>
                <w:szCs w:val="14"/>
                <w:color w:val="auto"/>
              </w:rPr>
              <w:t>4,279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1,641</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860" w:type="dxa"/>
            <w:vAlign w:val="bottom"/>
          </w:tcPr>
          <w:p>
            <w:pPr>
              <w:ind w:left="20"/>
              <w:spacing w:after="0"/>
              <w:rPr>
                <w:sz w:val="20"/>
                <w:szCs w:val="20"/>
                <w:color w:val="auto"/>
              </w:rPr>
            </w:pPr>
            <w:r>
              <w:rPr>
                <w:rFonts w:ascii="Arial" w:cs="Arial" w:eastAsia="Arial" w:hAnsi="Arial"/>
                <w:sz w:val="14"/>
                <w:szCs w:val="14"/>
                <w:color w:val="auto"/>
              </w:rPr>
              <w:t>Balance at March 31, 2024</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43,612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561,930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206,295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(41,303)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(636,018)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7" w:name="page8"/>
    <w:bookmarkEnd w:id="7"/>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2"/>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2"/>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2024</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43,051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570,283</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272,881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(30,364)</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(550,146)</w:t>
            </w: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(8,906)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2"/>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(12,951)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(12,948)</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16,573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16,573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(12,549)</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unrealized loss 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(8,115)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0"/>
              <w:spacing w:after="0" w:line="130" w:lineRule="exact"/>
              <w:rPr>
                <w:sz w:val="20"/>
                <w:szCs w:val="20"/>
                <w:color w:val="auto"/>
              </w:rPr>
            </w:pPr>
            <w:r>
              <w:rPr>
                <w:rFonts w:ascii="Arial" w:cs="Arial" w:eastAsia="Arial" w:hAnsi="Arial"/>
                <w:sz w:val="14"/>
                <w:szCs w:val="14"/>
                <w:color w:val="auto"/>
              </w:rPr>
              <w:t>Balance at September 30,</w:t>
            </w:r>
          </w:p>
        </w:tc>
        <w:tc>
          <w:tcPr>
            <w:tcW w:w="9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color w:val="auto"/>
              </w:rPr>
              <w:t>43,232</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1"/>
                <w:szCs w:val="11"/>
                <w:color w:val="auto"/>
              </w:rPr>
            </w:pPr>
          </w:p>
        </w:tc>
        <w:tc>
          <w:tcPr>
            <w:tcW w:w="96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573,192</w:t>
            </w:r>
          </w:p>
        </w:tc>
        <w:tc>
          <w:tcPr>
            <w:tcW w:w="120" w:type="dxa"/>
            <w:vAlign w:val="bottom"/>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250,923</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(32,160)</w:t>
            </w:r>
          </w:p>
        </w:tc>
        <w:tc>
          <w:tcPr>
            <w:tcW w:w="100" w:type="dxa"/>
            <w:vAlign w:val="bottom"/>
          </w:tcPr>
          <w:p>
            <w:pPr>
              <w:spacing w:after="0"/>
              <w:rPr>
                <w:sz w:val="11"/>
                <w:szCs w:val="11"/>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(570,989)</w:t>
            </w:r>
          </w:p>
        </w:tc>
        <w:tc>
          <w:tcPr>
            <w:tcW w:w="0" w:type="dxa"/>
            <w:vAlign w:val="bottom"/>
          </w:tcPr>
          <w:p>
            <w:pPr>
              <w:spacing w:after="0"/>
              <w:rPr>
                <w:sz w:val="1"/>
                <w:szCs w:val="1"/>
                <w:color w:val="auto"/>
              </w:rPr>
            </w:pPr>
          </w:p>
        </w:tc>
      </w:tr>
      <w:tr>
        <w:trPr>
          <w:trHeight w:val="175"/>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ordinary shares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(7,352)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(35,009)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(42,367)</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182"/>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14,495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14,495</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income attributable to</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61,057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61,057</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Redeemable noncontrolling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interest accretion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redemption value</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Net unrealized gain on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7,498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7,498</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(21,300)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(21,300)</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860" w:type="dxa"/>
            <w:vAlign w:val="bottom"/>
            <w:tcBorders>
              <w:top w:val="single" w:sz="8" w:color="CCEEFF"/>
            </w:tcBorders>
            <w:shd w:val="clear" w:color="auto" w:fill="CCEEFF"/>
          </w:tcPr>
          <w:p>
            <w:pPr>
              <w:ind w:left="20"/>
              <w:spacing w:after="0" w:line="130" w:lineRule="exact"/>
              <w:rPr>
                <w:sz w:val="20"/>
                <w:szCs w:val="20"/>
                <w:color w:val="auto"/>
              </w:rPr>
            </w:pPr>
            <w:r>
              <w:rPr>
                <w:rFonts w:ascii="Arial" w:cs="Arial" w:eastAsia="Arial" w:hAnsi="Arial"/>
                <w:sz w:val="14"/>
                <w:szCs w:val="14"/>
                <w:color w:val="auto"/>
              </w:rPr>
              <w:t>Balance at December 31,</w:t>
            </w:r>
          </w:p>
        </w:tc>
        <w:tc>
          <w:tcPr>
            <w:tcW w:w="94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42,789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576,881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277,562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(45,962)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(554,468)</w:t>
            </w:r>
          </w:p>
        </w:tc>
        <w:tc>
          <w:tcPr>
            <w:tcW w:w="0" w:type="dxa"/>
            <w:vAlign w:val="bottom"/>
          </w:tcPr>
          <w:p>
            <w:pPr>
              <w:spacing w:after="0"/>
              <w:rPr>
                <w:sz w:val="1"/>
                <w:szCs w:val="1"/>
                <w:color w:val="auto"/>
              </w:rPr>
            </w:pPr>
          </w:p>
        </w:tc>
      </w:tr>
      <w:tr>
        <w:trPr>
          <w:trHeight w:val="169"/>
        </w:trPr>
        <w:tc>
          <w:tcPr>
            <w:tcW w:w="18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2024</w:t>
            </w: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12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8" w:name="page9"/>
    <w:bookmarkEnd w:id="8"/>
    <w:p>
      <w:pPr>
        <w:ind w:left="4960"/>
        <w:spacing w:after="0"/>
        <w:rPr>
          <w:sz w:val="20"/>
          <w:szCs w:val="20"/>
          <w:color w:val="auto"/>
        </w:rPr>
      </w:pPr>
      <w:r>
        <w:rPr>
          <w:rFonts w:ascii="Arial" w:cs="Arial" w:eastAsia="Arial" w:hAnsi="Arial"/>
          <w:sz w:val="17"/>
          <w:szCs w:val="17"/>
          <w:b w:val="1"/>
          <w:bCs w:val="1"/>
          <w:color w:val="auto"/>
        </w:rPr>
        <w:t>CIMPRESS PLC</w:t>
      </w:r>
    </w:p>
    <w:p>
      <w:pPr>
        <w:spacing w:after="0" w:line="64" w:lineRule="exact"/>
        <w:rPr>
          <w:sz w:val="20"/>
          <w:szCs w:val="20"/>
          <w:color w:val="auto"/>
        </w:rPr>
      </w:pPr>
    </w:p>
    <w:p>
      <w:pPr>
        <w:ind w:left="2460"/>
        <w:spacing w:after="0"/>
        <w:rPr>
          <w:sz w:val="20"/>
          <w:szCs w:val="20"/>
          <w:color w:val="auto"/>
        </w:rPr>
      </w:pPr>
      <w:r>
        <w:rPr>
          <w:rFonts w:ascii="Arial" w:cs="Arial" w:eastAsia="Arial" w:hAnsi="Arial"/>
          <w:sz w:val="17"/>
          <w:szCs w:val="17"/>
          <w:b w:val="1"/>
          <w:bCs w:val="1"/>
          <w:color w:val="auto"/>
        </w:rPr>
        <w:t>CONSOLIDATED STATEMENTS OF SHAREHOLDERS' DEFICIT (CONTINUED)</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60" w:type="dxa"/>
            <w:vAlign w:val="bottom"/>
          </w:tcPr>
          <w:p>
            <w:pPr>
              <w:spacing w:after="0"/>
              <w:rPr>
                <w:sz w:val="14"/>
                <w:szCs w:val="14"/>
                <w:color w:val="auto"/>
              </w:rPr>
            </w:pPr>
          </w:p>
        </w:tc>
        <w:tc>
          <w:tcPr>
            <w:tcW w:w="2100" w:type="dxa"/>
            <w:vAlign w:val="bottom"/>
            <w:gridSpan w:val="5"/>
          </w:tcPr>
          <w:p>
            <w:pPr>
              <w:ind w:left="520"/>
              <w:spacing w:after="0"/>
              <w:rPr>
                <w:sz w:val="20"/>
                <w:szCs w:val="20"/>
                <w:color w:val="auto"/>
              </w:rPr>
            </w:pPr>
            <w:r>
              <w:rPr>
                <w:rFonts w:ascii="Arial" w:cs="Arial" w:eastAsia="Arial" w:hAnsi="Arial"/>
                <w:sz w:val="12"/>
                <w:szCs w:val="12"/>
                <w:b w:val="1"/>
                <w:bCs w:val="1"/>
                <w:color w:val="auto"/>
              </w:rPr>
              <w:t>Ordinary Shares</w:t>
            </w:r>
          </w:p>
        </w:tc>
        <w:tc>
          <w:tcPr>
            <w:tcW w:w="2300" w:type="dxa"/>
            <w:vAlign w:val="bottom"/>
            <w:gridSpan w:val="5"/>
          </w:tcPr>
          <w:p>
            <w:pPr>
              <w:ind w:left="620"/>
              <w:spacing w:after="0"/>
              <w:rPr>
                <w:sz w:val="20"/>
                <w:szCs w:val="20"/>
                <w:color w:val="auto"/>
              </w:rPr>
            </w:pPr>
            <w:r>
              <w:rPr>
                <w:rFonts w:ascii="Arial" w:cs="Arial" w:eastAsia="Arial" w:hAnsi="Arial"/>
                <w:sz w:val="12"/>
                <w:szCs w:val="12"/>
                <w:b w:val="1"/>
                <w:bCs w:val="1"/>
                <w:color w:val="auto"/>
              </w:rPr>
              <w:t>Treasury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8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Number of</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2"/>
                <w:szCs w:val="12"/>
                <w:b w:val="1"/>
                <w:bCs w:val="1"/>
                <w:color w:val="auto"/>
              </w:rPr>
              <w:t>Number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2"/>
                <w:szCs w:val="12"/>
                <w:b w:val="1"/>
                <w:bCs w:val="1"/>
                <w:color w:val="auto"/>
              </w:rPr>
              <w:t>Accumulated Other</w:t>
            </w:r>
          </w:p>
        </w:tc>
        <w:tc>
          <w:tcPr>
            <w:tcW w:w="180" w:type="dxa"/>
            <w:vAlign w:val="bottom"/>
          </w:tcPr>
          <w:p>
            <w:pPr>
              <w:spacing w:after="0"/>
              <w:rPr>
                <w:sz w:val="10"/>
                <w:szCs w:val="10"/>
                <w:color w:val="auto"/>
              </w:rPr>
            </w:pPr>
          </w:p>
        </w:tc>
        <w:tc>
          <w:tcPr>
            <w:tcW w:w="1180" w:type="dxa"/>
            <w:vAlign w:val="bottom"/>
          </w:tcPr>
          <w:p>
            <w:pPr>
              <w:jc w:val="center"/>
              <w:ind w:right="153"/>
              <w:spacing w:after="0" w:line="117"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2"/>
        </w:trPr>
        <w:tc>
          <w:tcPr>
            <w:tcW w:w="1860" w:type="dxa"/>
            <w:vAlign w:val="bottom"/>
          </w:tcPr>
          <w:p>
            <w:pPr>
              <w:spacing w:after="0"/>
              <w:rPr>
                <w:sz w:val="4"/>
                <w:szCs w:val="4"/>
                <w:color w:val="auto"/>
              </w:rPr>
            </w:pPr>
          </w:p>
        </w:tc>
        <w:tc>
          <w:tcPr>
            <w:tcW w:w="1040" w:type="dxa"/>
            <w:vAlign w:val="bottom"/>
            <w:gridSpan w:val="2"/>
            <w:vMerge w:val="restart"/>
          </w:tcPr>
          <w:p>
            <w:pPr>
              <w:jc w:val="center"/>
              <w:ind w:right="120"/>
              <w:spacing w:after="0" w:line="117" w:lineRule="exact"/>
              <w:rPr>
                <w:sz w:val="20"/>
                <w:szCs w:val="20"/>
                <w:color w:val="auto"/>
              </w:rPr>
            </w:pPr>
            <w:r>
              <w:rPr>
                <w:rFonts w:ascii="Arial" w:cs="Arial" w:eastAsia="Arial" w:hAnsi="Arial"/>
                <w:sz w:val="12"/>
                <w:szCs w:val="12"/>
                <w:b w:val="1"/>
                <w:bCs w:val="1"/>
                <w:color w:val="auto"/>
                <w:w w:val="99"/>
              </w:rPr>
              <w:t>Shares</w:t>
            </w:r>
          </w:p>
        </w:tc>
        <w:tc>
          <w:tcPr>
            <w:tcW w:w="180" w:type="dxa"/>
            <w:vAlign w:val="bottom"/>
          </w:tcPr>
          <w:p>
            <w:pPr>
              <w:spacing w:after="0"/>
              <w:rPr>
                <w:sz w:val="4"/>
                <w:szCs w:val="4"/>
                <w:color w:val="auto"/>
              </w:rPr>
            </w:pPr>
          </w:p>
        </w:tc>
        <w:tc>
          <w:tcPr>
            <w:tcW w:w="880" w:type="dxa"/>
            <w:vAlign w:val="bottom"/>
            <w:gridSpan w:val="2"/>
            <w:vMerge w:val="restart"/>
          </w:tcPr>
          <w:p>
            <w:pPr>
              <w:ind w:left="60"/>
              <w:spacing w:after="0" w:line="117" w:lineRule="exact"/>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restart"/>
          </w:tcPr>
          <w:p>
            <w:pPr>
              <w:ind w:left="420"/>
              <w:spacing w:after="0" w:line="117"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4"/>
                <w:szCs w:val="4"/>
                <w:color w:val="auto"/>
              </w:rPr>
            </w:pPr>
          </w:p>
        </w:tc>
        <w:tc>
          <w:tcPr>
            <w:tcW w:w="1020" w:type="dxa"/>
            <w:vAlign w:val="bottom"/>
            <w:gridSpan w:val="2"/>
            <w:vMerge w:val="restart"/>
          </w:tcPr>
          <w:p>
            <w:pPr>
              <w:ind w:left="120"/>
              <w:spacing w:after="0" w:line="117"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117"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restart"/>
          </w:tcPr>
          <w:p>
            <w:pPr>
              <w:jc w:val="center"/>
              <w:ind w:right="200"/>
              <w:spacing w:after="0" w:line="11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4"/>
                <w:szCs w:val="4"/>
                <w:color w:val="auto"/>
              </w:rPr>
            </w:pPr>
          </w:p>
        </w:tc>
        <w:tc>
          <w:tcPr>
            <w:tcW w:w="1180" w:type="dxa"/>
            <w:vAlign w:val="bottom"/>
            <w:vMerge w:val="restart"/>
          </w:tcPr>
          <w:p>
            <w:pPr>
              <w:jc w:val="center"/>
              <w:ind w:right="133"/>
              <w:spacing w:after="0" w:line="117"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65"/>
        </w:trPr>
        <w:tc>
          <w:tcPr>
            <w:tcW w:w="18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1860" w:type="dxa"/>
            <w:vAlign w:val="bottom"/>
          </w:tcPr>
          <w:p>
            <w:pPr>
              <w:spacing w:after="0"/>
              <w:rPr>
                <w:sz w:val="8"/>
                <w:szCs w:val="8"/>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Issued</w:t>
            </w: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Shares Issued</w:t>
            </w: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Capital</w:t>
            </w: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9"/>
              </w:rPr>
              <w:t>Loss</w:t>
            </w:r>
          </w:p>
        </w:tc>
        <w:tc>
          <w:tcPr>
            <w:tcW w:w="180" w:type="dxa"/>
            <w:vAlign w:val="bottom"/>
          </w:tcPr>
          <w:p>
            <w:pPr>
              <w:spacing w:after="0"/>
              <w:rPr>
                <w:sz w:val="8"/>
                <w:szCs w:val="8"/>
                <w:color w:val="auto"/>
              </w:rPr>
            </w:pPr>
          </w:p>
        </w:tc>
        <w:tc>
          <w:tcPr>
            <w:tcW w:w="1180" w:type="dxa"/>
            <w:vAlign w:val="bottom"/>
            <w:vMerge w:val="restart"/>
          </w:tcPr>
          <w:p>
            <w:pPr>
              <w:jc w:val="center"/>
              <w:ind w:right="133"/>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77"/>
        </w:trPr>
        <w:tc>
          <w:tcPr>
            <w:tcW w:w="18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86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color w:val="auto"/>
              </w:rPr>
              <w:t>Balance at December 31,</w:t>
            </w:r>
          </w:p>
        </w:tc>
        <w:tc>
          <w:tcPr>
            <w:tcW w:w="94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42,789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vMerge w:val="restart"/>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576,881</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277,562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(45,962)</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(554,468)</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Issuance of ordinary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w w:val="97"/>
              </w:rPr>
              <w:t>due to share option exercises,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tcPr>
          <w:p>
            <w:pPr>
              <w:ind w:left="20"/>
              <w:spacing w:after="0" w:line="137" w:lineRule="exact"/>
              <w:rPr>
                <w:sz w:val="20"/>
                <w:szCs w:val="20"/>
                <w:color w:val="auto"/>
              </w:rPr>
            </w:pPr>
            <w:r>
              <w:rPr>
                <w:rFonts w:ascii="Arial" w:cs="Arial" w:eastAsia="Arial" w:hAnsi="Arial"/>
                <w:sz w:val="14"/>
                <w:szCs w:val="14"/>
                <w:color w:val="auto"/>
              </w:rPr>
              <w:t>net of shares withheld for</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Purchase and cancellation of</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(3,947)</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Share-based awards vested,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tcPr>
          <w:p>
            <w:pPr>
              <w:ind w:left="20"/>
              <w:spacing w:after="0" w:line="136" w:lineRule="exact"/>
              <w:rPr>
                <w:sz w:val="20"/>
                <w:szCs w:val="20"/>
                <w:color w:val="auto"/>
              </w:rPr>
            </w:pPr>
            <w:r>
              <w:rPr>
                <w:rFonts w:ascii="Arial" w:cs="Arial" w:eastAsia="Arial" w:hAnsi="Arial"/>
                <w:sz w:val="14"/>
                <w:szCs w:val="14"/>
                <w:color w:val="auto"/>
              </w:rPr>
              <w:t>net of shares withheld for</w:t>
            </w:r>
          </w:p>
        </w:tc>
        <w:tc>
          <w:tcPr>
            <w:tcW w:w="940" w:type="dxa"/>
            <w:vAlign w:val="bottom"/>
            <w:vMerge w:val="restart"/>
          </w:tcPr>
          <w:p>
            <w:pPr>
              <w:jc w:val="right"/>
              <w:ind w:right="13"/>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(3,147)</w:t>
            </w:r>
          </w:p>
        </w:tc>
        <w:tc>
          <w:tcPr>
            <w:tcW w:w="0" w:type="dxa"/>
            <w:vAlign w:val="bottom"/>
          </w:tcPr>
          <w:p>
            <w:pPr>
              <w:spacing w:after="0"/>
              <w:rPr>
                <w:sz w:val="1"/>
                <w:szCs w:val="1"/>
                <w:color w:val="auto"/>
              </w:rPr>
            </w:pPr>
          </w:p>
        </w:tc>
      </w:tr>
      <w:tr>
        <w:trPr>
          <w:trHeight w:val="181"/>
        </w:trPr>
        <w:tc>
          <w:tcPr>
            <w:tcW w:w="1860" w:type="dxa"/>
            <w:vAlign w:val="bottom"/>
          </w:tcPr>
          <w:p>
            <w:pPr>
              <w:ind w:left="20"/>
              <w:spacing w:after="0"/>
              <w:rPr>
                <w:sz w:val="20"/>
                <w:szCs w:val="20"/>
                <w:color w:val="auto"/>
              </w:rPr>
            </w:pPr>
            <w:r>
              <w:rPr>
                <w:rFonts w:ascii="Arial" w:cs="Arial" w:eastAsia="Arial" w:hAnsi="Arial"/>
                <w:sz w:val="14"/>
                <w:szCs w:val="14"/>
                <w:color w:val="auto"/>
              </w:rPr>
              <w:t>taxes</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Share-based compensation</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12,153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12,153</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Net loss attributable to</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(8,238)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Cimpress plc</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Net unrealized gain on</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860" w:type="dxa"/>
            <w:vAlign w:val="bottom"/>
            <w:shd w:val="clear" w:color="auto" w:fill="CCEEFF"/>
          </w:tcPr>
          <w:p>
            <w:pPr>
              <w:ind w:left="20"/>
              <w:spacing w:after="0" w:line="136" w:lineRule="exact"/>
              <w:rPr>
                <w:sz w:val="20"/>
                <w:szCs w:val="20"/>
                <w:color w:val="auto"/>
              </w:rPr>
            </w:pPr>
            <w:r>
              <w:rPr>
                <w:rFonts w:ascii="Arial" w:cs="Arial" w:eastAsia="Arial" w:hAnsi="Arial"/>
                <w:sz w:val="14"/>
                <w:szCs w:val="14"/>
                <w:color w:val="auto"/>
              </w:rPr>
              <w:t>derivative instruments</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6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designated and qualifying as</w:t>
            </w: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(4,435)</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0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60" w:type="dxa"/>
            <w:vAlign w:val="bottom"/>
          </w:tcPr>
          <w:p>
            <w:pPr>
              <w:ind w:left="20"/>
              <w:spacing w:after="0" w:line="150"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2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60" w:type="dxa"/>
            <w:vAlign w:val="bottom"/>
            <w:vMerge w:val="restart"/>
          </w:tcPr>
          <w:p>
            <w:pPr>
              <w:jc w:val="right"/>
              <w:ind w:right="13"/>
              <w:spacing w:after="0"/>
              <w:rPr>
                <w:sz w:val="20"/>
                <w:szCs w:val="20"/>
                <w:color w:val="auto"/>
              </w:rPr>
            </w:pPr>
            <w:r>
              <w:rPr>
                <w:rFonts w:ascii="Arial" w:cs="Arial" w:eastAsia="Arial" w:hAnsi="Arial"/>
                <w:sz w:val="14"/>
                <w:szCs w:val="14"/>
                <w:color w:val="auto"/>
              </w:rPr>
              <w:t>4,561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4"/>
                <w:szCs w:val="14"/>
                <w:color w:val="auto"/>
              </w:rPr>
              <w:t>4,561</w:t>
            </w:r>
          </w:p>
        </w:tc>
        <w:tc>
          <w:tcPr>
            <w:tcW w:w="0" w:type="dxa"/>
            <w:vAlign w:val="bottom"/>
          </w:tcPr>
          <w:p>
            <w:pPr>
              <w:spacing w:after="0"/>
              <w:rPr>
                <w:sz w:val="1"/>
                <w:szCs w:val="1"/>
                <w:color w:val="auto"/>
              </w:rPr>
            </w:pPr>
          </w:p>
        </w:tc>
      </w:tr>
      <w:tr>
        <w:trPr>
          <w:trHeight w:val="175"/>
        </w:trPr>
        <w:tc>
          <w:tcPr>
            <w:tcW w:w="1860" w:type="dxa"/>
            <w:vAlign w:val="bottom"/>
          </w:tcPr>
          <w:p>
            <w:pPr>
              <w:ind w:left="20"/>
              <w:spacing w:after="0"/>
              <w:rPr>
                <w:sz w:val="20"/>
                <w:szCs w:val="20"/>
                <w:color w:val="auto"/>
              </w:rPr>
            </w:pPr>
            <w:r>
              <w:rPr>
                <w:rFonts w:ascii="Arial" w:cs="Arial" w:eastAsia="Arial" w:hAnsi="Arial"/>
                <w:sz w:val="14"/>
                <w:szCs w:val="14"/>
                <w:color w:val="auto"/>
              </w:rPr>
              <w:t>net of hedges</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2025</w:t>
            </w:r>
          </w:p>
        </w:tc>
        <w:tc>
          <w:tcPr>
            <w:tcW w:w="9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42,842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9"/>
              </w:rPr>
              <w:t>(17,971)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(1,363,550)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(557,515)</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w:t>
      </w: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757"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Nine Months Ended March 31,</w:t>
            </w:r>
          </w:p>
        </w:tc>
      </w:tr>
      <w:tr>
        <w:trPr>
          <w:trHeight w:val="188"/>
        </w:trPr>
        <w:tc>
          <w:tcPr>
            <w:tcW w:w="8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41,211</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59,642</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105,057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116,103</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Share-based compensation expense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42,690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48,499</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5,778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1,070</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(gain) on early extinguishment of debt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Unrealized loss (gain) on derivatives not designated as hedging instruments included in net income</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6,761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(4,552)</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Effect of exchange rate changes on monetary assets and liabilities denominated in non-functional currency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378</w:t>
            </w:r>
          </w:p>
        </w:tc>
      </w:tr>
      <w:tr>
        <w:trPr>
          <w:trHeight w:val="207"/>
        </w:trPr>
        <w:tc>
          <w:tcPr>
            <w:tcW w:w="8040" w:type="dxa"/>
            <w:vAlign w:val="bottom"/>
          </w:tcPr>
          <w:p>
            <w:pPr>
              <w:ind w:left="200"/>
              <w:spacing w:after="0"/>
              <w:rPr>
                <w:sz w:val="20"/>
                <w:szCs w:val="20"/>
                <w:color w:val="auto"/>
              </w:rPr>
            </w:pPr>
            <w:r>
              <w:rPr>
                <w:rFonts w:ascii="Arial" w:cs="Arial" w:eastAsia="Arial" w:hAnsi="Arial"/>
                <w:sz w:val="16"/>
                <w:szCs w:val="16"/>
                <w:color w:val="auto"/>
              </w:rPr>
              <w:t>Other non-cash items</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7,287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543</w:t>
            </w:r>
          </w:p>
        </w:tc>
      </w:tr>
      <w:tr>
        <w:trPr>
          <w:trHeight w:val="209"/>
        </w:trPr>
        <w:tc>
          <w:tcPr>
            <w:tcW w:w="80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2,485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(6,429)</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7,006</w:t>
            </w:r>
          </w:p>
        </w:tc>
      </w:tr>
      <w:tr>
        <w:trPr>
          <w:trHeight w:val="207"/>
        </w:trPr>
        <w:tc>
          <w:tcPr>
            <w:tcW w:w="804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4,960</w:t>
            </w:r>
          </w:p>
        </w:tc>
      </w:tr>
      <w:tr>
        <w:trPr>
          <w:trHeight w:val="209"/>
        </w:trPr>
        <w:tc>
          <w:tcPr>
            <w:tcW w:w="80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(11,464)</w:t>
            </w:r>
          </w:p>
        </w:tc>
      </w:tr>
      <w:tr>
        <w:trPr>
          <w:trHeight w:val="207"/>
        </w:trPr>
        <w:tc>
          <w:tcPr>
            <w:tcW w:w="8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31,303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11,592</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190,598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225,627</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(43,379)</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the sale of assets</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2,357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6,419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maturity of held-to-maturity investments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36,676</w:t>
            </w:r>
          </w:p>
        </w:tc>
      </w:tr>
      <w:tr>
        <w:trPr>
          <w:trHeight w:val="20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the settlement of derivatives designated as hedging instruments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5,438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(44,709)</w:t>
            </w:r>
          </w:p>
        </w:tc>
      </w:tr>
      <w:tr>
        <w:trPr>
          <w:trHeight w:val="188"/>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7.375% Senior Notes due 2032</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for early redemption or purchase of 7.0% Senior Notes due 2026</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(522,135)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(24,471)</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borrowings of debt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41,283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886</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debt</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(53,672)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(11,783)</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issuance costs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Payments of withholding taxes in connection with equity awards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(14,069)</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finance lease obligations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(7,501)</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Purchase of noncontrolling interests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ordinary shares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(100,729)</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Proceeds from issuance of ordinary shares</w:t>
            </w:r>
          </w:p>
        </w:tc>
        <w:tc>
          <w:tcPr>
            <w:tcW w:w="34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1,375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775</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0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(107,413)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(157,506)</w:t>
            </w:r>
          </w:p>
        </w:tc>
      </w:tr>
      <w:tr>
        <w:trPr>
          <w:trHeight w:val="202"/>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613</w:t>
            </w: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24,025</w:t>
            </w:r>
          </w:p>
        </w:tc>
      </w:tr>
      <w:tr>
        <w:trPr>
          <w:trHeight w:val="20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203,775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130,313</w:t>
            </w:r>
          </w:p>
        </w:tc>
      </w:tr>
      <w:tr>
        <w:trPr>
          <w:trHeight w:val="202"/>
        </w:trPr>
        <w:tc>
          <w:tcPr>
            <w:tcW w:w="80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182,997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154,338</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104775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in thousands)</w:t>
      </w:r>
    </w:p>
    <w:p>
      <w:pPr>
        <w:spacing w:after="0" w:line="43"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Nine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2"/>
                <w:szCs w:val="12"/>
                <w:b w:val="1"/>
                <w:bCs w:val="1"/>
                <w:color w:val="auto"/>
              </w:rPr>
              <w:t>2024</w:t>
            </w:r>
          </w:p>
        </w:tc>
      </w:tr>
      <w:tr>
        <w:trPr>
          <w:trHeight w:val="188"/>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91,078</w:t>
            </w:r>
          </w:p>
        </w:tc>
        <w:tc>
          <w:tcPr>
            <w:tcW w:w="80" w:type="dxa"/>
            <w:vAlign w:val="bottom"/>
          </w:tcPr>
          <w:p>
            <w:pPr>
              <w:spacing w:after="0"/>
              <w:rPr>
                <w:sz w:val="17"/>
                <w:szCs w:val="17"/>
                <w:color w:val="auto"/>
              </w:rPr>
            </w:pP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90,556</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for interest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9,807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11,208</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Cash paid for income taxes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21,006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39,307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Property and equipment acquired under finance leases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2,645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4,440</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accrued related to property, plant and equipment</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7,699</w:t>
            </w:r>
          </w:p>
        </w:tc>
      </w:tr>
      <w:tr>
        <w:trPr>
          <w:trHeight w:val="206"/>
        </w:trPr>
        <w:tc>
          <w:tcPr>
            <w:tcW w:w="8040" w:type="dxa"/>
            <w:vAlign w:val="bottom"/>
          </w:tcPr>
          <w:p>
            <w:pPr>
              <w:ind w:left="20"/>
              <w:spacing w:after="0"/>
              <w:rPr>
                <w:sz w:val="20"/>
                <w:szCs w:val="20"/>
                <w:color w:val="auto"/>
              </w:rPr>
            </w:pPr>
            <w:r>
              <w:rPr>
                <w:rFonts w:ascii="Arial" w:cs="Arial" w:eastAsia="Arial" w:hAnsi="Arial"/>
                <w:sz w:val="16"/>
                <w:szCs w:val="16"/>
                <w:color w:val="auto"/>
              </w:rPr>
              <w:t>Amounts accrued related to capitalized software development costs</w:t>
            </w:r>
          </w:p>
        </w:tc>
        <w:tc>
          <w:tcPr>
            <w:tcW w:w="94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240</w:t>
            </w:r>
          </w:p>
        </w:tc>
      </w:tr>
    </w:tbl>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1055"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b w:val="1"/>
          <w:bCs w:val="1"/>
          <w:color w:val="auto"/>
        </w:rPr>
        <w:t>CIMPRESS PLC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in thousands, except share and per share data)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the Business</w:t>
      </w:r>
    </w:p>
    <w:p>
      <w:pPr>
        <w:spacing w:after="0" w:line="183"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218" w:lineRule="exact"/>
        <w:rPr>
          <w:sz w:val="20"/>
          <w:szCs w:val="20"/>
          <w:color w:val="auto"/>
        </w:rPr>
      </w:pPr>
    </w:p>
    <w:p>
      <w:pPr>
        <w:ind w:right="7420" w:firstLine="4"/>
        <w:spacing w:after="0" w:line="519" w:lineRule="auto"/>
        <w:tabs>
          <w:tab w:leader="none" w:pos="18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ind w:right="100" w:firstLine="623"/>
        <w:spacing w:after="0" w:line="265" w:lineRule="auto"/>
        <w:rPr>
          <w:sz w:val="20"/>
          <w:szCs w:val="20"/>
          <w:color w:val="auto"/>
        </w:rPr>
      </w:pPr>
      <w:r>
        <w:rPr>
          <w:rFonts w:ascii="Arial" w:cs="Arial" w:eastAsia="Arial" w:hAnsi="Arial"/>
          <w:sz w:val="17"/>
          <w:szCs w:val="17"/>
          <w:color w:val="auto"/>
        </w:rPr>
        <w:t>The consolidated financial statements include the accounts of Cimpress plc, its wholly owned subsidiaries, and entities in which we maintain a controlling financial interest.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48"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Ordinary Shares</w:t>
      </w:r>
    </w:p>
    <w:p>
      <w:pPr>
        <w:spacing w:after="0" w:line="118" w:lineRule="exact"/>
        <w:rPr>
          <w:sz w:val="20"/>
          <w:szCs w:val="20"/>
          <w:color w:val="auto"/>
        </w:rPr>
      </w:pPr>
    </w:p>
    <w:p>
      <w:pPr>
        <w:jc w:val="both"/>
        <w:ind w:right="120" w:firstLine="623"/>
        <w:spacing w:after="0" w:line="275" w:lineRule="auto"/>
        <w:rPr>
          <w:sz w:val="20"/>
          <w:szCs w:val="20"/>
          <w:color w:val="auto"/>
        </w:rPr>
      </w:pPr>
      <w:r>
        <w:rPr>
          <w:rFonts w:ascii="Arial" w:cs="Arial" w:eastAsia="Arial" w:hAnsi="Arial"/>
          <w:sz w:val="17"/>
          <w:szCs w:val="17"/>
          <w:color w:val="auto"/>
        </w:rPr>
        <w:t>During the nine months ended March 31, 2025, we repurchased 714,667 of our ordinary shares on the open market and through privately negotiated transactions for $56,934. The repurchased shares were immediately cancelled after repurchase and therefore have been classified as authorized and unissued shares as of March 31, 2025.</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 Equity Option Awards</w:t>
      </w:r>
    </w:p>
    <w:p>
      <w:pPr>
        <w:spacing w:after="0" w:line="118"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During the second quarter of fiscal 2025, we granted subsidiary-level option awards, which provide the founder group of one of our businesses with the option to purchase a 5.25% minority equity interest in each of the principal businesses that are included in our PrintBrothers reportable segment. The option awards have an expiration date of January 15, 2026, and upon exercise the underlying shares are subject to a ten-year lockup period, while the holders are subjected to non-compete provisions over the period in which they are shareholders, plus an additional two years. The fair value of the share option is determined as of the grant date using the Black-Scholes valuation model and the fair value is recognized ratably as expense over the non-compete period, as the provision is deemed to be substantive. During the three and nine months ended March 31, 2025, we recognized $ 562 of share-based compensation expense within general and administrative expense in our consolidated statement of operations related to these awards.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Other (Expense) Income, Net</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2"/>
                <w:szCs w:val="12"/>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726"/>
              <w:spacing w:after="0"/>
              <w:rPr>
                <w:sz w:val="20"/>
                <w:szCs w:val="20"/>
                <w:color w:val="auto"/>
              </w:rPr>
            </w:pPr>
            <w:r>
              <w:rPr>
                <w:rFonts w:ascii="Arial" w:cs="Arial" w:eastAsia="Arial" w:hAnsi="Arial"/>
                <w:sz w:val="12"/>
                <w:szCs w:val="12"/>
                <w:b w:val="1"/>
                <w:bCs w:val="1"/>
                <w:color w:val="auto"/>
              </w:rPr>
              <w:t>Nine Months Ended March 31,</w:t>
            </w:r>
          </w:p>
        </w:tc>
        <w:tc>
          <w:tcPr>
            <w:tcW w:w="0" w:type="dxa"/>
            <w:vAlign w:val="bottom"/>
          </w:tcPr>
          <w:p>
            <w:pPr>
              <w:spacing w:after="0"/>
              <w:rPr>
                <w:sz w:val="1"/>
                <w:szCs w:val="1"/>
                <w:color w:val="auto"/>
              </w:rPr>
            </w:pPr>
          </w:p>
        </w:tc>
      </w:tr>
      <w:tr>
        <w:trPr>
          <w:trHeight w:val="164"/>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38"/>
        </w:trPr>
        <w:tc>
          <w:tcPr>
            <w:tcW w:w="438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(Losses) gains on derivatives not designated as hedging</w:t>
            </w:r>
          </w:p>
        </w:tc>
        <w:tc>
          <w:tcPr>
            <w:tcW w:w="980" w:type="dxa"/>
            <w:vAlign w:val="bottom"/>
            <w:vMerge w:val="restart"/>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(14,640)</w:t>
            </w: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808"/>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9,071</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3,715</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instruments (1)</w:t>
            </w:r>
          </w:p>
        </w:tc>
        <w:tc>
          <w:tcPr>
            <w:tcW w:w="98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6"/>
                <w:szCs w:val="16"/>
                <w:color w:val="auto"/>
              </w:rPr>
              <w:t>Currency-related gains (losses), net (2)</w:t>
            </w:r>
          </w:p>
        </w:tc>
        <w:tc>
          <w:tcPr>
            <w:tcW w:w="980" w:type="dxa"/>
            <w:vAlign w:val="bottom"/>
          </w:tcPr>
          <w:p>
            <w:pPr>
              <w:spacing w:after="0"/>
              <w:rPr>
                <w:sz w:val="17"/>
                <w:szCs w:val="17"/>
                <w:color w:val="auto"/>
              </w:rPr>
            </w:pP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5,131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11,691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8"/>
        </w:trPr>
        <w:tc>
          <w:tcPr>
            <w:tcW w:w="4380" w:type="dxa"/>
            <w:vAlign w:val="bottom"/>
            <w:shd w:val="clear" w:color="auto" w:fill="CCEEFF"/>
          </w:tcPr>
          <w:p>
            <w:pPr>
              <w:spacing w:after="0"/>
              <w:rPr>
                <w:sz w:val="20"/>
                <w:szCs w:val="20"/>
                <w:color w:val="auto"/>
              </w:rPr>
            </w:pPr>
            <w:r>
              <w:rPr>
                <w:rFonts w:ascii="Arial" w:cs="Arial" w:eastAsia="Arial" w:hAnsi="Arial"/>
                <w:sz w:val="16"/>
                <w:szCs w:val="16"/>
                <w:color w:val="auto"/>
              </w:rPr>
              <w:t>Other gains (losses)</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2"/>
        </w:trPr>
        <w:tc>
          <w:tcPr>
            <w:tcW w:w="4380" w:type="dxa"/>
            <w:vAlign w:val="bottom"/>
          </w:tcPr>
          <w:p>
            <w:pPr>
              <w:spacing w:after="0"/>
              <w:rPr>
                <w:sz w:val="20"/>
                <w:szCs w:val="20"/>
                <w:color w:val="auto"/>
              </w:rPr>
            </w:pPr>
            <w:r>
              <w:rPr>
                <w:rFonts w:ascii="Arial" w:cs="Arial" w:eastAsia="Arial" w:hAnsi="Arial"/>
                <w:sz w:val="16"/>
                <w:szCs w:val="16"/>
                <w:color w:val="auto"/>
              </w:rPr>
              <w:t>Total other (expense) income, net</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1" w:lineRule="exact"/>
        <w:rPr>
          <w:sz w:val="20"/>
          <w:szCs w:val="20"/>
          <w:color w:val="auto"/>
        </w:rPr>
      </w:pPr>
    </w:p>
    <w:p>
      <w:pPr>
        <w:ind w:left="240" w:right="300" w:hanging="236"/>
        <w:spacing w:after="0" w:line="266"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realized and unrealized gains and losses on derivative currency forward and option contracts not designated as hedging instruments. For contracts not designated as hedging instruments, we realized gains of $4,434 and $5,183 for the three and nine months ended March 31, 2025, respectively, and losses of $349 and $838 for the three and nine months ended March 31, 2024, respectively. Refer to Note 4 for additional details relating to our derivative contracts.</w:t>
      </w:r>
    </w:p>
    <w:p>
      <w:pPr>
        <w:spacing w:after="0" w:line="48" w:lineRule="exact"/>
        <w:rPr>
          <w:rFonts w:ascii="Arial" w:cs="Arial" w:eastAsia="Arial" w:hAnsi="Arial"/>
          <w:sz w:val="14"/>
          <w:szCs w:val="14"/>
          <w:color w:val="auto"/>
        </w:rPr>
      </w:pPr>
    </w:p>
    <w:p>
      <w:pPr>
        <w:ind w:left="240" w:right="20" w:hanging="236"/>
        <w:spacing w:after="0" w:line="261" w:lineRule="auto"/>
        <w:tabs>
          <w:tab w:leader="none" w:pos="214"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Currency-related gains (losses), net primarily relates to significant non-functional currency intercompany financing relationships that we may change at times and are subject to currency exchange rate volatility. In addition, during the three and nine months ended March 31, 2024, we recognized gains of $1,748 and $1,454, respectively, on a cross-currency swap designated as a cash flow hedge which hedges the remeasurement of an intercompany loan. We did not hold any cross-currency swap contracts that were designated as cash flow hedges during the three and nine months ended March 31, 2025. Refer to Note 4 for additional details regarding our cash flow hedges.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Income Per Share Attributable to Cimpress plc</w:t>
      </w:r>
    </w:p>
    <w:p>
      <w:pPr>
        <w:spacing w:after="0" w:line="196"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Basic net (loss) income per share attributable to Cimpress plc is computed by dividing net (loss) income attributable to Cimpress plc by the weighted-average number of ordinary shares outstanding for the respective period. Diluted net (loss) income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the reconciliation of the weighted-average number of ordinary shares.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60" w:type="dxa"/>
            <w:vAlign w:val="bottom"/>
            <w:gridSpan w:val="4"/>
          </w:tcPr>
          <w:p>
            <w:pPr>
              <w:ind w:left="780"/>
              <w:spacing w:after="0"/>
              <w:rPr>
                <w:sz w:val="20"/>
                <w:szCs w:val="20"/>
                <w:color w:val="auto"/>
              </w:rPr>
            </w:pPr>
            <w:r>
              <w:rPr>
                <w:rFonts w:ascii="Arial" w:cs="Arial" w:eastAsia="Arial" w:hAnsi="Arial"/>
                <w:sz w:val="12"/>
                <w:szCs w:val="12"/>
                <w:b w:val="1"/>
                <w:bCs w:val="1"/>
                <w:color w:val="auto"/>
              </w:rPr>
              <w:t>Three Months Ended March 31,</w:t>
            </w:r>
          </w:p>
        </w:tc>
        <w:tc>
          <w:tcPr>
            <w:tcW w:w="3340" w:type="dxa"/>
            <w:vAlign w:val="bottom"/>
            <w:gridSpan w:val="3"/>
          </w:tcPr>
          <w:p>
            <w:pPr>
              <w:jc w:val="right"/>
              <w:ind w:right="726"/>
              <w:spacing w:after="0"/>
              <w:rPr>
                <w:sz w:val="20"/>
                <w:szCs w:val="20"/>
                <w:color w:val="auto"/>
              </w:rPr>
            </w:pPr>
            <w:r>
              <w:rPr>
                <w:rFonts w:ascii="Arial" w:cs="Arial" w:eastAsia="Arial" w:hAnsi="Arial"/>
                <w:sz w:val="12"/>
                <w:szCs w:val="12"/>
                <w:b w:val="1"/>
                <w:bCs w:val="1"/>
                <w:color w:val="auto"/>
              </w:rPr>
              <w:t>Nine Months Ended March 31,</w:t>
            </w:r>
          </w:p>
        </w:tc>
        <w:tc>
          <w:tcPr>
            <w:tcW w:w="0" w:type="dxa"/>
            <w:vAlign w:val="bottom"/>
          </w:tcPr>
          <w:p>
            <w:pPr>
              <w:spacing w:after="0"/>
              <w:rPr>
                <w:sz w:val="1"/>
                <w:szCs w:val="1"/>
                <w:color w:val="auto"/>
              </w:rPr>
            </w:pPr>
          </w:p>
        </w:tc>
      </w:tr>
      <w:tr>
        <w:trPr>
          <w:trHeight w:val="164"/>
        </w:trPr>
        <w:tc>
          <w:tcPr>
            <w:tcW w:w="444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basic</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24,834,409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26,216,216</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24,990,419</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26,432,423</w:t>
            </w:r>
          </w:p>
        </w:tc>
        <w:tc>
          <w:tcPr>
            <w:tcW w:w="0" w:type="dxa"/>
            <w:vAlign w:val="bottom"/>
          </w:tcPr>
          <w:p>
            <w:pPr>
              <w:spacing w:after="0"/>
              <w:rPr>
                <w:sz w:val="1"/>
                <w:szCs w:val="1"/>
                <w:color w:val="auto"/>
              </w:rPr>
            </w:pPr>
          </w:p>
        </w:tc>
      </w:tr>
      <w:tr>
        <w:trPr>
          <w:trHeight w:val="157"/>
        </w:trPr>
        <w:tc>
          <w:tcPr>
            <w:tcW w:w="4440" w:type="dxa"/>
            <w:vAlign w:val="bottom"/>
          </w:tcPr>
          <w:p>
            <w:pPr>
              <w:ind w:left="20"/>
              <w:spacing w:after="0" w:line="157" w:lineRule="exact"/>
              <w:rPr>
                <w:sz w:val="20"/>
                <w:szCs w:val="20"/>
                <w:color w:val="auto"/>
              </w:rPr>
            </w:pPr>
            <w:r>
              <w:rPr>
                <w:rFonts w:ascii="Arial" w:cs="Arial" w:eastAsia="Arial" w:hAnsi="Arial"/>
                <w:sz w:val="16"/>
                <w:szCs w:val="16"/>
                <w:color w:val="auto"/>
              </w:rPr>
              <w:t>Weighted average shares issuable upon exercise/vesting of</w:t>
            </w:r>
          </w:p>
        </w:tc>
        <w:tc>
          <w:tcPr>
            <w:tcW w:w="1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851,362</w:t>
            </w:r>
          </w:p>
        </w:tc>
        <w:tc>
          <w:tcPr>
            <w:tcW w:w="10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711,196</w:t>
            </w:r>
          </w:p>
        </w:tc>
        <w:tc>
          <w:tcPr>
            <w:tcW w:w="0" w:type="dxa"/>
            <w:vAlign w:val="bottom"/>
          </w:tcPr>
          <w:p>
            <w:pPr>
              <w:spacing w:after="0"/>
              <w:rPr>
                <w:sz w:val="1"/>
                <w:szCs w:val="1"/>
                <w:color w:val="auto"/>
              </w:rPr>
            </w:pPr>
          </w:p>
        </w:tc>
      </w:tr>
      <w:tr>
        <w:trPr>
          <w:trHeight w:val="206"/>
        </w:trPr>
        <w:tc>
          <w:tcPr>
            <w:tcW w:w="4440" w:type="dxa"/>
            <w:vAlign w:val="bottom"/>
          </w:tcPr>
          <w:p>
            <w:pPr>
              <w:ind w:left="20"/>
              <w:spacing w:after="0"/>
              <w:rPr>
                <w:sz w:val="20"/>
                <w:szCs w:val="20"/>
                <w:color w:val="auto"/>
              </w:rPr>
            </w:pPr>
            <w:r>
              <w:rPr>
                <w:rFonts w:ascii="Arial" w:cs="Arial" w:eastAsia="Arial" w:hAnsi="Arial"/>
                <w:sz w:val="16"/>
                <w:szCs w:val="16"/>
                <w:color w:val="auto"/>
              </w:rPr>
              <w:t>outstanding share options/PSUs/RSUs/warrants (1)(2)</w:t>
            </w:r>
          </w:p>
        </w:tc>
        <w:tc>
          <w:tcPr>
            <w:tcW w:w="1720" w:type="dxa"/>
            <w:vAlign w:val="bottom"/>
            <w:gridSpan w:val="2"/>
            <w:vMerge w:val="continue"/>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440" w:type="dxa"/>
            <w:vAlign w:val="bottom"/>
            <w:tcBorders>
              <w:top w:val="single" w:sz="8" w:color="CCEEFF"/>
            </w:tcBorders>
            <w:shd w:val="clear" w:color="auto" w:fill="CCEEFF"/>
          </w:tcPr>
          <w:p>
            <w:pPr>
              <w:ind w:left="20"/>
              <w:spacing w:after="0" w:line="137" w:lineRule="exact"/>
              <w:rPr>
                <w:sz w:val="20"/>
                <w:szCs w:val="20"/>
                <w:color w:val="auto"/>
              </w:rPr>
            </w:pPr>
            <w:r>
              <w:rPr>
                <w:rFonts w:ascii="Arial" w:cs="Arial" w:eastAsia="Arial" w:hAnsi="Arial"/>
                <w:sz w:val="14"/>
                <w:szCs w:val="14"/>
                <w:color w:val="auto"/>
              </w:rPr>
              <w:t>Shares used in computing diluted net (loss) income per share</w:t>
            </w: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24,834,409</w:t>
            </w:r>
          </w:p>
        </w:tc>
        <w:tc>
          <w:tcPr>
            <w:tcW w:w="1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26,216,216</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25,841,781</w:t>
            </w:r>
          </w:p>
        </w:tc>
        <w:tc>
          <w:tcPr>
            <w:tcW w:w="1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27,143,619</w:t>
            </w:r>
          </w:p>
        </w:tc>
        <w:tc>
          <w:tcPr>
            <w:tcW w:w="0" w:type="dxa"/>
            <w:vAlign w:val="bottom"/>
          </w:tcPr>
          <w:p>
            <w:pPr>
              <w:spacing w:after="0"/>
              <w:rPr>
                <w:sz w:val="1"/>
                <w:szCs w:val="1"/>
                <w:color w:val="auto"/>
              </w:rPr>
            </w:pPr>
          </w:p>
        </w:tc>
      </w:tr>
      <w:tr>
        <w:trPr>
          <w:trHeight w:val="201"/>
        </w:trPr>
        <w:tc>
          <w:tcPr>
            <w:tcW w:w="44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attributable to Cimpress plc</w:t>
            </w: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Arial" w:cs="Arial" w:eastAsia="Arial" w:hAnsi="Arial"/>
                <w:sz w:val="16"/>
                <w:szCs w:val="16"/>
                <w:color w:val="auto"/>
                <w:w w:val="97"/>
              </w:rPr>
              <w:t>Weighted average anti-dilutive shares excluded from diluted net</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440" w:type="dxa"/>
            <w:vAlign w:val="bottom"/>
            <w:vMerge w:val="continue"/>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2,083,040</w:t>
            </w:r>
          </w:p>
        </w:tc>
        <w:tc>
          <w:tcPr>
            <w:tcW w:w="100" w:type="dxa"/>
            <w:vAlign w:val="bottom"/>
          </w:tcPr>
          <w:p>
            <w:pPr>
              <w:spacing w:after="0"/>
              <w:rPr>
                <w:sz w:val="8"/>
                <w:szCs w:val="8"/>
                <w:color w:val="auto"/>
              </w:rPr>
            </w:pPr>
          </w:p>
        </w:tc>
        <w:tc>
          <w:tcPr>
            <w:tcW w:w="1640" w:type="dxa"/>
            <w:vAlign w:val="bottom"/>
            <w:vMerge w:val="restart"/>
          </w:tcPr>
          <w:p>
            <w:pPr>
              <w:jc w:val="right"/>
              <w:ind w:right="6"/>
              <w:spacing w:after="0"/>
              <w:rPr>
                <w:sz w:val="20"/>
                <w:szCs w:val="20"/>
                <w:color w:val="auto"/>
              </w:rPr>
            </w:pPr>
            <w:r>
              <w:rPr>
                <w:rFonts w:ascii="Arial" w:cs="Arial" w:eastAsia="Arial" w:hAnsi="Arial"/>
                <w:sz w:val="16"/>
                <w:szCs w:val="16"/>
                <w:color w:val="auto"/>
              </w:rPr>
              <w:t>955,594</w:t>
            </w:r>
          </w:p>
        </w:tc>
        <w:tc>
          <w:tcPr>
            <w:tcW w:w="100" w:type="dxa"/>
            <w:vAlign w:val="bottom"/>
          </w:tcPr>
          <w:p>
            <w:pPr>
              <w:spacing w:after="0"/>
              <w:rPr>
                <w:sz w:val="8"/>
                <w:szCs w:val="8"/>
                <w:color w:val="auto"/>
              </w:rPr>
            </w:pPr>
          </w:p>
        </w:tc>
        <w:tc>
          <w:tcPr>
            <w:tcW w:w="1620" w:type="dxa"/>
            <w:vAlign w:val="bottom"/>
            <w:vMerge w:val="restart"/>
          </w:tcPr>
          <w:p>
            <w:pPr>
              <w:jc w:val="right"/>
              <w:ind w:right="8"/>
              <w:spacing w:after="0"/>
              <w:rPr>
                <w:sz w:val="20"/>
                <w:szCs w:val="20"/>
                <w:color w:val="auto"/>
              </w:rPr>
            </w:pPr>
            <w:r>
              <w:rPr>
                <w:rFonts w:ascii="Arial" w:cs="Arial" w:eastAsia="Arial" w:hAnsi="Arial"/>
                <w:sz w:val="16"/>
                <w:szCs w:val="16"/>
                <w:color w:val="auto"/>
              </w:rPr>
              <w:t>312,874</w:t>
            </w:r>
          </w:p>
        </w:tc>
        <w:tc>
          <w:tcPr>
            <w:tcW w:w="100" w:type="dxa"/>
            <w:vAlign w:val="bottom"/>
          </w:tcPr>
          <w:p>
            <w:pPr>
              <w:spacing w:after="0"/>
              <w:rPr>
                <w:sz w:val="8"/>
                <w:szCs w:val="8"/>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127,229</w:t>
            </w:r>
          </w:p>
        </w:tc>
        <w:tc>
          <w:tcPr>
            <w:tcW w:w="0" w:type="dxa"/>
            <w:vAlign w:val="bottom"/>
          </w:tcPr>
          <w:p>
            <w:pPr>
              <w:spacing w:after="0"/>
              <w:rPr>
                <w:sz w:val="1"/>
                <w:szCs w:val="1"/>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6"/>
                <w:szCs w:val="16"/>
                <w:color w:val="auto"/>
              </w:rPr>
              <w:t>(loss) income per share attributable to Cimpress plc (1)(2)</w:t>
            </w: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4" w:lineRule="exact"/>
        <w:rPr>
          <w:sz w:val="20"/>
          <w:szCs w:val="20"/>
          <w:color w:val="auto"/>
        </w:rPr>
      </w:pPr>
    </w:p>
    <w:p>
      <w:pPr>
        <w:ind w:left="240" w:right="80" w:hanging="236"/>
        <w:spacing w:after="0" w:line="281"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periods in which a net loss is recognized, the impact of share options, PSUs, RSUs and warrants is excluded from shares used in computed diluted net loss per share as it is anti-dilutive.</w:t>
      </w:r>
    </w:p>
    <w:p>
      <w:pPr>
        <w:spacing w:after="0" w:line="38" w:lineRule="exact"/>
        <w:rPr>
          <w:rFonts w:ascii="Arial" w:cs="Arial" w:eastAsia="Arial" w:hAnsi="Arial"/>
          <w:sz w:val="14"/>
          <w:szCs w:val="14"/>
          <w:color w:val="auto"/>
        </w:rPr>
      </w:pPr>
    </w:p>
    <w:p>
      <w:pPr>
        <w:ind w:left="240" w:right="40" w:hanging="236"/>
        <w:spacing w:after="0" w:line="254" w:lineRule="auto"/>
        <w:tabs>
          <w:tab w:leader="none" w:pos="214"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May 1, 2020, we entered into a financing arrangement which included 7-year warrants to purchase 1,055,377 of our ordinary shares with a strike price of $60 that have a potentially dilutive impact on our weighted average shares outstanding. For the three months ended March 31, 2025, the average share price was below the strike price for the quarter; therefore, the total outstanding warrants were considered anti-dilutive. The weighted average anti-dilutive effect of the warrants for the three months ended March 31, 2025 and 2024 was 1,055,377 and 309,000 (anti-dilutive due to our net loss position), respectively, and the weighted average dilutive effect of the warrants for the nine months ended March 31, 2025 and 2024 was 196,438 and 184,608,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or Adopted Accounting Pronouncements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to be Adopted</w:t>
      </w:r>
    </w:p>
    <w:p>
      <w:pPr>
        <w:spacing w:after="0" w:line="168" w:lineRule="exact"/>
        <w:rPr>
          <w:sz w:val="20"/>
          <w:szCs w:val="20"/>
          <w:color w:val="auto"/>
        </w:rPr>
      </w:pPr>
    </w:p>
    <w:p>
      <w:pPr>
        <w:ind w:right="80" w:firstLine="623"/>
        <w:spacing w:after="0" w:line="275" w:lineRule="auto"/>
        <w:rPr>
          <w:sz w:val="20"/>
          <w:szCs w:val="20"/>
          <w:color w:val="auto"/>
        </w:rPr>
      </w:pPr>
      <w:r>
        <w:rPr>
          <w:rFonts w:ascii="Arial" w:cs="Arial" w:eastAsia="Arial" w:hAnsi="Arial"/>
          <w:sz w:val="17"/>
          <w:szCs w:val="17"/>
          <w:color w:val="auto"/>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3" w:name="page14"/>
    <w:bookmarkEnd w:id="13"/>
    <w:p>
      <w:pPr>
        <w:ind w:right="640"/>
        <w:spacing w:after="0" w:line="295" w:lineRule="auto"/>
        <w:rPr>
          <w:sz w:val="20"/>
          <w:szCs w:val="20"/>
          <w:color w:val="auto"/>
        </w:rPr>
      </w:pPr>
      <w:r>
        <w:rPr>
          <w:rFonts w:ascii="Arial" w:cs="Arial" w:eastAsia="Arial" w:hAnsi="Arial"/>
          <w:sz w:val="17"/>
          <w:szCs w:val="17"/>
          <w:color w:val="auto"/>
        </w:rPr>
        <w:t>effective starting with our annual report for the fiscal year ending June 30, 2028, as well as each interim period thereafter. Early adoption is permitted, but we do not intend to early adopt this standard.</w:t>
      </w:r>
    </w:p>
    <w:p>
      <w:pPr>
        <w:spacing w:after="0" w:line="91"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In December 2023, the FASB issued Accounting Standards Update No. 2023-09 "Income Taxes (Topic 740): Improvements to Income Tax Disclosures" (ASU 2023-09), which provides authoritative guidance about expanded annual disclosure requirements for the income tax rate reconciliation and income taxes paid by jurisdiction. The expanded disclosure requirements will be effective starting with our annual report for the fiscal year ending June 30, 2026. Early adoption is permitted, but we do not intend to early adopt this standard.</w:t>
      </w:r>
    </w:p>
    <w:p>
      <w:pPr>
        <w:spacing w:after="0" w:line="113"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In November 2023, the FASB issued Accounting Standards Update No. 2023-07 "Segment Reporting (Topic 280): Improvements to Reportable Segment Disclosures" (ASU 2023-07), which requires enhanced disclosures about significant segment expenses and introduces a reconciliation between segment revenue and segment profitability metrics. The expanded disclosure requirements will be effective starting with our annual report for the fiscal year ending June 30, 2025, as well as each interim period thereafter. We will include all required disclosures in our upcoming annual report under the retrospective transition method for the fiscal year ending June 30, 2025.</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09" w:lineRule="exact"/>
        <w:rPr>
          <w:sz w:val="20"/>
          <w:szCs w:val="20"/>
          <w:color w:val="auto"/>
        </w:rPr>
      </w:pPr>
    </w:p>
    <w:p>
      <w:pPr>
        <w:ind w:right="320" w:firstLine="623"/>
        <w:spacing w:after="0" w:line="275" w:lineRule="auto"/>
        <w:rPr>
          <w:sz w:val="20"/>
          <w:szCs w:val="20"/>
          <w:color w:val="auto"/>
        </w:rPr>
      </w:pPr>
      <w:r>
        <w:rPr>
          <w:rFonts w:ascii="Arial" w:cs="Arial" w:eastAsia="Arial" w:hAnsi="Arial"/>
          <w:sz w:val="17"/>
          <w:szCs w:val="17"/>
          <w:color w:val="auto"/>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spacing w:after="0" w:line="55" w:lineRule="exact"/>
        <w:rPr>
          <w:sz w:val="20"/>
          <w:szCs w:val="20"/>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w:t>
      </w:r>
    </w:p>
    <w:p>
      <w:pPr>
        <w:spacing w:after="0" w:line="116" w:lineRule="exact"/>
        <w:rPr>
          <w:rFonts w:ascii="Arial" w:cs="Arial" w:eastAsia="Arial" w:hAnsi="Arial"/>
          <w:sz w:val="17"/>
          <w:szCs w:val="17"/>
          <w:color w:val="auto"/>
        </w:rPr>
      </w:pPr>
    </w:p>
    <w:p>
      <w:pPr>
        <w:ind w:left="620" w:right="160" w:hanging="305"/>
        <w:spacing w:after="0" w:line="275"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and liabilities in active markets,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identical or similar assets in markets that are not active and inputs that are observable for the asset or liability, either directly or indirectly, for substantially the full term of the financial instrument.</w:t>
      </w:r>
    </w:p>
    <w:p>
      <w:pPr>
        <w:spacing w:after="0" w:line="54" w:lineRule="exact"/>
        <w:rPr>
          <w:rFonts w:ascii="Arial" w:cs="Arial" w:eastAsia="Arial" w:hAnsi="Arial"/>
          <w:sz w:val="17"/>
          <w:szCs w:val="17"/>
          <w:color w:val="auto"/>
        </w:rPr>
      </w:pPr>
    </w:p>
    <w:p>
      <w:pPr>
        <w:ind w:left="620" w:hanging="305"/>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Inputs to the valuation methodology are unobservable and significant to the fair value measurement.</w:t>
      </w:r>
    </w:p>
    <w:p>
      <w:pPr>
        <w:spacing w:after="0" w:line="116"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1060"/>
              <w:spacing w:after="0"/>
              <w:rPr>
                <w:sz w:val="20"/>
                <w:szCs w:val="20"/>
                <w:color w:val="auto"/>
              </w:rPr>
            </w:pPr>
            <w:r>
              <w:rPr>
                <w:rFonts w:ascii="Arial" w:cs="Arial" w:eastAsia="Arial" w:hAnsi="Arial"/>
                <w:sz w:val="12"/>
                <w:szCs w:val="12"/>
                <w:b w:val="1"/>
                <w:bCs w:val="1"/>
                <w:color w:val="auto"/>
              </w:rPr>
              <w:t>March 31, 2025</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Total</w:t>
            </w:r>
          </w:p>
        </w:tc>
        <w:tc>
          <w:tcPr>
            <w:tcW w:w="1200" w:type="dxa"/>
            <w:vAlign w:val="bottom"/>
          </w:tcPr>
          <w:p>
            <w:pPr>
              <w:jc w:val="center"/>
              <w:ind w:left="173"/>
              <w:spacing w:after="0" w:line="117"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5"/>
                <w:szCs w:val="15"/>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9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12,409</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12,409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
              <w:spacing w:after="0"/>
              <w:rPr>
                <w:sz w:val="20"/>
                <w:szCs w:val="20"/>
                <w:color w:val="auto"/>
              </w:rPr>
            </w:pPr>
            <w:r>
              <w:rPr>
                <w:rFonts w:ascii="Arial" w:cs="Arial" w:eastAsia="Arial" w:hAnsi="Arial"/>
                <w:sz w:val="16"/>
                <w:szCs w:val="16"/>
                <w:color w:val="auto"/>
              </w:rPr>
              <w:t>13,757</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13,757</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3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(15,925)</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(15,925)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ind w:left="1100"/>
              <w:spacing w:after="0"/>
              <w:rPr>
                <w:sz w:val="20"/>
                <w:szCs w:val="20"/>
                <w:color w:val="auto"/>
              </w:rPr>
            </w:pPr>
            <w:r>
              <w:rPr>
                <w:rFonts w:ascii="Arial" w:cs="Arial" w:eastAsia="Arial" w:hAnsi="Arial"/>
                <w:sz w:val="12"/>
                <w:szCs w:val="12"/>
                <w:b w:val="1"/>
                <w:bCs w:val="1"/>
                <w:color w:val="auto"/>
              </w:rPr>
              <w:t>June 30, 2024</w:t>
            </w: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5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jc w:val="center"/>
              <w:ind w:left="173"/>
              <w:spacing w:after="0" w:line="114" w:lineRule="exact"/>
              <w:rPr>
                <w:sz w:val="20"/>
                <w:szCs w:val="20"/>
                <w:color w:val="auto"/>
              </w:rPr>
            </w:pPr>
            <w:r>
              <w:rPr>
                <w:rFonts w:ascii="Arial" w:cs="Arial" w:eastAsia="Arial" w:hAnsi="Arial"/>
                <w:sz w:val="12"/>
                <w:szCs w:val="12"/>
                <w:b w:val="1"/>
                <w:bCs w:val="1"/>
                <w:color w:val="auto"/>
              </w:rPr>
              <w:t>Quoted Prices in</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vMerge w:val="restart"/>
          </w:tcPr>
          <w:p>
            <w:pPr>
              <w:jc w:val="center"/>
              <w:ind w:right="148"/>
              <w:spacing w:after="0"/>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w w:val="99"/>
              </w:rPr>
              <w:t>Active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rPr>
              <w:t>Significant Other</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153"/>
              <w:spacing w:after="0" w:line="117" w:lineRule="exact"/>
              <w:rPr>
                <w:sz w:val="20"/>
                <w:szCs w:val="20"/>
                <w:color w:val="auto"/>
              </w:rPr>
            </w:pPr>
            <w:r>
              <w:rPr>
                <w:rFonts w:ascii="Arial" w:cs="Arial" w:eastAsia="Arial" w:hAnsi="Arial"/>
                <w:sz w:val="12"/>
                <w:szCs w:val="12"/>
                <w:b w:val="1"/>
                <w:bCs w:val="1"/>
                <w:color w:val="auto"/>
              </w:rPr>
              <w:t>Markets for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jc w:val="center"/>
              <w:ind w:right="128"/>
              <w:spacing w:after="0" w:line="117" w:lineRule="exact"/>
              <w:rPr>
                <w:sz w:val="20"/>
                <w:szCs w:val="20"/>
                <w:color w:val="auto"/>
              </w:rPr>
            </w:pPr>
            <w:r>
              <w:rPr>
                <w:rFonts w:ascii="Arial" w:cs="Arial" w:eastAsia="Arial" w:hAnsi="Arial"/>
                <w:sz w:val="12"/>
                <w:szCs w:val="12"/>
                <w:b w:val="1"/>
                <w:bCs w:val="1"/>
                <w:color w:val="auto"/>
              </w:rPr>
              <w:t>Unobservable</w:t>
            </w:r>
          </w:p>
        </w:tc>
        <w:tc>
          <w:tcPr>
            <w:tcW w:w="0" w:type="dxa"/>
            <w:vAlign w:val="bottom"/>
          </w:tcPr>
          <w:p>
            <w:pPr>
              <w:spacing w:after="0"/>
              <w:rPr>
                <w:sz w:val="1"/>
                <w:szCs w:val="1"/>
                <w:color w:val="auto"/>
              </w:rPr>
            </w:pPr>
          </w:p>
        </w:tc>
      </w:tr>
      <w:tr>
        <w:trPr>
          <w:trHeight w:val="130"/>
        </w:trPr>
        <w:tc>
          <w:tcPr>
            <w:tcW w:w="5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173"/>
              <w:spacing w:after="0" w:line="130" w:lineRule="exact"/>
              <w:rPr>
                <w:sz w:val="20"/>
                <w:szCs w:val="20"/>
                <w:color w:val="auto"/>
              </w:rPr>
            </w:pPr>
            <w:r>
              <w:rPr>
                <w:rFonts w:ascii="Arial" w:cs="Arial" w:eastAsia="Arial" w:hAnsi="Arial"/>
                <w:sz w:val="12"/>
                <w:szCs w:val="12"/>
                <w:b w:val="1"/>
                <w:bCs w:val="1"/>
                <w:color w:val="auto"/>
              </w:rPr>
              <w:t>Identical Assets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rPr>
              <w:t>Observable Inputs</w:t>
            </w:r>
          </w:p>
        </w:tc>
        <w:tc>
          <w:tcPr>
            <w:tcW w:w="200" w:type="dxa"/>
            <w:vAlign w:val="bottom"/>
          </w:tcPr>
          <w:p>
            <w:pPr>
              <w:spacing w:after="0"/>
              <w:rPr>
                <w:sz w:val="11"/>
                <w:szCs w:val="11"/>
                <w:color w:val="auto"/>
              </w:rPr>
            </w:pPr>
          </w:p>
        </w:tc>
        <w:tc>
          <w:tcPr>
            <w:tcW w:w="1240" w:type="dxa"/>
            <w:vAlign w:val="bottom"/>
          </w:tcPr>
          <w:p>
            <w:pPr>
              <w:jc w:val="center"/>
              <w:ind w:right="128"/>
              <w:spacing w:after="0" w:line="130"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153"/>
              <w:spacing w:after="0"/>
              <w:rPr>
                <w:sz w:val="20"/>
                <w:szCs w:val="20"/>
                <w:color w:val="auto"/>
              </w:rPr>
            </w:pPr>
            <w:r>
              <w:rPr>
                <w:rFonts w:ascii="Arial" w:cs="Arial" w:eastAsia="Arial" w:hAnsi="Arial"/>
                <w:sz w:val="12"/>
                <w:szCs w:val="12"/>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(Level 2)</w:t>
            </w:r>
          </w:p>
        </w:tc>
        <w:tc>
          <w:tcPr>
            <w:tcW w:w="200" w:type="dxa"/>
            <w:vAlign w:val="bottom"/>
          </w:tcPr>
          <w:p>
            <w:pPr>
              <w:spacing w:after="0"/>
              <w:rPr>
                <w:sz w:val="14"/>
                <w:szCs w:val="14"/>
                <w:color w:val="auto"/>
              </w:rPr>
            </w:pPr>
          </w:p>
        </w:tc>
        <w:tc>
          <w:tcPr>
            <w:tcW w:w="1240" w:type="dxa"/>
            <w:vAlign w:val="bottom"/>
          </w:tcPr>
          <w:p>
            <w:pPr>
              <w:jc w:val="center"/>
              <w:ind w:right="128"/>
              <w:spacing w:after="0"/>
              <w:rPr>
                <w:sz w:val="20"/>
                <w:szCs w:val="20"/>
                <w:color w:val="auto"/>
              </w:rPr>
            </w:pPr>
            <w:r>
              <w:rPr>
                <w:rFonts w:ascii="Arial" w:cs="Arial" w:eastAsia="Arial" w:hAnsi="Arial"/>
                <w:sz w:val="12"/>
                <w:szCs w:val="12"/>
                <w:b w:val="1"/>
                <w:bCs w:val="1"/>
                <w:color w:val="auto"/>
                <w:w w:val="98"/>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Interest rate swap contracts</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18,830</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18,830</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 contracts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tcPr>
          <w:p>
            <w:pPr>
              <w:spacing w:after="0"/>
              <w:rPr>
                <w:sz w:val="17"/>
                <w:szCs w:val="17"/>
                <w:color w:val="auto"/>
              </w:rPr>
            </w:pPr>
          </w:p>
        </w:tc>
        <w:tc>
          <w:tcPr>
            <w:tcW w:w="560" w:type="dxa"/>
            <w:vAlign w:val="bottom"/>
          </w:tcPr>
          <w:p>
            <w:pPr>
              <w:jc w:val="right"/>
              <w:ind w:right="2"/>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3,642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rPr>
                <w:sz w:val="20"/>
                <w:szCs w:val="20"/>
                <w:color w:val="auto"/>
              </w:rPr>
            </w:pPr>
            <w:r>
              <w:rPr>
                <w:rFonts w:ascii="Arial" w:cs="Arial" w:eastAsia="Arial" w:hAnsi="Arial"/>
                <w:sz w:val="16"/>
                <w:szCs w:val="16"/>
                <w:color w:val="auto"/>
              </w:rPr>
              <w:t>Total assets recorded at fair value</w:t>
            </w:r>
          </w:p>
        </w:tc>
        <w:tc>
          <w:tcPr>
            <w:tcW w:w="88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
              <w:spacing w:after="0"/>
              <w:rPr>
                <w:sz w:val="20"/>
                <w:szCs w:val="20"/>
                <w:color w:val="auto"/>
              </w:rPr>
            </w:pPr>
            <w:r>
              <w:rPr>
                <w:rFonts w:ascii="Arial" w:cs="Arial" w:eastAsia="Arial" w:hAnsi="Arial"/>
                <w:sz w:val="16"/>
                <w:szCs w:val="16"/>
                <w:color w:val="auto"/>
                <w:w w:val="93"/>
              </w:rPr>
              <w:t>23,652</w:t>
            </w:r>
          </w:p>
        </w:tc>
        <w:tc>
          <w:tcPr>
            <w:tcW w:w="100" w:type="dxa"/>
            <w:vAlign w:val="bottom"/>
          </w:tcPr>
          <w:p>
            <w:pPr>
              <w:spacing w:after="0"/>
              <w:rPr>
                <w:sz w:val="17"/>
                <w:szCs w:val="17"/>
                <w:color w:val="auto"/>
              </w:rPr>
            </w:pPr>
          </w:p>
        </w:tc>
        <w:tc>
          <w:tcPr>
            <w:tcW w:w="1200" w:type="dxa"/>
            <w:vAlign w:val="bottom"/>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
              <w:spacing w:after="0"/>
              <w:rPr>
                <w:sz w:val="20"/>
                <w:szCs w:val="20"/>
                <w:color w:val="auto"/>
              </w:rPr>
            </w:pPr>
            <w:r>
              <w:rPr>
                <w:rFonts w:ascii="Arial" w:cs="Arial" w:eastAsia="Arial" w:hAnsi="Arial"/>
                <w:sz w:val="16"/>
                <w:szCs w:val="16"/>
                <w:color w:val="auto"/>
              </w:rPr>
              <w:t>23,652</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forward contracts</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Currency option contracts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recorded at fair value</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3"/>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120" w:firstLine="623"/>
        <w:spacing w:after="0" w:line="295" w:lineRule="auto"/>
        <w:rPr>
          <w:sz w:val="20"/>
          <w:szCs w:val="20"/>
          <w:color w:val="auto"/>
        </w:rPr>
      </w:pPr>
      <w:r>
        <w:rPr>
          <w:rFonts w:ascii="Arial" w:cs="Arial" w:eastAsia="Arial" w:hAnsi="Arial"/>
          <w:sz w:val="17"/>
          <w:szCs w:val="17"/>
          <w:color w:val="auto"/>
        </w:rPr>
        <w:t>During the nine months ended March 31, 2025, and the year ended June 30, 2024, there were no significant transfers in or out of Level 1, Level 2, and Level 3 classifications.</w:t>
      </w:r>
    </w:p>
    <w:p>
      <w:pPr>
        <w:spacing w:after="0" w:line="117" w:lineRule="exact"/>
        <w:rPr>
          <w:sz w:val="20"/>
          <w:szCs w:val="20"/>
          <w:color w:val="auto"/>
        </w:rPr>
      </w:pPr>
    </w:p>
    <w:p>
      <w:pPr>
        <w:ind w:right="20" w:firstLine="623"/>
        <w:spacing w:after="0" w:line="263" w:lineRule="auto"/>
        <w:rPr>
          <w:sz w:val="20"/>
          <w:szCs w:val="20"/>
          <w:color w:val="auto"/>
        </w:rPr>
      </w:pPr>
      <w:r>
        <w:rPr>
          <w:rFonts w:ascii="Arial" w:cs="Arial" w:eastAsia="Arial" w:hAnsi="Arial"/>
          <w:sz w:val="17"/>
          <w:szCs w:val="17"/>
          <w:color w:val="auto"/>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We incorporate credit valuation adjustments to appropriately reflect both our own nonperformance risk and the respective counterparties' nonperformance risk in the fair value measurements. In adjusting the fair value of our derivative contracts for the effect of nonperformance risk, we have considered the impact of netting and any applicable credit enhancements.</w:t>
      </w:r>
    </w:p>
    <w:p>
      <w:pPr>
        <w:spacing w:after="0" w:line="155" w:lineRule="exact"/>
        <w:rPr>
          <w:sz w:val="20"/>
          <w:szCs w:val="20"/>
          <w:color w:val="auto"/>
        </w:rPr>
      </w:pPr>
    </w:p>
    <w:p>
      <w:pPr>
        <w:ind w:right="120" w:firstLine="623"/>
        <w:spacing w:after="0" w:line="263" w:lineRule="auto"/>
        <w:rPr>
          <w:sz w:val="20"/>
          <w:szCs w:val="20"/>
          <w:color w:val="auto"/>
        </w:rPr>
      </w:pPr>
      <w:r>
        <w:rPr>
          <w:rFonts w:ascii="Arial" w:cs="Arial" w:eastAsia="Arial" w:hAnsi="Arial"/>
          <w:sz w:val="17"/>
          <w:szCs w:val="17"/>
          <w:color w:val="auto"/>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March 31, 2025, we have assessed the significance of the impact of the credit valuation adjustments on the overall valuation of our derivative positions and have determined that the credit valuation adjustments are not significant to the overall valuation of our derivatives. As a result, we have determined that our derivative valuations in their entirety are classified in Level 2 in the fair value hierarchy.</w:t>
      </w:r>
    </w:p>
    <w:p>
      <w:pPr>
        <w:spacing w:after="0" w:line="194" w:lineRule="exact"/>
        <w:rPr>
          <w:sz w:val="20"/>
          <w:szCs w:val="20"/>
          <w:color w:val="auto"/>
        </w:rPr>
      </w:pPr>
    </w:p>
    <w:p>
      <w:pPr>
        <w:ind w:right="80" w:firstLine="623"/>
        <w:spacing w:after="0" w:line="264" w:lineRule="auto"/>
        <w:rPr>
          <w:sz w:val="20"/>
          <w:szCs w:val="20"/>
          <w:color w:val="auto"/>
        </w:rPr>
      </w:pPr>
      <w:r>
        <w:rPr>
          <w:rFonts w:ascii="Arial" w:cs="Arial" w:eastAsia="Arial" w:hAnsi="Arial"/>
          <w:sz w:val="17"/>
          <w:szCs w:val="17"/>
          <w:color w:val="auto"/>
        </w:rPr>
        <w:t>Our held-to-maturity marketable securities are recognized at an amortized cost. As of March 31, 2025, we had no held-to-maturity securities. The following is a summary of the net carrying amount, unrealized losses, and fair value of held-to-maturity securities by type and contractual maturity as of June 30, 2024. The fair value was determined using quoted prices for identical assets in active markets, which fall into Level 1 under the fair value hierarchy. We did not record an allowance for credit losses and impairments for these marketable securities during the three and nine months ended March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9"/>
              </w:rPr>
              <w:t>June 30, 2024</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91"/>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Unrealized losses</w:t>
            </w:r>
          </w:p>
        </w:tc>
        <w:tc>
          <w:tcPr>
            <w:tcW w:w="260" w:type="dxa"/>
            <w:vAlign w:val="bottom"/>
          </w:tcPr>
          <w:p>
            <w:pPr>
              <w:spacing w:after="0"/>
              <w:rPr>
                <w:sz w:val="16"/>
                <w:szCs w:val="16"/>
                <w:color w:val="auto"/>
              </w:rPr>
            </w:pPr>
          </w:p>
        </w:tc>
        <w:tc>
          <w:tcPr>
            <w:tcW w:w="1180" w:type="dxa"/>
            <w:vAlign w:val="bottom"/>
          </w:tcPr>
          <w:p>
            <w:pPr>
              <w:jc w:val="right"/>
              <w:ind w:right="324"/>
              <w:spacing w:after="0"/>
              <w:rPr>
                <w:sz w:val="20"/>
                <w:szCs w:val="20"/>
                <w:color w:val="auto"/>
              </w:rPr>
            </w:pPr>
            <w:r>
              <w:rPr>
                <w:rFonts w:ascii="Arial" w:cs="Arial" w:eastAsia="Arial" w:hAnsi="Arial"/>
                <w:sz w:val="14"/>
                <w:szCs w:val="14"/>
                <w:b w:val="1"/>
                <w:bCs w:val="1"/>
                <w:color w:val="auto"/>
              </w:rPr>
              <w:t>Fair value</w:t>
            </w:r>
          </w:p>
        </w:tc>
      </w:tr>
      <w:tr>
        <w:trPr>
          <w:trHeight w:val="17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Due within one year or less:</w:t>
            </w: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1,499</w:t>
            </w:r>
          </w:p>
        </w:tc>
      </w:tr>
      <w:tr>
        <w:trPr>
          <w:trHeight w:val="208"/>
        </w:trPr>
        <w:tc>
          <w:tcPr>
            <w:tcW w:w="6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government securities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2,996</w:t>
            </w:r>
          </w:p>
        </w:tc>
      </w:tr>
      <w:tr>
        <w:trPr>
          <w:trHeight w:val="202"/>
        </w:trPr>
        <w:tc>
          <w:tcPr>
            <w:tcW w:w="6740" w:type="dxa"/>
            <w:vAlign w:val="bottom"/>
          </w:tcPr>
          <w:p>
            <w:pPr>
              <w:ind w:left="20"/>
              <w:spacing w:after="0"/>
              <w:rPr>
                <w:sz w:val="20"/>
                <w:szCs w:val="20"/>
                <w:color w:val="auto"/>
              </w:rPr>
            </w:pPr>
            <w:r>
              <w:rPr>
                <w:rFonts w:ascii="Arial" w:cs="Arial" w:eastAsia="Arial" w:hAnsi="Arial"/>
                <w:sz w:val="16"/>
                <w:szCs w:val="16"/>
                <w:color w:val="auto"/>
              </w:rPr>
              <w:t>Total held-to-maturity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As of March 31, 2025 and June 30, 2024, the carrying amounts of our cash and cash equivalents, accounts receivable, accounts payable, and other current liabilities approximated their estimated fair values. As of March 31, 2025 and June 30, 2024, the carrying value of our debt, excluding debt issuance costs and debt premiums and discounts, was $1,607,728 and $1,616,607, respectively, and the fair value was $1,568,896 and $1,617,364,</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5" w:name="page16"/>
    <w:bookmarkEnd w:id="15"/>
    <w:p>
      <w:pPr>
        <w:jc w:val="both"/>
        <w:spacing w:after="0" w:line="275" w:lineRule="auto"/>
        <w:rPr>
          <w:sz w:val="20"/>
          <w:szCs w:val="20"/>
          <w:color w:val="auto"/>
        </w:rPr>
      </w:pPr>
      <w:r>
        <w:rPr>
          <w:rFonts w:ascii="Arial" w:cs="Arial" w:eastAsia="Arial" w:hAnsi="Arial"/>
          <w:sz w:val="17"/>
          <w:szCs w:val="17"/>
          <w:color w:val="auto"/>
        </w:rPr>
        <w:t>respectively. Our debt at March 31, 2025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w:t>
      </w:r>
    </w:p>
    <w:p>
      <w:pPr>
        <w:spacing w:after="0" w:line="185" w:lineRule="exact"/>
        <w:rPr>
          <w:sz w:val="20"/>
          <w:szCs w:val="20"/>
          <w:color w:val="auto"/>
        </w:rPr>
      </w:pPr>
    </w:p>
    <w:p>
      <w:pPr>
        <w:jc w:val="both"/>
        <w:ind w:right="20" w:firstLine="623"/>
        <w:spacing w:after="0" w:line="295" w:lineRule="auto"/>
        <w:rPr>
          <w:sz w:val="20"/>
          <w:szCs w:val="20"/>
          <w:color w:val="auto"/>
        </w:rPr>
      </w:pPr>
      <w:r>
        <w:rPr>
          <w:rFonts w:ascii="Arial" w:cs="Arial" w:eastAsia="Arial" w:hAnsi="Arial"/>
          <w:sz w:val="17"/>
          <w:szCs w:val="17"/>
          <w:color w:val="auto"/>
        </w:rPr>
        <w:t>The estimated fair value of assets and liabilities disclosed above may not be representative of actual values that could have been or will be realized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Derivative Financial Instruments</w:t>
      </w:r>
    </w:p>
    <w:p>
      <w:pPr>
        <w:spacing w:after="0" w:line="209" w:lineRule="exact"/>
        <w:rPr>
          <w:sz w:val="20"/>
          <w:szCs w:val="20"/>
          <w:color w:val="auto"/>
        </w:rPr>
      </w:pPr>
    </w:p>
    <w:p>
      <w:pPr>
        <w:ind w:right="20" w:firstLine="623"/>
        <w:spacing w:after="0" w:line="260" w:lineRule="auto"/>
        <w:rPr>
          <w:sz w:val="20"/>
          <w:szCs w:val="20"/>
          <w:color w:val="auto"/>
        </w:rPr>
      </w:pPr>
      <w:r>
        <w:rPr>
          <w:rFonts w:ascii="Arial" w:cs="Arial" w:eastAsia="Arial" w:hAnsi="Arial"/>
          <w:sz w:val="17"/>
          <w:szCs w:val="17"/>
          <w:color w:val="auto"/>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(expense) income, net.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Interest Rate Risk</w:t>
      </w:r>
    </w:p>
    <w:p>
      <w:pPr>
        <w:spacing w:after="0" w:line="209"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w:t>
      </w:r>
    </w:p>
    <w:p>
      <w:pPr>
        <w:spacing w:after="0" w:line="160" w:lineRule="exact"/>
        <w:rPr>
          <w:sz w:val="20"/>
          <w:szCs w:val="20"/>
          <w:color w:val="auto"/>
        </w:rPr>
      </w:pPr>
    </w:p>
    <w:p>
      <w:pPr>
        <w:ind w:right="400" w:firstLine="623"/>
        <w:spacing w:after="0" w:line="275" w:lineRule="auto"/>
        <w:rPr>
          <w:sz w:val="20"/>
          <w:szCs w:val="20"/>
          <w:color w:val="auto"/>
        </w:rPr>
      </w:pPr>
      <w:r>
        <w:rPr>
          <w:rFonts w:ascii="Arial" w:cs="Arial" w:eastAsia="Arial" w:hAnsi="Arial"/>
          <w:sz w:val="17"/>
          <w:szCs w:val="17"/>
          <w:color w:val="auto"/>
        </w:rPr>
        <w:t>As of March 31, 2025, we estimate that $2,818 of income will be reclassified from accumulated other comprehensive loss to interest expense, net during the twelve months ending March 31, 2026. As of March 31, 2025, we had nine effective outstanding interest rate swap contracts that were indexed to Term or Daily SOFR. Our interest rate swap contracts have varying start and maturity dates through April 2028.</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Interest rate swap contracts outstanding:</w:t>
            </w: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right"/>
              <w:ind w:right="644"/>
              <w:spacing w:after="0"/>
              <w:rPr>
                <w:sz w:val="20"/>
                <w:szCs w:val="20"/>
                <w:color w:val="auto"/>
              </w:rPr>
            </w:pPr>
            <w:r>
              <w:rPr>
                <w:rFonts w:ascii="Arial" w:cs="Arial" w:eastAsia="Arial" w:hAnsi="Arial"/>
                <w:sz w:val="14"/>
                <w:szCs w:val="14"/>
                <w:b w:val="1"/>
                <w:bCs w:val="1"/>
                <w:color w:val="auto"/>
              </w:rPr>
              <w:t>Notional Amounts</w:t>
            </w:r>
          </w:p>
        </w:tc>
      </w:tr>
      <w:tr>
        <w:trPr>
          <w:trHeight w:val="202"/>
        </w:trPr>
        <w:tc>
          <w:tcPr>
            <w:tcW w:w="8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Contracts accruing interest as of March 31, 2025 (1)</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215,000</w:t>
            </w:r>
          </w:p>
        </w:tc>
      </w:tr>
      <w:tr>
        <w:trPr>
          <w:trHeight w:val="207"/>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Contracts with a future start date</w:t>
            </w:r>
          </w:p>
        </w:tc>
        <w:tc>
          <w:tcPr>
            <w:tcW w:w="4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380,000</w:t>
            </w:r>
          </w:p>
        </w:tc>
      </w:tr>
      <w:tr>
        <w:trPr>
          <w:trHeight w:val="227"/>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595,000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ind w:left="240" w:right="420" w:hanging="236"/>
        <w:spacing w:after="0" w:line="281" w:lineRule="auto"/>
        <w:tabs>
          <w:tab w:leader="none" w:pos="214"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contracts outstanding as of March 31, 2025, the notional value of our contracted interest rate swaps accruing interest will fluctuate between $215,000 and $380,000 through April 2028 based on layered start dates and maturities.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Hedges of Currency Risk</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Cross-Currency Swap Contracts</w:t>
      </w:r>
    </w:p>
    <w:p>
      <w:pPr>
        <w:spacing w:after="0" w:line="168" w:lineRule="exact"/>
        <w:rPr>
          <w:sz w:val="20"/>
          <w:szCs w:val="20"/>
          <w:color w:val="auto"/>
        </w:rPr>
      </w:pPr>
    </w:p>
    <w:p>
      <w:pPr>
        <w:ind w:right="160" w:firstLine="623"/>
        <w:spacing w:after="0" w:line="268" w:lineRule="auto"/>
        <w:rPr>
          <w:sz w:val="20"/>
          <w:szCs w:val="20"/>
          <w:color w:val="auto"/>
        </w:rPr>
      </w:pPr>
      <w:r>
        <w:rPr>
          <w:rFonts w:ascii="Arial" w:cs="Arial" w:eastAsia="Arial" w:hAnsi="Arial"/>
          <w:sz w:val="17"/>
          <w:szCs w:val="17"/>
          <w:color w:val="auto"/>
        </w:rPr>
        <w:t>We execute cross-currency swap contracts designated as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 w:name="page17"/>
    <w:bookmarkEnd w:id="16"/>
    <w:p>
      <w:pPr>
        <w:ind w:firstLine="623"/>
        <w:spacing w:after="0" w:line="263" w:lineRule="auto"/>
        <w:rPr>
          <w:sz w:val="20"/>
          <w:szCs w:val="20"/>
          <w:color w:val="auto"/>
        </w:rPr>
      </w:pPr>
      <w:r>
        <w:rPr>
          <w:rFonts w:ascii="Arial" w:cs="Arial" w:eastAsia="Arial" w:hAnsi="Arial"/>
          <w:sz w:val="17"/>
          <w:szCs w:val="17"/>
          <w:color w:val="auto"/>
        </w:rPr>
        <w:t>Cross-currency swap contracts designated as net investment hedges are executed to mitigate our currency exposure of net investments in subsidiaries that have reporting currencies other than the U.S. dollar. As of March 31, 2025,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Currency Hedges</w:t>
      </w:r>
    </w:p>
    <w:p>
      <w:pPr>
        <w:spacing w:after="0" w:line="168"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 that have the Euro as their functional currency. The impact of net investment hedges is recognized in accumulated other comprehensive loss as a component of translation adjustments, net of hedges, and would only be reclassified to earnings if the hedged subsidiaries were no longer consolidated entities.</w:t>
      </w:r>
    </w:p>
    <w:p>
      <w:pPr>
        <w:spacing w:after="0" w:line="141"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have elected to not apply hedge accounting for all other currency forward and option contracts. During the three and nine months ended March 31, 2025 and 2024, we experienced volatility within other (expense)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spacing w:after="0" w:line="155"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spacing w:after="0" w:line="162" w:lineRule="exact"/>
        <w:rPr>
          <w:sz w:val="20"/>
          <w:szCs w:val="20"/>
          <w:color w:val="auto"/>
        </w:rPr>
      </w:pPr>
    </w:p>
    <w:p>
      <w:pPr>
        <w:ind w:right="60" w:firstLine="623"/>
        <w:spacing w:after="0" w:line="268" w:lineRule="auto"/>
        <w:rPr>
          <w:sz w:val="20"/>
          <w:szCs w:val="20"/>
          <w:color w:val="auto"/>
        </w:rPr>
      </w:pPr>
      <w:r>
        <w:rPr>
          <w:rFonts w:ascii="Arial" w:cs="Arial" w:eastAsia="Arial" w:hAnsi="Arial"/>
          <w:sz w:val="17"/>
          <w:szCs w:val="17"/>
          <w:color w:val="auto"/>
        </w:rPr>
        <w:t>As of March 31, 2025, we had the following outstanding currency derivative contracts that were not designated for hedge accounting and were primarily used to hedge fluctuations in the U.S. dollar value of forecasted transactions or balances denominated in Australian Dollar, Canadian Dollar, Czech Koruna, Danish Krone, Euro, GBP, Indian Rupee, Mexican Peso, New Zealand Dollar, Norwegian Krone, Philippine Peso, Swiss Franc and Swedish Krona: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Notional Amount</w:t>
            </w: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Effective Date</w:t>
            </w: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Number of Instruments</w:t>
            </w:r>
          </w:p>
        </w:tc>
        <w:tc>
          <w:tcPr>
            <w:tcW w:w="12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Index</w:t>
            </w:r>
          </w:p>
        </w:tc>
      </w:tr>
      <w:tr>
        <w:trPr>
          <w:trHeight w:val="202"/>
        </w:trPr>
        <w:tc>
          <w:tcPr>
            <w:tcW w:w="1820" w:type="dxa"/>
            <w:vAlign w:val="bottom"/>
            <w:shd w:val="clear" w:color="auto" w:fill="CCEEFF"/>
          </w:tcPr>
          <w:p>
            <w:pPr>
              <w:jc w:val="right"/>
              <w:ind w:right="506"/>
              <w:spacing w:after="0"/>
              <w:rPr>
                <w:sz w:val="20"/>
                <w:szCs w:val="20"/>
                <w:color w:val="auto"/>
              </w:rPr>
            </w:pPr>
            <w:r>
              <w:rPr>
                <w:rFonts w:ascii="Arial" w:cs="Arial" w:eastAsia="Arial" w:hAnsi="Arial"/>
                <w:sz w:val="16"/>
                <w:szCs w:val="16"/>
                <w:color w:val="auto"/>
              </w:rPr>
              <w:t>$777,298</w:t>
            </w:r>
          </w:p>
        </w:tc>
        <w:tc>
          <w:tcPr>
            <w:tcW w:w="10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June 2023 through March 2025</w:t>
            </w:r>
          </w:p>
        </w:tc>
        <w:tc>
          <w:tcPr>
            <w:tcW w:w="24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Various dates through June 2027</w:t>
            </w:r>
          </w:p>
        </w:tc>
        <w:tc>
          <w:tcPr>
            <w:tcW w:w="2140" w:type="dxa"/>
            <w:vAlign w:val="bottom"/>
            <w:shd w:val="clear" w:color="auto" w:fill="CCEEFF"/>
          </w:tcPr>
          <w:p>
            <w:pPr>
              <w:jc w:val="right"/>
              <w:ind w:right="866"/>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Various</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 Presentation</w:t>
      </w:r>
    </w:p>
    <w:p>
      <w:pPr>
        <w:spacing w:after="0" w:line="196" w:lineRule="exact"/>
        <w:rPr>
          <w:sz w:val="20"/>
          <w:szCs w:val="20"/>
          <w:color w:val="auto"/>
        </w:rPr>
      </w:pPr>
    </w:p>
    <w:p>
      <w:pPr>
        <w:ind w:right="340" w:firstLine="623"/>
        <w:spacing w:after="0" w:line="295" w:lineRule="auto"/>
        <w:rPr>
          <w:sz w:val="20"/>
          <w:szCs w:val="20"/>
          <w:color w:val="auto"/>
        </w:rPr>
      </w:pPr>
      <w:r>
        <w:rPr>
          <w:rFonts w:ascii="Arial" w:cs="Arial" w:eastAsia="Arial" w:hAnsi="Arial"/>
          <w:sz w:val="17"/>
          <w:szCs w:val="17"/>
          <w:color w:val="auto"/>
        </w:rPr>
        <w:t>The table below presents the fair value of our derivative financial instruments as well as their classification on the balance sheet as of March 31, 2025 and June 30, 2024. Our derivative asset and liability balances fluctuate with interest rate and currency exchange rate volatility.</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00"/>
              <w:spacing w:after="0"/>
              <w:rPr>
                <w:sz w:val="20"/>
                <w:szCs w:val="20"/>
                <w:color w:val="auto"/>
              </w:rPr>
            </w:pPr>
            <w:r>
              <w:rPr>
                <w:rFonts w:ascii="Arial" w:cs="Arial" w:eastAsia="Arial" w:hAnsi="Arial"/>
                <w:sz w:val="12"/>
                <w:szCs w:val="12"/>
                <w:b w:val="1"/>
                <w:bCs w:val="1"/>
                <w:color w:val="auto"/>
              </w:rPr>
              <w:t>March 31, 2025</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12,409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12,409</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(8,558)</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12,409</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12,409</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(8,558)</w:t>
            </w:r>
          </w:p>
        </w:tc>
        <w:tc>
          <w:tcPr>
            <w:tcW w:w="100" w:type="dxa"/>
            <w:vAlign w:val="bottom"/>
          </w:tcPr>
          <w:p>
            <w:pPr>
              <w:spacing w:after="0"/>
              <w:rPr>
                <w:sz w:val="11"/>
                <w:szCs w:val="11"/>
                <w:color w:val="auto"/>
              </w:rPr>
            </w:pP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(8,558)</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19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w w:val="99"/>
              </w:rPr>
              <w:t>(1,189)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(5,465)</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(1,902)</w:t>
            </w:r>
          </w:p>
        </w:tc>
        <w:tc>
          <w:tcPr>
            <w:tcW w:w="0" w:type="dxa"/>
            <w:vAlign w:val="bottom"/>
          </w:tcPr>
          <w:p>
            <w:pPr>
              <w:spacing w:after="0"/>
              <w:rPr>
                <w:sz w:val="1"/>
                <w:szCs w:val="1"/>
                <w:color w:val="auto"/>
              </w:rPr>
            </w:pPr>
          </w:p>
        </w:tc>
      </w:tr>
      <w:tr>
        <w:trPr>
          <w:trHeight w:val="176"/>
        </w:trPr>
        <w:tc>
          <w:tcPr>
            <w:tcW w:w="1960" w:type="dxa"/>
            <w:vAlign w:val="bottom"/>
            <w:vMerge w:val="continue"/>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2,537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w w:val="99"/>
              </w:rPr>
              <w:t>(1,189)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1,348</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(9,500)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(7,367)</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71755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40" w:top="1173" w:right="359"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540"/>
              <w:spacing w:after="0"/>
              <w:rPr>
                <w:sz w:val="20"/>
                <w:szCs w:val="20"/>
                <w:color w:val="auto"/>
              </w:rPr>
            </w:pPr>
            <w:r>
              <w:rPr>
                <w:rFonts w:ascii="Arial" w:cs="Arial" w:eastAsia="Arial" w:hAnsi="Arial"/>
                <w:sz w:val="12"/>
                <w:szCs w:val="12"/>
                <w:b w:val="1"/>
                <w:bCs w:val="1"/>
                <w:color w:val="auto"/>
              </w:rPr>
              <w:t>June 30, 2024</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620"/>
              <w:spacing w:after="0"/>
              <w:rPr>
                <w:sz w:val="20"/>
                <w:szCs w:val="20"/>
                <w:color w:val="auto"/>
              </w:rPr>
            </w:pPr>
            <w:r>
              <w:rPr>
                <w:rFonts w:ascii="Arial" w:cs="Arial" w:eastAsia="Arial" w:hAnsi="Arial"/>
                <w:sz w:val="12"/>
                <w:szCs w:val="12"/>
                <w:b w:val="1"/>
                <w:bCs w:val="1"/>
                <w:color w:val="auto"/>
              </w:rPr>
              <w:t>Asset Derivatives</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2"/>
                <w:szCs w:val="12"/>
                <w:b w:val="1"/>
                <w:bCs w:val="1"/>
                <w:color w:val="auto"/>
                <w:w w:val="99"/>
              </w:rPr>
              <w:t>Liability Derivatives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60" w:type="dxa"/>
            <w:vAlign w:val="bottom"/>
          </w:tcPr>
          <w:p>
            <w:pPr>
              <w:spacing w:after="0"/>
              <w:rPr>
                <w:sz w:val="10"/>
                <w:szCs w:val="10"/>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4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9"/>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Balance Sheet</w:t>
            </w:r>
          </w:p>
        </w:tc>
        <w:tc>
          <w:tcPr>
            <w:tcW w:w="11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amounts</w:t>
            </w:r>
          </w:p>
        </w:tc>
        <w:tc>
          <w:tcPr>
            <w:tcW w:w="13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rPr>
              <w:t>Gross amount offset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2"/>
                <w:szCs w:val="12"/>
                <w:b w:val="1"/>
                <w:bCs w:val="1"/>
                <w:color w:val="auto"/>
                <w:w w:val="99"/>
              </w:rPr>
              <w:t>Net amount</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99"/>
              </w:rPr>
              <w:t>of recognized</w:t>
            </w:r>
          </w:p>
        </w:tc>
        <w:tc>
          <w:tcPr>
            <w:tcW w:w="140" w:type="dxa"/>
            <w:vAlign w:val="bottom"/>
          </w:tcPr>
          <w:p>
            <w:pPr>
              <w:spacing w:after="0"/>
              <w:rPr>
                <w:sz w:val="10"/>
                <w:szCs w:val="10"/>
                <w:color w:val="auto"/>
              </w:rPr>
            </w:pPr>
          </w:p>
        </w:tc>
        <w:tc>
          <w:tcPr>
            <w:tcW w:w="124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in Consolidated</w:t>
            </w:r>
          </w:p>
        </w:tc>
        <w:tc>
          <w:tcPr>
            <w:tcW w:w="120" w:type="dxa"/>
            <w:vAlign w:val="bottom"/>
          </w:tcPr>
          <w:p>
            <w:pPr>
              <w:spacing w:after="0"/>
              <w:rPr>
                <w:sz w:val="10"/>
                <w:szCs w:val="10"/>
                <w:color w:val="auto"/>
              </w:rPr>
            </w:pPr>
          </w:p>
        </w:tc>
        <w:tc>
          <w:tcPr>
            <w:tcW w:w="86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Net amount</w:t>
            </w: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04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assets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2"/>
                <w:szCs w:val="12"/>
                <w:b w:val="1"/>
                <w:bCs w:val="1"/>
                <w:color w:val="auto"/>
              </w:rPr>
              <w:t>line item</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Balance Sheet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96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Derivatives designated as</w:t>
            </w: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Derivatives in cash flow hedging</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18,830</w:t>
            </w:r>
          </w:p>
        </w:tc>
        <w:tc>
          <w:tcPr>
            <w:tcW w:w="10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in net investment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relationships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0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tcPr>
          <w:p>
            <w:pPr>
              <w:ind w:left="20"/>
              <w:spacing w:after="0" w:line="129" w:lineRule="exact"/>
              <w:rPr>
                <w:sz w:val="20"/>
                <w:szCs w:val="20"/>
                <w:color w:val="auto"/>
              </w:rPr>
            </w:pPr>
            <w:r>
              <w:rPr>
                <w:rFonts w:ascii="Arial" w:cs="Arial" w:eastAsia="Arial" w:hAnsi="Arial"/>
                <w:sz w:val="14"/>
                <w:szCs w:val="14"/>
                <w:color w:val="auto"/>
                <w:w w:val="99"/>
              </w:rPr>
              <w:t>Total derivatives designated as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ind w:left="9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19,873</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1960" w:type="dxa"/>
            <w:vAlign w:val="bottom"/>
          </w:tcPr>
          <w:p>
            <w:pPr>
              <w:ind w:left="20"/>
              <w:spacing w:after="0" w:line="150" w:lineRule="exact"/>
              <w:rPr>
                <w:sz w:val="20"/>
                <w:szCs w:val="20"/>
                <w:color w:val="auto"/>
              </w:rPr>
            </w:pPr>
            <w:r>
              <w:rPr>
                <w:rFonts w:ascii="Arial" w:cs="Arial" w:eastAsia="Arial" w:hAnsi="Arial"/>
                <w:sz w:val="14"/>
                <w:szCs w:val="14"/>
                <w:color w:val="auto"/>
              </w:rPr>
              <w:t>hedging instruments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60" w:type="dxa"/>
            <w:vAlign w:val="bottom"/>
          </w:tcPr>
          <w:p>
            <w:pPr>
              <w:ind w:left="20"/>
              <w:spacing w:after="0" w:line="125" w:lineRule="exact"/>
              <w:rPr>
                <w:sz w:val="20"/>
                <w:szCs w:val="20"/>
                <w:color w:val="auto"/>
              </w:rPr>
            </w:pPr>
            <w:r>
              <w:rPr>
                <w:rFonts w:ascii="Arial" w:cs="Arial" w:eastAsia="Arial" w:hAnsi="Arial"/>
                <w:sz w:val="12"/>
                <w:szCs w:val="12"/>
                <w:b w:val="1"/>
                <w:bCs w:val="1"/>
                <w:color w:val="auto"/>
              </w:rPr>
              <w:t>Derivatives not designated as</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rPr>
                <w:sz w:val="20"/>
                <w:szCs w:val="20"/>
                <w:color w:val="auto"/>
              </w:rPr>
            </w:pPr>
            <w:r>
              <w:rPr>
                <w:rFonts w:ascii="Arial" w:cs="Arial" w:eastAsia="Arial" w:hAnsi="Arial"/>
                <w:sz w:val="12"/>
                <w:szCs w:val="12"/>
                <w:b w:val="1"/>
                <w:bCs w:val="1"/>
                <w:color w:val="auto"/>
              </w:rPr>
              <w:t>hedging instruments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9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Other current</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Currency forward contracts</w:t>
            </w:r>
          </w:p>
        </w:tc>
        <w:tc>
          <w:tcPr>
            <w:tcW w:w="10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3,642</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176"/>
        </w:trPr>
        <w:tc>
          <w:tcPr>
            <w:tcW w:w="1960" w:type="dxa"/>
            <w:vAlign w:val="bottom"/>
            <w:vMerge w:val="continue"/>
            <w:shd w:val="clear" w:color="auto" w:fill="CCEEFF"/>
          </w:tcPr>
          <w:p>
            <w:pPr>
              <w:spacing w:after="0"/>
              <w:rPr>
                <w:sz w:val="15"/>
                <w:szCs w:val="15"/>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Other current</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60" w:type="dxa"/>
            <w:vAlign w:val="bottom"/>
            <w:vMerge w:val="restart"/>
          </w:tcPr>
          <w:p>
            <w:pPr>
              <w:ind w:left="20"/>
              <w:spacing w:after="0"/>
              <w:rPr>
                <w:sz w:val="20"/>
                <w:szCs w:val="20"/>
                <w:color w:val="auto"/>
              </w:rPr>
            </w:pPr>
            <w:r>
              <w:rPr>
                <w:rFonts w:ascii="Arial" w:cs="Arial" w:eastAsia="Arial" w:hAnsi="Arial"/>
                <w:sz w:val="14"/>
                <w:szCs w:val="14"/>
                <w:color w:val="auto"/>
              </w:rPr>
              <w:t>Currency option contracts</w:t>
            </w:r>
          </w:p>
        </w:tc>
        <w:tc>
          <w:tcPr>
            <w:tcW w:w="10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assets / other</w:t>
            </w:r>
          </w:p>
        </w:tc>
        <w:tc>
          <w:tcPr>
            <w:tcW w:w="100" w:type="dxa"/>
            <w:vAlign w:val="bottom"/>
          </w:tcPr>
          <w:p>
            <w:pPr>
              <w:spacing w:after="0"/>
              <w:rPr>
                <w:sz w:val="12"/>
                <w:szCs w:val="12"/>
                <w:color w:val="auto"/>
              </w:rPr>
            </w:pPr>
          </w:p>
        </w:tc>
        <w:tc>
          <w:tcPr>
            <w:tcW w:w="940" w:type="dxa"/>
            <w:vAlign w:val="bottom"/>
            <w:vMerge w:val="restart"/>
          </w:tcPr>
          <w:p>
            <w:pPr>
              <w:jc w:val="right"/>
              <w:ind w:right="14"/>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2"/>
                <w:szCs w:val="12"/>
                <w:color w:val="auto"/>
              </w:rPr>
            </w:pPr>
          </w:p>
        </w:tc>
        <w:tc>
          <w:tcPr>
            <w:tcW w:w="108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liabilities /</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1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Total derivatives not</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designated as hedging</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5,761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(3,435)</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70"/>
        </w:trPr>
        <w:tc>
          <w:tcPr>
            <w:tcW w:w="196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instruments</w:t>
            </w: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The following table presents the effect of our derivative financial instruments designated as hedging instruments and their classification within comprehensive loss, net of tax, for the three and nine months ended March 31, 2025 and 2024.</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2"/>
                <w:szCs w:val="12"/>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2"/>
                <w:szCs w:val="12"/>
                <w:b w:val="1"/>
                <w:bCs w:val="1"/>
                <w:color w:val="auto"/>
              </w:rPr>
              <w:t>Nine Months Ended March 31,</w:t>
            </w:r>
          </w:p>
        </w:tc>
      </w:tr>
      <w:tr>
        <w:trPr>
          <w:trHeight w:val="164"/>
        </w:trPr>
        <w:tc>
          <w:tcPr>
            <w:tcW w:w="48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2024</w:t>
            </w:r>
          </w:p>
        </w:tc>
      </w:tr>
      <w:tr>
        <w:trPr>
          <w:trHeight w:val="17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jc w:val="right"/>
              <w:ind w:right="77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Pr>
          <w:p>
            <w:pPr>
              <w:spacing w:after="0"/>
              <w:rPr>
                <w:sz w:val="17"/>
                <w:szCs w:val="17"/>
                <w:color w:val="auto"/>
              </w:rPr>
            </w:pPr>
          </w:p>
        </w:tc>
        <w:tc>
          <w:tcPr>
            <w:tcW w:w="960" w:type="dxa"/>
            <w:vAlign w:val="bottom"/>
          </w:tcPr>
          <w:p>
            <w:pPr>
              <w:jc w:val="right"/>
              <w:ind w:right="76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3,673</w:t>
            </w: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Cross-currency swap</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r>
      <w:tr>
        <w:trPr>
          <w:trHeight w:val="19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loan</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w:t>
            </w: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Currency forward contracts</w:t>
            </w:r>
          </w:p>
        </w:tc>
        <w:tc>
          <w:tcPr>
            <w:tcW w:w="94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27"/>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4,820</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623"/>
        <w:spacing w:after="0" w:line="295" w:lineRule="auto"/>
        <w:rPr>
          <w:sz w:val="20"/>
          <w:szCs w:val="20"/>
          <w:color w:val="auto"/>
        </w:rPr>
      </w:pPr>
      <w:r>
        <w:rPr>
          <w:rFonts w:ascii="Arial" w:cs="Arial" w:eastAsia="Arial" w:hAnsi="Arial"/>
          <w:sz w:val="17"/>
          <w:szCs w:val="17"/>
          <w:color w:val="auto"/>
        </w:rPr>
        <w:t>The following table presents reclassifications out of accumulated other comprehensive loss for the three and nine months ended March 31, 2025 and 2024.</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5920" w:type="dxa"/>
            <w:vAlign w:val="bottom"/>
            <w:gridSpan w:val="11"/>
            <w:vMerge w:val="restart"/>
          </w:tcPr>
          <w:p>
            <w:pPr>
              <w:jc w:val="right"/>
              <w:ind w:right="45"/>
              <w:spacing w:after="0"/>
              <w:rPr>
                <w:sz w:val="20"/>
                <w:szCs w:val="20"/>
                <w:color w:val="auto"/>
              </w:rPr>
            </w:pPr>
            <w:r>
              <w:rPr>
                <w:rFonts w:ascii="Arial" w:cs="Arial" w:eastAsia="Arial" w:hAnsi="Arial"/>
                <w:sz w:val="12"/>
                <w:szCs w:val="12"/>
                <w:b w:val="1"/>
                <w:bCs w:val="1"/>
                <w:color w:val="auto"/>
              </w:rPr>
              <w:t>Amount of Net (Gain) Loss Reclassified from Accumulated Other Comprehensive Loss into Income</w:t>
            </w:r>
          </w:p>
        </w:tc>
        <w:tc>
          <w:tcPr>
            <w:tcW w:w="278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14"/>
                <w:szCs w:val="14"/>
                <w:color w:val="auto"/>
              </w:rPr>
            </w:pPr>
          </w:p>
        </w:tc>
        <w:tc>
          <w:tcPr>
            <w:tcW w:w="5920" w:type="dxa"/>
            <w:vAlign w:val="bottom"/>
            <w:tcBorders>
              <w:bottom w:val="single" w:sz="8" w:color="auto"/>
            </w:tcBorders>
            <w:gridSpan w:val="11"/>
            <w:vMerge w:val="continue"/>
          </w:tcPr>
          <w:p>
            <w:pPr>
              <w:spacing w:after="0"/>
              <w:rPr>
                <w:sz w:val="14"/>
                <w:szCs w:val="1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2"/>
                <w:szCs w:val="12"/>
                <w:b w:val="1"/>
                <w:bCs w:val="1"/>
                <w:color w:val="auto"/>
              </w:rPr>
              <w:t>Nine Months Ended March 31,</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5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2025</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2024</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540" w:type="dxa"/>
            <w:vAlign w:val="bottom"/>
          </w:tcPr>
          <w:p>
            <w:pPr>
              <w:ind w:left="20"/>
              <w:spacing w:after="0" w:line="130" w:lineRule="exact"/>
              <w:rPr>
                <w:sz w:val="20"/>
                <w:szCs w:val="20"/>
                <w:color w:val="auto"/>
              </w:rPr>
            </w:pPr>
            <w:r>
              <w:rPr>
                <w:rFonts w:ascii="Arial" w:cs="Arial" w:eastAsia="Arial" w:hAnsi="Arial"/>
                <w:sz w:val="14"/>
                <w:szCs w:val="14"/>
                <w:b w:val="1"/>
                <w:bCs w:val="1"/>
                <w:color w:val="auto"/>
              </w:rPr>
              <w:t>Derivatives in cash flow hedging</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540" w:type="dxa"/>
            <w:vAlign w:val="bottom"/>
          </w:tcPr>
          <w:p>
            <w:pPr>
              <w:ind w:left="20"/>
              <w:spacing w:after="0"/>
              <w:rPr>
                <w:sz w:val="20"/>
                <w:szCs w:val="20"/>
                <w:color w:val="auto"/>
              </w:rPr>
            </w:pPr>
            <w:r>
              <w:rPr>
                <w:rFonts w:ascii="Arial" w:cs="Arial" w:eastAsia="Arial" w:hAnsi="Arial"/>
                <w:sz w:val="14"/>
                <w:szCs w:val="14"/>
                <w:b w:val="1"/>
                <w:bCs w:val="1"/>
                <w:color w:val="auto"/>
              </w:rPr>
              <w:t>relationships</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860" w:type="dxa"/>
            <w:vAlign w:val="bottom"/>
            <w:shd w:val="clear" w:color="auto" w:fill="CCEEFF"/>
          </w:tcPr>
          <w:p>
            <w:pPr>
              <w:jc w:val="right"/>
              <w:ind w:right="69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(3,879)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center"/>
              <w:ind w:left="445"/>
              <w:spacing w:after="0"/>
              <w:rPr>
                <w:sz w:val="20"/>
                <w:szCs w:val="20"/>
                <w:color w:val="auto"/>
              </w:rPr>
            </w:pPr>
            <w:r>
              <w:rPr>
                <w:rFonts w:ascii="Arial" w:cs="Arial" w:eastAsia="Arial" w:hAnsi="Arial"/>
                <w:sz w:val="16"/>
                <w:szCs w:val="16"/>
                <w:color w:val="auto"/>
                <w:w w:val="94"/>
              </w:rPr>
              <w:t>(6,126)</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Interest expense, net</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Cross-currency swap</w:t>
            </w:r>
          </w:p>
        </w:tc>
        <w:tc>
          <w:tcPr>
            <w:tcW w:w="8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(1,748)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80" w:type="dxa"/>
            <w:vAlign w:val="bottom"/>
          </w:tcPr>
          <w:p>
            <w:pPr>
              <w:jc w:val="center"/>
              <w:ind w:left="445"/>
              <w:spacing w:after="0"/>
              <w:rPr>
                <w:sz w:val="20"/>
                <w:szCs w:val="20"/>
                <w:color w:val="auto"/>
              </w:rPr>
            </w:pPr>
            <w:r>
              <w:rPr>
                <w:rFonts w:ascii="Arial" w:cs="Arial" w:eastAsia="Arial" w:hAnsi="Arial"/>
                <w:sz w:val="16"/>
                <w:szCs w:val="16"/>
                <w:color w:val="auto"/>
                <w:w w:val="94"/>
              </w:rPr>
              <w:t>(1,454)</w:t>
            </w:r>
          </w:p>
        </w:tc>
        <w:tc>
          <w:tcPr>
            <w:tcW w:w="2780" w:type="dxa"/>
            <w:vAlign w:val="bottom"/>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02"/>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income tax</w:t>
            </w: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(3,879)</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(3,378)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ind w:left="445"/>
              <w:spacing w:after="0"/>
              <w:rPr>
                <w:sz w:val="20"/>
                <w:szCs w:val="20"/>
                <w:color w:val="auto"/>
              </w:rPr>
            </w:pPr>
            <w:r>
              <w:rPr>
                <w:rFonts w:ascii="Arial" w:cs="Arial" w:eastAsia="Arial" w:hAnsi="Arial"/>
                <w:sz w:val="16"/>
                <w:szCs w:val="16"/>
                <w:color w:val="auto"/>
                <w:w w:val="94"/>
              </w:rPr>
              <w:t>(7,580)</w:t>
            </w:r>
          </w:p>
        </w:tc>
        <w:tc>
          <w:tcPr>
            <w:tcW w:w="27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Income before income taxes</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left="465"/>
              <w:spacing w:after="0"/>
              <w:rPr>
                <w:sz w:val="20"/>
                <w:szCs w:val="20"/>
                <w:color w:val="auto"/>
              </w:rPr>
            </w:pPr>
            <w:r>
              <w:rPr>
                <w:rFonts w:ascii="Arial" w:cs="Arial" w:eastAsia="Arial" w:hAnsi="Arial"/>
                <w:sz w:val="16"/>
                <w:szCs w:val="16"/>
                <w:color w:val="auto"/>
                <w:w w:val="94"/>
              </w:rPr>
              <w:t>1,315</w:t>
            </w:r>
          </w:p>
        </w:tc>
        <w:tc>
          <w:tcPr>
            <w:tcW w:w="27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Income tax expense</w:t>
            </w:r>
          </w:p>
        </w:tc>
        <w:tc>
          <w:tcPr>
            <w:tcW w:w="0" w:type="dxa"/>
            <w:vAlign w:val="bottom"/>
          </w:tcPr>
          <w:p>
            <w:pPr>
              <w:spacing w:after="0"/>
              <w:rPr>
                <w:sz w:val="1"/>
                <w:szCs w:val="1"/>
                <w:color w:val="auto"/>
              </w:rPr>
            </w:pPr>
          </w:p>
        </w:tc>
      </w:tr>
      <w:tr>
        <w:trPr>
          <w:trHeight w:val="22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(3,233)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(2,772)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center"/>
              <w:ind w:left="445"/>
              <w:spacing w:after="0"/>
              <w:rPr>
                <w:sz w:val="20"/>
                <w:szCs w:val="20"/>
                <w:color w:val="auto"/>
              </w:rPr>
            </w:pPr>
            <w:r>
              <w:rPr>
                <w:rFonts w:ascii="Arial" w:cs="Arial" w:eastAsia="Arial" w:hAnsi="Arial"/>
                <w:sz w:val="16"/>
                <w:szCs w:val="16"/>
                <w:color w:val="auto"/>
                <w:w w:val="94"/>
              </w:rPr>
              <w:t>(6,265)</w:t>
            </w:r>
          </w:p>
        </w:tc>
        <w:tc>
          <w:tcPr>
            <w:tcW w:w="27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firstLine="623"/>
        <w:spacing w:after="0" w:line="295" w:lineRule="auto"/>
        <w:rPr>
          <w:sz w:val="20"/>
          <w:szCs w:val="20"/>
          <w:color w:val="auto"/>
        </w:rPr>
      </w:pPr>
      <w:r>
        <w:rPr>
          <w:rFonts w:ascii="Arial" w:cs="Arial" w:eastAsia="Arial" w:hAnsi="Arial"/>
          <w:sz w:val="17"/>
          <w:szCs w:val="17"/>
          <w:color w:val="auto"/>
        </w:rPr>
        <w:t>The following table presents the adjustment to fair value recorded within the consolidated statements of operations for the three and nine months ended March 31, 2025 and 2024 for derivative instruments for which we did not elect hedge accounting.</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6"/>
            <w:vMerge w:val="restart"/>
          </w:tcPr>
          <w:p>
            <w:pPr>
              <w:jc w:val="right"/>
              <w:ind w:right="140"/>
              <w:spacing w:after="0"/>
              <w:rPr>
                <w:sz w:val="20"/>
                <w:szCs w:val="20"/>
                <w:color w:val="auto"/>
              </w:rPr>
            </w:pPr>
            <w:r>
              <w:rPr>
                <w:rFonts w:ascii="Arial" w:cs="Arial" w:eastAsia="Arial" w:hAnsi="Arial"/>
                <w:sz w:val="12"/>
                <w:szCs w:val="12"/>
                <w:b w:val="1"/>
                <w:bCs w:val="1"/>
                <w:color w:val="auto"/>
              </w:rPr>
              <w:t>Amount of (Loss) Gain Recognized in Net Income</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780" w:type="dxa"/>
            <w:vAlign w:val="bottom"/>
          </w:tcPr>
          <w:p>
            <w:pPr>
              <w:jc w:val="center"/>
              <w:spacing w:after="0"/>
              <w:rPr>
                <w:sz w:val="20"/>
                <w:szCs w:val="20"/>
                <w:color w:val="auto"/>
              </w:rPr>
            </w:pPr>
            <w:r>
              <w:rPr>
                <w:rFonts w:ascii="Arial" w:cs="Arial" w:eastAsia="Arial" w:hAnsi="Arial"/>
                <w:sz w:val="12"/>
                <w:szCs w:val="12"/>
                <w:b w:val="1"/>
                <w:bCs w:val="1"/>
                <w:color w:val="auto"/>
              </w:rPr>
              <w:t>Affected line item in the</w:t>
            </w:r>
          </w:p>
        </w:tc>
        <w:tc>
          <w:tcPr>
            <w:tcW w:w="0" w:type="dxa"/>
            <w:vAlign w:val="bottom"/>
          </w:tcPr>
          <w:p>
            <w:pPr>
              <w:spacing w:after="0"/>
              <w:rPr>
                <w:sz w:val="1"/>
                <w:szCs w:val="1"/>
                <w:color w:val="auto"/>
              </w:rPr>
            </w:pPr>
          </w:p>
        </w:tc>
      </w:tr>
      <w:tr>
        <w:trPr>
          <w:trHeight w:val="178"/>
        </w:trPr>
        <w:tc>
          <w:tcPr>
            <w:tcW w:w="2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6"/>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Statement of Operations</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2"/>
                <w:szCs w:val="12"/>
                <w:b w:val="1"/>
                <w:bCs w:val="1"/>
                <w:color w:val="auto"/>
              </w:rPr>
              <w:t>Nine Months Ended March 31,</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2024</w:t>
            </w:r>
          </w:p>
        </w:tc>
        <w:tc>
          <w:tcPr>
            <w:tcW w:w="27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contracts</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(14,640)</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3,715</w:t>
            </w:r>
          </w:p>
        </w:tc>
        <w:tc>
          <w:tcPr>
            <w:tcW w:w="2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Other (expense) income, net</w:t>
            </w:r>
          </w:p>
        </w:tc>
        <w:tc>
          <w:tcPr>
            <w:tcW w:w="0" w:type="dxa"/>
            <w:vAlign w:val="bottom"/>
          </w:tcPr>
          <w:p>
            <w:pPr>
              <w:spacing w:after="0"/>
              <w:rPr>
                <w:sz w:val="1"/>
                <w:szCs w:val="1"/>
                <w:color w:val="auto"/>
              </w:rPr>
            </w:pPr>
          </w:p>
        </w:tc>
      </w:tr>
      <w:tr>
        <w:trPr>
          <w:trHeight w:val="202"/>
        </w:trPr>
        <w:tc>
          <w:tcPr>
            <w:tcW w:w="2540" w:type="dxa"/>
            <w:vAlign w:val="bottom"/>
          </w:tcPr>
          <w:p>
            <w:pPr>
              <w:ind w:left="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(14,640)</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3,715</w:t>
            </w: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Accumulated Other Comprehensive Loss</w:t>
      </w:r>
    </w:p>
    <w:p>
      <w:pPr>
        <w:spacing w:after="0" w:line="209" w:lineRule="exact"/>
        <w:rPr>
          <w:sz w:val="20"/>
          <w:szCs w:val="20"/>
          <w:color w:val="auto"/>
        </w:rPr>
      </w:pPr>
    </w:p>
    <w:p>
      <w:pPr>
        <w:ind w:right="240" w:firstLine="623"/>
        <w:spacing w:after="0" w:line="294" w:lineRule="auto"/>
        <w:rPr>
          <w:sz w:val="20"/>
          <w:szCs w:val="20"/>
          <w:color w:val="auto"/>
        </w:rPr>
      </w:pPr>
      <w:r>
        <w:rPr>
          <w:rFonts w:ascii="Arial" w:cs="Arial" w:eastAsia="Arial" w:hAnsi="Arial"/>
          <w:sz w:val="17"/>
          <w:szCs w:val="17"/>
          <w:color w:val="auto"/>
        </w:rPr>
        <w:t>The following table presents a roll forward of amounts recognized in accumulated other comprehensive loss by component, net of tax of $240, for the nine months ended March 31, 2025</w:t>
      </w:r>
      <w:r>
        <w:rPr>
          <w:rFonts w:ascii="Times New Roman" w:cs="Times New Roman" w:eastAsia="Times New Roman" w:hAnsi="Times New Roman"/>
          <w:sz w:val="17"/>
          <w:szCs w:val="17"/>
          <w:color w:val="auto"/>
        </w:rPr>
        <w: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rPr>
              <w:t>Gains on cash flow</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Gains (losses) on</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Translation</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22" w:lineRule="exact"/>
              <w:rPr>
                <w:sz w:val="20"/>
                <w:szCs w:val="20"/>
                <w:color w:val="auto"/>
              </w:rPr>
            </w:pPr>
            <w:r>
              <w:rPr>
                <w:rFonts w:ascii="Arial" w:cs="Arial" w:eastAsia="Arial" w:hAnsi="Arial"/>
                <w:sz w:val="12"/>
                <w:szCs w:val="12"/>
                <w:b w:val="1"/>
                <w:bCs w:val="1"/>
                <w:color w:val="auto"/>
              </w:rPr>
              <w:t>pension benefit</w:t>
            </w: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rPr>
              <w:t>adjustments, net of</w:t>
            </w:r>
          </w:p>
        </w:tc>
        <w:tc>
          <w:tcPr>
            <w:tcW w:w="320" w:type="dxa"/>
            <w:vAlign w:val="bottom"/>
          </w:tcPr>
          <w:p>
            <w:pPr>
              <w:spacing w:after="0"/>
              <w:rPr>
                <w:sz w:val="10"/>
                <w:szCs w:val="10"/>
                <w:color w:val="auto"/>
              </w:rPr>
            </w:pPr>
          </w:p>
        </w:tc>
        <w:tc>
          <w:tcPr>
            <w:tcW w:w="1020" w:type="dxa"/>
            <w:vAlign w:val="bottom"/>
            <w:vMerge w:val="restart"/>
          </w:tcPr>
          <w:p>
            <w:pPr>
              <w:jc w:val="right"/>
              <w:ind w:right="46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7"/>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hedges (1)</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obligation</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hedges (2)</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10,789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(40,447)</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(30,364)</w:t>
            </w:r>
          </w:p>
        </w:tc>
        <w:tc>
          <w:tcPr>
            <w:tcW w:w="0" w:type="dxa"/>
            <w:vAlign w:val="bottom"/>
          </w:tcPr>
          <w:p>
            <w:pPr>
              <w:spacing w:after="0"/>
              <w:rPr>
                <w:sz w:val="1"/>
                <w:szCs w:val="1"/>
                <w:color w:val="auto"/>
              </w:rPr>
            </w:pPr>
          </w:p>
        </w:tc>
      </w:tr>
      <w:tr>
        <w:trPr>
          <w:trHeight w:val="207"/>
        </w:trPr>
        <w:tc>
          <w:tcPr>
            <w:tcW w:w="556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(12,808)</w:t>
            </w:r>
          </w:p>
        </w:tc>
        <w:tc>
          <w:tcPr>
            <w:tcW w:w="0" w:type="dxa"/>
            <w:vAlign w:val="bottom"/>
          </w:tcPr>
          <w:p>
            <w:pPr>
              <w:spacing w:after="0"/>
              <w:rPr>
                <w:sz w:val="1"/>
                <w:szCs w:val="1"/>
                <w:color w:val="auto"/>
              </w:rPr>
            </w:pPr>
          </w:p>
        </w:tc>
      </w:tr>
      <w:tr>
        <w:trPr>
          <w:trHeight w:val="158"/>
        </w:trPr>
        <w:tc>
          <w:tcPr>
            <w:tcW w:w="556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9"/>
              </w:rPr>
              <w:t>Amounts reclassified from accumulated other comprehensive loss to net (loss)</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Net current period other comprehensive loss</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(15,472)</w:t>
            </w:r>
          </w:p>
        </w:tc>
        <w:tc>
          <w:tcPr>
            <w:tcW w:w="0" w:type="dxa"/>
            <w:vAlign w:val="bottom"/>
          </w:tcPr>
          <w:p>
            <w:pPr>
              <w:spacing w:after="0"/>
              <w:rPr>
                <w:sz w:val="1"/>
                <w:szCs w:val="1"/>
                <w:color w:val="auto"/>
              </w:rPr>
            </w:pPr>
          </w:p>
        </w:tc>
      </w:tr>
      <w:tr>
        <w:trPr>
          <w:trHeight w:val="226"/>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5,737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(45,836)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125" w:lineRule="exact"/>
        <w:rPr>
          <w:sz w:val="20"/>
          <w:szCs w:val="20"/>
          <w:color w:val="auto"/>
        </w:rPr>
      </w:pPr>
    </w:p>
    <w:p>
      <w:pPr>
        <w:ind w:left="220" w:hanging="216"/>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Gains on cash flow hedges include our interest rate swap contracts designated in cash flow hedging relationships.</w:t>
      </w:r>
    </w:p>
    <w:p>
      <w:pPr>
        <w:spacing w:after="0" w:line="46" w:lineRule="exact"/>
        <w:rPr>
          <w:rFonts w:ascii="Arial" w:cs="Arial" w:eastAsia="Arial" w:hAnsi="Arial"/>
          <w:sz w:val="14"/>
          <w:szCs w:val="14"/>
          <w:color w:val="auto"/>
        </w:rPr>
      </w:pPr>
    </w:p>
    <w:p>
      <w:pPr>
        <w:ind w:left="240" w:right="40" w:hanging="236"/>
        <w:spacing w:after="0" w:line="261" w:lineRule="auto"/>
        <w:tabs>
          <w:tab w:leader="none" w:pos="214"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2025 and June 30, 2024, the translation adjustment is inclusive of both the realized and unrealized effects of our net investment hedges. Gains on currency forward and cross-currency swap contracts designated as net investment hedges, net of tax, of $14,166 and $15,042 have been included in accumulated other comprehensive loss as of March 31, 2025 and June 30, 2024, respectively. Intercompany loan hedge gains, net of tax, of $42,159 and $48,270 have been included in accumulated other comprehensive loss as of March 31, 2025 and June 30, 2024, respectively.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6. Goodwill</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of goodwill by reportable segment as of March 31, 2025 and June 30, 2024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Vista</w:t>
            </w: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PrintBrothers</w:t>
            </w:r>
          </w:p>
        </w:tc>
        <w:tc>
          <w:tcPr>
            <w:tcW w:w="14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The Print Group</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All Other Businesses</w:t>
            </w:r>
          </w:p>
        </w:tc>
        <w:tc>
          <w:tcPr>
            <w:tcW w:w="320" w:type="dxa"/>
            <w:vAlign w:val="bottom"/>
          </w:tcPr>
          <w:p>
            <w:pPr>
              <w:spacing w:after="0"/>
              <w:rPr>
                <w:sz w:val="14"/>
                <w:szCs w:val="14"/>
                <w:color w:val="auto"/>
              </w:rPr>
            </w:pPr>
          </w:p>
        </w:tc>
        <w:tc>
          <w:tcPr>
            <w:tcW w:w="1000" w:type="dxa"/>
            <w:vAlign w:val="bottom"/>
          </w:tcPr>
          <w:p>
            <w:pPr>
              <w:jc w:val="right"/>
              <w:ind w:right="446"/>
              <w:spacing w:after="0"/>
              <w:rPr>
                <w:sz w:val="20"/>
                <w:szCs w:val="20"/>
                <w:color w:val="auto"/>
              </w:rPr>
            </w:pPr>
            <w:r>
              <w:rPr>
                <w:rFonts w:ascii="Arial" w:cs="Arial" w:eastAsia="Arial" w:hAnsi="Arial"/>
                <w:sz w:val="12"/>
                <w:szCs w:val="12"/>
                <w:b w:val="1"/>
                <w:bCs w:val="1"/>
                <w:color w:val="auto"/>
              </w:rPr>
              <w:t>Total</w:t>
            </w:r>
          </w:p>
        </w:tc>
      </w:tr>
      <w:tr>
        <w:trPr>
          <w:trHeight w:val="205"/>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32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295,285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149,244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147,688</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787,138</w:t>
            </w:r>
          </w:p>
        </w:tc>
      </w:tr>
      <w:tr>
        <w:trPr>
          <w:trHeight w:val="207"/>
        </w:trPr>
        <w:tc>
          <w:tcPr>
            <w:tcW w:w="4240" w:type="dxa"/>
            <w:vAlign w:val="bottom"/>
          </w:tcPr>
          <w:p>
            <w:pPr>
              <w:ind w:left="20"/>
              <w:spacing w:after="0"/>
              <w:rPr>
                <w:sz w:val="20"/>
                <w:szCs w:val="20"/>
                <w:color w:val="auto"/>
              </w:rPr>
            </w:pPr>
            <w:r>
              <w:rPr>
                <w:rFonts w:ascii="Arial" w:cs="Arial" w:eastAsia="Arial" w:hAnsi="Arial"/>
                <w:sz w:val="16"/>
                <w:szCs w:val="16"/>
                <w:color w:val="auto"/>
              </w:rPr>
              <w:t>Acquisitions (1)</w:t>
            </w:r>
          </w:p>
        </w:tc>
        <w:tc>
          <w:tcPr>
            <w:tcW w:w="3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1,121</w:t>
            </w:r>
          </w:p>
        </w:tc>
      </w:tr>
      <w:tr>
        <w:trPr>
          <w:trHeight w:val="20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currency translation adjustments (2)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4,490</w:t>
            </w:r>
          </w:p>
        </w:tc>
      </w:tr>
      <w:tr>
        <w:trPr>
          <w:trHeight w:val="202"/>
        </w:trPr>
        <w:tc>
          <w:tcPr>
            <w:tcW w:w="4240" w:type="dxa"/>
            <w:vAlign w:val="bottom"/>
          </w:tcPr>
          <w:p>
            <w:pPr>
              <w:ind w:left="20"/>
              <w:spacing w:after="0"/>
              <w:rPr>
                <w:sz w:val="20"/>
                <w:szCs w:val="20"/>
                <w:color w:val="auto"/>
              </w:rPr>
            </w:pPr>
            <w:r>
              <w:rPr>
                <w:rFonts w:ascii="Arial" w:cs="Arial" w:eastAsia="Arial" w:hAnsi="Arial"/>
                <w:sz w:val="16"/>
                <w:szCs w:val="16"/>
                <w:color w:val="auto"/>
              </w:rPr>
              <w:t>Balance as of March 31, 2025</w:t>
            </w:r>
          </w:p>
        </w:tc>
        <w:tc>
          <w:tcPr>
            <w:tcW w:w="32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color w:val="auto"/>
              </w:rPr>
              <w:t>296,680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151,961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149,187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194,921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792,749</w:t>
            </w: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73" w:lineRule="exact"/>
        <w:rPr>
          <w:sz w:val="20"/>
          <w:szCs w:val="20"/>
          <w:color w:val="auto"/>
        </w:rPr>
      </w:pPr>
    </w:p>
    <w:p>
      <w:pPr>
        <w:ind w:left="240" w:right="340" w:hanging="236"/>
        <w:spacing w:after="0" w:line="262"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During the current quarter, we completed the acquisition of a small business that is part of our PrintBrothers reportable segment, which resulted in the recognition of goodwill of $1,121.</w:t>
      </w:r>
    </w:p>
    <w:p>
      <w:pPr>
        <w:spacing w:after="0" w:line="24" w:lineRule="exact"/>
        <w:rPr>
          <w:rFonts w:ascii="Arial" w:cs="Arial" w:eastAsia="Arial" w:hAnsi="Arial"/>
          <w:sz w:val="14"/>
          <w:szCs w:val="14"/>
          <w:color w:val="auto"/>
        </w:rPr>
      </w:pPr>
    </w:p>
    <w:p>
      <w:pPr>
        <w:ind w:left="220" w:hanging="216"/>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Related to goodwill held by subsidiaries whose functional currency is not the U.S. dollar.</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Other Balance Sheet Components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included the following: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2025</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2024</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costs</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80,023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80,844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Income and indirect taxes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56,938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46,499</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costs (1)</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23,524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Third-party manufacturing and digital content costs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17,878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17,608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Shipping costs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10,088</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Variable compensation incentives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9,916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9,263</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returns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5,181</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Interest payable</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3,658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2,596</w:t>
            </w:r>
          </w:p>
        </w:tc>
      </w:tr>
      <w:tr>
        <w:trPr>
          <w:trHeight w:val="20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46,670</w:t>
            </w:r>
          </w:p>
        </w:tc>
      </w:tr>
      <w:tr>
        <w:trPr>
          <w:trHeight w:val="22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expenses</w:t>
            </w: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273,422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245,931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60" w:lineRule="exact"/>
        <w:rPr>
          <w:sz w:val="20"/>
          <w:szCs w:val="20"/>
          <w:color w:val="auto"/>
        </w:rPr>
      </w:pPr>
    </w:p>
    <w:p>
      <w:pPr>
        <w:ind w:left="240" w:right="180" w:hanging="236"/>
        <w:spacing w:after="0" w:line="281" w:lineRule="auto"/>
        <w:tabs>
          <w:tab w:leader="none" w:pos="214"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increase in advertising costs is due in part to the timing of invoice receipts which resulted in higher accruals at March 31, 2025, as compared to accounts payable at June 30, 2024.</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current liabilities included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2025</w:t>
            </w:r>
          </w:p>
        </w:tc>
        <w:tc>
          <w:tcPr>
            <w:tcW w:w="260" w:type="dxa"/>
            <w:vAlign w:val="bottom"/>
          </w:tcPr>
          <w:p>
            <w:pPr>
              <w:spacing w:after="0"/>
              <w:rPr>
                <w:sz w:val="14"/>
                <w:szCs w:val="14"/>
                <w:color w:val="auto"/>
              </w:rPr>
            </w:pPr>
          </w:p>
        </w:tc>
        <w:tc>
          <w:tcPr>
            <w:tcW w:w="1400" w:type="dxa"/>
            <w:vAlign w:val="bottom"/>
          </w:tcPr>
          <w:p>
            <w:pPr>
              <w:jc w:val="right"/>
              <w:ind w:right="365"/>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Mandatorily redeemable noncontrolling interest (1)</w:t>
            </w:r>
          </w:p>
        </w:tc>
        <w:tc>
          <w:tcPr>
            <w:tcW w:w="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9,663</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5"/>
              <w:spacing w:after="0"/>
              <w:rPr>
                <w:sz w:val="20"/>
                <w:szCs w:val="20"/>
                <w:color w:val="auto"/>
              </w:rPr>
            </w:pPr>
            <w:r>
              <w:rPr>
                <w:rFonts w:ascii="Arial" w:cs="Arial" w:eastAsia="Arial" w:hAnsi="Arial"/>
                <w:sz w:val="16"/>
                <w:szCs w:val="16"/>
                <w:color w:val="auto"/>
              </w:rPr>
              <w:t>—</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finance lease obligations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8,323</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Short-term derivative liabilities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5"/>
              <w:spacing w:after="0"/>
              <w:rPr>
                <w:sz w:val="20"/>
                <w:szCs w:val="20"/>
                <w:color w:val="auto"/>
              </w:rPr>
            </w:pPr>
            <w:r>
              <w:rPr>
                <w:rFonts w:ascii="Arial" w:cs="Arial" w:eastAsia="Arial" w:hAnsi="Arial"/>
                <w:sz w:val="16"/>
                <w:szCs w:val="16"/>
                <w:color w:val="auto"/>
              </w:rPr>
              <w:t>4,833</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Total other current liabilities</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13,136</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liabilities included the following:</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7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31, 2025</w:t>
            </w:r>
          </w:p>
        </w:tc>
        <w:tc>
          <w:tcPr>
            <w:tcW w:w="260" w:type="dxa"/>
            <w:vAlign w:val="bottom"/>
          </w:tcPr>
          <w:p>
            <w:pPr>
              <w:spacing w:after="0"/>
              <w:rPr>
                <w:sz w:val="14"/>
                <w:szCs w:val="14"/>
                <w:color w:val="auto"/>
              </w:rPr>
            </w:pPr>
          </w:p>
        </w:tc>
        <w:tc>
          <w:tcPr>
            <w:tcW w:w="1340" w:type="dxa"/>
            <w:vAlign w:val="bottom"/>
          </w:tcPr>
          <w:p>
            <w:pPr>
              <w:jc w:val="right"/>
              <w:ind w:right="325"/>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finance lease obligations</w:t>
            </w: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24,467</w:t>
            </w:r>
          </w:p>
        </w:tc>
        <w:tc>
          <w:tcPr>
            <w:tcW w:w="100" w:type="dxa"/>
            <w:vAlign w:val="bottom"/>
          </w:tcPr>
          <w:p>
            <w:pPr>
              <w:spacing w:after="0"/>
              <w:rPr>
                <w:sz w:val="17"/>
                <w:szCs w:val="17"/>
                <w:color w:val="auto"/>
              </w:rPr>
            </w:pPr>
          </w:p>
        </w:tc>
        <w:tc>
          <w:tcPr>
            <w:tcW w:w="26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28,037</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compensation incentives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17,127</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Long-term derivative liabilities (1)</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Mandatorily redeemable noncontrolling interest (2)</w:t>
            </w:r>
          </w:p>
        </w:tc>
        <w:tc>
          <w:tcPr>
            <w:tcW w:w="2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9,608</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20,949</w:t>
            </w:r>
          </w:p>
        </w:tc>
      </w:tr>
      <w:tr>
        <w:trPr>
          <w:trHeight w:val="227"/>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liabilities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76,305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0"/>
          <w:szCs w:val="10"/>
          <w:color w:val="auto"/>
        </w:rPr>
        <w:t>________________________</w:t>
      </w:r>
    </w:p>
    <w:p>
      <w:pPr>
        <w:spacing w:after="0" w:line="60" w:lineRule="exact"/>
        <w:rPr>
          <w:sz w:val="20"/>
          <w:szCs w:val="20"/>
          <w:color w:val="auto"/>
        </w:rPr>
      </w:pPr>
    </w:p>
    <w:p>
      <w:pPr>
        <w:ind w:left="240" w:hanging="236"/>
        <w:spacing w:after="0" w:line="266" w:lineRule="auto"/>
        <w:tabs>
          <w:tab w:leader="none" w:pos="214"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increase in long-term derivative liabilities is primarily due to the increase in unrealized losses associated with forward contracts that are intended to mitigate our exposure to fluctuations in various currencies against our reporting currency, the U.S. dollar. The increase in unrealized losses is primarily due to the weakening of the U.S. dollar against certain currencies, including the Euro and GBP, which are our most significant currency exposures. Refer to Note 4 for additional details relating to our derivative contracts.</w:t>
      </w:r>
    </w:p>
    <w:p>
      <w:pPr>
        <w:spacing w:after="0" w:line="22" w:lineRule="exact"/>
        <w:rPr>
          <w:rFonts w:ascii="Arial" w:cs="Arial" w:eastAsia="Arial" w:hAnsi="Arial"/>
          <w:sz w:val="14"/>
          <w:szCs w:val="14"/>
          <w:color w:val="auto"/>
        </w:rPr>
      </w:pPr>
    </w:p>
    <w:p>
      <w:pPr>
        <w:ind w:left="240" w:right="100" w:hanging="236"/>
        <w:spacing w:after="0" w:line="262" w:lineRule="auto"/>
        <w:tabs>
          <w:tab w:leader="none" w:pos="214" w:val="left"/>
        </w:tabs>
        <w:numPr>
          <w:ilvl w:val="0"/>
          <w:numId w:val="11"/>
        </w:numPr>
        <w:rPr>
          <w:rFonts w:ascii="Arial" w:cs="Arial" w:eastAsia="Arial" w:hAnsi="Arial"/>
          <w:sz w:val="14"/>
          <w:szCs w:val="14"/>
          <w:color w:val="auto"/>
        </w:rPr>
      </w:pPr>
      <w:r>
        <w:rPr>
          <w:rFonts w:ascii="Arial" w:cs="Arial" w:eastAsia="Arial" w:hAnsi="Arial"/>
          <w:sz w:val="14"/>
          <w:szCs w:val="14"/>
          <w:color w:val="auto"/>
        </w:rPr>
        <w:t>During the current fiscal year, the mandatorily redeemable noncontrolling interests were reclassified from long-term liabilities to current liabilities, since we are required to purchase the outstanding equity interests during the second quarter of fiscal year 2026.</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Debt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2"/>
                <w:szCs w:val="12"/>
                <w:b w:val="1"/>
                <w:bCs w:val="1"/>
                <w:color w:val="auto"/>
              </w:rPr>
              <w:t>March 31, 2025</w:t>
            </w:r>
          </w:p>
        </w:tc>
        <w:tc>
          <w:tcPr>
            <w:tcW w:w="260" w:type="dxa"/>
            <w:vAlign w:val="bottom"/>
          </w:tcPr>
          <w:p>
            <w:pPr>
              <w:spacing w:after="0"/>
              <w:rPr>
                <w:sz w:val="14"/>
                <w:szCs w:val="14"/>
                <w:color w:val="auto"/>
              </w:rPr>
            </w:pPr>
          </w:p>
        </w:tc>
        <w:tc>
          <w:tcPr>
            <w:tcW w:w="1400" w:type="dxa"/>
            <w:vAlign w:val="bottom"/>
          </w:tcPr>
          <w:p>
            <w:pPr>
              <w:jc w:val="right"/>
              <w:ind w:right="364"/>
              <w:spacing w:after="0"/>
              <w:rPr>
                <w:sz w:val="20"/>
                <w:szCs w:val="20"/>
                <w:color w:val="auto"/>
              </w:rPr>
            </w:pPr>
            <w:r>
              <w:rPr>
                <w:rFonts w:ascii="Arial" w:cs="Arial" w:eastAsia="Arial" w:hAnsi="Arial"/>
                <w:sz w:val="12"/>
                <w:szCs w:val="12"/>
                <w:b w:val="1"/>
                <w:bCs w:val="1"/>
                <w:color w:val="auto"/>
              </w:rPr>
              <w:t>June 30, 2024</w:t>
            </w:r>
          </w:p>
        </w:tc>
      </w:tr>
      <w:tr>
        <w:trPr>
          <w:trHeight w:val="20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7.375% Senior Notes due 2032 (1)</w:t>
            </w: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525,000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7.0% Senior Notes due 2026 (1)</w:t>
            </w:r>
          </w:p>
        </w:tc>
        <w:tc>
          <w:tcPr>
            <w:tcW w:w="24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522,135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1,084,627</w:t>
            </w:r>
          </w:p>
        </w:tc>
      </w:tr>
      <w:tr>
        <w:trPr>
          <w:trHeight w:val="207"/>
        </w:trPr>
        <w:tc>
          <w:tcPr>
            <w:tcW w:w="7820" w:type="dxa"/>
            <w:vAlign w:val="bottom"/>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9,845</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and discounts, net of debt premiums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(12,312)</w:t>
            </w:r>
          </w:p>
        </w:tc>
      </w:tr>
      <w:tr>
        <w:trPr>
          <w:trHeight w:val="200"/>
        </w:trPr>
        <w:tc>
          <w:tcPr>
            <w:tcW w:w="7820" w:type="dxa"/>
            <w:vAlign w:val="bottom"/>
          </w:tcPr>
          <w:p>
            <w:pPr>
              <w:ind w:left="20"/>
              <w:spacing w:after="0"/>
              <w:rPr>
                <w:sz w:val="20"/>
                <w:szCs w:val="20"/>
                <w:color w:val="auto"/>
              </w:rPr>
            </w:pPr>
            <w:r>
              <w:rPr>
                <w:rFonts w:ascii="Arial" w:cs="Arial" w:eastAsia="Arial" w:hAnsi="Arial"/>
                <w:sz w:val="16"/>
                <w:szCs w:val="16"/>
                <w:color w:val="auto"/>
              </w:rPr>
              <w:t>Total debt outstanding, net</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1,587,232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1,604,295</w:t>
            </w: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short-term debt (2)</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12,488</w:t>
            </w: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1,578,050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1,591,807</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75" w:lineRule="exact"/>
        <w:rPr>
          <w:sz w:val="20"/>
          <w:szCs w:val="20"/>
          <w:color w:val="auto"/>
        </w:rPr>
      </w:pPr>
    </w:p>
    <w:p>
      <w:pPr>
        <w:ind w:left="240" w:right="40" w:hanging="236"/>
        <w:spacing w:after="0" w:line="262" w:lineRule="auto"/>
        <w:tabs>
          <w:tab w:leader="none" w:pos="214"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 September 26, 2024, we completed a private placement of $525,000 in aggregate principal amount of 7.375% Senior Notes due 2032. We used the net proceeds of this offering plus cash on hand to redeem the $522,135 in aggregate principal amount of our 7.0% Senior Notes due 2026 and pay the associated interest and financing fees.</w:t>
      </w:r>
    </w:p>
    <w:p>
      <w:pPr>
        <w:spacing w:after="0" w:line="24" w:lineRule="exact"/>
        <w:rPr>
          <w:rFonts w:ascii="Arial" w:cs="Arial" w:eastAsia="Arial" w:hAnsi="Arial"/>
          <w:sz w:val="14"/>
          <w:szCs w:val="14"/>
          <w:color w:val="auto"/>
        </w:rPr>
      </w:pPr>
    </w:p>
    <w:p>
      <w:pPr>
        <w:ind w:left="220" w:hanging="216"/>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Balances as of March 31, 2025 and June 30, 2024 are inclusive of short-term debt issuance costs, debt premiums and discounts of $4,902 and $3,492, respectively.</w:t>
      </w:r>
    </w:p>
    <w:p>
      <w:pPr>
        <w:spacing w:after="0" w:line="206" w:lineRule="exact"/>
        <w:rPr>
          <w:sz w:val="20"/>
          <w:szCs w:val="20"/>
          <w:color w:val="auto"/>
        </w:rPr>
      </w:pPr>
    </w:p>
    <w:p>
      <w:pPr>
        <w:ind w:right="200" w:firstLine="623"/>
        <w:spacing w:after="0" w:line="275" w:lineRule="auto"/>
        <w:rPr>
          <w:sz w:val="20"/>
          <w:szCs w:val="20"/>
          <w:color w:val="auto"/>
        </w:rPr>
      </w:pPr>
      <w:r>
        <w:rPr>
          <w:rFonts w:ascii="Arial" w:cs="Arial" w:eastAsia="Arial" w:hAnsi="Arial"/>
          <w:sz w:val="17"/>
          <w:szCs w:val="17"/>
          <w:color w:val="auto"/>
        </w:rPr>
        <w:t>Our various debt arrangements described below contain customary representations, warranties, and events of default. As of March 31, 2025, we were in compliance with all covenants in those debt contracts, including our amended and restated senior secured credit agreement dated as of May 17, 2021 (as further amended from time to time, the "Restated Credit Agreement") and the indenture governing our 2032 Notes.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Credit Facility</w:t>
      </w:r>
    </w:p>
    <w:p>
      <w:pPr>
        <w:spacing w:after="0" w:line="194" w:lineRule="exact"/>
        <w:rPr>
          <w:sz w:val="20"/>
          <w:szCs w:val="20"/>
          <w:color w:val="auto"/>
        </w:rPr>
      </w:pPr>
    </w:p>
    <w:p>
      <w:pPr>
        <w:ind w:right="340" w:firstLine="623"/>
        <w:spacing w:after="0" w:line="268" w:lineRule="auto"/>
        <w:rPr>
          <w:sz w:val="20"/>
          <w:szCs w:val="20"/>
          <w:color w:val="auto"/>
        </w:rPr>
      </w:pPr>
      <w:r>
        <w:rPr>
          <w:rFonts w:ascii="Arial" w:cs="Arial" w:eastAsia="Arial" w:hAnsi="Arial"/>
          <w:sz w:val="17"/>
          <w:szCs w:val="17"/>
          <w:color w:val="auto"/>
        </w:rPr>
        <w:t>On December 16, 2024, we amended our Restated Credit Agreement to refinance our Term Loan B, which consists of a tranche denominated in U.S. dollars ("USD Tranche") and as part of the amendment the size of the USD tranche was increased by $48,614, and those proceeds were used to fully repay the previously outstanding tranche denominated in Euros ("Euro Tranche"). The amendment reduced the interest rate margin of the USD Tranche by 50 basis points, from Term SOFR plus 3.00% to Term SOFR plus 2.50%.</w:t>
      </w:r>
    </w:p>
    <w:p>
      <w:pPr>
        <w:spacing w:after="0" w:line="152" w:lineRule="exact"/>
        <w:rPr>
          <w:sz w:val="20"/>
          <w:szCs w:val="20"/>
          <w:color w:val="auto"/>
        </w:rPr>
      </w:pPr>
    </w:p>
    <w:p>
      <w:pPr>
        <w:jc w:val="both"/>
        <w:ind w:right="380" w:firstLine="623"/>
        <w:spacing w:after="0" w:line="275" w:lineRule="auto"/>
        <w:rPr>
          <w:sz w:val="20"/>
          <w:szCs w:val="20"/>
          <w:color w:val="auto"/>
        </w:rPr>
      </w:pPr>
      <w:r>
        <w:rPr>
          <w:rFonts w:ascii="Arial" w:cs="Arial" w:eastAsia="Arial" w:hAnsi="Arial"/>
          <w:sz w:val="17"/>
          <w:szCs w:val="17"/>
          <w:color w:val="auto"/>
        </w:rPr>
        <w:t>No other material changes were made to the terms of the Term Loan B or the Restated Credit Agreement, and the maturity date of the Term Loan B is still May 17, 2028. For the nine months ended March 31, 2025, we recognized a loss on extinguishment of debt as part of this refinancing of $696.</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Restated Credit Agreement consists of the following as of March 31, 2025:</w:t>
      </w:r>
    </w:p>
    <w:p>
      <w:pPr>
        <w:spacing w:after="0" w:line="103" w:lineRule="exact"/>
        <w:rPr>
          <w:sz w:val="20"/>
          <w:szCs w:val="20"/>
          <w:color w:val="auto"/>
        </w:rPr>
      </w:pPr>
    </w:p>
    <w:p>
      <w:pPr>
        <w:ind w:left="620" w:hanging="305"/>
        <w:spacing w:after="0"/>
        <w:tabs>
          <w:tab w:leader="none" w:pos="620" w:val="left"/>
        </w:tabs>
        <w:numPr>
          <w:ilvl w:val="0"/>
          <w:numId w:val="13"/>
        </w:numPr>
        <w:rPr>
          <w:rFonts w:ascii="Arial" w:cs="Arial" w:eastAsia="Arial" w:hAnsi="Arial"/>
          <w:sz w:val="19"/>
          <w:szCs w:val="19"/>
          <w:color w:val="auto"/>
        </w:rPr>
      </w:pPr>
      <w:r>
        <w:rPr>
          <w:rFonts w:ascii="Arial" w:cs="Arial" w:eastAsia="Arial" w:hAnsi="Arial"/>
          <w:sz w:val="17"/>
          <w:szCs w:val="17"/>
          <w:color w:val="auto"/>
        </w:rPr>
        <w:t>a $1,075,520 USD Tranche that bears interest at Term SOFR (with a Term SOFR rate floor of 0.50%) plus 2.50%, and</w:t>
      </w:r>
    </w:p>
    <w:p>
      <w:pPr>
        <w:spacing w:after="0" w:line="28" w:lineRule="exact"/>
        <w:rPr>
          <w:rFonts w:ascii="Arial" w:cs="Arial" w:eastAsia="Arial" w:hAnsi="Arial"/>
          <w:sz w:val="19"/>
          <w:szCs w:val="19"/>
          <w:color w:val="auto"/>
        </w:rPr>
      </w:pPr>
    </w:p>
    <w:p>
      <w:pPr>
        <w:ind w:left="620" w:right="400" w:hanging="305"/>
        <w:spacing w:after="0" w:line="270"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$250,000 senior secured revolving credit facility with a maturity date of September 26, 2029 (the “Revolving Credit Facility”), with no outstanding borrowings for any periods presented.</w:t>
      </w:r>
    </w:p>
    <w:p>
      <w:pPr>
        <w:spacing w:after="0" w:line="1" w:lineRule="exact"/>
        <w:rPr>
          <w:rFonts w:ascii="Arial" w:cs="Arial" w:eastAsia="Arial" w:hAnsi="Arial"/>
          <w:sz w:val="17"/>
          <w:szCs w:val="17"/>
          <w:color w:val="auto"/>
        </w:rPr>
      </w:pPr>
    </w:p>
    <w:p>
      <w:pPr>
        <w:ind w:left="1240" w:right="380" w:hanging="302"/>
        <w:spacing w:after="0" w:line="259" w:lineRule="auto"/>
        <w:tabs>
          <w:tab w:leader="none" w:pos="1236" w:val="left"/>
        </w:tabs>
        <w:numPr>
          <w:ilvl w:val="1"/>
          <w:numId w:val="13"/>
        </w:numPr>
        <w:rPr>
          <w:rFonts w:ascii="Arial" w:cs="Arial" w:eastAsia="Arial" w:hAnsi="Arial"/>
          <w:sz w:val="17"/>
          <w:szCs w:val="17"/>
          <w:color w:val="auto"/>
        </w:rPr>
      </w:pPr>
      <w:r>
        <w:rPr>
          <w:rFonts w:ascii="Arial" w:cs="Arial" w:eastAsia="Arial" w:hAnsi="Arial"/>
          <w:sz w:val="17"/>
          <w:szCs w:val="17"/>
          <w:color w:val="auto"/>
        </w:rPr>
        <w:t>Borrowings under the Revolving Credit Facility bear interest at Term SOFR (with a Term SOFR rate floor of 0%) plus 2.25% to 3.00% depending on the Company’s First Lien Leverage Ratio, a net leverage calculation, as defined in the Restated Credit Agreement.</w:t>
      </w:r>
    </w:p>
    <w:p>
      <w:pPr>
        <w:spacing w:after="0" w:line="172" w:lineRule="exact"/>
        <w:rPr>
          <w:sz w:val="20"/>
          <w:szCs w:val="20"/>
          <w:color w:val="auto"/>
        </w:rPr>
      </w:pPr>
    </w:p>
    <w:p>
      <w:pPr>
        <w:ind w:right="40" w:firstLine="623"/>
        <w:spacing w:after="0" w:line="257" w:lineRule="auto"/>
        <w:rPr>
          <w:sz w:val="20"/>
          <w:szCs w:val="20"/>
          <w:color w:val="auto"/>
        </w:rPr>
      </w:pPr>
      <w:r>
        <w:rPr>
          <w:rFonts w:ascii="Arial" w:cs="Arial" w:eastAsia="Arial" w:hAnsi="Arial"/>
          <w:sz w:val="17"/>
          <w:szCs w:val="17"/>
          <w:color w:val="auto"/>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2" w:name="page23"/>
    <w:bookmarkEnd w:id="22"/>
    <w:p>
      <w:pPr>
        <w:ind w:right="220"/>
        <w:spacing w:after="0" w:line="279" w:lineRule="auto"/>
        <w:rPr>
          <w:sz w:val="20"/>
          <w:szCs w:val="20"/>
          <w:color w:val="auto"/>
        </w:rPr>
      </w:pPr>
      <w:r>
        <w:rPr>
          <w:rFonts w:ascii="Arial" w:cs="Arial" w:eastAsia="Arial" w:hAnsi="Arial"/>
          <w:sz w:val="17"/>
          <w:szCs w:val="17"/>
          <w:color w:val="auto"/>
        </w:rPr>
        <w:t>then we are subject to a financial maintenance covenant that the First Lien Leverage Ratio calculated as of the last day of such quarter does not exceed 3.25 to 1.00.</w:t>
      </w:r>
    </w:p>
    <w:p>
      <w:pPr>
        <w:spacing w:after="0" w:line="130"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As of March 31, 2025, the weighted-average interest rate on outstanding borrowings under the Restated Credit Agreement was 6.44%, inclusive of interest rate swap rates. We are also required to pay a commitment fee for our Revolving Credit Facility on unused balances of 0.30% to 0.45% depending on our First Lien Leverage Ratio. We have pledged the assets and/or share capital of a number of our subsidiaries as collateral under our Restated Credit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Notes</w:t>
      </w:r>
    </w:p>
    <w:p>
      <w:pPr>
        <w:spacing w:after="0" w:line="168" w:lineRule="exact"/>
        <w:rPr>
          <w:sz w:val="20"/>
          <w:szCs w:val="20"/>
          <w:color w:val="auto"/>
        </w:rPr>
      </w:pPr>
    </w:p>
    <w:p>
      <w:pPr>
        <w:ind w:right="80" w:firstLine="623"/>
        <w:spacing w:after="0" w:line="262" w:lineRule="auto"/>
        <w:rPr>
          <w:sz w:val="20"/>
          <w:szCs w:val="20"/>
          <w:color w:val="auto"/>
        </w:rPr>
      </w:pPr>
      <w:r>
        <w:rPr>
          <w:rFonts w:ascii="Arial" w:cs="Arial" w:eastAsia="Arial" w:hAnsi="Arial"/>
          <w:sz w:val="17"/>
          <w:szCs w:val="17"/>
          <w:color w:val="auto"/>
        </w:rPr>
        <w:t>On September 26, 2024, we completed a private placement of $ 525,000 in aggregate principal amount of 7.375% senior unsecured notes due September 15, 2032 (the "2032 Notes"). We issued the 2032 Notes pursuant to a senior notes indenture dated as of September 26, 2024, among Cimpress plc, our subsidiary guarantors, and U.S Bank Trust Company, as trustee (the "Indenture"). We used the net proceeds from the 2032 Notes, together with cash on hand, to redeem all of the outstanding 7.0% senior unsecured notes due 2026 (the "2026 Notes") at a redemption price equal to par of the principal amount, to pay all accrued unpaid interest thereon, and to pay all fees and expenses related to the redemption and offering. For the nine months ended March 31, 2025, we recognized a gain on the extinguishment of debt as part of this refinancing of $338.</w:t>
      </w:r>
    </w:p>
    <w:p>
      <w:pPr>
        <w:spacing w:after="0" w:line="329" w:lineRule="exact"/>
        <w:rPr>
          <w:sz w:val="20"/>
          <w:szCs w:val="20"/>
          <w:color w:val="auto"/>
        </w:rPr>
      </w:pPr>
    </w:p>
    <w:p>
      <w:pPr>
        <w:ind w:right="240" w:firstLine="623"/>
        <w:spacing w:after="0" w:line="275" w:lineRule="auto"/>
        <w:rPr>
          <w:sz w:val="20"/>
          <w:szCs w:val="20"/>
          <w:color w:val="auto"/>
        </w:rPr>
      </w:pPr>
      <w:r>
        <w:rPr>
          <w:rFonts w:ascii="Arial" w:cs="Arial" w:eastAsia="Arial" w:hAnsi="Arial"/>
          <w:sz w:val="17"/>
          <w:szCs w:val="17"/>
          <w:color w:val="auto"/>
        </w:rPr>
        <w:t>The 2032 Notes bear interest at a rate of 7.375% per annum and mature on September 15, 2032. Interest on the 2032 Notes is payable semi-annually on March 15 and September 15 of each year, commencing on March 15, 2025, to the holders of record of the 2032 Notes at the close of business on March 1 or September 1, respectively, preceding such interest payment date.</w:t>
      </w:r>
    </w:p>
    <w:p>
      <w:pPr>
        <w:spacing w:after="0" w:line="107" w:lineRule="exact"/>
        <w:rPr>
          <w:sz w:val="20"/>
          <w:szCs w:val="20"/>
          <w:color w:val="auto"/>
        </w:rPr>
      </w:pPr>
    </w:p>
    <w:p>
      <w:pPr>
        <w:ind w:right="20" w:firstLine="623"/>
        <w:spacing w:after="0" w:line="268" w:lineRule="auto"/>
        <w:rPr>
          <w:sz w:val="20"/>
          <w:szCs w:val="20"/>
          <w:color w:val="auto"/>
        </w:rPr>
      </w:pPr>
      <w:r>
        <w:rPr>
          <w:rFonts w:ascii="Arial" w:cs="Arial" w:eastAsia="Arial" w:hAnsi="Arial"/>
          <w:sz w:val="17"/>
          <w:szCs w:val="17"/>
          <w:color w:val="auto"/>
        </w:rPr>
        <w:t>The 2032 Notes are senior unsecured obligations and rank equally in right of payment to all our existing and future senior unsecured debt and senior in right of payment to all of our existing and future subordinated debt. The 2032 Notes are effectively subordinated to any of our existing and future secured debt to the extent of the value of the assets securing such debt. Subject to certain exceptions, each of our existing and future subsidiaries that is a borrower under or guarantees our senior secured credit facilities guarantees the 2032 Notes.</w:t>
      </w:r>
    </w:p>
    <w:p>
      <w:pPr>
        <w:spacing w:after="0" w:line="191" w:lineRule="exact"/>
        <w:rPr>
          <w:sz w:val="20"/>
          <w:szCs w:val="20"/>
          <w:color w:val="auto"/>
        </w:rPr>
      </w:pPr>
    </w:p>
    <w:p>
      <w:pPr>
        <w:ind w:right="60" w:firstLine="623"/>
        <w:spacing w:after="0" w:line="265" w:lineRule="auto"/>
        <w:rPr>
          <w:sz w:val="20"/>
          <w:szCs w:val="20"/>
          <w:color w:val="auto"/>
        </w:rPr>
      </w:pPr>
      <w:r>
        <w:rPr>
          <w:rFonts w:ascii="Arial" w:cs="Arial" w:eastAsia="Arial" w:hAnsi="Arial"/>
          <w:sz w:val="17"/>
          <w:szCs w:val="17"/>
          <w:color w:val="auto"/>
        </w:rPr>
        <w:t>The Indenture under which the 2032 Notes are issued contains various covenants, including covenants that, subject to certain exceptions, limit our restricted subsidiaries’ ability to: incur and/or guarantee additional debt; pay dividends, repurchase shares or make certain other restricted payments; enter into agreements limiting dividends and certain other restricted payments; prepay, redeem or repurchase subordinated debt; grant liens on assets; merge, consolidate or transfer or dispose of substantially all of our consolidated assets; sell, transfer or otherwise dispose of property and assets; and engage in transactions with affiliates.</w:t>
      </w:r>
    </w:p>
    <w:p>
      <w:pPr>
        <w:spacing w:after="0" w:line="193" w:lineRule="exact"/>
        <w:rPr>
          <w:sz w:val="20"/>
          <w:szCs w:val="20"/>
          <w:color w:val="auto"/>
        </w:rPr>
      </w:pPr>
    </w:p>
    <w:p>
      <w:pPr>
        <w:ind w:firstLine="623"/>
        <w:spacing w:after="0" w:line="260" w:lineRule="auto"/>
        <w:rPr>
          <w:sz w:val="20"/>
          <w:szCs w:val="20"/>
          <w:color w:val="auto"/>
        </w:rPr>
      </w:pPr>
      <w:r>
        <w:rPr>
          <w:rFonts w:ascii="Arial" w:cs="Arial" w:eastAsia="Arial" w:hAnsi="Arial"/>
          <w:sz w:val="17"/>
          <w:szCs w:val="17"/>
          <w:color w:val="auto"/>
        </w:rPr>
        <w:t>At any time prior to September 15, 2027, we may redeem some or all of the 2032 Notes at a redemption price equal to 100% of the principal amount redeemed, plus a make-whole amount as set forth in the Indenture, plus, in each case, accrued and unpaid interest and Additional Amounts (as defined in the Indenture), if any, to, but not including, the redemption date. In addition, at any time prior to September 15, 2027, Cimpress may on any one or more occasions redeem up to 40% of the original aggregate principal amount of the Notes with the net proceeds of certain equity offerings by Cimpress at a redemption price equal to 107.375% of the principal amount thereof, plus accrued and unpaid interest and Additional Amounts, if any (which accrued and unpaid interest and Additional Amounts need not be funded with such proceeds), to, but not including, the redemption date. At any time on or after September 15, 2027, Cimpress may redeem some or all of the Notes at the redemption prices specified in the Indenture, plus accrued and unpaid interest and Additional Amounts, if any, to, but not including, the redemption date.</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Debt</w:t>
      </w:r>
    </w:p>
    <w:p>
      <w:pPr>
        <w:spacing w:after="0" w:line="207"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Other debt consists primarily of term loans acquired through our various acquisitions or used to fund certain capital investments. As of March 31, 2025 and June 30, 2024, we had $7,208 and $9,845, respectively, outstanding for those obligations that are payable through September 2027.</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83" w:lineRule="exact"/>
        <w:rPr>
          <w:sz w:val="20"/>
          <w:szCs w:val="20"/>
          <w:color w:val="auto"/>
        </w:rPr>
      </w:pPr>
    </w:p>
    <w:p>
      <w:pPr>
        <w:ind w:right="320" w:firstLine="623"/>
        <w:spacing w:after="0" w:line="295" w:lineRule="auto"/>
        <w:rPr>
          <w:sz w:val="20"/>
          <w:szCs w:val="20"/>
          <w:color w:val="auto"/>
        </w:rPr>
      </w:pPr>
      <w:r>
        <w:rPr>
          <w:rFonts w:ascii="Arial" w:cs="Arial" w:eastAsia="Arial" w:hAnsi="Arial"/>
          <w:sz w:val="17"/>
          <w:szCs w:val="17"/>
          <w:color w:val="auto"/>
        </w:rPr>
        <w:t>Our income tax expense was $ 12,144 and $42,290 for the three and nine months ended March 31, 2025, respectively, as compared to $10,610 and $35,527 for the three and nine months ended March 31, 2024,</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3" w:name="page24"/>
    <w:bookmarkEnd w:id="23"/>
    <w:p>
      <w:pPr>
        <w:ind w:right="40"/>
        <w:spacing w:after="0" w:line="261" w:lineRule="auto"/>
        <w:rPr>
          <w:sz w:val="20"/>
          <w:szCs w:val="20"/>
          <w:color w:val="auto"/>
        </w:rPr>
      </w:pPr>
      <w:r>
        <w:rPr>
          <w:rFonts w:ascii="Arial" w:cs="Arial" w:eastAsia="Arial" w:hAnsi="Arial"/>
          <w:sz w:val="17"/>
          <w:szCs w:val="17"/>
          <w:color w:val="auto"/>
        </w:rPr>
        <w:t>respectively. Income tax expense increased versus the prior comparative periods due to an increased full-year forecasted effective tax rate. Excluding the effect of discrete tax adjustments, our estimated annual effective tax rate is higher for fiscal year 2025 than for fiscal year 2024 primarily due to increased Swiss tax as the prior comparative periods had a full valuation allowance in Switzerland, which was partially released in the quarter ended June 30, 2024. Our effective tax rate continues to be negatively impacted by losses in certain jurisdictions where we are unable to recognize a tax benefit in the current period. These losses with no tax benefit were excluded in calculating income tax expense for the three and nine months ended March 31, 2025 and 2024, in accordance with GAAP. We continuously analyze our valuation allowance positions and the weight of objective and verifiable evidence of actual results against the more subjective evidence of anticipated future income.</w:t>
      </w:r>
    </w:p>
    <w:p>
      <w:pPr>
        <w:spacing w:after="0" w:line="199"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As of March 31, 2025 we had unrecognized tax benefits of $17,751, including accrued interest and penalties of $2,476. We recognize interest and, if applicable, penalties related to unrecognized tax benefits in the provision for income taxes. If recognized, $6,719 of unrecognized tax benefits would reduce our tax expense. It is reasonably possible that a reduction in unrecognized tax benefits may occur within the next twelve months in the range of $6,300 to $6,800 related to the lapse of applicable statutes of limitations or settlement. We believe we have appropriately provided for all tax uncertainties.</w:t>
      </w:r>
    </w:p>
    <w:p>
      <w:pPr>
        <w:spacing w:after="0" w:line="167"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We conduct business in a number of tax jurisdictions and, as such, are required to file income tax returns in multiple jurisdictions globally. The years 2014 through 2024 remain open for examination by the U.S. Internal Revenue Service and the years 2015 through 2024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pacing w:after="0" w:line="192" w:lineRule="exact"/>
        <w:rPr>
          <w:sz w:val="20"/>
          <w:szCs w:val="20"/>
          <w:color w:val="auto"/>
        </w:rPr>
      </w:pPr>
    </w:p>
    <w:p>
      <w:pPr>
        <w:ind w:right="8160" w:firstLine="4"/>
        <w:spacing w:after="0" w:line="471" w:lineRule="auto"/>
        <w:tabs>
          <w:tab w:leader="none" w:pos="289"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Noncontrolling Interests Redeemable Noncontrolling Interests</w:t>
      </w:r>
    </w:p>
    <w:p>
      <w:pPr>
        <w:spacing w:after="0" w:line="1" w:lineRule="exact"/>
        <w:rPr>
          <w:sz w:val="20"/>
          <w:szCs w:val="20"/>
          <w:color w:val="auto"/>
        </w:rPr>
      </w:pPr>
    </w:p>
    <w:p>
      <w:pPr>
        <w:ind w:right="100" w:firstLine="623"/>
        <w:spacing w:after="0" w:line="295" w:lineRule="auto"/>
        <w:rPr>
          <w:sz w:val="20"/>
          <w:szCs w:val="20"/>
          <w:color w:val="auto"/>
        </w:rPr>
      </w:pPr>
      <w:r>
        <w:rPr>
          <w:rFonts w:ascii="Arial" w:cs="Arial" w:eastAsia="Arial" w:hAnsi="Arial"/>
          <w:sz w:val="17"/>
          <w:szCs w:val="17"/>
          <w:color w:val="auto"/>
        </w:rPr>
        <w:t>For some of our subsidiaries, we own a controlling equity stake, and a third party or key members of the business management team own a minority portion of the equity. These noncontrolling interests span multiple businesses and reportable segments.</w:t>
      </w:r>
    </w:p>
    <w:p>
      <w:pPr>
        <w:spacing w:after="0" w:line="1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changes in our noncontrolling interests: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Redeemable</w:t>
            </w:r>
          </w:p>
        </w:tc>
        <w:tc>
          <w:tcPr>
            <w:tcW w:w="140" w:type="dxa"/>
            <w:vAlign w:val="bottom"/>
          </w:tcPr>
          <w:p>
            <w:pPr>
              <w:spacing w:after="0"/>
              <w:rPr>
                <w:sz w:val="12"/>
                <w:szCs w:val="12"/>
                <w:color w:val="auto"/>
              </w:rPr>
            </w:pPr>
          </w:p>
        </w:tc>
        <w:tc>
          <w:tcPr>
            <w:tcW w:w="1120" w:type="dxa"/>
            <w:vAlign w:val="bottom"/>
            <w:vMerge w:val="restart"/>
          </w:tcPr>
          <w:p>
            <w:pPr>
              <w:jc w:val="right"/>
              <w:ind w:right="126"/>
              <w:spacing w:after="0"/>
              <w:rPr>
                <w:sz w:val="20"/>
                <w:szCs w:val="20"/>
                <w:color w:val="auto"/>
              </w:rPr>
            </w:pPr>
            <w:r>
              <w:rPr>
                <w:rFonts w:ascii="Arial" w:cs="Arial" w:eastAsia="Arial" w:hAnsi="Arial"/>
                <w:sz w:val="12"/>
                <w:szCs w:val="12"/>
                <w:b w:val="1"/>
                <w:bCs w:val="1"/>
                <w:color w:val="auto"/>
              </w:rPr>
              <w:t>Noncontrolling</w:t>
            </w:r>
          </w:p>
        </w:tc>
        <w:tc>
          <w:tcPr>
            <w:tcW w:w="0" w:type="dxa"/>
            <w:vAlign w:val="bottom"/>
          </w:tcPr>
          <w:p>
            <w:pPr>
              <w:spacing w:after="0"/>
              <w:rPr>
                <w:sz w:val="1"/>
                <w:szCs w:val="1"/>
                <w:color w:val="auto"/>
              </w:rPr>
            </w:pPr>
          </w:p>
        </w:tc>
      </w:tr>
      <w:tr>
        <w:trPr>
          <w:trHeight w:val="117"/>
        </w:trPr>
        <w:tc>
          <w:tcPr>
            <w:tcW w:w="8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Interest</w:t>
            </w:r>
          </w:p>
        </w:tc>
        <w:tc>
          <w:tcPr>
            <w:tcW w:w="140" w:type="dxa"/>
            <w:vAlign w:val="bottom"/>
          </w:tcPr>
          <w:p>
            <w:pPr>
              <w:spacing w:after="0"/>
              <w:rPr>
                <w:sz w:val="15"/>
                <w:szCs w:val="15"/>
                <w:color w:val="auto"/>
              </w:rPr>
            </w:pPr>
          </w:p>
        </w:tc>
        <w:tc>
          <w:tcPr>
            <w:tcW w:w="1120" w:type="dxa"/>
            <w:vAlign w:val="bottom"/>
          </w:tcPr>
          <w:p>
            <w:pPr>
              <w:jc w:val="right"/>
              <w:ind w:right="346"/>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205"/>
        </w:trPr>
        <w:tc>
          <w:tcPr>
            <w:tcW w:w="8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June 30,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Acquisition of noncontrolling interest (1)</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to redemption value recognized in retained earnings (2)</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noncontrolling interest (3)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7"/>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7" w:lineRule="exact"/>
        <w:rPr>
          <w:sz w:val="20"/>
          <w:szCs w:val="20"/>
          <w:color w:val="auto"/>
        </w:rPr>
      </w:pPr>
    </w:p>
    <w:p>
      <w:pPr>
        <w:ind w:left="220" w:hanging="216"/>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the current quarter, we completed the acquisition of an immaterial business that is part of our PrintBrothers reportable segment.</w:t>
      </w:r>
    </w:p>
    <w:p>
      <w:pPr>
        <w:spacing w:after="0" w:line="7" w:lineRule="exact"/>
        <w:rPr>
          <w:rFonts w:ascii="Arial" w:cs="Arial" w:eastAsia="Arial" w:hAnsi="Arial"/>
          <w:sz w:val="14"/>
          <w:szCs w:val="14"/>
          <w:color w:val="auto"/>
        </w:rPr>
      </w:pPr>
    </w:p>
    <w:p>
      <w:pPr>
        <w:ind w:left="240" w:right="340" w:hanging="236"/>
        <w:spacing w:after="0" w:line="251"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Accretion of redeemable noncontrolling interests to redemption value recognized in retained earnings is the result of changes in the estimated redemption amount to the extent increases do not exceed the estimated fair value. Any change in the estimated redemption amount which exceeds the estimated fair value is recognized within net income attributable to noncontrolling interests.</w:t>
      </w:r>
    </w:p>
    <w:p>
      <w:pPr>
        <w:spacing w:after="0" w:line="1" w:lineRule="exact"/>
        <w:rPr>
          <w:rFonts w:ascii="Arial" w:cs="Arial" w:eastAsia="Arial" w:hAnsi="Arial"/>
          <w:sz w:val="14"/>
          <w:szCs w:val="14"/>
          <w:color w:val="auto"/>
        </w:rPr>
      </w:pPr>
    </w:p>
    <w:p>
      <w:pPr>
        <w:jc w:val="both"/>
        <w:ind w:left="240" w:right="240" w:hanging="236"/>
        <w:spacing w:after="0" w:line="247" w:lineRule="auto"/>
        <w:tabs>
          <w:tab w:leader="none" w:pos="2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the second quarter of the current fiscal year, we purchased 49% of the remaining equity interest in one of the smaller businesses previously acquired and included in our PrintBrothers reportable segment for a total purchase price of $4,579, which consisted of $4,059 of cash paid at closing, and $520 of a deferred payment that is payable in fiscal year 2029.</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Segment Information</w:t>
      </w:r>
    </w:p>
    <w:p>
      <w:pPr>
        <w:spacing w:after="0" w:line="196" w:lineRule="exact"/>
        <w:rPr>
          <w:sz w:val="20"/>
          <w:szCs w:val="20"/>
          <w:color w:val="auto"/>
        </w:rPr>
      </w:pPr>
    </w:p>
    <w:p>
      <w:pPr>
        <w:jc w:val="both"/>
        <w:ind w:right="620" w:firstLine="623"/>
        <w:spacing w:after="0" w:line="275" w:lineRule="auto"/>
        <w:rPr>
          <w:sz w:val="20"/>
          <w:szCs w:val="20"/>
          <w:color w:val="auto"/>
        </w:rPr>
      </w:pPr>
      <w:r>
        <w:rPr>
          <w:rFonts w:ascii="Arial" w:cs="Arial" w:eastAsia="Arial" w:hAnsi="Arial"/>
          <w:sz w:val="17"/>
          <w:szCs w:val="17"/>
          <w:color w:val="auto"/>
        </w:rPr>
        <w:t>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4" w:name="page25"/>
    <w:bookmarkEnd w:id="24"/>
    <w:p>
      <w:pPr>
        <w:ind w:right="580" w:firstLine="623"/>
        <w:spacing w:after="0" w:line="295" w:lineRule="auto"/>
        <w:rPr>
          <w:sz w:val="20"/>
          <w:szCs w:val="20"/>
          <w:color w:val="auto"/>
        </w:rPr>
      </w:pPr>
      <w:r>
        <w:rPr>
          <w:rFonts w:ascii="Arial" w:cs="Arial" w:eastAsia="Arial" w:hAnsi="Arial"/>
          <w:sz w:val="17"/>
          <w:szCs w:val="17"/>
          <w:color w:val="auto"/>
        </w:rPr>
        <w:t>As of March 31, 2025, we have numerous operating segments under our management reporting structure which are reported in the following five reportable segments:</w:t>
      </w:r>
    </w:p>
    <w:p>
      <w:pPr>
        <w:spacing w:after="0" w:line="117" w:lineRule="exact"/>
        <w:rPr>
          <w:sz w:val="20"/>
          <w:szCs w:val="20"/>
          <w:color w:val="auto"/>
        </w:rPr>
      </w:pPr>
    </w:p>
    <w:p>
      <w:pPr>
        <w:ind w:left="620" w:hanging="305"/>
        <w:spacing w:after="0" w:line="268"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Vista </w:t>
      </w:r>
      <w:r>
        <w:rPr>
          <w:rFonts w:ascii="Arial" w:cs="Arial" w:eastAsia="Arial" w:hAnsi="Arial"/>
          <w:sz w:val="17"/>
          <w:szCs w:val="17"/>
          <w:color w:val="auto"/>
        </w:rPr>
        <w:t>- Consists of the operations of our VistaPrint branded websites in North America, Western Europe, Australia, New Zealand, India,</w:t>
      </w:r>
      <w:r>
        <w:rPr>
          <w:rFonts w:ascii="Arial" w:cs="Arial" w:eastAsia="Arial" w:hAnsi="Arial"/>
          <w:sz w:val="17"/>
          <w:szCs w:val="17"/>
          <w:i w:val="1"/>
          <w:iCs w:val="1"/>
          <w:color w:val="auto"/>
        </w:rPr>
        <w:t xml:space="preserve"> </w:t>
      </w:r>
      <w:r>
        <w:rPr>
          <w:rFonts w:ascii="Arial" w:cs="Arial" w:eastAsia="Arial" w:hAnsi="Arial"/>
          <w:sz w:val="17"/>
          <w:szCs w:val="17"/>
          <w:color w:val="auto"/>
        </w:rPr>
        <w:t>and Singapore. This business also includes our 99designs by Vista business, which provides graphic design services, VistaCreate for do-it-yourself (DIY) design, our Vista x Wix partnership for small business websites, and our Vista Corporate Solutions business, which serves medium-sized businesses and large corporations.</w:t>
      </w:r>
    </w:p>
    <w:p>
      <w:pPr>
        <w:spacing w:after="0" w:line="152" w:lineRule="exact"/>
        <w:rPr>
          <w:rFonts w:ascii="Arial" w:cs="Arial" w:eastAsia="Arial" w:hAnsi="Arial"/>
          <w:sz w:val="17"/>
          <w:szCs w:val="17"/>
          <w:color w:val="auto"/>
        </w:rPr>
      </w:pPr>
    </w:p>
    <w:p>
      <w:pPr>
        <w:ind w:left="620" w:right="540" w:hanging="305"/>
        <w:spacing w:after="0" w:line="295"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PrintBrothers </w:t>
      </w:r>
      <w:r>
        <w:rPr>
          <w:rFonts w:ascii="Arial" w:cs="Arial" w:eastAsia="Arial" w:hAnsi="Arial"/>
          <w:sz w:val="17"/>
          <w:szCs w:val="17"/>
          <w:color w:val="auto"/>
        </w:rPr>
        <w:t>- Includes the results of druck.at, Printdeal, and WIRmachenDRUCK, a group of Upload &amp; Print businesses that serve</w:t>
      </w:r>
      <w:r>
        <w:rPr>
          <w:rFonts w:ascii="Arial" w:cs="Arial" w:eastAsia="Arial" w:hAnsi="Arial"/>
          <w:sz w:val="17"/>
          <w:szCs w:val="17"/>
          <w:i w:val="1"/>
          <w:iCs w:val="1"/>
          <w:color w:val="auto"/>
        </w:rPr>
        <w:t xml:space="preserve"> </w:t>
      </w:r>
      <w:r>
        <w:rPr>
          <w:rFonts w:ascii="Arial" w:cs="Arial" w:eastAsia="Arial" w:hAnsi="Arial"/>
          <w:sz w:val="17"/>
          <w:szCs w:val="17"/>
          <w:color w:val="auto"/>
        </w:rPr>
        <w:t>graphic professionals throughout Europe, primarily in Austria, Belgium, Germany, the Netherlands, and Switzerland.</w:t>
      </w:r>
    </w:p>
    <w:p>
      <w:pPr>
        <w:spacing w:after="0" w:line="129" w:lineRule="exact"/>
        <w:rPr>
          <w:rFonts w:ascii="Arial" w:cs="Arial" w:eastAsia="Arial" w:hAnsi="Arial"/>
          <w:sz w:val="17"/>
          <w:szCs w:val="17"/>
          <w:color w:val="auto"/>
        </w:rPr>
      </w:pPr>
    </w:p>
    <w:p>
      <w:pPr>
        <w:ind w:left="620" w:right="80" w:hanging="305"/>
        <w:spacing w:after="0" w:line="268"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The Print Group </w:t>
      </w:r>
      <w:r>
        <w:rPr>
          <w:rFonts w:ascii="Arial" w:cs="Arial" w:eastAsia="Arial" w:hAnsi="Arial"/>
          <w:sz w:val="17"/>
          <w:szCs w:val="17"/>
          <w:color w:val="auto"/>
        </w:rPr>
        <w:t>- Includes the results of Easyflyer, Exaprint, Packstyle, Pixartprinting, and Tradeprint, a group of Upload &amp; Print</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businesses that serve graphic professionals throughout Europe, primarily in France, Italy, Spain, and the United Kingdom. Pixartprinting's U.S. facility went live in March 2025, fulfilling orders for other Cimpress businesses as the business expands its offerings and launches its brand in North America.</w:t>
      </w:r>
    </w:p>
    <w:p>
      <w:pPr>
        <w:spacing w:after="0" w:line="139" w:lineRule="exact"/>
        <w:rPr>
          <w:rFonts w:ascii="Arial" w:cs="Arial" w:eastAsia="Arial" w:hAnsi="Arial"/>
          <w:sz w:val="17"/>
          <w:szCs w:val="17"/>
          <w:color w:val="auto"/>
        </w:rPr>
      </w:pPr>
    </w:p>
    <w:p>
      <w:pPr>
        <w:ind w:left="620" w:right="200" w:hanging="305"/>
        <w:spacing w:after="0" w:line="275"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National Pen </w:t>
      </w:r>
      <w:r>
        <w:rPr>
          <w:rFonts w:ascii="Arial" w:cs="Arial" w:eastAsia="Arial" w:hAnsi="Arial"/>
          <w:sz w:val="17"/>
          <w:szCs w:val="17"/>
          <w:color w:val="auto"/>
        </w:rPr>
        <w:t>- Serves small businesses across geographies including North America, Europe, and Australia. The pens.com branded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sells through their ecommerce site and is supported by digital marketing methods as well as direct mail and telesales. National Pen focuses on customized writing instruments and promotional products, apparel, and gifts for small- and medium-sized businesses.</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All Other Businesses </w:t>
      </w:r>
      <w:r>
        <w:rPr>
          <w:rFonts w:ascii="Arial" w:cs="Arial" w:eastAsia="Arial" w:hAnsi="Arial"/>
          <w:sz w:val="17"/>
          <w:szCs w:val="17"/>
          <w:color w:val="auto"/>
        </w:rPr>
        <w:t>- Includes two businesses grouped together based on materiality.</w:t>
      </w:r>
    </w:p>
    <w:p>
      <w:pPr>
        <w:spacing w:after="0" w:line="64" w:lineRule="exact"/>
        <w:rPr>
          <w:rFonts w:ascii="Arial" w:cs="Arial" w:eastAsia="Arial" w:hAnsi="Arial"/>
          <w:sz w:val="17"/>
          <w:szCs w:val="17"/>
          <w:i w:val="1"/>
          <w:iCs w:val="1"/>
          <w:color w:val="auto"/>
        </w:rPr>
      </w:pPr>
    </w:p>
    <w:p>
      <w:pPr>
        <w:ind w:left="1240" w:hanging="302"/>
        <w:spacing w:after="0"/>
        <w:tabs>
          <w:tab w:leader="none" w:pos="1240" w:val="left"/>
        </w:tabs>
        <w:numPr>
          <w:ilvl w:val="1"/>
          <w:numId w:val="16"/>
        </w:numPr>
        <w:rPr>
          <w:rFonts w:ascii="Arial" w:cs="Arial" w:eastAsia="Arial" w:hAnsi="Arial"/>
          <w:sz w:val="17"/>
          <w:szCs w:val="17"/>
          <w:b w:val="1"/>
          <w:bCs w:val="1"/>
          <w:color w:val="auto"/>
        </w:rPr>
      </w:pPr>
      <w:r>
        <w:rPr>
          <w:rFonts w:ascii="Arial" w:cs="Arial" w:eastAsia="Arial" w:hAnsi="Arial"/>
          <w:sz w:val="17"/>
          <w:szCs w:val="17"/>
          <w:color w:val="auto"/>
        </w:rPr>
        <w:t>BuildASign is a provider of canvas-print wall décor, business signage and other large-format printed products.</w:t>
      </w:r>
    </w:p>
    <w:p>
      <w:pPr>
        <w:spacing w:after="0" w:line="64" w:lineRule="exact"/>
        <w:rPr>
          <w:rFonts w:ascii="Arial" w:cs="Arial" w:eastAsia="Arial" w:hAnsi="Arial"/>
          <w:sz w:val="17"/>
          <w:szCs w:val="17"/>
          <w:b w:val="1"/>
          <w:bCs w:val="1"/>
          <w:color w:val="auto"/>
        </w:rPr>
      </w:pPr>
    </w:p>
    <w:p>
      <w:pPr>
        <w:ind w:left="1240" w:hanging="302"/>
        <w:spacing w:after="0"/>
        <w:tabs>
          <w:tab w:leader="none" w:pos="12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Printi, a smaller business that is an online printing leader in Brazil.</w:t>
      </w:r>
    </w:p>
    <w:p>
      <w:pPr>
        <w:spacing w:after="0" w:line="298" w:lineRule="exact"/>
        <w:rPr>
          <w:sz w:val="20"/>
          <w:szCs w:val="20"/>
          <w:color w:val="auto"/>
        </w:rPr>
      </w:pPr>
    </w:p>
    <w:p>
      <w:pPr>
        <w:ind w:right="20" w:firstLine="623"/>
        <w:spacing w:after="0" w:line="248"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occur when one Cimpress business chooses to buy from or sell to another Cimpress business. Under the new approach, a merchant business (the buyer) is cross charged the actual cost of fulfillment that includes product (e.g., labor, materials and overhead allocation) and shipping costs. A fulfiller business (the seller) receives inter-segment revenue that includes the product costs plus a markup, as well as the shipping costs. The fulfiller profit is included in the fulfiller’s segment results, but eliminated from consolidated reporting through an inter-segment EBITDA elimination</w:t>
      </w:r>
      <w:r>
        <w:rPr>
          <w:rFonts w:ascii="Times New Roman" w:cs="Times New Roman" w:eastAsia="Times New Roman" w:hAnsi="Times New Roman"/>
          <w:sz w:val="15"/>
          <w:szCs w:val="15"/>
          <w:color w:val="auto"/>
        </w:rPr>
        <w:t>.</w:t>
      </w:r>
      <w:r>
        <w:rPr>
          <w:rFonts w:ascii="Arial" w:cs="Arial" w:eastAsia="Arial" w:hAnsi="Arial"/>
          <w:sz w:val="17"/>
          <w:szCs w:val="17"/>
          <w:color w:val="auto"/>
        </w:rPr>
        <w:t xml:space="preserve"> The new approach allows our merchant businesses to access the ultimate Cimpress cost of fulfillment for a given product and therefore that ultimate Cimpress cost can be used to determine pricing, advertising spend, and other operational decisions. Prior to this change, inter-segment transactions were based on marked-up pricing that resulted in the merchant business recognizing inter-segment cost of goods sold that was equal to inter-segment revenue that was recognized by the fulfiller business, and as such there was no inter-segment EBITDA elimination under our prior method. We have recast all prior periods presented for segment revenue and segment EBITDA to ensure comparability with the current fiscal year. These changes in methodology have no impact on our consolidated financial results.</w:t>
      </w:r>
    </w:p>
    <w:p>
      <w:pPr>
        <w:spacing w:after="0" w:line="159" w:lineRule="exact"/>
        <w:rPr>
          <w:sz w:val="20"/>
          <w:szCs w:val="20"/>
          <w:color w:val="auto"/>
        </w:rPr>
      </w:pPr>
    </w:p>
    <w:p>
      <w:pPr>
        <w:ind w:right="18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corporate communications, remote-first enablement, consolidated reporting and compliance, investor relations, and the functions of our CEO and CFO. These costs also include certain unallocated share-based compensation costs.</w:t>
      </w:r>
    </w:p>
    <w:p>
      <w:pPr>
        <w:spacing w:after="0" w:line="154"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5" w:name="page26"/>
    <w:bookmarkEnd w:id="25"/>
    <w:p>
      <w:pPr>
        <w:ind w:right="340" w:firstLine="623"/>
        <w:spacing w:after="0" w:line="265" w:lineRule="auto"/>
        <w:rPr>
          <w:sz w:val="20"/>
          <w:szCs w:val="20"/>
          <w:color w:val="auto"/>
        </w:rPr>
      </w:pPr>
      <w:r>
        <w:rPr>
          <w:rFonts w:ascii="Arial" w:cs="Arial" w:eastAsia="Arial" w:hAnsi="Arial"/>
          <w:sz w:val="17"/>
          <w:szCs w:val="17"/>
          <w:color w:val="auto"/>
        </w:rPr>
        <w:t>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w:t>
      </w:r>
    </w:p>
    <w:p>
      <w:pPr>
        <w:spacing w:after="0" w:line="141"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spacing w:after="0" w:line="146" w:lineRule="exact"/>
        <w:rPr>
          <w:sz w:val="20"/>
          <w:szCs w:val="20"/>
          <w:color w:val="auto"/>
        </w:rPr>
      </w:pPr>
    </w:p>
    <w:p>
      <w:pPr>
        <w:ind w:firstLine="623"/>
        <w:spacing w:after="0" w:line="287" w:lineRule="auto"/>
        <w:rPr>
          <w:sz w:val="20"/>
          <w:szCs w:val="20"/>
          <w:color w:val="auto"/>
        </w:rPr>
      </w:pPr>
      <w:r>
        <w:rPr>
          <w:rFonts w:ascii="Arial" w:cs="Arial" w:eastAsia="Arial" w:hAnsi="Arial"/>
          <w:sz w:val="17"/>
          <w:szCs w:val="17"/>
          <w:color w:val="auto"/>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40" w:type="dxa"/>
            <w:vAlign w:val="bottom"/>
            <w:gridSpan w:val="6"/>
          </w:tcPr>
          <w:p>
            <w:pPr>
              <w:ind w:left="780"/>
              <w:spacing w:after="0"/>
              <w:rPr>
                <w:sz w:val="20"/>
                <w:szCs w:val="20"/>
                <w:color w:val="auto"/>
              </w:rPr>
            </w:pPr>
            <w:r>
              <w:rPr>
                <w:rFonts w:ascii="Arial" w:cs="Arial" w:eastAsia="Arial" w:hAnsi="Arial"/>
                <w:sz w:val="12"/>
                <w:szCs w:val="12"/>
                <w:b w:val="1"/>
                <w:bCs w:val="1"/>
                <w:color w:val="auto"/>
              </w:rPr>
              <w:t>Three Months Ended March 31,</w:t>
            </w:r>
          </w:p>
        </w:tc>
        <w:tc>
          <w:tcPr>
            <w:tcW w:w="380" w:type="dxa"/>
            <w:vAlign w:val="bottom"/>
          </w:tcPr>
          <w:p>
            <w:pPr>
              <w:spacing w:after="0"/>
              <w:rPr>
                <w:sz w:val="14"/>
                <w:szCs w:val="14"/>
                <w:color w:val="auto"/>
              </w:rPr>
            </w:pPr>
          </w:p>
        </w:tc>
        <w:tc>
          <w:tcPr>
            <w:tcW w:w="2960" w:type="dxa"/>
            <w:vAlign w:val="bottom"/>
            <w:gridSpan w:val="4"/>
          </w:tcPr>
          <w:p>
            <w:pPr>
              <w:jc w:val="right"/>
              <w:ind w:right="744"/>
              <w:spacing w:after="0"/>
              <w:rPr>
                <w:sz w:val="20"/>
                <w:szCs w:val="20"/>
                <w:color w:val="auto"/>
              </w:rPr>
            </w:pPr>
            <w:r>
              <w:rPr>
                <w:rFonts w:ascii="Arial" w:cs="Arial" w:eastAsia="Arial" w:hAnsi="Arial"/>
                <w:sz w:val="12"/>
                <w:szCs w:val="12"/>
                <w:b w:val="1"/>
                <w:bCs w:val="1"/>
                <w:color w:val="auto"/>
              </w:rPr>
              <w:t>Nine Months Ended March 31,</w:t>
            </w:r>
          </w:p>
        </w:tc>
      </w:tr>
      <w:tr>
        <w:trPr>
          <w:trHeight w:val="164"/>
        </w:trPr>
        <w:tc>
          <w:tcPr>
            <w:tcW w:w="444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2024 (1)</w:t>
            </w: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4440" w:type="dxa"/>
            <w:vAlign w:val="bottom"/>
          </w:tcPr>
          <w:p>
            <w:pPr>
              <w:ind w:left="320"/>
              <w:spacing w:after="0"/>
              <w:rPr>
                <w:sz w:val="20"/>
                <w:szCs w:val="20"/>
                <w:color w:val="auto"/>
              </w:rPr>
            </w:pPr>
            <w:r>
              <w:rPr>
                <w:rFonts w:ascii="Arial" w:cs="Arial" w:eastAsia="Arial" w:hAnsi="Arial"/>
                <w:sz w:val="16"/>
                <w:szCs w:val="16"/>
                <w:color w:val="auto"/>
              </w:rPr>
              <w:t>Vista</w:t>
            </w:r>
          </w:p>
        </w:tc>
        <w:tc>
          <w:tcPr>
            <w:tcW w:w="960" w:type="dxa"/>
            <w:vAlign w:val="bottom"/>
          </w:tcPr>
          <w:p>
            <w:pPr>
              <w:jc w:val="right"/>
              <w:ind w:right="791"/>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430,651</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418,079</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1,357,822</w:t>
            </w:r>
          </w:p>
        </w:tc>
        <w:tc>
          <w:tcPr>
            <w:tcW w:w="8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1,300,374</w:t>
            </w:r>
          </w:p>
        </w:tc>
      </w:tr>
      <w:tr>
        <w:trPr>
          <w:trHeight w:val="209"/>
        </w:trPr>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155,981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490,904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468,801</w:t>
            </w:r>
          </w:p>
        </w:tc>
      </w:tr>
      <w:tr>
        <w:trPr>
          <w:trHeight w:val="207"/>
        </w:trPr>
        <w:tc>
          <w:tcPr>
            <w:tcW w:w="444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96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89,348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87,093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6"/>
              <w:spacing w:after="0"/>
              <w:rPr>
                <w:sz w:val="20"/>
                <w:szCs w:val="20"/>
                <w:color w:val="auto"/>
              </w:rPr>
            </w:pPr>
            <w:r>
              <w:rPr>
                <w:rFonts w:ascii="Arial" w:cs="Arial" w:eastAsia="Arial" w:hAnsi="Arial"/>
                <w:sz w:val="16"/>
                <w:szCs w:val="16"/>
                <w:color w:val="auto"/>
              </w:rPr>
              <w:t>272,048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color w:val="auto"/>
              </w:rPr>
              <w:t>258,665</w:t>
            </w:r>
          </w:p>
        </w:tc>
      </w:tr>
      <w:tr>
        <w:trPr>
          <w:trHeight w:val="209"/>
        </w:trPr>
        <w:tc>
          <w:tcPr>
            <w:tcW w:w="4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88,299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313,126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305,471</w:t>
            </w:r>
          </w:p>
        </w:tc>
      </w:tr>
      <w:tr>
        <w:trPr>
          <w:trHeight w:val="207"/>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All Other Businesses</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51,101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48,455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168,577</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159,642</w:t>
            </w:r>
          </w:p>
        </w:tc>
      </w:tr>
      <w:tr>
        <w:trPr>
          <w:trHeight w:val="202"/>
        </w:trPr>
        <w:tc>
          <w:tcPr>
            <w:tcW w:w="44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segment revenue</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6"/>
              </w:rPr>
              <w:t>815,380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2,602,477</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2,492,953</w:t>
            </w:r>
          </w:p>
        </w:tc>
      </w:tr>
      <w:tr>
        <w:trPr>
          <w:trHeight w:val="207"/>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Inter-segment eliminations (2)</w:t>
            </w:r>
          </w:p>
        </w:tc>
        <w:tc>
          <w:tcPr>
            <w:tcW w:w="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(68,881)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(33,708)</w:t>
            </w:r>
          </w:p>
        </w:tc>
      </w:tr>
      <w:tr>
        <w:trPr>
          <w:trHeight w:val="227"/>
        </w:trPr>
        <w:tc>
          <w:tcPr>
            <w:tcW w:w="44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consolidated revenue</w:t>
            </w:r>
          </w:p>
        </w:tc>
        <w:tc>
          <w:tcPr>
            <w:tcW w:w="96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6"/>
              </w:rPr>
              <w:t>789,468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780,588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2,533,596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2,459,245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380" w:hanging="236"/>
        <w:spacing w:after="0" w:line="242" w:lineRule="auto"/>
        <w:tabs>
          <w:tab w:leader="none" w:pos="214"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25" w:lineRule="exact"/>
        <w:rPr>
          <w:rFonts w:ascii="Arial" w:cs="Arial" w:eastAsia="Arial" w:hAnsi="Arial"/>
          <w:sz w:val="14"/>
          <w:szCs w:val="14"/>
          <w:color w:val="auto"/>
        </w:rPr>
      </w:pPr>
    </w:p>
    <w:p>
      <w:pPr>
        <w:ind w:left="220" w:hanging="216"/>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Refer to the "Revenue by Geographic Region" tables below for detail of the inter-segment revenue within each respective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2"/>
                <w:szCs w:val="12"/>
                <w:b w:val="1"/>
                <w:bCs w:val="1"/>
                <w:color w:val="auto"/>
              </w:rPr>
              <w:t>Three Months Ended March 31, 2025</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64"/>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Vista</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PrintBrothers</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16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National Pen</w:t>
            </w: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6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301,789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49,708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35,781</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387,278</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105,425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29,586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372,676</w:t>
            </w:r>
          </w:p>
        </w:tc>
      </w:tr>
      <w:tr>
        <w:trPr>
          <w:trHeight w:val="207"/>
        </w:trPr>
        <w:tc>
          <w:tcPr>
            <w:tcW w:w="3920" w:type="dxa"/>
            <w:vAlign w:val="bottom"/>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7"/>
                <w:szCs w:val="17"/>
                <w:color w:val="auto"/>
              </w:rPr>
            </w:pPr>
          </w:p>
        </w:tc>
        <w:tc>
          <w:tcPr>
            <w:tcW w:w="900" w:type="dxa"/>
            <w:vAlign w:val="bottom"/>
          </w:tcPr>
          <w:p>
            <w:pPr>
              <w:jc w:val="right"/>
              <w:ind w:right="4"/>
              <w:spacing w:after="0"/>
              <w:rPr>
                <w:sz w:val="20"/>
                <w:szCs w:val="20"/>
                <w:color w:val="auto"/>
              </w:rPr>
            </w:pPr>
            <w:r>
              <w:rPr>
                <w:rFonts w:ascii="Arial" w:cs="Arial" w:eastAsia="Arial" w:hAnsi="Arial"/>
                <w:sz w:val="16"/>
                <w:szCs w:val="16"/>
                <w:color w:val="auto"/>
              </w:rPr>
              <w:t>22,775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5,605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29,514</w:t>
            </w:r>
          </w:p>
        </w:tc>
      </w:tr>
      <w:tr>
        <w:trPr>
          <w:trHeight w:val="209"/>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7,871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9,688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25,912</w:t>
            </w:r>
          </w:p>
        </w:tc>
      </w:tr>
      <w:tr>
        <w:trPr>
          <w:trHeight w:val="20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430,651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155,981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88,299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51,101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815,380</w:t>
            </w:r>
          </w:p>
        </w:tc>
      </w:tr>
      <w:tr>
        <w:trPr>
          <w:trHeight w:val="201"/>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(25,912)</w:t>
            </w:r>
          </w:p>
        </w:tc>
      </w:tr>
      <w:tr>
        <w:trPr>
          <w:trHeight w:val="202"/>
        </w:trPr>
        <w:tc>
          <w:tcPr>
            <w:tcW w:w="392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429,989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155,015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80,428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41,413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789,468</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2"/>
                <w:szCs w:val="12"/>
                <w:b w:val="1"/>
                <w:bCs w:val="1"/>
                <w:color w:val="auto"/>
              </w:rPr>
              <w:t>Nine Months Ended March 31, 2025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4"/>
        </w:trPr>
        <w:tc>
          <w:tcPr>
            <w:tcW w:w="3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180"/>
              <w:spacing w:after="0"/>
              <w:rPr>
                <w:sz w:val="20"/>
                <w:szCs w:val="20"/>
                <w:color w:val="auto"/>
              </w:rPr>
            </w:pPr>
            <w:r>
              <w:rPr>
                <w:rFonts w:ascii="Arial" w:cs="Arial" w:eastAsia="Arial" w:hAnsi="Arial"/>
                <w:sz w:val="12"/>
                <w:szCs w:val="12"/>
                <w:b w:val="1"/>
                <w:bCs w:val="1"/>
                <w:color w:val="auto"/>
              </w:rPr>
              <w:t>Vista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PrintBrothers</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National Pen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937,502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160,481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124,879</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1,222,862</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341,934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487,820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255,542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1,211,644</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76,167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18,823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99,090</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16,506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24,822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68,881</w:t>
            </w:r>
          </w:p>
        </w:tc>
      </w:tr>
      <w:tr>
        <w:trPr>
          <w:trHeight w:val="200"/>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1,357,822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490,904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272,048</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313,126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168,577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2,602,477</w:t>
            </w:r>
          </w:p>
        </w:tc>
      </w:tr>
      <w:tr>
        <w:trPr>
          <w:trHeight w:val="201"/>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w:t>
            </w: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(16,506)</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(24,822)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(68,881)</w:t>
            </w:r>
          </w:p>
        </w:tc>
      </w:tr>
      <w:tr>
        <w:trPr>
          <w:trHeight w:val="202"/>
        </w:trPr>
        <w:tc>
          <w:tcPr>
            <w:tcW w:w="388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1,355,603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487,820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255,542</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290,876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143,755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2,533,596</w:t>
            </w:r>
          </w:p>
        </w:tc>
      </w:tr>
      <w:tr>
        <w:trPr>
          <w:trHeight w:val="20"/>
        </w:trPr>
        <w:tc>
          <w:tcPr>
            <w:tcW w:w="3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07"/>
        </w:trPr>
        <w:tc>
          <w:tcPr>
            <w:tcW w:w="3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rPr>
              <w:t>Three Months Ended March 31, 2024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200"/>
              <w:spacing w:after="0"/>
              <w:rPr>
                <w:sz w:val="20"/>
                <w:szCs w:val="20"/>
                <w:color w:val="auto"/>
              </w:rPr>
            </w:pPr>
            <w:r>
              <w:rPr>
                <w:rFonts w:ascii="Arial" w:cs="Arial" w:eastAsia="Arial" w:hAnsi="Arial"/>
                <w:sz w:val="12"/>
                <w:szCs w:val="12"/>
                <w:b w:val="1"/>
                <w:bCs w:val="1"/>
                <w:color w:val="auto"/>
              </w:rPr>
              <w:t>Vista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PrintBrothers</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National Pen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296,717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51,932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39,743</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388,392</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363,393</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6,087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28,803</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(1)</w:t>
            </w: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12,295</w:t>
            </w:r>
          </w:p>
        </w:tc>
      </w:tr>
      <w:tr>
        <w:trPr>
          <w:trHeight w:val="200"/>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 (1)</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418,079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150,677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87,093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88,579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48,455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792,883</w:t>
            </w:r>
          </w:p>
        </w:tc>
      </w:tr>
      <w:tr>
        <w:trPr>
          <w:trHeight w:val="201"/>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 (1)</w:t>
            </w:r>
          </w:p>
        </w:tc>
        <w:tc>
          <w:tcPr>
            <w:tcW w:w="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(6,536)</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(12,295)</w:t>
            </w:r>
          </w:p>
        </w:tc>
      </w:tr>
      <w:tr>
        <w:trPr>
          <w:trHeight w:val="202"/>
        </w:trPr>
        <w:tc>
          <w:tcPr>
            <w:tcW w:w="388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417,631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149,552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85,532</w:t>
            </w:r>
          </w:p>
        </w:tc>
        <w:tc>
          <w:tcPr>
            <w:tcW w:w="10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82,043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45,830</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780,588</w:t>
            </w:r>
          </w:p>
        </w:tc>
      </w:tr>
      <w:tr>
        <w:trPr>
          <w:trHeight w:val="20"/>
        </w:trPr>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94"/>
        </w:trPr>
        <w:tc>
          <w:tcPr>
            <w:tcW w:w="38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2"/>
                <w:szCs w:val="12"/>
                <w:b w:val="1"/>
                <w:bCs w:val="1"/>
                <w:color w:val="auto"/>
              </w:rPr>
              <w:t>Nine Months Ended March 31, 2024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64"/>
        </w:trPr>
        <w:tc>
          <w:tcPr>
            <w:tcW w:w="3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ind w:left="180"/>
              <w:spacing w:after="0"/>
              <w:rPr>
                <w:sz w:val="20"/>
                <w:szCs w:val="20"/>
                <w:color w:val="auto"/>
              </w:rPr>
            </w:pPr>
            <w:r>
              <w:rPr>
                <w:rFonts w:ascii="Arial" w:cs="Arial" w:eastAsia="Arial" w:hAnsi="Arial"/>
                <w:sz w:val="12"/>
                <w:szCs w:val="12"/>
                <w:b w:val="1"/>
                <w:bCs w:val="1"/>
                <w:color w:val="auto"/>
              </w:rPr>
              <w:t>Vista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PrintBrothers</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The Print Group</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rPr>
              <w:t>National Pen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14"/>
                <w:szCs w:val="14"/>
                <w:color w:val="auto"/>
              </w:rPr>
            </w:pPr>
          </w:p>
        </w:tc>
        <w:tc>
          <w:tcPr>
            <w:tcW w:w="900" w:type="dxa"/>
            <w:vAlign w:val="bottom"/>
          </w:tcPr>
          <w:p>
            <w:pPr>
              <w:jc w:val="right"/>
              <w:ind w:right="344"/>
              <w:spacing w:after="0"/>
              <w:rPr>
                <w:sz w:val="20"/>
                <w:szCs w:val="20"/>
                <w:color w:val="auto"/>
              </w:rPr>
            </w:pPr>
            <w:r>
              <w:rPr>
                <w:rFonts w:ascii="Arial" w:cs="Arial" w:eastAsia="Arial" w:hAnsi="Arial"/>
                <w:sz w:val="12"/>
                <w:szCs w:val="12"/>
                <w:b w:val="1"/>
                <w:bCs w:val="1"/>
                <w:color w:val="auto"/>
              </w:rPr>
              <w:t>Total</w:t>
            </w:r>
          </w:p>
        </w:tc>
      </w:tr>
      <w:tr>
        <w:trPr>
          <w:trHeight w:val="189"/>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 by Geographic Region:</w:t>
            </w:r>
          </w:p>
        </w:tc>
        <w:tc>
          <w:tcPr>
            <w:tcW w:w="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North America</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911,465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163,896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132,527</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1,207,888</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465,472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253,360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1,154,905</w:t>
            </w:r>
          </w:p>
        </w:tc>
      </w:tr>
      <w:tr>
        <w:trPr>
          <w:trHeight w:val="207"/>
        </w:trPr>
        <w:tc>
          <w:tcPr>
            <w:tcW w:w="3880" w:type="dxa"/>
            <w:vAlign w:val="bottom"/>
          </w:tcPr>
          <w:p>
            <w:pPr>
              <w:ind w:left="20"/>
              <w:spacing w:after="0"/>
              <w:rPr>
                <w:sz w:val="20"/>
                <w:szCs w:val="20"/>
                <w:color w:val="auto"/>
              </w:rPr>
            </w:pPr>
            <w:r>
              <w:rPr>
                <w:rFonts w:ascii="Arial" w:cs="Arial" w:eastAsia="Arial" w:hAnsi="Arial"/>
                <w:sz w:val="16"/>
                <w:szCs w:val="16"/>
                <w:color w:val="auto"/>
              </w:rPr>
              <w:t>Other</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71,303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20,558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96,452</w:t>
            </w: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(1)</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3,329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5,305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6,557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33,708</w:t>
            </w:r>
          </w:p>
        </w:tc>
      </w:tr>
      <w:tr>
        <w:trPr>
          <w:trHeight w:val="200"/>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segment revenue (1)</w:t>
            </w: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1,300,374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468,801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258,665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305,471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159,642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2,492,953</w:t>
            </w:r>
          </w:p>
        </w:tc>
      </w:tr>
      <w:tr>
        <w:trPr>
          <w:trHeight w:val="201"/>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inter-segment elimination (1)</w:t>
            </w: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(5,305)</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(33,708)</w:t>
            </w:r>
          </w:p>
        </w:tc>
      </w:tr>
      <w:tr>
        <w:trPr>
          <w:trHeight w:val="202"/>
        </w:trPr>
        <w:tc>
          <w:tcPr>
            <w:tcW w:w="3880" w:type="dxa"/>
            <w:vAlign w:val="bottom"/>
          </w:tcPr>
          <w:p>
            <w:pPr>
              <w:ind w:left="20"/>
              <w:spacing w:after="0"/>
              <w:rPr>
                <w:sz w:val="20"/>
                <w:szCs w:val="20"/>
                <w:color w:val="auto"/>
              </w:rPr>
            </w:pPr>
            <w:r>
              <w:rPr>
                <w:rFonts w:ascii="Arial" w:cs="Arial" w:eastAsia="Arial" w:hAnsi="Arial"/>
                <w:sz w:val="16"/>
                <w:szCs w:val="16"/>
                <w:color w:val="auto"/>
              </w:rPr>
              <w:t>Total external revenue</w:t>
            </w: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1,298,694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465,472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253,360</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288,634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153,085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2,459,245</w:t>
            </w:r>
          </w:p>
        </w:tc>
      </w:tr>
      <w:tr>
        <w:trPr>
          <w:trHeight w:val="20"/>
        </w:trPr>
        <w:tc>
          <w:tcPr>
            <w:tcW w:w="3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62" w:lineRule="exact"/>
        <w:rPr>
          <w:sz w:val="20"/>
          <w:szCs w:val="20"/>
          <w:color w:val="auto"/>
        </w:rPr>
      </w:pPr>
    </w:p>
    <w:p>
      <w:pPr>
        <w:ind w:left="240" w:right="380" w:hanging="236"/>
        <w:spacing w:after="0" w:line="242" w:lineRule="auto"/>
        <w:tabs>
          <w:tab w:leader="none" w:pos="2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620"/>
        <w:spacing w:after="0"/>
        <w:rPr>
          <w:sz w:val="20"/>
          <w:szCs w:val="20"/>
          <w:color w:val="auto"/>
        </w:rPr>
      </w:pPr>
      <w:r>
        <w:rPr>
          <w:rFonts w:ascii="Arial" w:cs="Arial" w:eastAsia="Arial" w:hAnsi="Arial"/>
          <w:sz w:val="17"/>
          <w:szCs w:val="17"/>
          <w:color w:val="auto"/>
        </w:rPr>
        <w:t>The following table includes segment EBITDA by reportable segment, total income from operations and total income before income taxes: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3460" w:type="dxa"/>
            <w:vAlign w:val="bottom"/>
            <w:gridSpan w:val="6"/>
          </w:tcPr>
          <w:p>
            <w:pPr>
              <w:ind w:left="780"/>
              <w:spacing w:after="0"/>
              <w:rPr>
                <w:sz w:val="20"/>
                <w:szCs w:val="20"/>
                <w:color w:val="auto"/>
              </w:rPr>
            </w:pPr>
            <w:r>
              <w:rPr>
                <w:rFonts w:ascii="Arial" w:cs="Arial" w:eastAsia="Arial" w:hAnsi="Arial"/>
                <w:sz w:val="12"/>
                <w:szCs w:val="12"/>
                <w:b w:val="1"/>
                <w:bCs w:val="1"/>
                <w:color w:val="auto"/>
              </w:rPr>
              <w:t>Three Months Ended March 31,</w:t>
            </w:r>
          </w:p>
        </w:tc>
        <w:tc>
          <w:tcPr>
            <w:tcW w:w="380" w:type="dxa"/>
            <w:vAlign w:val="bottom"/>
          </w:tcPr>
          <w:p>
            <w:pPr>
              <w:spacing w:after="0"/>
              <w:rPr>
                <w:sz w:val="14"/>
                <w:szCs w:val="14"/>
                <w:color w:val="auto"/>
              </w:rPr>
            </w:pPr>
          </w:p>
        </w:tc>
        <w:tc>
          <w:tcPr>
            <w:tcW w:w="2960" w:type="dxa"/>
            <w:vAlign w:val="bottom"/>
            <w:gridSpan w:val="4"/>
          </w:tcPr>
          <w:p>
            <w:pPr>
              <w:jc w:val="right"/>
              <w:ind w:right="723"/>
              <w:spacing w:after="0"/>
              <w:rPr>
                <w:sz w:val="20"/>
                <w:szCs w:val="20"/>
                <w:color w:val="auto"/>
              </w:rPr>
            </w:pPr>
            <w:r>
              <w:rPr>
                <w:rFonts w:ascii="Arial" w:cs="Arial" w:eastAsia="Arial" w:hAnsi="Arial"/>
                <w:sz w:val="12"/>
                <w:szCs w:val="12"/>
                <w:b w:val="1"/>
                <w:bCs w:val="1"/>
                <w:color w:val="auto"/>
              </w:rPr>
              <w:t>Nine Months Ended March 31,</w:t>
            </w:r>
          </w:p>
        </w:tc>
      </w:tr>
      <w:tr>
        <w:trPr>
          <w:trHeight w:val="164"/>
        </w:trPr>
        <w:tc>
          <w:tcPr>
            <w:tcW w:w="444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2024 (1)</w:t>
            </w: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78,100</w:t>
            </w:r>
          </w:p>
        </w:tc>
        <w:tc>
          <w:tcPr>
            <w:tcW w:w="10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76,834</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247,370</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263,282</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17,225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61,218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66,237</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17,233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51,556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47,049</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20,841</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15,534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16,648</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Inter-segment elimination</w:t>
            </w:r>
          </w:p>
        </w:tc>
        <w:tc>
          <w:tcPr>
            <w:tcW w:w="9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(8,655)</w:t>
            </w:r>
          </w:p>
        </w:tc>
      </w:tr>
      <w:tr>
        <w:trPr>
          <w:trHeight w:val="200"/>
        </w:trPr>
        <w:tc>
          <w:tcPr>
            <w:tcW w:w="4440" w:type="dxa"/>
            <w:vAlign w:val="bottom"/>
          </w:tcPr>
          <w:p>
            <w:pPr>
              <w:ind w:left="520"/>
              <w:spacing w:after="0"/>
              <w:rPr>
                <w:sz w:val="20"/>
                <w:szCs w:val="20"/>
                <w:color w:val="auto"/>
              </w:rPr>
            </w:pPr>
            <w:r>
              <w:rPr>
                <w:rFonts w:ascii="Arial" w:cs="Arial" w:eastAsia="Arial" w:hAnsi="Arial"/>
                <w:sz w:val="16"/>
                <w:szCs w:val="16"/>
                <w:color w:val="auto"/>
              </w:rPr>
              <w:t>Total segment EBITDA</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6"/>
              </w:rPr>
              <w:t>112,536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115,582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378,587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405,402</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(107,219)</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(34,300)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(37,072)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(105,057)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(116,103)</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Restructuring-related charges</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r>
      <w:tr>
        <w:trPr>
          <w:trHeight w:val="207"/>
        </w:trPr>
        <w:tc>
          <w:tcPr>
            <w:tcW w:w="44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Certain impairments and other adjustments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r>
      <w:tr>
        <w:trPr>
          <w:trHeight w:val="202"/>
        </w:trPr>
        <w:tc>
          <w:tcPr>
            <w:tcW w:w="44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income from operations</w:t>
            </w: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40,541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39,238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160,829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181,017</w:t>
            </w:r>
          </w:p>
        </w:tc>
      </w:tr>
      <w:tr>
        <w:trPr>
          <w:trHeight w:val="200"/>
        </w:trPr>
        <w:tc>
          <w:tcPr>
            <w:tcW w:w="4440" w:type="dxa"/>
            <w:vAlign w:val="bottom"/>
          </w:tcPr>
          <w:p>
            <w:pPr>
              <w:ind w:left="340"/>
              <w:spacing w:after="0"/>
              <w:rPr>
                <w:sz w:val="20"/>
                <w:szCs w:val="20"/>
                <w:color w:val="auto"/>
              </w:rPr>
            </w:pPr>
            <w:r>
              <w:rPr>
                <w:rFonts w:ascii="Arial" w:cs="Arial" w:eastAsia="Arial" w:hAnsi="Arial"/>
                <w:sz w:val="16"/>
                <w:szCs w:val="16"/>
                <w:color w:val="auto"/>
              </w:rPr>
              <w:t>Other (expense) income, net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(9,441)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2,377</w:t>
            </w:r>
          </w:p>
        </w:tc>
      </w:tr>
      <w:tr>
        <w:trPr>
          <w:trHeight w:val="209"/>
        </w:trPr>
        <w:tc>
          <w:tcPr>
            <w:tcW w:w="4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 net</w:t>
            </w: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(89,946)</w:t>
            </w:r>
          </w:p>
        </w:tc>
      </w:tr>
      <w:tr>
        <w:trPr>
          <w:trHeight w:val="207"/>
        </w:trPr>
        <w:tc>
          <w:tcPr>
            <w:tcW w:w="4440" w:type="dxa"/>
            <w:vAlign w:val="bottom"/>
          </w:tcPr>
          <w:p>
            <w:pPr>
              <w:ind w:left="340"/>
              <w:spacing w:after="0"/>
              <w:rPr>
                <w:sz w:val="20"/>
                <w:szCs w:val="20"/>
                <w:color w:val="auto"/>
              </w:rPr>
            </w:pPr>
            <w:r>
              <w:rPr>
                <w:rFonts w:ascii="Arial" w:cs="Arial" w:eastAsia="Arial" w:hAnsi="Arial"/>
                <w:sz w:val="16"/>
                <w:szCs w:val="16"/>
                <w:color w:val="auto"/>
              </w:rPr>
              <w:t>Gain (loss) on early extinguishment of debt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227"/>
        </w:trPr>
        <w:tc>
          <w:tcPr>
            <w:tcW w:w="4440" w:type="dxa"/>
            <w:vAlign w:val="bottom"/>
            <w:tcBorders>
              <w:top w:val="single" w:sz="8" w:color="CCEEFF"/>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Income before income taxes</w:t>
            </w:r>
          </w:p>
        </w:tc>
        <w:tc>
          <w:tcPr>
            <w:tcW w:w="980" w:type="dxa"/>
            <w:vAlign w:val="bottom"/>
            <w:tcBorders>
              <w:top w:val="single" w:sz="8" w:color="auto"/>
              <w:bottom w:val="single" w:sz="8" w:color="auto"/>
            </w:tcBorders>
            <w:shd w:val="clear" w:color="auto" w:fill="CCEEFF"/>
          </w:tcPr>
          <w:p>
            <w:pPr>
              <w:jc w:val="right"/>
              <w:ind w:right="81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83,501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95,169</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9" w:lineRule="exact"/>
        <w:rPr>
          <w:sz w:val="20"/>
          <w:szCs w:val="20"/>
          <w:color w:val="auto"/>
        </w:rPr>
      </w:pPr>
    </w:p>
    <w:p>
      <w:pPr>
        <w:ind w:left="240" w:right="380" w:hanging="236"/>
        <w:spacing w:after="0" w:line="244" w:lineRule="auto"/>
        <w:tabs>
          <w:tab w:leader="none" w:pos="2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the discussion above for further details.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2"/>
                <w:szCs w:val="12"/>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2"/>
                <w:szCs w:val="12"/>
                <w:b w:val="1"/>
                <w:bCs w:val="1"/>
                <w:color w:val="auto"/>
              </w:rPr>
              <w:t>Nine Months Ended March 31,</w:t>
            </w:r>
          </w:p>
        </w:tc>
      </w:tr>
      <w:tr>
        <w:trPr>
          <w:trHeight w:val="164"/>
        </w:trPr>
        <w:tc>
          <w:tcPr>
            <w:tcW w:w="4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13,013</w:t>
            </w:r>
          </w:p>
        </w:tc>
        <w:tc>
          <w:tcPr>
            <w:tcW w:w="12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13,040</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39,164</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41,091</w:t>
            </w: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9,973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11,702</w:t>
            </w: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4,600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6,184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14,700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18,006</w:t>
            </w: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9,547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13,408</w:t>
            </w: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4,936</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14,326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13,660</w:t>
            </w:r>
          </w:p>
        </w:tc>
      </w:tr>
      <w:tr>
        <w:trPr>
          <w:trHeight w:val="208"/>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5,531</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17,347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18,236</w:t>
            </w:r>
          </w:p>
        </w:tc>
      </w:tr>
      <w:tr>
        <w:trPr>
          <w:trHeight w:val="202"/>
        </w:trPr>
        <w:tc>
          <w:tcPr>
            <w:tcW w:w="4320" w:type="dxa"/>
            <w:vAlign w:val="bottom"/>
          </w:tcPr>
          <w:p>
            <w:pPr>
              <w:ind w:left="640"/>
              <w:spacing w:after="0"/>
              <w:rPr>
                <w:sz w:val="20"/>
                <w:szCs w:val="20"/>
                <w:color w:val="auto"/>
              </w:rPr>
            </w:pPr>
            <w:r>
              <w:rPr>
                <w:rFonts w:ascii="Arial" w:cs="Arial" w:eastAsia="Arial" w:hAnsi="Arial"/>
                <w:sz w:val="16"/>
                <w:szCs w:val="16"/>
                <w:color w:val="auto"/>
              </w:rPr>
              <w:t>Total depreciation and amortization</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34,300</w:t>
            </w: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37,072</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105,057</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116,103</w:t>
            </w: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2"/>
                <w:szCs w:val="12"/>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2"/>
                <w:szCs w:val="12"/>
                <w:b w:val="1"/>
                <w:bCs w:val="1"/>
                <w:color w:val="auto"/>
              </w:rPr>
              <w:t>Nine Months Ended March 31,</w:t>
            </w:r>
          </w:p>
        </w:tc>
        <w:tc>
          <w:tcPr>
            <w:tcW w:w="620" w:type="dxa"/>
            <w:vAlign w:val="bottom"/>
            <w:tcBorders>
              <w:bottom w:val="single" w:sz="8" w:color="auto"/>
            </w:tcBorders>
          </w:tcPr>
          <w:p>
            <w:pPr>
              <w:spacing w:after="0"/>
              <w:rPr>
                <w:sz w:val="14"/>
                <w:szCs w:val="14"/>
                <w:color w:val="auto"/>
              </w:rPr>
            </w:pPr>
          </w:p>
        </w:tc>
      </w:tr>
      <w:tr>
        <w:trPr>
          <w:trHeight w:val="164"/>
        </w:trPr>
        <w:tc>
          <w:tcPr>
            <w:tcW w:w="43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4"/>
                <w:szCs w:val="14"/>
                <w:color w:val="auto"/>
              </w:rPr>
            </w:pPr>
          </w:p>
        </w:tc>
      </w:tr>
      <w:tr>
        <w:trPr>
          <w:trHeight w:val="189"/>
        </w:trPr>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plant and equipment:</w:t>
            </w: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7"/>
        </w:trPr>
        <w:tc>
          <w:tcPr>
            <w:tcW w:w="4360" w:type="dxa"/>
            <w:vAlign w:val="bottom"/>
          </w:tcPr>
          <w:p>
            <w:pPr>
              <w:ind w:left="320"/>
              <w:spacing w:after="0"/>
              <w:rPr>
                <w:sz w:val="20"/>
                <w:szCs w:val="20"/>
                <w:color w:val="auto"/>
              </w:rPr>
            </w:pPr>
            <w:r>
              <w:rPr>
                <w:rFonts w:ascii="Arial" w:cs="Arial" w:eastAsia="Arial" w:hAnsi="Arial"/>
                <w:sz w:val="16"/>
                <w:szCs w:val="16"/>
                <w:color w:val="auto"/>
              </w:rPr>
              <w:t>Vista</w:t>
            </w:r>
          </w:p>
        </w:tc>
        <w:tc>
          <w:tcPr>
            <w:tcW w:w="1000" w:type="dxa"/>
            <w:vAlign w:val="bottom"/>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11,595</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17"/>
                <w:szCs w:val="17"/>
                <w:color w:val="auto"/>
              </w:rPr>
            </w:pPr>
          </w:p>
        </w:tc>
        <w:tc>
          <w:tcPr>
            <w:tcW w:w="1020" w:type="dxa"/>
            <w:vAlign w:val="bottom"/>
          </w:tcPr>
          <w:p>
            <w:pPr>
              <w:jc w:val="right"/>
              <w:ind w:right="85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28,889</w:t>
            </w:r>
          </w:p>
        </w:tc>
        <w:tc>
          <w:tcPr>
            <w:tcW w:w="8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15,958</w:t>
            </w:r>
          </w:p>
        </w:tc>
      </w:tr>
      <w:tr>
        <w:trPr>
          <w:trHeight w:val="209"/>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PrintBrothers</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7,523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5,110</w:t>
            </w:r>
          </w:p>
        </w:tc>
      </w:tr>
      <w:tr>
        <w:trPr>
          <w:trHeight w:val="207"/>
        </w:trPr>
        <w:tc>
          <w:tcPr>
            <w:tcW w:w="4360" w:type="dxa"/>
            <w:vAlign w:val="bottom"/>
          </w:tcPr>
          <w:p>
            <w:pPr>
              <w:ind w:left="320"/>
              <w:spacing w:after="0"/>
              <w:rPr>
                <w:sz w:val="20"/>
                <w:szCs w:val="20"/>
                <w:color w:val="auto"/>
              </w:rPr>
            </w:pPr>
            <w:r>
              <w:rPr>
                <w:rFonts w:ascii="Arial" w:cs="Arial" w:eastAsia="Arial" w:hAnsi="Arial"/>
                <w:sz w:val="16"/>
                <w:szCs w:val="16"/>
                <w:color w:val="auto"/>
              </w:rPr>
              <w:t>The Print Group</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6,559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18,872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12,976</w:t>
            </w:r>
          </w:p>
        </w:tc>
      </w:tr>
      <w:tr>
        <w:trPr>
          <w:trHeight w:val="209"/>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National Pen</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3,366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4,468</w:t>
            </w:r>
          </w:p>
        </w:tc>
      </w:tr>
      <w:tr>
        <w:trPr>
          <w:trHeight w:val="207"/>
        </w:trPr>
        <w:tc>
          <w:tcPr>
            <w:tcW w:w="4360" w:type="dxa"/>
            <w:vAlign w:val="bottom"/>
          </w:tcPr>
          <w:p>
            <w:pPr>
              <w:ind w:left="320"/>
              <w:spacing w:after="0"/>
              <w:rPr>
                <w:sz w:val="20"/>
                <w:szCs w:val="20"/>
                <w:color w:val="auto"/>
              </w:rPr>
            </w:pPr>
            <w:r>
              <w:rPr>
                <w:rFonts w:ascii="Arial" w:cs="Arial" w:eastAsia="Arial" w:hAnsi="Arial"/>
                <w:sz w:val="16"/>
                <w:szCs w:val="16"/>
                <w:color w:val="auto"/>
              </w:rPr>
              <w:t>All Other Businesses</w:t>
            </w: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7,900</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4,871</w:t>
            </w:r>
          </w:p>
        </w:tc>
      </w:tr>
      <w:tr>
        <w:trPr>
          <w:trHeight w:val="208"/>
        </w:trPr>
        <w:tc>
          <w:tcPr>
            <w:tcW w:w="4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Central and corporate costs</w:t>
            </w: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1,661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1,042</w:t>
            </w:r>
          </w:p>
        </w:tc>
      </w:tr>
      <w:tr>
        <w:trPr>
          <w:trHeight w:val="202"/>
        </w:trPr>
        <w:tc>
          <w:tcPr>
            <w:tcW w:w="4360" w:type="dxa"/>
            <w:vAlign w:val="bottom"/>
          </w:tcPr>
          <w:p>
            <w:pPr>
              <w:ind w:left="620"/>
              <w:spacing w:after="0"/>
              <w:rPr>
                <w:sz w:val="20"/>
                <w:szCs w:val="20"/>
                <w:color w:val="auto"/>
              </w:rPr>
            </w:pPr>
            <w:r>
              <w:rPr>
                <w:rFonts w:ascii="Arial" w:cs="Arial" w:eastAsia="Arial" w:hAnsi="Arial"/>
                <w:sz w:val="16"/>
                <w:szCs w:val="16"/>
                <w:color w:val="auto"/>
              </w:rPr>
              <w:t>Total purchases of property, plant and equipment</w:t>
            </w:r>
          </w:p>
        </w:tc>
        <w:tc>
          <w:tcPr>
            <w:tcW w:w="1000" w:type="dxa"/>
            <w:vAlign w:val="bottom"/>
            <w:tcBorders>
              <w:bottom w:val="single" w:sz="8" w:color="auto"/>
            </w:tcBorders>
          </w:tcPr>
          <w:p>
            <w:pPr>
              <w:jc w:val="right"/>
              <w:ind w:right="83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24,792</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10,470</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5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68,211</w:t>
            </w:r>
          </w:p>
        </w:tc>
        <w:tc>
          <w:tcPr>
            <w:tcW w:w="80" w:type="dxa"/>
            <w:vAlign w:val="bottom"/>
          </w:tcPr>
          <w:p>
            <w:pPr>
              <w:spacing w:after="0"/>
              <w:rPr>
                <w:sz w:val="17"/>
                <w:szCs w:val="17"/>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44,425</w:t>
            </w:r>
          </w:p>
        </w:tc>
      </w:tr>
      <w:tr>
        <w:trPr>
          <w:trHeight w:val="20"/>
        </w:trPr>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26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2"/>
                <w:szCs w:val="12"/>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2"/>
                <w:szCs w:val="12"/>
                <w:b w:val="1"/>
                <w:bCs w:val="1"/>
                <w:color w:val="auto"/>
              </w:rPr>
              <w:t>Nine Months Ended March 31,</w:t>
            </w:r>
          </w:p>
        </w:tc>
        <w:tc>
          <w:tcPr>
            <w:tcW w:w="0" w:type="dxa"/>
            <w:vAlign w:val="bottom"/>
          </w:tcPr>
          <w:p>
            <w:pPr>
              <w:spacing w:after="0"/>
              <w:rPr>
                <w:sz w:val="1"/>
                <w:szCs w:val="1"/>
                <w:color w:val="auto"/>
              </w:rPr>
            </w:pPr>
          </w:p>
        </w:tc>
      </w:tr>
      <w:tr>
        <w:trPr>
          <w:trHeight w:val="164"/>
        </w:trPr>
        <w:tc>
          <w:tcPr>
            <w:tcW w:w="43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 of software and website development costs: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Vista</w:t>
            </w:r>
          </w:p>
        </w:tc>
        <w:tc>
          <w:tcPr>
            <w:tcW w:w="980" w:type="dxa"/>
            <w:vAlign w:val="bottom"/>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6,838</w:t>
            </w:r>
          </w:p>
        </w:tc>
        <w:tc>
          <w:tcPr>
            <w:tcW w:w="120" w:type="dxa"/>
            <w:vAlign w:val="bottom"/>
          </w:tcPr>
          <w:p>
            <w:pPr>
              <w:spacing w:after="0"/>
              <w:rPr>
                <w:sz w:val="17"/>
                <w:szCs w:val="17"/>
                <w:color w:val="auto"/>
              </w:rPr>
            </w:pPr>
          </w:p>
        </w:tc>
        <w:tc>
          <w:tcPr>
            <w:tcW w:w="980" w:type="dxa"/>
            <w:vAlign w:val="bottom"/>
          </w:tcPr>
          <w:p>
            <w:pPr>
              <w:jc w:val="right"/>
              <w:ind w:right="808"/>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6,231</w:t>
            </w:r>
          </w:p>
        </w:tc>
        <w:tc>
          <w:tcPr>
            <w:tcW w:w="12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19,439</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18,921</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PrintBrothers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2,445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1,434</w:t>
            </w:r>
          </w:p>
        </w:tc>
        <w:tc>
          <w:tcPr>
            <w:tcW w:w="0" w:type="dxa"/>
            <w:vAlign w:val="bottom"/>
          </w:tcPr>
          <w:p>
            <w:pPr>
              <w:spacing w:after="0"/>
              <w:rPr>
                <w:sz w:val="1"/>
                <w:szCs w:val="1"/>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The Print Group</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3,653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2,641</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National Pen</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3,365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207"/>
        </w:trPr>
        <w:tc>
          <w:tcPr>
            <w:tcW w:w="4320" w:type="dxa"/>
            <w:vAlign w:val="bottom"/>
          </w:tcPr>
          <w:p>
            <w:pPr>
              <w:ind w:left="340"/>
              <w:spacing w:after="0"/>
              <w:rPr>
                <w:sz w:val="20"/>
                <w:szCs w:val="20"/>
                <w:color w:val="auto"/>
              </w:rPr>
            </w:pPr>
            <w:r>
              <w:rPr>
                <w:rFonts w:ascii="Arial" w:cs="Arial" w:eastAsia="Arial" w:hAnsi="Arial"/>
                <w:sz w:val="16"/>
                <w:szCs w:val="16"/>
                <w:color w:val="auto"/>
              </w:rPr>
              <w:t>All Other Businesses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color w:val="auto"/>
              </w:rPr>
              <w:t>4,610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Central and corporate costs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14,079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13,417</w:t>
            </w:r>
          </w:p>
        </w:tc>
        <w:tc>
          <w:tcPr>
            <w:tcW w:w="0" w:type="dxa"/>
            <w:vAlign w:val="bottom"/>
          </w:tcPr>
          <w:p>
            <w:pPr>
              <w:spacing w:after="0"/>
              <w:rPr>
                <w:sz w:val="1"/>
                <w:szCs w:val="1"/>
                <w:color w:val="auto"/>
              </w:rPr>
            </w:pPr>
          </w:p>
        </w:tc>
      </w:tr>
      <w:tr>
        <w:trPr>
          <w:trHeight w:val="137"/>
        </w:trPr>
        <w:tc>
          <w:tcPr>
            <w:tcW w:w="4320" w:type="dxa"/>
            <w:vAlign w:val="bottom"/>
          </w:tcPr>
          <w:p>
            <w:pPr>
              <w:ind w:left="640"/>
              <w:spacing w:after="0" w:line="137" w:lineRule="exact"/>
              <w:rPr>
                <w:sz w:val="20"/>
                <w:szCs w:val="20"/>
                <w:color w:val="auto"/>
              </w:rPr>
            </w:pPr>
            <w:r>
              <w:rPr>
                <w:rFonts w:ascii="Arial" w:cs="Arial" w:eastAsia="Arial" w:hAnsi="Arial"/>
                <w:sz w:val="14"/>
                <w:szCs w:val="14"/>
                <w:color w:val="auto"/>
              </w:rPr>
              <w:t>Total capitalization of software and website</w:t>
            </w:r>
          </w:p>
        </w:tc>
        <w:tc>
          <w:tcPr>
            <w:tcW w:w="980" w:type="dxa"/>
            <w:vAlign w:val="bottom"/>
            <w:vMerge w:val="restart"/>
          </w:tcPr>
          <w:p>
            <w:pPr>
              <w:jc w:val="right"/>
              <w:ind w:right="811"/>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16,343</w:t>
            </w:r>
          </w:p>
        </w:tc>
        <w:tc>
          <w:tcPr>
            <w:tcW w:w="120" w:type="dxa"/>
            <w:vAlign w:val="bottom"/>
          </w:tcPr>
          <w:p>
            <w:pPr>
              <w:spacing w:after="0"/>
              <w:rPr>
                <w:sz w:val="11"/>
                <w:szCs w:val="11"/>
                <w:color w:val="auto"/>
              </w:rPr>
            </w:pPr>
          </w:p>
        </w:tc>
        <w:tc>
          <w:tcPr>
            <w:tcW w:w="980" w:type="dxa"/>
            <w:vAlign w:val="bottom"/>
            <w:vMerge w:val="restart"/>
          </w:tcPr>
          <w:p>
            <w:pPr>
              <w:jc w:val="right"/>
              <w:ind w:right="808"/>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15,035</w:t>
            </w:r>
          </w:p>
        </w:tc>
        <w:tc>
          <w:tcPr>
            <w:tcW w:w="120" w:type="dxa"/>
            <w:vAlign w:val="bottom"/>
          </w:tcPr>
          <w:p>
            <w:pPr>
              <w:spacing w:after="0"/>
              <w:rPr>
                <w:sz w:val="11"/>
                <w:szCs w:val="11"/>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6"/>
              <w:spacing w:after="0"/>
              <w:rPr>
                <w:sz w:val="20"/>
                <w:szCs w:val="20"/>
                <w:color w:val="auto"/>
              </w:rPr>
            </w:pPr>
            <w:r>
              <w:rPr>
                <w:rFonts w:ascii="Arial" w:cs="Arial" w:eastAsia="Arial" w:hAnsi="Arial"/>
                <w:sz w:val="16"/>
                <w:szCs w:val="16"/>
                <w:color w:val="auto"/>
              </w:rPr>
              <w:t>47,591</w:t>
            </w:r>
          </w:p>
        </w:tc>
        <w:tc>
          <w:tcPr>
            <w:tcW w:w="100" w:type="dxa"/>
            <w:vAlign w:val="bottom"/>
          </w:tcPr>
          <w:p>
            <w:pPr>
              <w:spacing w:after="0"/>
              <w:rPr>
                <w:sz w:val="11"/>
                <w:szCs w:val="11"/>
                <w:color w:val="auto"/>
              </w:rPr>
            </w:pPr>
          </w:p>
        </w:tc>
        <w:tc>
          <w:tcPr>
            <w:tcW w:w="380" w:type="dxa"/>
            <w:vAlign w:val="bottom"/>
            <w:vMerge w:val="restart"/>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vMerge w:val="restart"/>
          </w:tcPr>
          <w:p>
            <w:pPr>
              <w:jc w:val="right"/>
              <w:ind w:right="4"/>
              <w:spacing w:after="0"/>
              <w:rPr>
                <w:sz w:val="20"/>
                <w:szCs w:val="20"/>
                <w:color w:val="auto"/>
              </w:rPr>
            </w:pPr>
            <w:r>
              <w:rPr>
                <w:rFonts w:ascii="Arial" w:cs="Arial" w:eastAsia="Arial" w:hAnsi="Arial"/>
                <w:sz w:val="16"/>
                <w:szCs w:val="16"/>
                <w:color w:val="auto"/>
              </w:rPr>
              <w:t>43,379</w:t>
            </w:r>
          </w:p>
        </w:tc>
        <w:tc>
          <w:tcPr>
            <w:tcW w:w="0" w:type="dxa"/>
            <w:vAlign w:val="bottom"/>
          </w:tcPr>
          <w:p>
            <w:pPr>
              <w:spacing w:after="0"/>
              <w:rPr>
                <w:sz w:val="1"/>
                <w:szCs w:val="1"/>
                <w:color w:val="auto"/>
              </w:rPr>
            </w:pPr>
          </w:p>
        </w:tc>
      </w:tr>
      <w:tr>
        <w:trPr>
          <w:trHeight w:val="186"/>
        </w:trPr>
        <w:tc>
          <w:tcPr>
            <w:tcW w:w="4320" w:type="dxa"/>
            <w:vAlign w:val="bottom"/>
          </w:tcPr>
          <w:p>
            <w:pPr>
              <w:ind w:left="640"/>
              <w:spacing w:after="0" w:line="181" w:lineRule="exact"/>
              <w:rPr>
                <w:sz w:val="20"/>
                <w:szCs w:val="20"/>
                <w:color w:val="auto"/>
              </w:rPr>
            </w:pPr>
            <w:r>
              <w:rPr>
                <w:rFonts w:ascii="Arial" w:cs="Arial" w:eastAsia="Arial" w:hAnsi="Arial"/>
                <w:sz w:val="16"/>
                <w:szCs w:val="16"/>
                <w:color w:val="auto"/>
              </w:rPr>
              <w:t>development costs</w:t>
            </w: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long-lived assets by geographic area: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2"/>
                <w:szCs w:val="12"/>
                <w:b w:val="1"/>
                <w:bCs w:val="1"/>
                <w:color w:val="auto"/>
              </w:rPr>
              <w:t>March 31, 2025</w:t>
            </w:r>
          </w:p>
        </w:tc>
        <w:tc>
          <w:tcPr>
            <w:tcW w:w="260" w:type="dxa"/>
            <w:vAlign w:val="bottom"/>
          </w:tcPr>
          <w:p>
            <w:pPr>
              <w:spacing w:after="0"/>
              <w:rPr>
                <w:sz w:val="14"/>
                <w:szCs w:val="14"/>
                <w:color w:val="auto"/>
              </w:rPr>
            </w:pPr>
          </w:p>
        </w:tc>
        <w:tc>
          <w:tcPr>
            <w:tcW w:w="1340" w:type="dxa"/>
            <w:vAlign w:val="bottom"/>
          </w:tcPr>
          <w:p>
            <w:pPr>
              <w:jc w:val="right"/>
              <w:ind w:right="324"/>
              <w:spacing w:after="0"/>
              <w:rPr>
                <w:sz w:val="20"/>
                <w:szCs w:val="20"/>
                <w:color w:val="auto"/>
              </w:rPr>
            </w:pPr>
            <w:r>
              <w:rPr>
                <w:rFonts w:ascii="Arial" w:cs="Arial" w:eastAsia="Arial" w:hAnsi="Arial"/>
                <w:sz w:val="12"/>
                <w:szCs w:val="12"/>
                <w:b w:val="1"/>
                <w:bCs w:val="1"/>
                <w:color w:val="auto"/>
              </w:rPr>
              <w:t>June 30, 2024</w:t>
            </w:r>
          </w:p>
        </w:tc>
      </w:tr>
      <w:tr>
        <w:trPr>
          <w:trHeight w:val="207"/>
        </w:trPr>
        <w:tc>
          <w:tcPr>
            <w:tcW w:w="7940" w:type="dxa"/>
            <w:vAlign w:val="bottom"/>
          </w:tcPr>
          <w:p>
            <w:pPr>
              <w:ind w:left="20"/>
              <w:spacing w:after="0"/>
              <w:rPr>
                <w:sz w:val="20"/>
                <w:szCs w:val="20"/>
                <w:color w:val="auto"/>
              </w:rPr>
            </w:pPr>
            <w:r>
              <w:rPr>
                <w:rFonts w:ascii="Arial" w:cs="Arial" w:eastAsia="Arial" w:hAnsi="Arial"/>
                <w:sz w:val="16"/>
                <w:szCs w:val="16"/>
                <w:color w:val="auto"/>
              </w:rPr>
              <w:t>Long-lived assets (1):</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77,095</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Canada</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66,182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54,848</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Switzerland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67,201</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Netherlands</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57,753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60,974</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Italy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37,380</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Germany</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34,835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31,656</w:t>
            </w:r>
          </w:p>
        </w:tc>
      </w:tr>
      <w:tr>
        <w:trPr>
          <w:trHeight w:val="209"/>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28,002</w:t>
            </w:r>
          </w:p>
        </w:tc>
      </w:tr>
      <w:tr>
        <w:trPr>
          <w:trHeight w:val="207"/>
        </w:trPr>
        <w:tc>
          <w:tcPr>
            <w:tcW w:w="7940" w:type="dxa"/>
            <w:vAlign w:val="bottom"/>
          </w:tcPr>
          <w:p>
            <w:pPr>
              <w:ind w:left="340"/>
              <w:spacing w:after="0"/>
              <w:rPr>
                <w:sz w:val="20"/>
                <w:szCs w:val="20"/>
                <w:color w:val="auto"/>
              </w:rPr>
            </w:pPr>
            <w:r>
              <w:rPr>
                <w:rFonts w:ascii="Arial" w:cs="Arial" w:eastAsia="Arial" w:hAnsi="Arial"/>
                <w:sz w:val="16"/>
                <w:szCs w:val="16"/>
                <w:color w:val="auto"/>
              </w:rPr>
              <w:t>Australia</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22,131</w:t>
            </w:r>
          </w:p>
        </w:tc>
      </w:tr>
      <w:tr>
        <w:trPr>
          <w:trHeight w:val="208"/>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105,672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94,162</w:t>
            </w:r>
          </w:p>
        </w:tc>
      </w:tr>
      <w:tr>
        <w:trPr>
          <w:trHeight w:val="202"/>
        </w:trPr>
        <w:tc>
          <w:tcPr>
            <w:tcW w:w="7940" w:type="dxa"/>
            <w:vAlign w:val="bottom"/>
          </w:tcPr>
          <w:p>
            <w:pPr>
              <w:ind w:left="6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490,488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473,449</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40" w:hanging="236"/>
        <w:spacing w:after="0" w:line="281" w:lineRule="auto"/>
        <w:tabs>
          <w:tab w:leader="none" w:pos="214"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Excludes goodwill of $792,749 and $787,138, intangible assets, net of $61,905 and $76,560, deferred tax assets of $87,806 and $95,059, and equity method investments of $1,583 and $1,904 as of March 31, 2025 and June 30, 2024, respectively.</w:t>
      </w:r>
    </w:p>
    <w:p>
      <w:pPr>
        <w:spacing w:after="0" w:line="248" w:lineRule="exact"/>
        <w:rPr>
          <w:sz w:val="20"/>
          <w:szCs w:val="20"/>
          <w:color w:val="auto"/>
        </w:rPr>
      </w:pPr>
    </w:p>
    <w:p>
      <w:pPr>
        <w:ind w:right="8200" w:firstLine="4"/>
        <w:spacing w:after="0" w:line="415" w:lineRule="auto"/>
        <w:tabs>
          <w:tab w:leader="none" w:pos="289"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Supply Chain Finance Program</w:t>
      </w:r>
    </w:p>
    <w:p>
      <w:pPr>
        <w:spacing w:after="0" w:line="1" w:lineRule="exact"/>
        <w:rPr>
          <w:sz w:val="20"/>
          <w:szCs w:val="20"/>
          <w:color w:val="auto"/>
        </w:rPr>
      </w:pPr>
    </w:p>
    <w:p>
      <w:pPr>
        <w:ind w:right="60" w:firstLine="623"/>
        <w:spacing w:after="0" w:line="261" w:lineRule="auto"/>
        <w:rPr>
          <w:sz w:val="20"/>
          <w:szCs w:val="20"/>
          <w:color w:val="auto"/>
        </w:rPr>
      </w:pPr>
      <w:r>
        <w:rPr>
          <w:rFonts w:ascii="Arial" w:cs="Arial" w:eastAsia="Arial" w:hAnsi="Arial"/>
          <w:sz w:val="17"/>
          <w:szCs w:val="17"/>
          <w:color w:val="auto"/>
        </w:rPr>
        <w:t>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w:t>
      </w:r>
    </w:p>
    <w:p>
      <w:pPr>
        <w:spacing w:after="0" w:line="121" w:lineRule="exact"/>
        <w:rPr>
          <w:sz w:val="20"/>
          <w:szCs w:val="20"/>
          <w:color w:val="auto"/>
        </w:rPr>
      </w:pPr>
    </w:p>
    <w:p>
      <w:pPr>
        <w:ind w:right="220" w:firstLine="623"/>
        <w:spacing w:after="0" w:line="268" w:lineRule="auto"/>
        <w:rPr>
          <w:sz w:val="20"/>
          <w:szCs w:val="20"/>
          <w:color w:val="auto"/>
        </w:rPr>
      </w:pPr>
      <w:r>
        <w:rPr>
          <w:rFonts w:ascii="Arial" w:cs="Arial" w:eastAsia="Arial" w:hAnsi="Arial"/>
          <w:sz w:val="17"/>
          <w:szCs w:val="17"/>
          <w:color w:val="auto"/>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March 31, 2025 and June 30, 2024 were $56,192 and $62,848,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Obligations</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At March 31, 2025, we had unrecorded commitments under contract of $374,711, including third-party cloud services of $247,626; inventory, third-party fulfillment and digital service purchase commitments of $76,149; software of $35,673; insurance costs of $ 5,798; professional and consulting fees of $3,714; production and computer equipment purchases of $3,041; production-related temporary labor of $1,726; and other unrecorded purchase commitments of $985.</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color w:val="auto"/>
        </w:rPr>
        <w:t>Legal Proceedings</w:t>
      </w:r>
    </w:p>
    <w:p>
      <w:pPr>
        <w:spacing w:after="0" w:line="207"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We are not currently party to any material legal proceedings.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authoritative guidance that addresses accounting for contingencies. We expense the costs relating to our legal proceedings as those costs are incurred.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w:t>
      </w:r>
    </w:p>
    <w:p>
      <w:pPr>
        <w:spacing w:after="0" w:line="248" w:lineRule="exact"/>
        <w:rPr>
          <w:sz w:val="20"/>
          <w:szCs w:val="20"/>
          <w:color w:val="auto"/>
        </w:rPr>
      </w:pPr>
    </w:p>
    <w:p>
      <w:pPr>
        <w:jc w:val="both"/>
        <w:ind w:right="60" w:firstLine="623"/>
        <w:spacing w:after="0" w:line="267" w:lineRule="auto"/>
        <w:rPr>
          <w:sz w:val="20"/>
          <w:szCs w:val="20"/>
          <w:color w:val="auto"/>
        </w:rPr>
      </w:pPr>
      <w:r>
        <w:rPr>
          <w:rFonts w:ascii="Arial" w:cs="Arial" w:eastAsia="Arial" w:hAnsi="Arial"/>
          <w:sz w:val="17"/>
          <w:szCs w:val="17"/>
          <w:color w:val="auto"/>
        </w:rPr>
        <w:t>On November 8, 2024, we repurchased 316,056 of our outstanding ordinary shares, par value €0.01 per share, from entities affiliated with Prescott General Partners LLC (“Prescott”) in a privately negotiated transaction at a price of $79.10 per share, representing a discount of $1.78 to the closing price of our ordinary shares on November 6, 2024 (the “Transaction”).</w:t>
      </w:r>
    </w:p>
    <w:p>
      <w:pPr>
        <w:spacing w:after="0" w:line="178" w:lineRule="exact"/>
        <w:rPr>
          <w:sz w:val="20"/>
          <w:szCs w:val="20"/>
          <w:color w:val="auto"/>
        </w:rPr>
      </w:pPr>
    </w:p>
    <w:p>
      <w:pPr>
        <w:ind w:right="100" w:firstLine="623"/>
        <w:spacing w:after="0" w:line="253" w:lineRule="auto"/>
        <w:rPr>
          <w:sz w:val="20"/>
          <w:szCs w:val="20"/>
          <w:color w:val="auto"/>
        </w:rPr>
      </w:pPr>
      <w:r>
        <w:rPr>
          <w:rFonts w:ascii="Arial" w:cs="Arial" w:eastAsia="Arial" w:hAnsi="Arial"/>
          <w:sz w:val="17"/>
          <w:szCs w:val="17"/>
          <w:color w:val="auto"/>
        </w:rPr>
        <w:t>Scott Vassalluzzo, a Managing Member of Prescott, serves as a member of Cimpress’ Board of Directors and Audit Committee. In light of the foregoing, the disinterested members of Cimpress’ Audit Committee reviewed the Transaction under our related person transaction policy and considered, among other things, Mr. Vassalluzzo’s and Prescott’s interest in the Transaction, the approximate dollar value of the Transaction, and the purpose and the potential benefits to Cimpress of entering into the Transaction. Based on these considerations, the disinterested members of the Audit Committee concluded that the Transaction was in our best interest. The Transaction was effected pursuant to the share repurchase program approved by Cimpress’ Board of Directors and announced on May 29, 2024.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83"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70" w:lineRule="exact"/>
        <w:rPr>
          <w:sz w:val="20"/>
          <w:szCs w:val="20"/>
          <w:color w:val="auto"/>
        </w:rPr>
      </w:pPr>
    </w:p>
    <w:p>
      <w:pPr>
        <w:ind w:firstLine="623"/>
        <w:spacing w:after="0" w:line="25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severity, and duration of supply chain constraints and fluctuating inflation; our inability to make investments in our business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or in the enforcement or interpretation of governmental policies, laws and regulations, that affect our businesses,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2024 fiscal year, this Quarterly Report on Form 10-Q and subsequent documents we periodically file with the SEC.</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Overview</w:t>
      </w:r>
    </w:p>
    <w:p>
      <w:pPr>
        <w:spacing w:after="0" w:line="181" w:lineRule="exact"/>
        <w:rPr>
          <w:sz w:val="20"/>
          <w:szCs w:val="20"/>
          <w:color w:val="auto"/>
        </w:rPr>
      </w:pPr>
    </w:p>
    <w:p>
      <w:pPr>
        <w:ind w:right="140" w:firstLine="623"/>
        <w:spacing w:after="0" w:line="263" w:lineRule="auto"/>
        <w:rPr>
          <w:sz w:val="20"/>
          <w:szCs w:val="20"/>
          <w:color w:val="auto"/>
        </w:rPr>
      </w:pPr>
      <w:r>
        <w:rPr>
          <w:rFonts w:ascii="Arial" w:cs="Arial" w:eastAsia="Arial" w:hAnsi="Arial"/>
          <w:sz w:val="17"/>
          <w:szCs w:val="17"/>
          <w:color w:val="auto"/>
        </w:rPr>
        <w:t>Cimpress is a strategically focused collection of businesses that specialize in print mass customization, through which we deliver large volumes of individually small-sized customized orders of printed materials and related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pacing w:after="0" w:line="155" w:lineRule="exact"/>
        <w:rPr>
          <w:sz w:val="20"/>
          <w:szCs w:val="20"/>
          <w:color w:val="auto"/>
        </w:rPr>
      </w:pPr>
    </w:p>
    <w:p>
      <w:pPr>
        <w:ind w:right="20" w:firstLine="623"/>
        <w:spacing w:after="0" w:line="295" w:lineRule="auto"/>
        <w:rPr>
          <w:sz w:val="20"/>
          <w:szCs w:val="20"/>
          <w:color w:val="auto"/>
        </w:rPr>
      </w:pPr>
      <w:r>
        <w:rPr>
          <w:rFonts w:ascii="Arial" w:cs="Arial" w:eastAsia="Arial" w:hAnsi="Arial"/>
          <w:sz w:val="17"/>
          <w:szCs w:val="17"/>
          <w:color w:val="auto"/>
        </w:rPr>
        <w:t>As of March 31, 2025, we have numerous operating segments under our management reporting structure that are reported in the following five reportable segments: Vista, PrintBrothers, The Print Group, National Pen, and All Other Businesses.</w:t>
      </w:r>
    </w:p>
    <w:p>
      <w:pPr>
        <w:spacing w:after="0" w:line="130" w:lineRule="exact"/>
        <w:rPr>
          <w:sz w:val="20"/>
          <w:szCs w:val="20"/>
          <w:color w:val="auto"/>
        </w:rPr>
      </w:pPr>
    </w:p>
    <w:p>
      <w:pPr>
        <w:ind w:right="8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periods presented for segment revenue and segment EBITDA to ensure comparability with the current fiscal year. These changes in methodology have no impact on our consolidated financial results. Refer to Note 11 in our accompanying consolidated financial statements for additional details.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Tariffs</w:t>
      </w:r>
    </w:p>
    <w:p>
      <w:pPr>
        <w:spacing w:after="0" w:line="168" w:lineRule="exact"/>
        <w:rPr>
          <w:sz w:val="20"/>
          <w:szCs w:val="20"/>
          <w:color w:val="auto"/>
        </w:rPr>
      </w:pPr>
    </w:p>
    <w:p>
      <w:pPr>
        <w:ind w:right="200" w:firstLine="623"/>
        <w:spacing w:after="0" w:line="259" w:lineRule="auto"/>
        <w:rPr>
          <w:sz w:val="20"/>
          <w:szCs w:val="20"/>
          <w:color w:val="auto"/>
        </w:rPr>
      </w:pPr>
      <w:r>
        <w:rPr>
          <w:rFonts w:ascii="Arial" w:cs="Arial" w:eastAsia="Arial" w:hAnsi="Arial"/>
          <w:sz w:val="17"/>
          <w:szCs w:val="17"/>
          <w:color w:val="auto"/>
        </w:rPr>
        <w:t>The U.S. tariff and trade environment has been dynamic in recent months. Cimpress businesses operate in the U.S., and we have fulfillment operations for U.S. customers in multiple locations in the U.S., Canada and Mexico. Cimpress has multiple exemptions and exclusions that currently shield us from paying tariffs on many of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02" w:right="339" w:bottom="1440" w:gutter="0" w:footer="0" w:header="0"/>
        </w:sectPr>
      </w:pPr>
    </w:p>
    <w:bookmarkStart w:id="31" w:name="page32"/>
    <w:bookmarkEnd w:id="31"/>
    <w:p>
      <w:pPr>
        <w:ind w:right="60"/>
        <w:spacing w:after="0" w:line="257" w:lineRule="auto"/>
        <w:rPr>
          <w:sz w:val="20"/>
          <w:szCs w:val="20"/>
          <w:color w:val="auto"/>
        </w:rPr>
      </w:pPr>
      <w:r>
        <w:rPr>
          <w:rFonts w:ascii="Arial" w:cs="Arial" w:eastAsia="Arial" w:hAnsi="Arial"/>
          <w:sz w:val="17"/>
          <w:szCs w:val="17"/>
          <w:color w:val="auto"/>
        </w:rPr>
        <w:t>products we fulfill for U.S. customers in Canada and Mexico. Currently the primary impact of tariffs on Cimpress is from raw materials sourcing, particularly from China, as well as the potential for increased supplier costs connected to reciprocal tariffs on other countries. This is due to the combination of reciprocal tariffs announced by the U.S. administration on April 2, 2025 (and subsequent changes), and the announcement that the de minimis exemption is being eliminated for shipments of Chinese-sourced goods starting on May 2, 2025.</w:t>
      </w:r>
    </w:p>
    <w:p>
      <w:pPr>
        <w:spacing w:after="0" w:line="188" w:lineRule="exact"/>
        <w:rPr>
          <w:sz w:val="20"/>
          <w:szCs w:val="20"/>
          <w:color w:val="auto"/>
        </w:rPr>
      </w:pPr>
    </w:p>
    <w:p>
      <w:pPr>
        <w:ind w:right="40" w:firstLine="623"/>
        <w:spacing w:after="0" w:line="250" w:lineRule="auto"/>
        <w:rPr>
          <w:sz w:val="20"/>
          <w:szCs w:val="20"/>
          <w:color w:val="auto"/>
        </w:rPr>
      </w:pPr>
      <w:r>
        <w:rPr>
          <w:rFonts w:ascii="Arial" w:cs="Arial" w:eastAsia="Arial" w:hAnsi="Arial"/>
          <w:sz w:val="17"/>
          <w:szCs w:val="17"/>
          <w:color w:val="auto"/>
        </w:rPr>
        <w:t>We have been working to mitigate the impact of tariffs on Cimpress and our U.S. customers. We have identified alternate, lower-tariff sources of raw materials where possible, though we do expect higher input costs in some cases. In particular, we expect the promotional products, apparel and gifts (PPAG) industry at large will face increased input costs from these increased tariffs on Chinese goods. There are some PPAG products we sell, particularly drinkware and other hard goods, that exclusively or nearly exclusively originate from China, while other PPAG products like apparel have more diverse countries of origin. We are taking action in our supply chain to significantly reduce our exposure to PPAG sourcing where China is the country of origin. These changes will take several months to be fully implemented and, therefore, in the near term we expect to incur additional costs. We currently estimate that, after these supply chain changes, the annual value of PPAG sourcing with a country of origin China that would still be subject to the tariffs on imports from China will be less than $20 million, excluding any impact of third-party fulfillment.</w:t>
      </w:r>
    </w:p>
    <w:p>
      <w:pPr>
        <w:spacing w:after="0" w:line="396" w:lineRule="exact"/>
        <w:rPr>
          <w:sz w:val="20"/>
          <w:szCs w:val="20"/>
          <w:color w:val="auto"/>
        </w:rPr>
      </w:pPr>
    </w:p>
    <w:p>
      <w:pPr>
        <w:ind w:right="120" w:firstLine="623"/>
        <w:spacing w:after="0" w:line="295" w:lineRule="auto"/>
        <w:rPr>
          <w:sz w:val="20"/>
          <w:szCs w:val="20"/>
          <w:color w:val="auto"/>
        </w:rPr>
      </w:pPr>
      <w:r>
        <w:rPr>
          <w:rFonts w:ascii="Arial" w:cs="Arial" w:eastAsia="Arial" w:hAnsi="Arial"/>
          <w:sz w:val="17"/>
          <w:szCs w:val="17"/>
          <w:color w:val="auto"/>
        </w:rPr>
        <w:t>We expect to raise prices to at least partially offset these tariff costs and have already implemented pricing changes on some impacted products. For these products where price increases are being used, it is not possible to forecast what impact this may have on customer demand.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Summary</w:t>
      </w:r>
    </w:p>
    <w:p>
      <w:pPr>
        <w:spacing w:after="0" w:line="194" w:lineRule="exact"/>
        <w:rPr>
          <w:sz w:val="20"/>
          <w:szCs w:val="20"/>
          <w:color w:val="auto"/>
        </w:rPr>
      </w:pPr>
    </w:p>
    <w:p>
      <w:pPr>
        <w:ind w:firstLine="623"/>
        <w:spacing w:after="0" w:line="261" w:lineRule="auto"/>
        <w:rPr>
          <w:sz w:val="20"/>
          <w:szCs w:val="20"/>
          <w:color w:val="auto"/>
        </w:rPr>
      </w:pPr>
      <w:r>
        <w:rPr>
          <w:rFonts w:ascii="Arial" w:cs="Arial" w:eastAsia="Arial" w:hAnsi="Arial"/>
          <w:sz w:val="17"/>
          <w:szCs w:val="17"/>
          <w:color w:val="auto"/>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net (loss)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nine months ended March 31, 2025 as compared to the three and nine months ended March 31, 2024 follows: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Third Quarter Fiscal Year 2025</w:t>
      </w:r>
    </w:p>
    <w:p>
      <w:pPr>
        <w:spacing w:after="0" w:line="220" w:lineRule="exact"/>
        <w:rPr>
          <w:sz w:val="20"/>
          <w:szCs w:val="20"/>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increased by 1% to $789.5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3%.</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Operating income increased by $1.3 million to $40.5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Net loss increased by $2.8 million to $8.0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$3.5 million to $90.7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Diluted net loss per share attributable to Cimpress plc increased by $0.18 to $0.33.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Year to Date Fiscal Year 2025</w:t>
      </w:r>
    </w:p>
    <w:p>
      <w:pPr>
        <w:spacing w:after="0" w:line="220" w:lineRule="exact"/>
        <w:rPr>
          <w:sz w:val="20"/>
          <w:szCs w:val="20"/>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Revenue increased by 3% to $2,533.6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Organic constant-currency revenue growth (a non-GAAP financial measure) was 4%.</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Operating income decreased by $20.2 million to $160.8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income decreased by $18.4 million to $41.2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EBITDA (a non-GAAP financial measure) decreased by $38.6 million to $310.7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Diluted loss per share attributable to Cimpress plc decreased by $0.60 to $1.56.</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provided by operating activities decreased by $35.0 million to $190.6 million.</w:t>
      </w:r>
    </w:p>
    <w:p>
      <w:pPr>
        <w:spacing w:after="0" w:line="116" w:lineRule="exact"/>
        <w:rPr>
          <w:rFonts w:ascii="Arial" w:cs="Arial" w:eastAsia="Arial" w:hAnsi="Arial"/>
          <w:sz w:val="17"/>
          <w:szCs w:val="17"/>
          <w:color w:val="auto"/>
        </w:rPr>
      </w:pPr>
    </w:p>
    <w:p>
      <w:pPr>
        <w:ind w:left="940" w:hanging="31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free cash flow (a non-GAAP financial measure) decreased by $67.1 million to $77.2 million.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32" w:name="page33"/>
    <w:bookmarkEnd w:id="32"/>
    <w:p>
      <w:pPr>
        <w:ind w:firstLine="623"/>
        <w:spacing w:after="0" w:line="263" w:lineRule="auto"/>
        <w:rPr>
          <w:sz w:val="20"/>
          <w:szCs w:val="20"/>
          <w:color w:val="auto"/>
        </w:rPr>
      </w:pPr>
      <w:r>
        <w:rPr>
          <w:rFonts w:ascii="Arial" w:cs="Arial" w:eastAsia="Arial" w:hAnsi="Arial"/>
          <w:sz w:val="17"/>
          <w:szCs w:val="17"/>
          <w:color w:val="auto"/>
        </w:rPr>
        <w:t>For the three and nine months ended March 31, 2025, the increase in reported revenue was primarily driven by external revenue growth in our Vista and PrintBrothers reportable segments. Revenue growth was led by strong revenue performance in Vista product categories like PPAG, signage, and packaging and labels, as well as continued order volume growth in our PrintBrothers reportable segment. Revenue growth was dampened by lower revenue for certain products in the U.S., mainly from weaker demand for business cards in our Vista business and home decor products in our BuildASign business, as well as lower revenue in the direct mail channel of our National Pen business particularly in North America. During the current-year periods, currency exchange fluctuations had a negative year-over-year effect on revenue.</w:t>
      </w:r>
    </w:p>
    <w:p>
      <w:pPr>
        <w:spacing w:after="0" w:line="143" w:lineRule="exact"/>
        <w:rPr>
          <w:sz w:val="20"/>
          <w:szCs w:val="20"/>
          <w:color w:val="auto"/>
        </w:rPr>
      </w:pPr>
    </w:p>
    <w:p>
      <w:pPr>
        <w:ind w:right="60" w:firstLine="623"/>
        <w:spacing w:after="0" w:line="261" w:lineRule="auto"/>
        <w:rPr>
          <w:sz w:val="20"/>
          <w:szCs w:val="20"/>
          <w:color w:val="auto"/>
        </w:rPr>
      </w:pPr>
      <w:r>
        <w:rPr>
          <w:rFonts w:ascii="Arial" w:cs="Arial" w:eastAsia="Arial" w:hAnsi="Arial"/>
          <w:sz w:val="17"/>
          <w:szCs w:val="17"/>
          <w:color w:val="auto"/>
        </w:rPr>
        <w:t>The increase to operating income of $1.3 million during the three months ended March 31, 2025 was driven by a reduction in share-based compensation expense of $5.7 million, due to expense volatility from changes in estimated attainment of the related performance condition of our 2025 PSU grants, as well as lower amortization of acquired intangible assets of $ 2.4 million due to the runoff of fully amortized assets across several of our previously acquired businesses. These items were offset in part by a $2.6 million impairment charge for our planned sale of a facility in our National Pen business, as well as preproduction startup costs of $1.8 million for a new U.S. manufacturing facility that started production in March 2025. Additionally, the benefit from gross profit growth in the product categories listed above continues to be negated by the decline in revenue from certain higher margin product categories like business cards, as well as increased advertising spend of $1.2 million.</w:t>
      </w:r>
    </w:p>
    <w:p>
      <w:pPr>
        <w:spacing w:after="0" w:line="160" w:lineRule="exact"/>
        <w:rPr>
          <w:sz w:val="20"/>
          <w:szCs w:val="20"/>
          <w:color w:val="auto"/>
        </w:rPr>
      </w:pPr>
    </w:p>
    <w:p>
      <w:pPr>
        <w:ind w:right="80" w:firstLine="623"/>
        <w:spacing w:after="0" w:line="261" w:lineRule="auto"/>
        <w:rPr>
          <w:sz w:val="20"/>
          <w:szCs w:val="20"/>
          <w:color w:val="auto"/>
        </w:rPr>
      </w:pPr>
      <w:r>
        <w:rPr>
          <w:rFonts w:ascii="Arial" w:cs="Arial" w:eastAsia="Arial" w:hAnsi="Arial"/>
          <w:sz w:val="17"/>
          <w:szCs w:val="17"/>
          <w:color w:val="auto"/>
        </w:rPr>
        <w:t>The decrease to operating income of $20.2 million during the nine months ended March 31, 2025 was driven by the non-recurrence of approximately $ 10 million of items that benefited the prior-year period, as well as more than $8 million of discrete items that negatively impacted the current-year period, which included an Australian land duty tax in the second quarter of the current fiscal year, as well as the impairment charge and preproduction startups costs discussed above. The current-year period was also impacted by the same effects of product mix shifts as described above, as well as increased advertising spend of $15.7 million and higher operating expenses. These items were offset in part by $11.2 million of lower amortization of acquired intangible assets due to the runoff of fully amortized assets across several of our previously acquired businesses and reduced share-based compensation expense of $5.8 million.</w:t>
      </w:r>
    </w:p>
    <w:p>
      <w:pPr>
        <w:spacing w:after="0" w:line="160"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color w:val="auto"/>
        </w:rPr>
        <w:t>For three months ended March 31, 2025, net loss increased by $2.8 million to $8.0 million, due to higher income tax expense and increases in unrealized losses on derivative contracts that are not designated as hedges, which was partially offset by the operating income increase described above and lower interest expenses due to our recent repricings of our senior secured Term Loan B. For the nine months ended March 31, 2025, net income decreased by $18.4 million to $41.2 million, due to the operating income decline described above and increased income tax expense, which was offset in part by lower interest expenses and higher unrealized hedging gains.</w:t>
      </w:r>
    </w:p>
    <w:p>
      <w:pPr>
        <w:spacing w:after="0" w:line="141"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Adjusted EBITDA decreased during the three and nine months ended March 31, 2025, for similar reasons described above, as increased advertising spend and operating expenses more than offset the growth in gross profit. Gross profit growth in our fastest growing product categories continues to be offset in part by the decline in certain higher margin product categories that has weighted on gross margins as compared to the prior-year periods. Refer to the "Additional Non-GAAP Financial Measures" section of Management's Discussion and Analysis for the full reconciliation of Adjusted EBITDA to net (loss) income.</w:t>
      </w:r>
    </w:p>
    <w:p>
      <w:pPr>
        <w:spacing w:after="0" w:line="154" w:lineRule="exact"/>
        <w:rPr>
          <w:sz w:val="20"/>
          <w:szCs w:val="20"/>
          <w:color w:val="auto"/>
        </w:rPr>
      </w:pPr>
    </w:p>
    <w:p>
      <w:pPr>
        <w:ind w:right="60" w:firstLine="623"/>
        <w:spacing w:after="0" w:line="295" w:lineRule="auto"/>
        <w:rPr>
          <w:sz w:val="20"/>
          <w:szCs w:val="20"/>
          <w:color w:val="auto"/>
        </w:rPr>
      </w:pPr>
      <w:r>
        <w:rPr>
          <w:rFonts w:ascii="Arial" w:cs="Arial" w:eastAsia="Arial" w:hAnsi="Arial"/>
          <w:sz w:val="17"/>
          <w:szCs w:val="17"/>
          <w:color w:val="auto"/>
        </w:rPr>
        <w:t>During the nine months ended March 31, 2025, cash from operations decreased $35.0 million year over year, primarily driven by the lower net income as described above, as well as unfavorable changes in net working capital year over year of $10.3 million.</w:t>
      </w:r>
    </w:p>
    <w:p>
      <w:pPr>
        <w:spacing w:after="0" w:line="130" w:lineRule="exact"/>
        <w:rPr>
          <w:sz w:val="20"/>
          <w:szCs w:val="20"/>
          <w:color w:val="auto"/>
        </w:rPr>
      </w:pPr>
    </w:p>
    <w:p>
      <w:pPr>
        <w:ind w:right="100" w:firstLine="623"/>
        <w:spacing w:after="0" w:line="268" w:lineRule="auto"/>
        <w:rPr>
          <w:sz w:val="20"/>
          <w:szCs w:val="20"/>
          <w:color w:val="auto"/>
        </w:rPr>
      </w:pPr>
      <w:r>
        <w:rPr>
          <w:rFonts w:ascii="Arial" w:cs="Arial" w:eastAsia="Arial" w:hAnsi="Arial"/>
          <w:sz w:val="17"/>
          <w:szCs w:val="17"/>
          <w:color w:val="auto"/>
        </w:rPr>
        <w:t>Adjusted free cash flow decreased by $67.1 million for the nine months ended March 31, 2025, due to the operating cash flow decrease described above, as well as a $23.8 million increase in capitalized expenditures, primarily due to planned investments in new production equipment. Proceeds from the sale of assets decreased by $4.1 million, driven by the sale of our previously owned manufacturing facility in Japan in the prior-year period.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Revenue</w:t>
      </w:r>
    </w:p>
    <w:p>
      <w:pPr>
        <w:spacing w:after="0" w:line="142" w:lineRule="exact"/>
        <w:rPr>
          <w:sz w:val="20"/>
          <w:szCs w:val="20"/>
          <w:color w:val="auto"/>
        </w:rPr>
      </w:pPr>
    </w:p>
    <w:p>
      <w:pPr>
        <w:jc w:val="both"/>
        <w:ind w:right="360" w:firstLine="623"/>
        <w:spacing w:after="0" w:line="268" w:lineRule="auto"/>
        <w:rPr>
          <w:sz w:val="20"/>
          <w:szCs w:val="20"/>
          <w:color w:val="auto"/>
        </w:rPr>
      </w:pPr>
      <w:r>
        <w:rPr>
          <w:rFonts w:ascii="Arial" w:cs="Arial" w:eastAsia="Arial" w:hAnsi="Arial"/>
          <w:sz w:val="17"/>
          <w:szCs w:val="17"/>
          <w:color w:val="auto"/>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spacing w:after="0" w:line="7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revenue and revenue growth by reportable segment for the three and nine months ended March 31, 2025 are shown in the following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6"/>
            <w:vMerge w:val="restart"/>
          </w:tcPr>
          <w:p>
            <w:pPr>
              <w:jc w:val="right"/>
              <w:ind w:right="264"/>
              <w:spacing w:after="0"/>
              <w:rPr>
                <w:sz w:val="20"/>
                <w:szCs w:val="20"/>
                <w:color w:val="auto"/>
              </w:rPr>
            </w:pPr>
            <w:r>
              <w:rPr>
                <w:rFonts w:ascii="Arial" w:cs="Arial" w:eastAsia="Arial" w:hAnsi="Arial"/>
                <w:sz w:val="12"/>
                <w:szCs w:val="12"/>
                <w:b w:val="1"/>
                <w:bCs w:val="1"/>
                <w:color w:val="auto"/>
              </w:rPr>
              <w:t>Three Months Ended March 31,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rPr>
                <w:sz w:val="1"/>
                <w:szCs w:val="1"/>
                <w:color w:val="auto"/>
              </w:rPr>
            </w:pPr>
          </w:p>
        </w:tc>
      </w:tr>
      <w:tr>
        <w:trPr>
          <w:trHeight w:val="172"/>
        </w:trPr>
        <w:tc>
          <w:tcPr>
            <w:tcW w:w="20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26"/>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2024 (1)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(2)</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430,651</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418,079</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155,981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150,677</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87,093</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88,299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88,579</w:t>
            </w:r>
          </w:p>
        </w:tc>
        <w:tc>
          <w:tcPr>
            <w:tcW w:w="1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w:t>
            </w:r>
          </w:p>
        </w:tc>
        <w:tc>
          <w:tcPr>
            <w:tcW w:w="14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48,455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(25,912)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(12,295)</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789,468</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780,588</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8"/>
              </w:rPr>
              <w:t>Currency</w:t>
            </w:r>
          </w:p>
        </w:tc>
        <w:tc>
          <w:tcPr>
            <w:tcW w:w="10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Constant-</w:t>
            </w:r>
          </w:p>
        </w:tc>
        <w:tc>
          <w:tcPr>
            <w:tcW w:w="16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Impact of</w:t>
            </w:r>
          </w:p>
        </w:tc>
        <w:tc>
          <w:tcPr>
            <w:tcW w:w="14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2"/>
                <w:szCs w:val="12"/>
                <w:b w:val="1"/>
                <w:bCs w:val="1"/>
                <w:color w:val="auto"/>
                <w:w w:val="99"/>
              </w:rPr>
              <w:t>Constant- Currency</w:t>
            </w:r>
          </w:p>
        </w:tc>
        <w:tc>
          <w:tcPr>
            <w:tcW w:w="0" w:type="dxa"/>
            <w:vAlign w:val="bottom"/>
          </w:tcPr>
          <w:p>
            <w:pPr>
              <w:spacing w:after="0" w:line="20" w:lineRule="exact"/>
              <w:rPr>
                <w:sz w:val="1"/>
                <w:szCs w:val="1"/>
                <w:color w:val="auto"/>
              </w:rPr>
            </w:pPr>
          </w:p>
        </w:tc>
      </w:tr>
      <w:tr>
        <w:trPr>
          <w:trHeight w:val="331"/>
        </w:trPr>
        <w:tc>
          <w:tcPr>
            <w:tcW w:w="2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6"/>
            <w:vMerge w:val="restart"/>
          </w:tcPr>
          <w:p>
            <w:pPr>
              <w:jc w:val="right"/>
              <w:ind w:right="324"/>
              <w:spacing w:after="0"/>
              <w:rPr>
                <w:sz w:val="20"/>
                <w:szCs w:val="20"/>
                <w:color w:val="auto"/>
              </w:rPr>
            </w:pPr>
            <w:r>
              <w:rPr>
                <w:rFonts w:ascii="Arial" w:cs="Arial" w:eastAsia="Arial" w:hAnsi="Arial"/>
                <w:sz w:val="12"/>
                <w:szCs w:val="12"/>
                <w:b w:val="1"/>
                <w:bCs w:val="1"/>
                <w:color w:val="auto"/>
              </w:rPr>
              <w:t>Nine Months Ended March 31,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640" w:type="dxa"/>
            <w:vAlign w:val="bottom"/>
            <w:gridSpan w:val="2"/>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20" w:type="dxa"/>
            <w:vAlign w:val="bottom"/>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Impact:</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Currency</w:t>
            </w:r>
          </w:p>
        </w:tc>
        <w:tc>
          <w:tcPr>
            <w:tcW w:w="1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Acquisitions/Divestitures:</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Revenue Growth</w:t>
            </w:r>
          </w:p>
        </w:tc>
        <w:tc>
          <w:tcPr>
            <w:tcW w:w="0" w:type="dxa"/>
            <w:vAlign w:val="bottom"/>
          </w:tcPr>
          <w:p>
            <w:pPr>
              <w:spacing w:after="0"/>
              <w:rPr>
                <w:sz w:val="1"/>
                <w:szCs w:val="1"/>
                <w:color w:val="auto"/>
              </w:rPr>
            </w:pPr>
          </w:p>
        </w:tc>
      </w:tr>
      <w:tr>
        <w:trPr>
          <w:trHeight w:val="107"/>
        </w:trPr>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restart"/>
          </w:tcPr>
          <w:p>
            <w:pPr>
              <w:jc w:val="center"/>
              <w:ind w:left="25"/>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Revenue</w:t>
            </w:r>
          </w:p>
        </w:tc>
        <w:tc>
          <w:tcPr>
            <w:tcW w:w="1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Excluding</w:t>
            </w: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66"/>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2024 (1)</w:t>
            </w: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00" w:type="dxa"/>
            <w:vAlign w:val="bottom"/>
            <w:vMerge w:val="restart"/>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(Favorable)/Unfavorable</w:t>
            </w:r>
          </w:p>
        </w:tc>
        <w:tc>
          <w:tcPr>
            <w:tcW w:w="120" w:type="dxa"/>
            <w:vAlign w:val="bottom"/>
            <w:vMerge w:val="restart"/>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9"/>
              </w:rPr>
              <w:t>Acquisitions/Divestitures</w:t>
            </w:r>
          </w:p>
        </w:tc>
        <w:tc>
          <w:tcPr>
            <w:tcW w:w="0" w:type="dxa"/>
            <w:vAlign w:val="bottom"/>
          </w:tcPr>
          <w:p>
            <w:pPr>
              <w:spacing w:after="0"/>
              <w:rPr>
                <w:sz w:val="1"/>
                <w:szCs w:val="1"/>
                <w:color w:val="auto"/>
              </w:rPr>
            </w:pPr>
          </w:p>
        </w:tc>
      </w:tr>
      <w:tr>
        <w:trPr>
          <w:trHeight w:val="167"/>
        </w:trPr>
        <w:tc>
          <w:tcPr>
            <w:tcW w:w="20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Growth (2)</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Vista</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1,357,822</w:t>
            </w:r>
          </w:p>
        </w:tc>
        <w:tc>
          <w:tcPr>
            <w:tcW w:w="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1,300,374</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PrintBrothers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490,904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468,801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Print Group</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272,048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258,665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rPr>
              <w:t>National Pen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313,126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305,471</w:t>
            </w:r>
          </w:p>
        </w:tc>
        <w:tc>
          <w:tcPr>
            <w:tcW w:w="860" w:type="dxa"/>
            <w:vAlign w:val="bottom"/>
            <w:gridSpan w:val="2"/>
          </w:tcPr>
          <w:p>
            <w:pPr>
              <w:jc w:val="center"/>
              <w:ind w:left="25"/>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Businesses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159,642</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9"/>
              </w:rPr>
              <w:t>Inter-segment eliminations</w:t>
            </w: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(68,881)</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2,533,596</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2,459,245</w:t>
            </w:r>
          </w:p>
        </w:tc>
        <w:tc>
          <w:tcPr>
            <w:tcW w:w="860" w:type="dxa"/>
            <w:vAlign w:val="bottom"/>
            <w:gridSpan w:val="2"/>
            <w:shd w:val="clear" w:color="auto" w:fill="CCEEFF"/>
          </w:tcPr>
          <w:p>
            <w:pPr>
              <w:jc w:val="center"/>
              <w:ind w:left="25"/>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34" w:lineRule="exact"/>
        <w:rPr>
          <w:sz w:val="20"/>
          <w:szCs w:val="20"/>
          <w:color w:val="auto"/>
        </w:rPr>
      </w:pPr>
    </w:p>
    <w:p>
      <w:pPr>
        <w:ind w:left="240" w:right="80" w:hanging="236"/>
        <w:spacing w:after="0" w:line="242"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prior period segment results have been adjusted to ensure comparability with the new methodology used for inter-segment transactions. Refer to Note 11 of the accompanying consolidated financial statements for additional details.</w:t>
      </w:r>
    </w:p>
    <w:p>
      <w:pPr>
        <w:spacing w:after="0" w:line="38" w:lineRule="exact"/>
        <w:rPr>
          <w:rFonts w:ascii="Arial" w:cs="Arial" w:eastAsia="Arial" w:hAnsi="Arial"/>
          <w:sz w:val="14"/>
          <w:szCs w:val="14"/>
          <w:color w:val="auto"/>
        </w:rPr>
      </w:pPr>
    </w:p>
    <w:p>
      <w:pPr>
        <w:ind w:left="240" w:right="140" w:hanging="236"/>
        <w:spacing w:after="0" w:line="256"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Constant-currency revenue growth, a non-GAAP financial measure, represents the change in total revenue between current and prior-year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spacing w:after="0" w:line="16" w:lineRule="exact"/>
        <w:rPr>
          <w:rFonts w:ascii="Arial" w:cs="Arial" w:eastAsia="Arial" w:hAnsi="Arial"/>
          <w:sz w:val="14"/>
          <w:szCs w:val="14"/>
          <w:color w:val="auto"/>
        </w:rPr>
      </w:pPr>
    </w:p>
    <w:p>
      <w:pPr>
        <w:ind w:left="240" w:right="240" w:hanging="236"/>
        <w:spacing w:after="0" w:line="262" w:lineRule="auto"/>
        <w:tabs>
          <w:tab w:leader="none" w:pos="2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spacing w:after="0" w:line="12" w:lineRule="exact"/>
        <w:rPr>
          <w:sz w:val="20"/>
          <w:szCs w:val="20"/>
          <w:color w:val="auto"/>
        </w:rPr>
      </w:pPr>
    </w:p>
    <w:p>
      <w:pPr>
        <w:ind w:left="240" w:right="40"/>
        <w:spacing w:after="0" w:line="256" w:lineRule="auto"/>
        <w:rPr>
          <w:sz w:val="20"/>
          <w:szCs w:val="20"/>
          <w:color w:val="auto"/>
        </w:rPr>
      </w:pPr>
      <w:r>
        <w:rPr>
          <w:rFonts w:ascii="Arial" w:cs="Arial" w:eastAsia="Arial" w:hAnsi="Arial"/>
          <w:sz w:val="14"/>
          <w:szCs w:val="14"/>
          <w:color w:val="auto"/>
        </w:rPr>
        <w:t>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4" w:name="page35"/>
    <w:bookmarkEnd w:id="34"/>
    <w:p>
      <w:pPr>
        <w:ind w:right="40" w:firstLine="623"/>
        <w:spacing w:after="0" w:line="232" w:lineRule="auto"/>
        <w:rPr>
          <w:sz w:val="20"/>
          <w:szCs w:val="20"/>
          <w:color w:val="auto"/>
        </w:rPr>
      </w:pPr>
      <w:r>
        <w:rPr>
          <w:rFonts w:ascii="Arial" w:cs="Arial" w:eastAsia="Arial" w:hAnsi="Arial"/>
          <w:sz w:val="17"/>
          <w:szCs w:val="17"/>
          <w:color w:val="auto"/>
        </w:rPr>
        <w:t>For the three and nine months ended March 31, 2025, the reported revenue growth of $ 8.9 million and $74.4 million, respectively, was primarily driven by external revenue growth in our Vista and PrintBrothers reportable segments, partially offset by $15.6 million and $ 15.8 million of negative effects from currency exchange rate fluctuations as compared to the prior-year periods, respectively. Excluding the effect of changes in currency exchange rates, the largest increase in reported revenue was from our Vista business with $18.4 million and $63.3 million of incremental</w:t>
      </w:r>
    </w:p>
    <w:p>
      <w:pPr>
        <w:ind w:right="20"/>
        <w:spacing w:after="0" w:line="228" w:lineRule="auto"/>
        <w:rPr>
          <w:sz w:val="20"/>
          <w:szCs w:val="20"/>
          <w:color w:val="auto"/>
        </w:rPr>
      </w:pPr>
      <w:r>
        <w:rPr>
          <w:rFonts w:ascii="Arial" w:cs="Arial" w:eastAsia="Arial" w:hAnsi="Arial"/>
          <w:sz w:val="17"/>
          <w:szCs w:val="17"/>
          <w:color w:val="auto"/>
        </w:rPr>
        <w:t>external revenue for the three and nine months ended March 31, 2025, respectively. Vista revenue was higher year over year across all major markets, with the most significant growth in the PPAG and signage categories. Our PrintBrothers reportable segment also contributed $ 10.4 million and $26.4 million of increased external revenue for the three and nine months ended March 31, 2025, respectively, excluding the effect of changes</w:t>
      </w:r>
    </w:p>
    <w:p>
      <w:pPr>
        <w:spacing w:after="0" w:line="1"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color w:val="auto"/>
        </w:rPr>
        <w:t>in currency exchange rates, primarily driven by continued order volume and customer growth, partially offset by customers purchasing lower quantities in certain product categories.</w:t>
      </w:r>
    </w:p>
    <w:p>
      <w:pPr>
        <w:spacing w:after="0" w:line="145" w:lineRule="exact"/>
        <w:rPr>
          <w:sz w:val="20"/>
          <w:szCs w:val="20"/>
          <w:color w:val="auto"/>
        </w:rPr>
      </w:pPr>
    </w:p>
    <w:p>
      <w:pPr>
        <w:ind w:right="820" w:firstLine="623"/>
        <w:spacing w:after="0" w:line="470" w:lineRule="auto"/>
        <w:rPr>
          <w:sz w:val="20"/>
          <w:szCs w:val="20"/>
          <w:color w:val="auto"/>
        </w:rPr>
      </w:pPr>
      <w:r>
        <w:rPr>
          <w:rFonts w:ascii="Arial" w:cs="Arial" w:eastAsia="Arial" w:hAnsi="Arial"/>
          <w:sz w:val="17"/>
          <w:szCs w:val="17"/>
          <w:color w:val="auto"/>
        </w:rPr>
        <w:t xml:space="preserve">For additional discussion relating to segment revenue results, refer to the "Reportable Segment Results" section included below. </w:t>
      </w:r>
      <w:r>
        <w:rPr>
          <w:rFonts w:ascii="Arial" w:cs="Arial" w:eastAsia="Arial" w:hAnsi="Arial"/>
          <w:sz w:val="17"/>
          <w:szCs w:val="17"/>
          <w:b w:val="1"/>
          <w:bCs w:val="1"/>
          <w:i w:val="1"/>
          <w:iCs w:val="1"/>
          <w:color w:val="auto"/>
        </w:rPr>
        <w:t>Consolidated Cost of Revenue</w:t>
      </w:r>
    </w:p>
    <w:p>
      <w:pPr>
        <w:ind w:right="40" w:firstLine="623"/>
        <w:spacing w:after="0" w:line="268" w:lineRule="auto"/>
        <w:rPr>
          <w:sz w:val="20"/>
          <w:szCs w:val="20"/>
          <w:color w:val="auto"/>
        </w:rPr>
      </w:pPr>
      <w:r>
        <w:rPr>
          <w:rFonts w:ascii="Arial" w:cs="Arial" w:eastAsia="Arial" w:hAnsi="Arial"/>
          <w:sz w:val="17"/>
          <w:szCs w:val="17"/>
          <w:color w:val="auto"/>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ind w:left="6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160" w:type="dxa"/>
            <w:vAlign w:val="bottom"/>
            <w:gridSpan w:val="5"/>
          </w:tcPr>
          <w:p>
            <w:pPr>
              <w:ind w:left="420"/>
              <w:spacing w:after="0"/>
              <w:rPr>
                <w:sz w:val="20"/>
                <w:szCs w:val="20"/>
                <w:color w:val="auto"/>
              </w:rPr>
            </w:pPr>
            <w:r>
              <w:rPr>
                <w:rFonts w:ascii="Arial" w:cs="Arial" w:eastAsia="Arial" w:hAnsi="Arial"/>
                <w:sz w:val="12"/>
                <w:szCs w:val="12"/>
                <w:b w:val="1"/>
                <w:bCs w:val="1"/>
                <w:color w:val="auto"/>
              </w:rPr>
              <w:t>Three Months Ended March 31,</w:t>
            </w:r>
          </w:p>
        </w:tc>
        <w:tc>
          <w:tcPr>
            <w:tcW w:w="400" w:type="dxa"/>
            <w:vAlign w:val="bottom"/>
          </w:tcPr>
          <w:p>
            <w:pPr>
              <w:spacing w:after="0"/>
              <w:rPr>
                <w:sz w:val="17"/>
                <w:szCs w:val="17"/>
                <w:color w:val="auto"/>
              </w:rPr>
            </w:pPr>
          </w:p>
        </w:tc>
        <w:tc>
          <w:tcPr>
            <w:tcW w:w="3100" w:type="dxa"/>
            <w:vAlign w:val="bottom"/>
            <w:gridSpan w:val="4"/>
          </w:tcPr>
          <w:p>
            <w:pPr>
              <w:jc w:val="right"/>
              <w:ind w:right="828"/>
              <w:spacing w:after="0"/>
              <w:rPr>
                <w:sz w:val="20"/>
                <w:szCs w:val="20"/>
                <w:color w:val="auto"/>
              </w:rPr>
            </w:pPr>
            <w:r>
              <w:rPr>
                <w:rFonts w:ascii="Arial" w:cs="Arial" w:eastAsia="Arial" w:hAnsi="Arial"/>
                <w:sz w:val="12"/>
                <w:szCs w:val="12"/>
                <w:b w:val="1"/>
                <w:bCs w:val="1"/>
                <w:color w:val="auto"/>
              </w:rPr>
              <w:t>Nine Months Ended March 31,</w:t>
            </w:r>
          </w:p>
        </w:tc>
      </w:tr>
      <w:tr>
        <w:trPr>
          <w:trHeight w:val="161"/>
        </w:trPr>
        <w:tc>
          <w:tcPr>
            <w:tcW w:w="416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2"/>
                <w:szCs w:val="12"/>
                <w:b w:val="1"/>
                <w:bCs w:val="1"/>
                <w:color w:val="auto"/>
              </w:rPr>
              <w:t>2024</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416,960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404,668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1,328,952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148"/>
              <w:spacing w:after="0"/>
              <w:rPr>
                <w:sz w:val="20"/>
                <w:szCs w:val="20"/>
                <w:color w:val="auto"/>
              </w:rPr>
            </w:pPr>
            <w:r>
              <w:rPr>
                <w:rFonts w:ascii="Arial" w:cs="Arial" w:eastAsia="Arial" w:hAnsi="Arial"/>
                <w:sz w:val="16"/>
                <w:szCs w:val="16"/>
                <w:color w:val="auto"/>
              </w:rPr>
              <w:t>1,266,874</w:t>
            </w: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52.8 %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51.8 %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52.5 %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i w:val="1"/>
                <w:iCs w:val="1"/>
                <w:color w:val="auto"/>
              </w:rPr>
              <w:t>51.5 %</w:t>
            </w:r>
          </w:p>
        </w:tc>
      </w:tr>
    </w:tbl>
    <w:p>
      <w:pPr>
        <w:spacing w:after="0" w:line="180" w:lineRule="exact"/>
        <w:rPr>
          <w:sz w:val="20"/>
          <w:szCs w:val="20"/>
          <w:color w:val="auto"/>
        </w:rPr>
      </w:pPr>
    </w:p>
    <w:p>
      <w:pPr>
        <w:ind w:right="20" w:firstLine="623"/>
        <w:spacing w:after="0" w:line="265" w:lineRule="auto"/>
        <w:rPr>
          <w:sz w:val="20"/>
          <w:szCs w:val="20"/>
          <w:color w:val="auto"/>
        </w:rPr>
      </w:pPr>
      <w:r>
        <w:rPr>
          <w:rFonts w:ascii="Arial" w:cs="Arial" w:eastAsia="Arial" w:hAnsi="Arial"/>
          <w:sz w:val="17"/>
          <w:szCs w:val="17"/>
          <w:color w:val="auto"/>
        </w:rPr>
        <w:t>For the three and nine months ended March 31, 2025, cost of revenue increased by $12.3 million and $62.1 million year over year, respectively, driven by higher variable-based manufacturing costs of $7.0 million and $44.0 million, due to volume-related increases, as well as increases in third-party fulfillment costs of $3.0 million and $29.9 million, respectively, which were driven in part by product mix shifts toward faster-growing product categories that leverage our third-party fulfillment network. Additionally, shipping costs increased $4.6 million and $8.8 million for the three and nine months ended March 31, 2025, respectively, and as a percentage of revenue, increased by 50 and 10 basis points, respectively.</w:t>
      </w:r>
    </w:p>
    <w:p>
      <w:pPr>
        <w:spacing w:after="0" w:line="63"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Other discrete items that contributed to the increase in cost of revenue was the recognition of a $2.6 million impairment charge during the current quarter for our planned sale of a facility by our National Pen business, as well as increased preproduction startup costs that were recognized as part of a new U.S. manufacturing facility that resulted in cost of revenue of $1.1 million and $ 1.6 million for the three and nine months ended March 31, 2025, respectively. For the nine months ended March 31, 2025, the cost increase was also impacted by the nonrecurrence of a favorable tax ruling of $3.0 million that benefited the prior-year period.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Consolidated Operating Expenses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comparative operating expenses for the following periods: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7"/>
                <w:szCs w:val="17"/>
                <w:color w:val="auto"/>
              </w:rPr>
            </w:pPr>
          </w:p>
        </w:tc>
        <w:tc>
          <w:tcPr>
            <w:tcW w:w="284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March 31,</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20"/>
              <w:spacing w:after="0"/>
              <w:rPr>
                <w:sz w:val="20"/>
                <w:szCs w:val="20"/>
                <w:color w:val="auto"/>
              </w:rPr>
            </w:pPr>
            <w:r>
              <w:rPr>
                <w:rFonts w:ascii="Arial" w:cs="Arial" w:eastAsia="Arial" w:hAnsi="Arial"/>
                <w:sz w:val="12"/>
                <w:szCs w:val="12"/>
                <w:b w:val="1"/>
                <w:bCs w:val="1"/>
                <w:color w:val="auto"/>
              </w:rPr>
              <w:t>Nine Months Ended March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7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0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2025 vs. 2024</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2025 vs. 2024</w:t>
            </w:r>
          </w:p>
        </w:tc>
        <w:tc>
          <w:tcPr>
            <w:tcW w:w="0" w:type="dxa"/>
            <w:vAlign w:val="bottom"/>
          </w:tcPr>
          <w:p>
            <w:pPr>
              <w:spacing w:after="0"/>
              <w:rPr>
                <w:sz w:val="1"/>
                <w:szCs w:val="1"/>
                <w:color w:val="auto"/>
              </w:rPr>
            </w:pPr>
          </w:p>
        </w:tc>
      </w:tr>
      <w:tr>
        <w:trPr>
          <w:trHeight w:val="137"/>
        </w:trPr>
        <w:tc>
          <w:tcPr>
            <w:tcW w:w="270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b w:val="1"/>
                <w:bCs w:val="1"/>
                <w:color w:val="auto"/>
              </w:rPr>
              <w:t>Technology and development</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83,112</w:t>
            </w:r>
          </w:p>
        </w:tc>
        <w:tc>
          <w:tcPr>
            <w:tcW w:w="10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83,790</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247,851</w:t>
            </w:r>
          </w:p>
        </w:tc>
        <w:tc>
          <w:tcPr>
            <w:tcW w:w="80" w:type="dxa"/>
            <w:vAlign w:val="bottom"/>
            <w:shd w:val="clear" w:color="auto" w:fill="CCEEFF"/>
          </w:tcPr>
          <w:p>
            <w:pPr>
              <w:spacing w:after="0"/>
              <w:rPr>
                <w:sz w:val="11"/>
                <w:szCs w:val="11"/>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238,081</w:t>
            </w:r>
          </w:p>
        </w:tc>
        <w:tc>
          <w:tcPr>
            <w:tcW w:w="1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10.5 %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10.7 %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9.8 %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9.7 %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Marketing and selling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193,316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191,591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621,024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595,622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24.5 %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24.2 %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rPr>
              <w:t>General and administrative</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50,549</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54,254</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159,417</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151,388</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5%</w:t>
            </w: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6.4 %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7.0 %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6.3 %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6.2 %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70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b w:val="1"/>
                <w:bCs w:val="1"/>
                <w:color w:val="auto"/>
                <w:w w:val="99"/>
              </w:rPr>
              <w:t>Amortization of acquired intangible</w:t>
            </w:r>
          </w:p>
        </w:tc>
        <w:tc>
          <w:tcPr>
            <w:tcW w:w="34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4,524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6,919</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(35)%</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14,795</w:t>
            </w:r>
          </w:p>
        </w:tc>
        <w:tc>
          <w:tcPr>
            <w:tcW w:w="8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24"/>
              <w:spacing w:after="0"/>
              <w:rPr>
                <w:sz w:val="20"/>
                <w:szCs w:val="20"/>
                <w:color w:val="auto"/>
              </w:rPr>
            </w:pPr>
            <w:r>
              <w:rPr>
                <w:rFonts w:ascii="Arial" w:cs="Arial" w:eastAsia="Arial" w:hAnsi="Arial"/>
                <w:sz w:val="16"/>
                <w:szCs w:val="16"/>
                <w:color w:val="auto"/>
              </w:rPr>
              <w:t>25,986</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8"/>
              </w:rPr>
              <w:t>(43)%</w:t>
            </w: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0.6 %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Restructuring expense</w:t>
            </w: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728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163%</w:t>
            </w:r>
          </w:p>
        </w:tc>
        <w:tc>
          <w:tcPr>
            <w:tcW w:w="0" w:type="dxa"/>
            <w:vAlign w:val="bottom"/>
          </w:tcPr>
          <w:p>
            <w:pPr>
              <w:spacing w:after="0"/>
              <w:rPr>
                <w:sz w:val="1"/>
                <w:szCs w:val="1"/>
                <w:color w:val="auto"/>
              </w:rPr>
            </w:pPr>
          </w:p>
        </w:tc>
      </w:tr>
      <w:tr>
        <w:trPr>
          <w:trHeight w:val="206"/>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 of revenue</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0.1 %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i w:val="1"/>
                <w:iCs w:val="1"/>
                <w:color w:val="auto"/>
              </w:rPr>
              <w:t>0.0 %</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07"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Technology and development expense consists primarily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spacing w:after="0" w:line="102" w:lineRule="exact"/>
        <w:rPr>
          <w:sz w:val="20"/>
          <w:szCs w:val="20"/>
          <w:color w:val="auto"/>
        </w:rPr>
      </w:pPr>
    </w:p>
    <w:p>
      <w:pPr>
        <w:ind w:right="240" w:firstLine="623"/>
        <w:spacing w:after="0" w:line="234" w:lineRule="auto"/>
        <w:rPr>
          <w:sz w:val="20"/>
          <w:szCs w:val="20"/>
          <w:color w:val="auto"/>
        </w:rPr>
      </w:pPr>
      <w:r>
        <w:rPr>
          <w:rFonts w:ascii="Arial" w:cs="Arial" w:eastAsia="Arial" w:hAnsi="Arial"/>
          <w:sz w:val="17"/>
          <w:szCs w:val="17"/>
          <w:color w:val="auto"/>
        </w:rPr>
        <w:t>Technology and development expense decreased by $0.7 million for the three months ended March 31, 2025, as compared to the prior-year period, driven by $2.0 million of reduced expense from fluctuations in currency exchange rates and $1.3 million of lower share-based compensation costs, due to expense volatility from changes in the estimated attainment of the related performance condition of our 2025 PSU</w:t>
      </w:r>
    </w:p>
    <w:p>
      <w:pPr>
        <w:spacing w:after="0" w:line="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grants. These decreases were partially offset by higher third-party technology costs and increases in amortization expense of capitalized software, due to a higher capitalized asset base driven by continued investment in technology capabilities across many of our businesses.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Technology and development expense increased by $9.8 million for the nine months ended March 31, 2025, as compared to the prior-year</w:t>
      </w:r>
    </w:p>
    <w:p>
      <w:pPr>
        <w:spacing w:after="0" w:line="15" w:lineRule="exact"/>
        <w:rPr>
          <w:sz w:val="20"/>
          <w:szCs w:val="20"/>
          <w:color w:val="auto"/>
        </w:rPr>
      </w:pPr>
    </w:p>
    <w:p>
      <w:pPr>
        <w:spacing w:after="0" w:line="227" w:lineRule="auto"/>
        <w:rPr>
          <w:sz w:val="20"/>
          <w:szCs w:val="20"/>
          <w:color w:val="auto"/>
        </w:rPr>
      </w:pPr>
      <w:r>
        <w:rPr>
          <w:rFonts w:ascii="Arial" w:cs="Arial" w:eastAsia="Arial" w:hAnsi="Arial"/>
          <w:sz w:val="17"/>
          <w:szCs w:val="17"/>
          <w:color w:val="auto"/>
        </w:rPr>
        <w:t>period, in part driven by $ 3.0 million of higher third-party technology costs driven partly by our businesses' further adoption of certain products offered through our mass customization platform, as well as increased business volumes, which has collectively increased consumption of those services. Amortization of capitalized software also increased $2.7 million as compared to the prior-year period, due to an increase in the capitalized asset base driven by continued investment in technology capabilities across many of our businesses. These items were offset in part by</w:t>
      </w:r>
    </w:p>
    <w:p>
      <w:pPr>
        <w:ind w:right="900"/>
        <w:spacing w:after="0" w:line="244" w:lineRule="auto"/>
        <w:rPr>
          <w:sz w:val="20"/>
          <w:szCs w:val="20"/>
          <w:color w:val="auto"/>
        </w:rPr>
      </w:pPr>
      <w:r>
        <w:rPr>
          <w:rFonts w:ascii="Arial" w:cs="Arial" w:eastAsia="Arial" w:hAnsi="Arial"/>
          <w:sz w:val="17"/>
          <w:szCs w:val="17"/>
          <w:color w:val="auto"/>
        </w:rPr>
        <w:t>$1.1 million of lower share-based compensation costs, due to expense volatility from changes in the estimated attainment of the related performance condition of our 2025 PSU grants.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selling expense</w:t>
      </w:r>
    </w:p>
    <w:p>
      <w:pPr>
        <w:spacing w:after="0" w:line="194" w:lineRule="exact"/>
        <w:rPr>
          <w:sz w:val="20"/>
          <w:szCs w:val="20"/>
          <w:color w:val="auto"/>
        </w:rPr>
      </w:pPr>
    </w:p>
    <w:p>
      <w:pPr>
        <w:ind w:right="40" w:firstLine="623"/>
        <w:spacing w:after="0" w:line="268" w:lineRule="auto"/>
        <w:rPr>
          <w:sz w:val="20"/>
          <w:szCs w:val="20"/>
          <w:color w:val="auto"/>
        </w:rPr>
      </w:pPr>
      <w:r>
        <w:rPr>
          <w:rFonts w:ascii="Arial" w:cs="Arial" w:eastAsia="Arial" w:hAnsi="Arial"/>
          <w:sz w:val="17"/>
          <w:szCs w:val="17"/>
          <w:color w:val="auto"/>
        </w:rPr>
        <w:t>Marketing and selling expense consists primarily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spacing w:after="0" w:line="152"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For the three and nine months ended March 31, 2025, marketing and selling expenses increased by $1.7 million and $25.4 million, respectively, partly due to higher advertising spend of $1.2 million and $15.7 million, respectively, as compared to the prior-year periods, largely driven by volume-driven increases to advertising spend, as well as targeted advertising investments. Additionally, for the nine-month period, advertising was higher due to increases in mid- and upper-funnel spend in our Vista business, and the higher cost of performance advertising in the U.S. market during the second quarter of the current fiscal year. Cash compensation costs also increased by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ind w:right="260"/>
        <w:spacing w:after="0" w:line="275" w:lineRule="auto"/>
        <w:rPr>
          <w:sz w:val="20"/>
          <w:szCs w:val="20"/>
          <w:color w:val="auto"/>
        </w:rPr>
      </w:pPr>
      <w:r>
        <w:rPr>
          <w:rFonts w:ascii="Arial" w:cs="Arial" w:eastAsia="Arial" w:hAnsi="Arial"/>
          <w:sz w:val="17"/>
          <w:szCs w:val="17"/>
          <w:color w:val="auto"/>
        </w:rPr>
        <w:t>$3.3 million and $12.5 million, respectively, driven by our annual merit cycle, as well as hiring in our Vista business. These were offset in part by $1.0 million and $2.1 million, respectively, of lower share-based compensation costs, due to expense volatility from changes in the estimated attainment of the related performance condition of our 2025 PSU grants.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07" w:lineRule="exact"/>
        <w:rPr>
          <w:sz w:val="20"/>
          <w:szCs w:val="20"/>
          <w:color w:val="auto"/>
        </w:rPr>
      </w:pPr>
    </w:p>
    <w:p>
      <w:pPr>
        <w:ind w:right="160" w:firstLine="623"/>
        <w:spacing w:after="0" w:line="295" w:lineRule="auto"/>
        <w:rPr>
          <w:sz w:val="20"/>
          <w:szCs w:val="20"/>
          <w:color w:val="auto"/>
        </w:rPr>
      </w:pPr>
      <w:r>
        <w:rPr>
          <w:rFonts w:ascii="Arial" w:cs="Arial" w:eastAsia="Arial" w:hAnsi="Arial"/>
          <w:sz w:val="17"/>
          <w:szCs w:val="17"/>
          <w:color w:val="auto"/>
        </w:rPr>
        <w:t>General and administrative expense consists primarily of transaction costs, including third-party professional fees, insurance, and payroll and related expenses of employees involved in executive management, finance, legal, strategy, human resources, and procurement.</w:t>
      </w:r>
    </w:p>
    <w:p>
      <w:pPr>
        <w:spacing w:after="0" w:line="130" w:lineRule="exact"/>
        <w:rPr>
          <w:sz w:val="20"/>
          <w:szCs w:val="20"/>
          <w:color w:val="auto"/>
        </w:rPr>
      </w:pPr>
    </w:p>
    <w:p>
      <w:pPr>
        <w:jc w:val="both"/>
        <w:ind w:right="40" w:firstLine="623"/>
        <w:spacing w:after="0" w:line="275" w:lineRule="auto"/>
        <w:rPr>
          <w:sz w:val="20"/>
          <w:szCs w:val="20"/>
          <w:color w:val="auto"/>
        </w:rPr>
      </w:pPr>
      <w:r>
        <w:rPr>
          <w:rFonts w:ascii="Arial" w:cs="Arial" w:eastAsia="Arial" w:hAnsi="Arial"/>
          <w:sz w:val="17"/>
          <w:szCs w:val="17"/>
          <w:color w:val="auto"/>
        </w:rPr>
        <w:t>General and administrative expenses decreased by $3.7 million during the three months ended March 31, 2025 as compared to the prior-year period, driven by $3.3 million of lower share-based compensation costs, due to expense volatility from changes in the estimated attainment of the related performance condition of our 2025 PSU grants.</w:t>
      </w:r>
    </w:p>
    <w:p>
      <w:pPr>
        <w:spacing w:after="0" w:line="133" w:lineRule="exact"/>
        <w:rPr>
          <w:sz w:val="20"/>
          <w:szCs w:val="20"/>
          <w:color w:val="auto"/>
        </w:rPr>
      </w:pPr>
    </w:p>
    <w:p>
      <w:pPr>
        <w:ind w:right="100" w:firstLine="623"/>
        <w:spacing w:after="0" w:line="263" w:lineRule="auto"/>
        <w:rPr>
          <w:sz w:val="20"/>
          <w:szCs w:val="20"/>
          <w:color w:val="auto"/>
        </w:rPr>
      </w:pPr>
      <w:r>
        <w:rPr>
          <w:rFonts w:ascii="Arial" w:cs="Arial" w:eastAsia="Arial" w:hAnsi="Arial"/>
          <w:sz w:val="17"/>
          <w:szCs w:val="17"/>
          <w:color w:val="auto"/>
        </w:rPr>
        <w:t>General and administrative expenses increased by $8.0 million during the nine months ended March 31, 2025 as compared to the prior-year period, driven by $5.1 million of higher long-term incentive cash compensation, due to prior-year reductions in estimated payouts for certain businesses, as well as higher cash compensation costs that were impacted by our annual merit cycle, and a $2.9 million charge recognized in the second quarter of the current fiscal year for a land duty tax in Australia related to our 2019 redomiciliation to Ireland that we are appealing. These increases were offset in part by $2.5 million of lower share-based compensation costs, due to expense volatility from changes in the estimated attainment of the related performance condition of our 2025 PSU grants.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Consolidated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 net</w:t>
      </w:r>
    </w:p>
    <w:p>
      <w:pPr>
        <w:spacing w:after="0" w:line="194"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Other (expense)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considered the benefits of hedge accounting relative to the additional economic cost of trade execution and administrative burden. Based on this analysis, we execute certain currency derivative contracts that do not qualify for hedge accounting.</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other (expense) income, net:</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3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060" w:type="dxa"/>
            <w:vAlign w:val="bottom"/>
            <w:gridSpan w:val="5"/>
          </w:tcPr>
          <w:p>
            <w:pPr>
              <w:ind w:left="380"/>
              <w:spacing w:after="0"/>
              <w:rPr>
                <w:sz w:val="20"/>
                <w:szCs w:val="20"/>
                <w:color w:val="auto"/>
              </w:rPr>
            </w:pPr>
            <w:r>
              <w:rPr>
                <w:rFonts w:ascii="Arial" w:cs="Arial" w:eastAsia="Arial" w:hAnsi="Arial"/>
                <w:sz w:val="12"/>
                <w:szCs w:val="12"/>
                <w:b w:val="1"/>
                <w:bCs w:val="1"/>
                <w:color w:val="auto"/>
              </w:rPr>
              <w:t>Three Months Ended March 31,</w:t>
            </w:r>
          </w:p>
        </w:tc>
        <w:tc>
          <w:tcPr>
            <w:tcW w:w="380" w:type="dxa"/>
            <w:vAlign w:val="bottom"/>
          </w:tcPr>
          <w:p>
            <w:pPr>
              <w:spacing w:after="0"/>
              <w:rPr>
                <w:sz w:val="17"/>
                <w:szCs w:val="17"/>
                <w:color w:val="auto"/>
              </w:rPr>
            </w:pPr>
          </w:p>
        </w:tc>
        <w:tc>
          <w:tcPr>
            <w:tcW w:w="2960" w:type="dxa"/>
            <w:vAlign w:val="bottom"/>
            <w:gridSpan w:val="4"/>
          </w:tcPr>
          <w:p>
            <w:pPr>
              <w:jc w:val="right"/>
              <w:ind w:right="726"/>
              <w:spacing w:after="0"/>
              <w:rPr>
                <w:sz w:val="20"/>
                <w:szCs w:val="20"/>
                <w:color w:val="auto"/>
              </w:rPr>
            </w:pPr>
            <w:r>
              <w:rPr>
                <w:rFonts w:ascii="Arial" w:cs="Arial" w:eastAsia="Arial" w:hAnsi="Arial"/>
                <w:sz w:val="12"/>
                <w:szCs w:val="12"/>
                <w:b w:val="1"/>
                <w:bCs w:val="1"/>
                <w:color w:val="auto"/>
              </w:rPr>
              <w:t>Nine Months Ended March 31,</w:t>
            </w:r>
          </w:p>
        </w:tc>
        <w:tc>
          <w:tcPr>
            <w:tcW w:w="0" w:type="dxa"/>
            <w:vAlign w:val="bottom"/>
          </w:tcPr>
          <w:p>
            <w:pPr>
              <w:spacing w:after="0"/>
              <w:rPr>
                <w:sz w:val="1"/>
                <w:szCs w:val="1"/>
                <w:color w:val="auto"/>
              </w:rPr>
            </w:pPr>
          </w:p>
        </w:tc>
      </w:tr>
      <w:tr>
        <w:trPr>
          <w:trHeight w:val="161"/>
        </w:trPr>
        <w:tc>
          <w:tcPr>
            <w:tcW w:w="436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2"/>
                <w:szCs w:val="12"/>
                <w:b w:val="1"/>
                <w:bCs w:val="1"/>
                <w:color w:val="auto"/>
              </w:rPr>
              <w:t>2024</w:t>
            </w:r>
          </w:p>
        </w:tc>
        <w:tc>
          <w:tcPr>
            <w:tcW w:w="0" w:type="dxa"/>
            <w:vAlign w:val="bottom"/>
          </w:tcPr>
          <w:p>
            <w:pPr>
              <w:spacing w:after="0"/>
              <w:rPr>
                <w:sz w:val="1"/>
                <w:szCs w:val="1"/>
                <w:color w:val="auto"/>
              </w:rPr>
            </w:pPr>
          </w:p>
        </w:tc>
      </w:tr>
      <w:tr>
        <w:trPr>
          <w:trHeight w:val="138"/>
        </w:trPr>
        <w:tc>
          <w:tcPr>
            <w:tcW w:w="436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(Losses) gains on derivatives not designated as hedging</w:t>
            </w:r>
          </w:p>
        </w:tc>
        <w:tc>
          <w:tcPr>
            <w:tcW w:w="40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(14,640)</w:t>
            </w:r>
          </w:p>
        </w:tc>
        <w:tc>
          <w:tcPr>
            <w:tcW w:w="12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ind w:right="6"/>
              <w:spacing w:after="0"/>
              <w:rPr>
                <w:sz w:val="20"/>
                <w:szCs w:val="20"/>
                <w:color w:val="auto"/>
              </w:rPr>
            </w:pPr>
            <w:r>
              <w:rPr>
                <w:rFonts w:ascii="Arial" w:cs="Arial" w:eastAsia="Arial" w:hAnsi="Arial"/>
                <w:sz w:val="16"/>
                <w:szCs w:val="16"/>
                <w:color w:val="auto"/>
              </w:rPr>
              <w:t>9,071</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4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Arial" w:cs="Arial" w:eastAsia="Arial" w:hAnsi="Arial"/>
                <w:sz w:val="16"/>
                <w:szCs w:val="16"/>
                <w:color w:val="auto"/>
              </w:rPr>
              <w:t>Currency-related gains (losses), net</w:t>
            </w: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5,131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11,691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gains (losses)</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rPr>
                <w:sz w:val="20"/>
                <w:szCs w:val="20"/>
                <w:color w:val="auto"/>
              </w:rPr>
            </w:pPr>
            <w:r>
              <w:rPr>
                <w:rFonts w:ascii="Arial" w:cs="Arial" w:eastAsia="Arial" w:hAnsi="Arial"/>
                <w:sz w:val="16"/>
                <w:szCs w:val="16"/>
                <w:color w:val="auto"/>
              </w:rPr>
              <w:t>Total other (expense) income, net</w:t>
            </w: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20" w:firstLine="623"/>
        <w:spacing w:after="0" w:line="275" w:lineRule="auto"/>
        <w:rPr>
          <w:sz w:val="20"/>
          <w:szCs w:val="20"/>
          <w:color w:val="auto"/>
        </w:rPr>
      </w:pPr>
      <w:r>
        <w:rPr>
          <w:rFonts w:ascii="Arial" w:cs="Arial" w:eastAsia="Arial" w:hAnsi="Arial"/>
          <w:sz w:val="17"/>
          <w:szCs w:val="17"/>
          <w:color w:val="auto"/>
        </w:rPr>
        <w:t>The changes in other (expense) income, net was primarily due to the currency exchange rate volatility impacting our derivatives that are not designated as hedging instruments, of which our Euro and British Pound contracts are the most significant exposures that we economically hedge. We expect volatility to continue in future periods, as we do not apply hedge accounting for most of our derivative currency contracts.</w:t>
      </w:r>
    </w:p>
    <w:p>
      <w:pPr>
        <w:spacing w:after="0" w:line="146" w:lineRule="exact"/>
        <w:rPr>
          <w:sz w:val="20"/>
          <w:szCs w:val="20"/>
          <w:color w:val="auto"/>
        </w:rPr>
      </w:pPr>
    </w:p>
    <w:p>
      <w:pPr>
        <w:jc w:val="both"/>
        <w:ind w:firstLine="623"/>
        <w:spacing w:after="0" w:line="275" w:lineRule="auto"/>
        <w:rPr>
          <w:sz w:val="20"/>
          <w:szCs w:val="20"/>
          <w:color w:val="auto"/>
        </w:rPr>
      </w:pPr>
      <w:r>
        <w:rPr>
          <w:rFonts w:ascii="Arial" w:cs="Arial" w:eastAsia="Arial" w:hAnsi="Arial"/>
          <w:sz w:val="17"/>
          <w:szCs w:val="17"/>
          <w:color w:val="auto"/>
        </w:rPr>
        <w:t>We experience currency-related net gains and losses due to currency exchange rate volatility on our non-functional currency intercompany relationships, which we may alter from time to time. Losses on the revaluation of non-functional currency debt are included in our currency-related gains (losses), net, offsetting the impact of certain non-functional currency intercompany relationships.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Interest expense, net</w:t>
      </w:r>
    </w:p>
    <w:p>
      <w:pPr>
        <w:spacing w:after="0" w:line="194" w:lineRule="exact"/>
        <w:rPr>
          <w:sz w:val="20"/>
          <w:szCs w:val="20"/>
          <w:color w:val="auto"/>
        </w:rPr>
      </w:pPr>
    </w:p>
    <w:p>
      <w:pPr>
        <w:ind w:right="340" w:firstLine="623"/>
        <w:spacing w:after="0" w:line="275" w:lineRule="auto"/>
        <w:rPr>
          <w:sz w:val="20"/>
          <w:szCs w:val="20"/>
          <w:color w:val="auto"/>
        </w:rPr>
      </w:pPr>
      <w:r>
        <w:rPr>
          <w:rFonts w:ascii="Arial" w:cs="Arial" w:eastAsia="Arial" w:hAnsi="Arial"/>
          <w:sz w:val="17"/>
          <w:szCs w:val="17"/>
          <w:color w:val="auto"/>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spacing w:after="0" w:line="146" w:lineRule="exact"/>
        <w:rPr>
          <w:sz w:val="20"/>
          <w:szCs w:val="20"/>
          <w:color w:val="auto"/>
        </w:rPr>
      </w:pPr>
    </w:p>
    <w:p>
      <w:pPr>
        <w:ind w:right="260" w:firstLine="623"/>
        <w:spacing w:after="0" w:line="275" w:lineRule="auto"/>
        <w:rPr>
          <w:sz w:val="20"/>
          <w:szCs w:val="20"/>
          <w:color w:val="auto"/>
        </w:rPr>
      </w:pPr>
      <w:r>
        <w:rPr>
          <w:rFonts w:ascii="Arial" w:cs="Arial" w:eastAsia="Arial" w:hAnsi="Arial"/>
          <w:sz w:val="17"/>
          <w:szCs w:val="17"/>
          <w:color w:val="auto"/>
        </w:rPr>
        <w:t>Interest expense, net decreased $3.2 million and $ 2.4 million during the three and nine months ended March 31, 2025, respectively, primarily due to a year-over-year decrease to our weighted average interest rate (net of interest rate swaps) on our senior secured Term Loan B arising in part from our repricing actions in May 2024 and December 2024 that reduced the credit spread on our outstanding debt.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Gain (loss) on extinguishment of debt</w:t>
      </w:r>
    </w:p>
    <w:p>
      <w:pPr>
        <w:spacing w:after="0" w:line="220" w:lineRule="exact"/>
        <w:rPr>
          <w:sz w:val="20"/>
          <w:szCs w:val="20"/>
          <w:color w:val="auto"/>
        </w:rPr>
      </w:pPr>
    </w:p>
    <w:p>
      <w:pPr>
        <w:jc w:val="both"/>
        <w:ind w:right="60" w:firstLine="623"/>
        <w:spacing w:after="0" w:line="275" w:lineRule="auto"/>
        <w:rPr>
          <w:sz w:val="20"/>
          <w:szCs w:val="20"/>
          <w:color w:val="auto"/>
        </w:rPr>
      </w:pPr>
      <w:r>
        <w:rPr>
          <w:rFonts w:ascii="Arial" w:cs="Arial" w:eastAsia="Arial" w:hAnsi="Arial"/>
          <w:sz w:val="17"/>
          <w:szCs w:val="17"/>
          <w:color w:val="auto"/>
        </w:rPr>
        <w:t>During the nine months ended March 31, 2025, we recognized $0.5 million of losses on the extinguishment of debt primarily due to the net write-off of unamortized debt discount and financing fees associated with the refinancing of our Term Loan B. Refer to Note 8 in our accompanying consolidated financial statements for additional details.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7"/>
                <w:szCs w:val="17"/>
                <w:color w:val="auto"/>
              </w:rPr>
            </w:pPr>
          </w:p>
        </w:tc>
        <w:tc>
          <w:tcPr>
            <w:tcW w:w="3180" w:type="dxa"/>
            <w:vAlign w:val="bottom"/>
            <w:gridSpan w:val="5"/>
          </w:tcPr>
          <w:p>
            <w:pPr>
              <w:ind w:left="440"/>
              <w:spacing w:after="0"/>
              <w:rPr>
                <w:sz w:val="20"/>
                <w:szCs w:val="20"/>
                <w:color w:val="auto"/>
              </w:rPr>
            </w:pPr>
            <w:r>
              <w:rPr>
                <w:rFonts w:ascii="Arial" w:cs="Arial" w:eastAsia="Arial" w:hAnsi="Arial"/>
                <w:sz w:val="12"/>
                <w:szCs w:val="12"/>
                <w:b w:val="1"/>
                <w:bCs w:val="1"/>
                <w:color w:val="auto"/>
              </w:rPr>
              <w:t>Three Months Ended March 31,</w:t>
            </w:r>
          </w:p>
        </w:tc>
        <w:tc>
          <w:tcPr>
            <w:tcW w:w="400" w:type="dxa"/>
            <w:vAlign w:val="bottom"/>
          </w:tcPr>
          <w:p>
            <w:pPr>
              <w:spacing w:after="0"/>
              <w:rPr>
                <w:sz w:val="17"/>
                <w:szCs w:val="17"/>
                <w:color w:val="auto"/>
              </w:rPr>
            </w:pPr>
          </w:p>
        </w:tc>
        <w:tc>
          <w:tcPr>
            <w:tcW w:w="3080" w:type="dxa"/>
            <w:vAlign w:val="bottom"/>
            <w:gridSpan w:val="4"/>
          </w:tcPr>
          <w:p>
            <w:pPr>
              <w:jc w:val="right"/>
              <w:ind w:right="808"/>
              <w:spacing w:after="0"/>
              <w:rPr>
                <w:sz w:val="20"/>
                <w:szCs w:val="20"/>
                <w:color w:val="auto"/>
              </w:rPr>
            </w:pPr>
            <w:r>
              <w:rPr>
                <w:rFonts w:ascii="Arial" w:cs="Arial" w:eastAsia="Arial" w:hAnsi="Arial"/>
                <w:sz w:val="12"/>
                <w:szCs w:val="12"/>
                <w:b w:val="1"/>
                <w:bCs w:val="1"/>
                <w:color w:val="auto"/>
              </w:rPr>
              <w:t>Nine Months Ended March 31,</w:t>
            </w:r>
          </w:p>
        </w:tc>
      </w:tr>
      <w:tr>
        <w:trPr>
          <w:trHeight w:val="161"/>
        </w:trPr>
        <w:tc>
          <w:tcPr>
            <w:tcW w:w="416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2024</w:t>
            </w:r>
          </w:p>
        </w:tc>
      </w:tr>
      <w:tr>
        <w:trPr>
          <w:trHeight w:val="20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12,144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10,610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6"/>
                <w:szCs w:val="16"/>
                <w:color w:val="auto"/>
              </w:rPr>
              <w:t>42,290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35,527</w:t>
            </w:r>
          </w:p>
        </w:tc>
      </w:tr>
      <w:tr>
        <w:trPr>
          <w:trHeight w:val="206"/>
        </w:trPr>
        <w:tc>
          <w:tcPr>
            <w:tcW w:w="4160" w:type="dxa"/>
            <w:vAlign w:val="bottom"/>
          </w:tcPr>
          <w:p>
            <w:pPr>
              <w:ind w:left="20"/>
              <w:spacing w:after="0"/>
              <w:rPr>
                <w:sz w:val="20"/>
                <w:szCs w:val="20"/>
                <w:color w:val="auto"/>
              </w:rPr>
            </w:pPr>
            <w:r>
              <w:rPr>
                <w:rFonts w:ascii="Arial" w:cs="Arial" w:eastAsia="Arial" w:hAnsi="Arial"/>
                <w:sz w:val="16"/>
                <w:szCs w:val="16"/>
                <w:i w:val="1"/>
                <w:iCs w:val="1"/>
                <w:color w:val="auto"/>
              </w:rPr>
              <w:t>Effective tax rate</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294.5 %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195.4 %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50.6 %</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37.3 %</w:t>
            </w:r>
          </w:p>
        </w:tc>
      </w:tr>
    </w:tbl>
    <w:p>
      <w:pPr>
        <w:spacing w:after="0" w:line="76" w:lineRule="exact"/>
        <w:rPr>
          <w:sz w:val="20"/>
          <w:szCs w:val="20"/>
          <w:color w:val="auto"/>
        </w:rPr>
      </w:pPr>
    </w:p>
    <w:p>
      <w:pPr>
        <w:ind w:right="280" w:firstLine="623"/>
        <w:spacing w:after="0" w:line="268" w:lineRule="auto"/>
        <w:rPr>
          <w:sz w:val="20"/>
          <w:szCs w:val="20"/>
          <w:color w:val="auto"/>
        </w:rPr>
      </w:pPr>
      <w:r>
        <w:rPr>
          <w:rFonts w:ascii="Arial" w:cs="Arial" w:eastAsia="Arial" w:hAnsi="Arial"/>
          <w:sz w:val="17"/>
          <w:szCs w:val="17"/>
          <w:color w:val="auto"/>
        </w:rPr>
        <w:t>Income tax expense for the three and nine months ended March 31, 2025 increased versus the prior comparative periods due to an increased full-year forecasted effective tax rate, excluding loss entities with no tax benefit. Our effective tax rate continues to be negatively impacted by losses in certain jurisdictions where we are unable to recognize a tax benefit in the current period. These losses with no tax benefit were excluded in calculating income tax expense for the three and nine months ended March 31, 2025 and 2024, in accordance with GAAP.</w:t>
      </w:r>
    </w:p>
    <w:p>
      <w:pPr>
        <w:spacing w:after="0" w:line="191" w:lineRule="exact"/>
        <w:rPr>
          <w:sz w:val="20"/>
          <w:szCs w:val="20"/>
          <w:color w:val="auto"/>
        </w:rPr>
      </w:pPr>
    </w:p>
    <w:p>
      <w:pPr>
        <w:jc w:val="both"/>
        <w:ind w:right="100" w:firstLine="623"/>
        <w:spacing w:after="0" w:line="268" w:lineRule="auto"/>
        <w:rPr>
          <w:sz w:val="20"/>
          <w:szCs w:val="20"/>
          <w:color w:val="auto"/>
        </w:rPr>
      </w:pPr>
      <w:r>
        <w:rPr>
          <w:rFonts w:ascii="Arial" w:cs="Arial" w:eastAsia="Arial" w:hAnsi="Arial"/>
          <w:sz w:val="17"/>
          <w:szCs w:val="17"/>
          <w:color w:val="auto"/>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 Results</w:t>
      </w:r>
    </w:p>
    <w:p>
      <w:pPr>
        <w:spacing w:after="0" w:line="209"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color w:val="auto"/>
        </w:rPr>
        <w:t>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 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w:t>
      </w:r>
    </w:p>
    <w:p>
      <w:pPr>
        <w:spacing w:after="0" w:line="154" w:lineRule="exact"/>
        <w:rPr>
          <w:sz w:val="20"/>
          <w:szCs w:val="20"/>
          <w:color w:val="auto"/>
        </w:rPr>
      </w:pPr>
    </w:p>
    <w:p>
      <w:pPr>
        <w:ind w:right="80" w:firstLine="623"/>
        <w:spacing w:after="0" w:line="253" w:lineRule="auto"/>
        <w:rPr>
          <w:sz w:val="20"/>
          <w:szCs w:val="20"/>
          <w:color w:val="auto"/>
        </w:rPr>
      </w:pPr>
      <w:r>
        <w:rPr>
          <w:rFonts w:ascii="Arial" w:cs="Arial" w:eastAsia="Arial" w:hAnsi="Arial"/>
          <w:sz w:val="17"/>
          <w:szCs w:val="17"/>
          <w:color w:val="auto"/>
        </w:rPr>
        <w:t>For purposes of measuring and reporting our segment financial performance, we implemented changes to the methodology used for inter-segment transactions during the first quarter of fiscal 2025. These transactions are when one Cimpress business chooses to buy from or sell to another Cimpress business. We have recast the prior periods presented for segment revenue and segment EBITDA to ensure comparability with the current fiscal year. These changes in methodology have no impact on our consolidated financial results. Refer to Note 11 in our accompanying consolidated financial statements for additional details.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Vista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2820" w:type="dxa"/>
            <w:vAlign w:val="bottom"/>
            <w:gridSpan w:val="5"/>
          </w:tcPr>
          <w:p>
            <w:pPr>
              <w:ind w:left="28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gridSpan w:val="5"/>
          </w:tcPr>
          <w:p>
            <w:pPr>
              <w:ind w:left="400"/>
              <w:spacing w:after="0"/>
              <w:rPr>
                <w:sz w:val="20"/>
                <w:szCs w:val="20"/>
                <w:color w:val="auto"/>
              </w:rPr>
            </w:pPr>
            <w:r>
              <w:rPr>
                <w:rFonts w:ascii="Arial" w:cs="Arial" w:eastAsia="Arial" w:hAnsi="Arial"/>
                <w:sz w:val="12"/>
                <w:szCs w:val="12"/>
                <w:b w:val="1"/>
                <w:bCs w:val="1"/>
                <w:color w:val="auto"/>
              </w:rPr>
              <w:t>Nine Months Ended March 31,</w:t>
            </w:r>
          </w:p>
        </w:tc>
        <w:tc>
          <w:tcPr>
            <w:tcW w:w="110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2025 vs. 2024</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8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430,651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418,079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1,357,822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1,300,374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4%</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6"/>
                <w:szCs w:val="16"/>
                <w:color w:val="auto"/>
              </w:rPr>
              <w:t>78,100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76,834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247,370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263,282</w:t>
            </w:r>
          </w:p>
        </w:tc>
        <w:tc>
          <w:tcPr>
            <w:tcW w:w="80" w:type="dxa"/>
            <w:vAlign w:val="bottom"/>
          </w:tcPr>
          <w:p>
            <w:pPr>
              <w:spacing w:after="0"/>
              <w:rPr>
                <w:sz w:val="17"/>
                <w:szCs w:val="17"/>
                <w:color w:val="auto"/>
              </w:rPr>
            </w:pPr>
          </w:p>
        </w:tc>
        <w:tc>
          <w:tcPr>
            <w:tcW w:w="1100" w:type="dxa"/>
            <w:vAlign w:val="bottom"/>
          </w:tcPr>
          <w:p>
            <w:pPr>
              <w:jc w:val="right"/>
              <w:ind w:right="308"/>
              <w:spacing w:after="0"/>
              <w:rPr>
                <w:sz w:val="20"/>
                <w:szCs w:val="20"/>
                <w:color w:val="auto"/>
              </w:rPr>
            </w:pPr>
            <w:r>
              <w:rPr>
                <w:rFonts w:ascii="Arial" w:cs="Arial" w:eastAsia="Arial" w:hAnsi="Arial"/>
                <w:sz w:val="16"/>
                <w:szCs w:val="16"/>
                <w:color w:val="auto"/>
              </w:rPr>
              <w:t>(6)%</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new methodology used for inter-segment transactions. Refer to Note 11 of the accompanying consolidated financial statements for additional details.</w:t>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ind w:right="100" w:firstLine="623"/>
        <w:spacing w:after="0" w:line="263" w:lineRule="auto"/>
        <w:rPr>
          <w:sz w:val="20"/>
          <w:szCs w:val="20"/>
          <w:color w:val="auto"/>
        </w:rPr>
      </w:pPr>
      <w:r>
        <w:rPr>
          <w:rFonts w:ascii="Arial" w:cs="Arial" w:eastAsia="Arial" w:hAnsi="Arial"/>
          <w:sz w:val="17"/>
          <w:szCs w:val="17"/>
          <w:color w:val="auto"/>
        </w:rPr>
        <w:t>Vista's reported revenue growth for the three and nine months ended March 31, 2025 was negatively affected by currency exchange fluctuations for both periods by 1%, resulting in constant-currency revenue growth of 4% and 5%, respectively. Revenue growth for the three and nine months ended March 31, 2025 was stronger in Europe. In addition, growth was stronger across most major markets, for product categories like promotional products, apparel, signage and packaging and labels. Revenue growth was dampened by a decline in the business cards and stationery product category in the U.S. in both periods presented, including negative impact from algorithm changes in the organic search channel that we've continued to optimize against.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120" w:firstLine="623"/>
        <w:spacing w:after="0" w:line="275" w:lineRule="auto"/>
        <w:rPr>
          <w:sz w:val="20"/>
          <w:szCs w:val="20"/>
          <w:color w:val="auto"/>
        </w:rPr>
      </w:pPr>
      <w:r>
        <w:rPr>
          <w:rFonts w:ascii="Arial" w:cs="Arial" w:eastAsia="Arial" w:hAnsi="Arial"/>
          <w:sz w:val="17"/>
          <w:szCs w:val="17"/>
          <w:color w:val="auto"/>
        </w:rPr>
        <w:t>For the three months ended March 31, 2025, segment EBITDA increased by $1.3 million, driven by $1.6 million of gross profit growth due to the growth of higher-value orders particularly in the PPAG, signage, and packaging and labels categories, which was partially offset by the decline in business cards and stationary.</w:t>
      </w:r>
    </w:p>
    <w:p>
      <w:pPr>
        <w:spacing w:after="0" w:line="146"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color w:val="auto"/>
        </w:rPr>
        <w:t>For the nine months ended March 31, 2025, segment EBITDA decreased by $15.9 million, primarily due to modest gross profit growth, driven by similar dynamics that are described above, which was more than offset by $14.7 million of higher advertising spend, as well as higher operating expenses as compared to the prior year. The increase in advertising spend was primarily driven by the timing of mid- and upper-funnel advertising spend during the first half of the fiscal year in North America. In addition, the segment EBITDA decline was also influenced by the non-recurrence of items that benefited the prior-year period of $6.4 million.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PrintBrothers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284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March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2025 vs. 2024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155,981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150,677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490,904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468,801</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17,729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17,225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61,218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66,237</w:t>
            </w:r>
          </w:p>
        </w:tc>
        <w:tc>
          <w:tcPr>
            <w:tcW w:w="8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6"/>
                <w:szCs w:val="16"/>
                <w:color w:val="auto"/>
              </w:rPr>
              <w:t>(8)%</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new methodology used for inter-segment transactions. Refer to Note 11 of the accompanying consolidated financial statements for additional details.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140" w:firstLine="623"/>
        <w:spacing w:after="0" w:line="268" w:lineRule="auto"/>
        <w:rPr>
          <w:sz w:val="20"/>
          <w:szCs w:val="20"/>
          <w:color w:val="auto"/>
        </w:rPr>
      </w:pPr>
      <w:r>
        <w:rPr>
          <w:rFonts w:ascii="Arial" w:cs="Arial" w:eastAsia="Arial" w:hAnsi="Arial"/>
          <w:sz w:val="17"/>
          <w:szCs w:val="17"/>
          <w:color w:val="auto"/>
        </w:rPr>
        <w:t>PrintBrothers' reported revenue growth for the three and nine months ended March 31, 2025 was negatively affected by currency of 3% and 1%, respectively, resulting in constant currency revenue growth of 7% and 6%, respectively. Constant-currency revenue growth was driven primarily by order volume growth, as well as volumes related to the German elections which benefited a portion of the current-year periods. Order volume growth continues to be offset in part by customers purchasing lower quantities in certain product categories.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ind w:right="20" w:firstLine="623"/>
        <w:spacing w:after="0" w:line="275" w:lineRule="auto"/>
        <w:rPr>
          <w:sz w:val="20"/>
          <w:szCs w:val="20"/>
          <w:color w:val="auto"/>
        </w:rPr>
      </w:pPr>
      <w:r>
        <w:rPr>
          <w:rFonts w:ascii="Arial" w:cs="Arial" w:eastAsia="Arial" w:hAnsi="Arial"/>
          <w:sz w:val="17"/>
          <w:szCs w:val="17"/>
          <w:color w:val="auto"/>
        </w:rPr>
        <w:t>For the three months ended March 31, 2025, PrintBrothers' segment EBITDA increased by $0.5 million, due to gross profit growth that was driven by revenue growth described above, partially offset by increased advertising spend and operating expenses. Currency exchange fluctuations had a negative year-over-year impact of $0.5 million for the three months ended March 31, 2025.</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9" w:name="page40"/>
    <w:bookmarkEnd w:id="39"/>
    <w:p>
      <w:pPr>
        <w:ind w:right="380" w:firstLine="623"/>
        <w:spacing w:after="0" w:line="268" w:lineRule="auto"/>
        <w:rPr>
          <w:sz w:val="20"/>
          <w:szCs w:val="20"/>
          <w:color w:val="auto"/>
        </w:rPr>
      </w:pPr>
      <w:r>
        <w:rPr>
          <w:rFonts w:ascii="Arial" w:cs="Arial" w:eastAsia="Arial" w:hAnsi="Arial"/>
          <w:sz w:val="17"/>
          <w:szCs w:val="17"/>
          <w:color w:val="auto"/>
        </w:rPr>
        <w:t>PrintBrothers' segment EBITDA for the nine months ended March 31, 2025 decreased $5.0 million, partially due to an increase in advertising spend of $4.4 million, driven by one of the segment's businesses testing into new digital marketing channels, as well as higher operating expenses that were offset in part by gross profit growth that was driven by the revenue growth described above. Currency exchange fluctuations had a negative year-over-year impact of $0.2 million for the nine months ended March 31, 2025.</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Print Group</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282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40" w:type="dxa"/>
            <w:vAlign w:val="bottom"/>
            <w:gridSpan w:val="5"/>
          </w:tcPr>
          <w:p>
            <w:pPr>
              <w:ind w:left="38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61"/>
        </w:trPr>
        <w:tc>
          <w:tcPr>
            <w:tcW w:w="25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2025</w:t>
            </w:r>
          </w:p>
        </w:tc>
        <w:tc>
          <w:tcPr>
            <w:tcW w:w="12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2025 vs. 2024</w:t>
            </w:r>
          </w:p>
        </w:tc>
        <w:tc>
          <w:tcPr>
            <w:tcW w:w="1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89,348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87,093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272,048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258,665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r>
      <w:tr>
        <w:trPr>
          <w:trHeight w:val="207"/>
        </w:trPr>
        <w:tc>
          <w:tcPr>
            <w:tcW w:w="250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120" w:type="dxa"/>
            <w:vAlign w:val="bottom"/>
          </w:tcPr>
          <w:p>
            <w:pPr>
              <w:jc w:val="right"/>
              <w:ind w:right="129"/>
              <w:spacing w:after="0"/>
              <w:rPr>
                <w:sz w:val="20"/>
                <w:szCs w:val="20"/>
                <w:color w:val="auto"/>
              </w:rPr>
            </w:pPr>
            <w:r>
              <w:rPr>
                <w:rFonts w:ascii="Arial" w:cs="Arial" w:eastAsia="Arial" w:hAnsi="Arial"/>
                <w:sz w:val="16"/>
                <w:szCs w:val="16"/>
                <w:color w:val="auto"/>
              </w:rPr>
              <w:t>15,128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17,233</w:t>
            </w:r>
          </w:p>
        </w:tc>
        <w:tc>
          <w:tcPr>
            <w:tcW w:w="100" w:type="dxa"/>
            <w:vAlign w:val="bottom"/>
          </w:tcPr>
          <w:p>
            <w:pPr>
              <w:spacing w:after="0"/>
              <w:rPr>
                <w:sz w:val="17"/>
                <w:szCs w:val="17"/>
                <w:color w:val="auto"/>
              </w:rPr>
            </w:pPr>
          </w:p>
        </w:tc>
        <w:tc>
          <w:tcPr>
            <w:tcW w:w="1120" w:type="dxa"/>
            <w:vAlign w:val="bottom"/>
          </w:tcPr>
          <w:p>
            <w:pPr>
              <w:jc w:val="right"/>
              <w:ind w:right="268"/>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51,556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47,049</w:t>
            </w:r>
          </w:p>
        </w:tc>
        <w:tc>
          <w:tcPr>
            <w:tcW w:w="1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10%</w:t>
            </w:r>
          </w:p>
        </w:tc>
      </w:tr>
      <w:tr>
        <w:trPr>
          <w:trHeight w:val="20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19 %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42" w:lineRule="auto"/>
        <w:tabs>
          <w:tab w:leader="none" w:pos="214"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new methodology used for inter-segment transactions. Refer to Note 11 of the accompanying consolidated financial statements for additional details.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207" w:lineRule="exact"/>
        <w:rPr>
          <w:sz w:val="20"/>
          <w:szCs w:val="20"/>
          <w:color w:val="auto"/>
        </w:rPr>
      </w:pPr>
    </w:p>
    <w:p>
      <w:pPr>
        <w:jc w:val="both"/>
        <w:ind w:right="300" w:firstLine="623"/>
        <w:spacing w:after="0" w:line="275" w:lineRule="auto"/>
        <w:rPr>
          <w:sz w:val="20"/>
          <w:szCs w:val="20"/>
          <w:color w:val="auto"/>
        </w:rPr>
      </w:pPr>
      <w:r>
        <w:rPr>
          <w:rFonts w:ascii="Arial" w:cs="Arial" w:eastAsia="Arial" w:hAnsi="Arial"/>
          <w:sz w:val="17"/>
          <w:szCs w:val="17"/>
          <w:color w:val="auto"/>
        </w:rPr>
        <w:t>The Print Group's reported revenue growth was negatively affected by currency exchange rate fluctuations of 3% and 1%, respectively, resulting in constant-currency revenue growth for the three and nine months ended March 31, 2025 of 6% for both periods presented, and was driven by increased fulfillment for other Cimpress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207"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The decrease in The Print Group's segment EBITDA during the three months ended March 31, 2025 as compared to the prior-year period was largely driven $1.8 million of startup costs related to Pixartprinting's new U.S. facility, as well as higher variable long-term incentive compensation expense of $1.4 million due to variability in estimated payouts. Currency exchange fluctuations had a negative year-over-year impact of $0.5 million for the three months ended March 31, 2025.</w:t>
      </w:r>
    </w:p>
    <w:p>
      <w:pPr>
        <w:spacing w:after="0" w:line="152" w:lineRule="exact"/>
        <w:rPr>
          <w:sz w:val="20"/>
          <w:szCs w:val="20"/>
          <w:color w:val="auto"/>
        </w:rPr>
      </w:pPr>
    </w:p>
    <w:p>
      <w:pPr>
        <w:ind w:firstLine="623"/>
        <w:spacing w:after="0" w:line="272" w:lineRule="auto"/>
        <w:rPr>
          <w:sz w:val="20"/>
          <w:szCs w:val="20"/>
          <w:color w:val="auto"/>
        </w:rPr>
      </w:pPr>
      <w:r>
        <w:rPr>
          <w:rFonts w:ascii="Arial" w:cs="Arial" w:eastAsia="Arial" w:hAnsi="Arial"/>
          <w:sz w:val="17"/>
          <w:szCs w:val="17"/>
          <w:color w:val="auto"/>
        </w:rPr>
        <w:t>The increase in The Print Group's segment EBITDA during the nine months ended March 31, 2025 as compared to the prior-year period was largely driven by revenue growth described above and gross margin expansion due to reductions in key input costs such as raw materials. The gross profit growth for the nine months ended March 31, 2025 was partially offset by $2.8 million of startup costs related to Pixartprinting's new U.S. facility.</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Pen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284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March 31,</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40" w:type="dxa"/>
            <w:vAlign w:val="bottom"/>
            <w:gridSpan w:val="5"/>
          </w:tcPr>
          <w:p>
            <w:pPr>
              <w:ind w:left="380"/>
              <w:spacing w:after="0"/>
              <w:rPr>
                <w:sz w:val="20"/>
                <w:szCs w:val="20"/>
                <w:color w:val="auto"/>
              </w:rPr>
            </w:pPr>
            <w:r>
              <w:rPr>
                <w:rFonts w:ascii="Arial" w:cs="Arial" w:eastAsia="Arial" w:hAnsi="Arial"/>
                <w:sz w:val="12"/>
                <w:szCs w:val="12"/>
                <w:b w:val="1"/>
                <w:bCs w:val="1"/>
                <w:color w:val="auto"/>
              </w:rPr>
              <w:t>Nine Months Ended March 31,</w:t>
            </w:r>
          </w:p>
        </w:tc>
        <w:tc>
          <w:tcPr>
            <w:tcW w:w="110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2"/>
                <w:szCs w:val="12"/>
                <w:b w:val="1"/>
                <w:bCs w:val="1"/>
                <w:color w:val="auto"/>
              </w:rPr>
              <w:t>2025 vs. 2024</w:t>
            </w:r>
          </w:p>
        </w:tc>
        <w:tc>
          <w:tcPr>
            <w:tcW w:w="8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80" w:type="dxa"/>
            <w:vAlign w:val="bottom"/>
            <w:tcBorders>
              <w:top w:val="single" w:sz="8" w:color="auto"/>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88,299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88,579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313,126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305,471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4,214</w:t>
            </w:r>
          </w:p>
        </w:tc>
        <w:tc>
          <w:tcPr>
            <w:tcW w:w="10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29"/>
              <w:spacing w:after="0"/>
              <w:rPr>
                <w:sz w:val="20"/>
                <w:szCs w:val="20"/>
                <w:color w:val="auto"/>
              </w:rPr>
            </w:pPr>
            <w:r>
              <w:rPr>
                <w:rFonts w:ascii="Arial" w:cs="Arial" w:eastAsia="Arial" w:hAnsi="Arial"/>
                <w:sz w:val="16"/>
                <w:szCs w:val="16"/>
                <w:color w:val="auto"/>
              </w:rPr>
              <w:t>22,376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20,841</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7 %</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7 %</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49" w:lineRule="exact"/>
        <w:rPr>
          <w:sz w:val="20"/>
          <w:szCs w:val="20"/>
          <w:color w:val="auto"/>
        </w:rPr>
      </w:pPr>
    </w:p>
    <w:p>
      <w:pPr>
        <w:ind w:left="240" w:right="80" w:hanging="236"/>
        <w:spacing w:after="0" w:line="242" w:lineRule="auto"/>
        <w:tabs>
          <w:tab w:leader="none" w:pos="214"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new methodology used for inter-segment transactions. Refer to Note 11 of the accompanying consolidated financial statements for additional details.</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120" w:firstLine="623"/>
        <w:spacing w:after="0" w:line="268" w:lineRule="auto"/>
        <w:rPr>
          <w:sz w:val="20"/>
          <w:szCs w:val="20"/>
          <w:color w:val="auto"/>
        </w:rPr>
      </w:pPr>
      <w:r>
        <w:rPr>
          <w:rFonts w:ascii="Arial" w:cs="Arial" w:eastAsia="Arial" w:hAnsi="Arial"/>
          <w:sz w:val="17"/>
          <w:szCs w:val="17"/>
          <w:color w:val="auto"/>
        </w:rPr>
        <w:t>For the three and nine months ended March 31, 2025, National Pen's constant-currency revenue growth was 1% and 3% as compared to the prior-year periods, respectively. National Pen revenue growth was driven by growth in e-commerce and cross-Cimpress fulfillment for other Cimpress businesses. These growing channels were offset by revenue declines in mail order where National Pen continued to optimize for efficiency of direct mail advertising.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color w:val="auto"/>
        </w:rPr>
        <w:t>Segment Profitability</w:t>
      </w:r>
    </w:p>
    <w:p>
      <w:pPr>
        <w:spacing w:after="0" w:line="142" w:lineRule="exact"/>
        <w:rPr>
          <w:sz w:val="20"/>
          <w:szCs w:val="20"/>
          <w:color w:val="auto"/>
        </w:rPr>
      </w:pPr>
    </w:p>
    <w:p>
      <w:pPr>
        <w:ind w:right="140" w:firstLine="623"/>
        <w:spacing w:after="0" w:line="275" w:lineRule="auto"/>
        <w:rPr>
          <w:sz w:val="20"/>
          <w:szCs w:val="20"/>
          <w:color w:val="auto"/>
        </w:rPr>
      </w:pPr>
      <w:r>
        <w:rPr>
          <w:rFonts w:ascii="Arial" w:cs="Arial" w:eastAsia="Arial" w:hAnsi="Arial"/>
          <w:sz w:val="17"/>
          <w:szCs w:val="17"/>
          <w:color w:val="auto"/>
        </w:rPr>
        <w:t>The decrease in National Pen's segment EBITDA for the three months ended March 31, 2025 was driven by a reduction in gross profit, due to gross margin compression driven by unfavorable product mix shift and increased freight costs versus the prior-year period. This was offset in part by $0.9 million of lower advertising spend intended to drive efficiency across channels.</w:t>
      </w:r>
    </w:p>
    <w:p>
      <w:pPr>
        <w:spacing w:after="0" w:line="94" w:lineRule="exact"/>
        <w:rPr>
          <w:sz w:val="20"/>
          <w:szCs w:val="20"/>
          <w:color w:val="auto"/>
        </w:rPr>
      </w:pPr>
    </w:p>
    <w:p>
      <w:pPr>
        <w:ind w:right="140" w:firstLine="623"/>
        <w:spacing w:after="0" w:line="275" w:lineRule="auto"/>
        <w:rPr>
          <w:sz w:val="20"/>
          <w:szCs w:val="20"/>
          <w:color w:val="auto"/>
        </w:rPr>
      </w:pPr>
      <w:r>
        <w:rPr>
          <w:rFonts w:ascii="Arial" w:cs="Arial" w:eastAsia="Arial" w:hAnsi="Arial"/>
          <w:sz w:val="17"/>
          <w:szCs w:val="17"/>
          <w:color w:val="auto"/>
        </w:rPr>
        <w:t>The increase in National Pen's segment EBITDA for the nine months ended March 31, 2025 was driven by the revenue growth described above, and $2.5 million of lower advertising spend intended to drive efficiency across channels. Currency exchange fluctuations had a positive year-over-year impact of $1.3 million for the nine months ended March 31, 2025.</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Businesses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17"/>
                <w:szCs w:val="17"/>
                <w:color w:val="auto"/>
              </w:rPr>
            </w:pPr>
          </w:p>
        </w:tc>
        <w:tc>
          <w:tcPr>
            <w:tcW w:w="2840" w:type="dxa"/>
            <w:vAlign w:val="bottom"/>
            <w:gridSpan w:val="5"/>
          </w:tcPr>
          <w:p>
            <w:pPr>
              <w:ind w:left="300"/>
              <w:spacing w:after="0"/>
              <w:rPr>
                <w:sz w:val="20"/>
                <w:szCs w:val="20"/>
                <w:color w:val="auto"/>
              </w:rPr>
            </w:pPr>
            <w:r>
              <w:rPr>
                <w:rFonts w:ascii="Arial" w:cs="Arial" w:eastAsia="Arial" w:hAnsi="Arial"/>
                <w:sz w:val="12"/>
                <w:szCs w:val="12"/>
                <w:b w:val="1"/>
                <w:bCs w:val="1"/>
                <w:color w:val="auto"/>
              </w:rPr>
              <w:t>Three Months Ended March 31,</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Arial" w:cs="Arial" w:eastAsia="Arial" w:hAnsi="Arial"/>
                <w:sz w:val="12"/>
                <w:szCs w:val="12"/>
                <w:b w:val="1"/>
                <w:bCs w:val="1"/>
                <w:color w:val="auto"/>
              </w:rPr>
              <w:t>Nine Months Ended March 31,</w:t>
            </w:r>
          </w:p>
        </w:tc>
        <w:tc>
          <w:tcPr>
            <w:tcW w:w="1120" w:type="dxa"/>
            <w:vAlign w:val="bottom"/>
          </w:tcPr>
          <w:p>
            <w:pPr>
              <w:spacing w:after="0"/>
              <w:rPr>
                <w:sz w:val="17"/>
                <w:szCs w:val="17"/>
                <w:color w:val="auto"/>
              </w:rPr>
            </w:pPr>
          </w:p>
        </w:tc>
      </w:tr>
      <w:tr>
        <w:trPr>
          <w:trHeight w:val="161"/>
        </w:trPr>
        <w:tc>
          <w:tcPr>
            <w:tcW w:w="254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2024 (1)</w:t>
            </w:r>
          </w:p>
        </w:tc>
        <w:tc>
          <w:tcPr>
            <w:tcW w:w="10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b w:val="1"/>
                <w:bCs w:val="1"/>
                <w:color w:val="auto"/>
              </w:rPr>
              <w:t>2025 vs. 2024</w:t>
            </w:r>
          </w:p>
        </w:tc>
        <w:tc>
          <w:tcPr>
            <w:tcW w:w="1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2024 (1)</w:t>
            </w:r>
          </w:p>
        </w:tc>
        <w:tc>
          <w:tcPr>
            <w:tcW w:w="80" w:type="dxa"/>
            <w:vAlign w:val="bottom"/>
            <w:tcBorders>
              <w:top w:val="single" w:sz="8" w:color="auto"/>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2025 vs. 2024</w:t>
            </w:r>
          </w:p>
        </w:tc>
      </w:tr>
      <w:tr>
        <w:trPr>
          <w:trHeight w:val="202"/>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51,101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48,455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9"/>
              <w:spacing w:after="0"/>
              <w:rPr>
                <w:sz w:val="20"/>
                <w:szCs w:val="20"/>
                <w:color w:val="auto"/>
              </w:rPr>
            </w:pPr>
            <w:r>
              <w:rPr>
                <w:rFonts w:ascii="Arial" w:cs="Arial" w:eastAsia="Arial" w:hAnsi="Arial"/>
                <w:sz w:val="16"/>
                <w:szCs w:val="16"/>
                <w:color w:val="auto"/>
              </w:rPr>
              <w:t>168,577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159,642</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68"/>
              <w:spacing w:after="0"/>
              <w:rPr>
                <w:sz w:val="20"/>
                <w:szCs w:val="20"/>
                <w:color w:val="auto"/>
              </w:rPr>
            </w:pPr>
            <w:r>
              <w:rPr>
                <w:rFonts w:ascii="Arial" w:cs="Arial" w:eastAsia="Arial" w:hAnsi="Arial"/>
                <w:sz w:val="16"/>
                <w:szCs w:val="16"/>
                <w:color w:val="auto"/>
              </w:rPr>
              <w:t>6%</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Segment EBITDA</w:t>
            </w: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5,132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ind w:right="126"/>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7"/>
                <w:szCs w:val="17"/>
                <w:color w:val="auto"/>
              </w:rPr>
            </w:pPr>
          </w:p>
        </w:tc>
        <w:tc>
          <w:tcPr>
            <w:tcW w:w="1100" w:type="dxa"/>
            <w:vAlign w:val="bottom"/>
          </w:tcPr>
          <w:p>
            <w:pPr>
              <w:jc w:val="right"/>
              <w:ind w:right="328"/>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129"/>
              <w:spacing w:after="0"/>
              <w:rPr>
                <w:sz w:val="20"/>
                <w:szCs w:val="20"/>
                <w:color w:val="auto"/>
              </w:rPr>
            </w:pPr>
            <w:r>
              <w:rPr>
                <w:rFonts w:ascii="Arial" w:cs="Arial" w:eastAsia="Arial" w:hAnsi="Arial"/>
                <w:sz w:val="16"/>
                <w:szCs w:val="16"/>
                <w:color w:val="auto"/>
              </w:rPr>
              <w:t>15,534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ind w:right="126"/>
              <w:spacing w:after="0"/>
              <w:rPr>
                <w:sz w:val="20"/>
                <w:szCs w:val="20"/>
                <w:color w:val="auto"/>
              </w:rPr>
            </w:pPr>
            <w:r>
              <w:rPr>
                <w:rFonts w:ascii="Arial" w:cs="Arial" w:eastAsia="Arial" w:hAnsi="Arial"/>
                <w:sz w:val="16"/>
                <w:szCs w:val="16"/>
                <w:color w:val="auto"/>
              </w:rPr>
              <w:t>16,648</w:t>
            </w:r>
          </w:p>
        </w:tc>
        <w:tc>
          <w:tcPr>
            <w:tcW w:w="80" w:type="dxa"/>
            <w:vAlign w:val="bottom"/>
          </w:tcPr>
          <w:p>
            <w:pPr>
              <w:spacing w:after="0"/>
              <w:rPr>
                <w:sz w:val="17"/>
                <w:szCs w:val="17"/>
                <w:color w:val="auto"/>
              </w:rPr>
            </w:pPr>
          </w:p>
        </w:tc>
        <w:tc>
          <w:tcPr>
            <w:tcW w:w="1120" w:type="dxa"/>
            <w:vAlign w:val="bottom"/>
          </w:tcPr>
          <w:p>
            <w:pPr>
              <w:jc w:val="right"/>
              <w:ind w:right="308"/>
              <w:spacing w:after="0"/>
              <w:rPr>
                <w:sz w:val="20"/>
                <w:szCs w:val="20"/>
                <w:color w:val="auto"/>
              </w:rPr>
            </w:pPr>
            <w:r>
              <w:rPr>
                <w:rFonts w:ascii="Arial" w:cs="Arial" w:eastAsia="Arial" w:hAnsi="Arial"/>
                <w:sz w:val="16"/>
                <w:szCs w:val="16"/>
                <w:color w:val="auto"/>
              </w:rPr>
              <w:t>(7)%</w:t>
            </w:r>
          </w:p>
        </w:tc>
      </w:tr>
      <w:tr>
        <w:trPr>
          <w:trHeight w:val="209"/>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of revenue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36" w:lineRule="exact"/>
        <w:rPr>
          <w:sz w:val="20"/>
          <w:szCs w:val="20"/>
          <w:color w:val="auto"/>
        </w:rPr>
      </w:pPr>
    </w:p>
    <w:p>
      <w:pPr>
        <w:ind w:left="240" w:right="80" w:hanging="236"/>
        <w:spacing w:after="0" w:line="262" w:lineRule="auto"/>
        <w:tabs>
          <w:tab w:leader="none" w:pos="214"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prior-period segment results have been adjusted to ensure comparability with the new methodology used for inter-segment transactions. Refer to Note 11 of the accompanying consolidated financial statements for additional details.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segment includes BuildASign and Printi, a smaller business that is an online printing leader in Brazil.</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Revenue</w:t>
      </w:r>
    </w:p>
    <w:p>
      <w:pPr>
        <w:spacing w:after="0" w:line="194" w:lineRule="exact"/>
        <w:rPr>
          <w:sz w:val="20"/>
          <w:szCs w:val="20"/>
          <w:color w:val="auto"/>
        </w:rPr>
      </w:pPr>
    </w:p>
    <w:p>
      <w:pPr>
        <w:ind w:right="80" w:firstLine="623"/>
        <w:spacing w:after="0" w:line="268" w:lineRule="auto"/>
        <w:rPr>
          <w:sz w:val="20"/>
          <w:szCs w:val="20"/>
          <w:color w:val="auto"/>
        </w:rPr>
      </w:pPr>
      <w:r>
        <w:rPr>
          <w:rFonts w:ascii="Arial" w:cs="Arial" w:eastAsia="Arial" w:hAnsi="Arial"/>
          <w:sz w:val="17"/>
          <w:szCs w:val="17"/>
          <w:color w:val="auto"/>
        </w:rPr>
        <w:t>All Other Businesses' revenue growth was negatively impacted 3% and 1% by currency exchange rate fluctuations, resulting in constant-currency revenue growth of 8% and 7% during the three and nine months ended March 31, 2025, respectively. BuildASign, the largest business in this segment, delivered strong growth from fulfillment for other Cimpress businesses, which was partially offset by lower revenue for home decor products. Our smaller Printi business delivered constant-currency revenue growth versus the prior-year periods.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Profitability</w:t>
      </w:r>
    </w:p>
    <w:p>
      <w:pPr>
        <w:spacing w:after="0" w:line="194" w:lineRule="exact"/>
        <w:rPr>
          <w:sz w:val="20"/>
          <w:szCs w:val="20"/>
          <w:color w:val="auto"/>
        </w:rPr>
      </w:pPr>
    </w:p>
    <w:p>
      <w:pPr>
        <w:jc w:val="both"/>
        <w:ind w:right="180" w:firstLine="623"/>
        <w:spacing w:after="0" w:line="275" w:lineRule="auto"/>
        <w:rPr>
          <w:sz w:val="20"/>
          <w:szCs w:val="20"/>
          <w:color w:val="auto"/>
        </w:rPr>
      </w:pPr>
      <w:r>
        <w:rPr>
          <w:rFonts w:ascii="Arial" w:cs="Arial" w:eastAsia="Arial" w:hAnsi="Arial"/>
          <w:sz w:val="17"/>
          <w:szCs w:val="17"/>
          <w:color w:val="auto"/>
        </w:rPr>
        <w:t>For the three months ended March 31, 2025, segment EBITDA increased $1.9 million versus the prior-year period, largely driven by the revenue growth described above, and lower long-term incentive compensation expense of $0.9 million due to lower estimated payouts. Currency exchange fluctuations had a positive year-over-year impact of $0.2 million for the three months ended March 31, 2025.</w:t>
      </w:r>
    </w:p>
    <w:p>
      <w:pPr>
        <w:spacing w:after="0" w:line="146" w:lineRule="exact"/>
        <w:rPr>
          <w:sz w:val="20"/>
          <w:szCs w:val="20"/>
          <w:color w:val="auto"/>
        </w:rPr>
      </w:pPr>
    </w:p>
    <w:p>
      <w:pPr>
        <w:ind w:right="40" w:firstLine="623"/>
        <w:spacing w:after="0" w:line="263" w:lineRule="auto"/>
        <w:rPr>
          <w:sz w:val="20"/>
          <w:szCs w:val="20"/>
          <w:color w:val="auto"/>
        </w:rPr>
      </w:pPr>
      <w:r>
        <w:rPr>
          <w:rFonts w:ascii="Arial" w:cs="Arial" w:eastAsia="Arial" w:hAnsi="Arial"/>
          <w:sz w:val="17"/>
          <w:szCs w:val="17"/>
          <w:color w:val="auto"/>
        </w:rPr>
        <w:t>For the nine months ended March 31, 2025, segment EBITDA decreased $1.1 million versus the prior-year period, largely driven by higher long-term incentive compensation expense of $2.9 million due to a prior-year reversal of expense driven by changes in estimated payouts that did not recur during the current-year period. In addition, gross profits declined year over year during the seasonally significant second quarter for our BuildASign business, driven by lower revenue in home decor products, as well as gross margin compression driven in part by temporary production inefficiencies related to new capabilities. Currency exchange fluctuations had a positive year-over-year impact of $0.4 million for the nine months ended March 31, 2025.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Central and Corporate Costs</w:t>
      </w:r>
    </w:p>
    <w:p>
      <w:pPr>
        <w:spacing w:after="0" w:line="196" w:lineRule="exact"/>
        <w:rPr>
          <w:sz w:val="20"/>
          <w:szCs w:val="20"/>
          <w:color w:val="auto"/>
        </w:rPr>
      </w:pPr>
    </w:p>
    <w:p>
      <w:pPr>
        <w:ind w:right="140" w:firstLine="623"/>
        <w:spacing w:after="0" w:line="265" w:lineRule="auto"/>
        <w:rPr>
          <w:sz w:val="20"/>
          <w:szCs w:val="20"/>
          <w:color w:val="auto"/>
        </w:rPr>
      </w:pPr>
      <w:r>
        <w:rPr>
          <w:rFonts w:ascii="Arial" w:cs="Arial" w:eastAsia="Arial" w:hAnsi="Arial"/>
          <w:sz w:val="17"/>
          <w:szCs w:val="17"/>
          <w:color w:val="auto"/>
        </w:rPr>
        <w:t>Central and corporate costs consist primarily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corporate functions including our tax, treasury, internal audit, legal, sustainability, corporate communications, remote-first enablement, consolidated reporting and compliance, investor relations, and the functions of our CEO and CFO. These costs also include certain unallocated share-based compensation costs.</w:t>
      </w:r>
    </w:p>
    <w:p>
      <w:pPr>
        <w:spacing w:after="0" w:line="154" w:lineRule="exact"/>
        <w:rPr>
          <w:sz w:val="20"/>
          <w:szCs w:val="20"/>
          <w:color w:val="auto"/>
        </w:rPr>
      </w:pPr>
    </w:p>
    <w:p>
      <w:pPr>
        <w:ind w:right="460" w:firstLine="623"/>
        <w:spacing w:after="0" w:line="295" w:lineRule="auto"/>
        <w:rPr>
          <w:sz w:val="20"/>
          <w:szCs w:val="20"/>
          <w:color w:val="auto"/>
        </w:rPr>
      </w:pPr>
      <w:r>
        <w:rPr>
          <w:rFonts w:ascii="Arial" w:cs="Arial" w:eastAsia="Arial" w:hAnsi="Arial"/>
          <w:sz w:val="17"/>
          <w:szCs w:val="17"/>
          <w:color w:val="auto"/>
        </w:rPr>
        <w:t>During the three months ended March 31, 2025, central and corporate costs decreased by $4.6 million as compared to the prior-year period, driven by lower share-based compensation expense of $6.1 million, due to lower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ind w:right="400"/>
        <w:spacing w:after="0" w:line="295" w:lineRule="auto"/>
        <w:rPr>
          <w:sz w:val="20"/>
          <w:szCs w:val="20"/>
          <w:color w:val="auto"/>
        </w:rPr>
      </w:pPr>
      <w:r>
        <w:rPr>
          <w:rFonts w:ascii="Arial" w:cs="Arial" w:eastAsia="Arial" w:hAnsi="Arial"/>
          <w:sz w:val="17"/>
          <w:szCs w:val="17"/>
          <w:color w:val="auto"/>
        </w:rPr>
        <w:t>attainment estimates associated with performance share units granted during the current fiscal year. This cost decrease was partially offset by higher cash compensation costs, mainly in our central technology organization, as a result of hiring and our annual merit cycle.</w:t>
      </w:r>
    </w:p>
    <w:p>
      <w:pPr>
        <w:spacing w:after="0" w:line="117" w:lineRule="exact"/>
        <w:rPr>
          <w:sz w:val="20"/>
          <w:szCs w:val="20"/>
          <w:color w:val="auto"/>
        </w:rPr>
      </w:pPr>
    </w:p>
    <w:p>
      <w:pPr>
        <w:ind w:right="20" w:firstLine="623"/>
        <w:spacing w:after="0" w:line="261" w:lineRule="auto"/>
        <w:rPr>
          <w:sz w:val="20"/>
          <w:szCs w:val="20"/>
          <w:color w:val="auto"/>
        </w:rPr>
      </w:pPr>
      <w:r>
        <w:rPr>
          <w:rFonts w:ascii="Arial" w:cs="Arial" w:eastAsia="Arial" w:hAnsi="Arial"/>
          <w:sz w:val="17"/>
          <w:szCs w:val="17"/>
          <w:color w:val="auto"/>
        </w:rPr>
        <w:t>During the nine months ended March 31, 2025, central and corporate costs increased by $1.8 million as compared to the prior-year period, due in part to a $2.9 million charge recognized in the second quarter for a land duty tax in Australia related to our 2019 redomiciliation to Ireland that we are appealing. In addition, cash compensation costs in our central functions increased, as a result of both hiring in our central technology organization and our annual merit cycle. We also recognized higher third-party technology costs, as a result of continued adoption and usage of mass customization platform products that are developed by our central technology teams. These increases were partially offset by lower unallocated share-based compensation expense year over year of $7.9 million due to lower attainment estimates associated with performance share units granted during the current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Cash Flows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866"/>
              <w:spacing w:after="0"/>
              <w:rPr>
                <w:sz w:val="20"/>
                <w:szCs w:val="20"/>
                <w:color w:val="auto"/>
              </w:rPr>
            </w:pPr>
            <w:r>
              <w:rPr>
                <w:rFonts w:ascii="Arial" w:cs="Arial" w:eastAsia="Arial" w:hAnsi="Arial"/>
                <w:sz w:val="12"/>
                <w:szCs w:val="12"/>
                <w:b w:val="1"/>
                <w:bCs w:val="1"/>
                <w:color w:val="auto"/>
              </w:rPr>
              <w:t>Nine Months Ended March 31,</w:t>
            </w:r>
          </w:p>
        </w:tc>
      </w:tr>
      <w:tr>
        <w:trPr>
          <w:trHeight w:val="161"/>
        </w:trPr>
        <w:tc>
          <w:tcPr>
            <w:tcW w:w="76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6"/>
              <w:spacing w:after="0"/>
              <w:rPr>
                <w:sz w:val="20"/>
                <w:szCs w:val="20"/>
                <w:color w:val="auto"/>
              </w:rPr>
            </w:pPr>
            <w:r>
              <w:rPr>
                <w:rFonts w:ascii="Arial" w:cs="Arial" w:eastAsia="Arial" w:hAnsi="Arial"/>
                <w:sz w:val="12"/>
                <w:szCs w:val="12"/>
                <w:b w:val="1"/>
                <w:bCs w:val="1"/>
                <w:color w:val="auto"/>
              </w:rPr>
              <w:t>2024</w:t>
            </w:r>
          </w:p>
        </w:tc>
      </w:tr>
      <w:tr>
        <w:trPr>
          <w:trHeight w:val="202"/>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center"/>
              <w:ind w:left="589"/>
              <w:spacing w:after="0"/>
              <w:rPr>
                <w:sz w:val="20"/>
                <w:szCs w:val="20"/>
                <w:color w:val="auto"/>
              </w:rPr>
            </w:pPr>
            <w:r>
              <w:rPr>
                <w:rFonts w:ascii="Arial" w:cs="Arial" w:eastAsia="Arial" w:hAnsi="Arial"/>
                <w:sz w:val="16"/>
                <w:szCs w:val="16"/>
                <w:color w:val="auto"/>
                <w:w w:val="96"/>
              </w:rPr>
              <w:t>190,598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225,627</w:t>
            </w:r>
          </w:p>
        </w:tc>
      </w:tr>
      <w:tr>
        <w:trPr>
          <w:trHeight w:val="207"/>
        </w:trPr>
        <w:tc>
          <w:tcPr>
            <w:tcW w:w="76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Pr>
          <w:p>
            <w:pPr>
              <w:spacing w:after="0"/>
              <w:rPr>
                <w:sz w:val="17"/>
                <w:szCs w:val="17"/>
                <w:color w:val="auto"/>
              </w:rPr>
            </w:pPr>
          </w:p>
        </w:tc>
        <w:tc>
          <w:tcPr>
            <w:tcW w:w="1340" w:type="dxa"/>
            <w:vAlign w:val="bottom"/>
          </w:tcPr>
          <w:p>
            <w:pPr>
              <w:jc w:val="center"/>
              <w:ind w:left="569"/>
              <w:spacing w:after="0"/>
              <w:rPr>
                <w:sz w:val="20"/>
                <w:szCs w:val="20"/>
                <w:color w:val="auto"/>
              </w:rPr>
            </w:pPr>
            <w:r>
              <w:rPr>
                <w:rFonts w:ascii="Arial" w:cs="Arial" w:eastAsia="Arial" w:hAnsi="Arial"/>
                <w:sz w:val="16"/>
                <w:szCs w:val="16"/>
                <w:color w:val="auto"/>
                <w:w w:val="96"/>
              </w:rPr>
              <w:t>(104,165)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(44,709)</w:t>
            </w: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569"/>
              <w:spacing w:after="0"/>
              <w:rPr>
                <w:sz w:val="20"/>
                <w:szCs w:val="20"/>
                <w:color w:val="auto"/>
              </w:rPr>
            </w:pPr>
            <w:r>
              <w:rPr>
                <w:rFonts w:ascii="Arial" w:cs="Arial" w:eastAsia="Arial" w:hAnsi="Arial"/>
                <w:sz w:val="16"/>
                <w:szCs w:val="16"/>
                <w:color w:val="auto"/>
                <w:w w:val="96"/>
              </w:rPr>
              <w:t>(107,413)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(157,506)</w:t>
            </w:r>
          </w:p>
        </w:tc>
      </w:tr>
    </w:tbl>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cash flows during the nine months ended March 31, 2025 related primarily to the following items: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inflows:</w:t>
      </w:r>
    </w:p>
    <w:p>
      <w:pPr>
        <w:spacing w:after="0" w:line="207" w:lineRule="exact"/>
        <w:rPr>
          <w:sz w:val="20"/>
          <w:szCs w:val="20"/>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Net income of $41.2 million</w:t>
      </w:r>
    </w:p>
    <w:p>
      <w:pPr>
        <w:spacing w:after="0" w:line="193" w:lineRule="exact"/>
        <w:rPr>
          <w:rFonts w:ascii="Arial" w:cs="Arial" w:eastAsia="Arial" w:hAnsi="Arial"/>
          <w:sz w:val="17"/>
          <w:szCs w:val="17"/>
          <w:color w:val="auto"/>
        </w:rPr>
      </w:pPr>
    </w:p>
    <w:p>
      <w:pPr>
        <w:ind w:left="620" w:right="20" w:hanging="305"/>
        <w:spacing w:after="0" w:line="275"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Adjustments for non-cash items of $154.0 million primarily related to adjustments for depreciation and amortization of $105.1 million, share-based compensation costs of $42.7 million, and deferred taxes of $5.8 million, partially offset by unrealized currency-related gains of $7.0 million</w:t>
      </w:r>
    </w:p>
    <w:p>
      <w:pPr>
        <w:spacing w:after="0" w:line="145"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Proceeds from the settlement of derivatives designated as hedging instruments of $5.4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Proceeds from the maturity of held-to-maturity securities of $4.5 million</w:t>
      </w:r>
    </w:p>
    <w:p>
      <w:pPr>
        <w:spacing w:after="0" w:line="193"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Proceeds from the sale of assets of $2.4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Proceeds from the exercise of options of $1.4 million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outflows:</w:t>
      </w:r>
    </w:p>
    <w:p>
      <w:pPr>
        <w:spacing w:after="0" w:line="194" w:lineRule="exact"/>
        <w:rPr>
          <w:sz w:val="20"/>
          <w:szCs w:val="20"/>
          <w:color w:val="auto"/>
        </w:rPr>
      </w:pPr>
    </w:p>
    <w:p>
      <w:pPr>
        <w:ind w:left="620" w:right="180" w:hanging="305"/>
        <w:spacing w:after="0" w:line="29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Capital expenditures of $68.2 million, of which the majority is related to the purchase of manufacturing and automation equipment for our production facilities</w:t>
      </w:r>
    </w:p>
    <w:p>
      <w:pPr>
        <w:spacing w:after="0" w:line="12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Purchases of our ordinary shares for $56.9 million</w:t>
      </w:r>
    </w:p>
    <w:p>
      <w:pPr>
        <w:spacing w:after="0" w:line="206"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Internal and external costs of $47.6 million for software and website development that we have capitalized</w:t>
      </w:r>
    </w:p>
    <w:p>
      <w:pPr>
        <w:spacing w:after="0" w:line="193" w:lineRule="exact"/>
        <w:rPr>
          <w:rFonts w:ascii="Arial" w:cs="Arial" w:eastAsia="Arial" w:hAnsi="Arial"/>
          <w:sz w:val="17"/>
          <w:szCs w:val="17"/>
          <w:color w:val="auto"/>
        </w:rPr>
      </w:pPr>
    </w:p>
    <w:p>
      <w:pPr>
        <w:jc w:val="both"/>
        <w:ind w:left="620" w:right="100" w:hanging="305"/>
        <w:spacing w:after="0" w:line="29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repayments of debt of $21.2 million, including the impact of the refinancing of our 2026 Notes and amendment to our Senior Secured Credit Facility, as well as financing fees paid. Refer to Note 8 in the accompanying consolidated financial statements for additional details.</w:t>
      </w:r>
    </w:p>
    <w:p>
      <w:pPr>
        <w:spacing w:after="0" w:line="129" w:lineRule="exact"/>
        <w:rPr>
          <w:rFonts w:ascii="Arial" w:cs="Arial" w:eastAsia="Arial" w:hAnsi="Arial"/>
          <w:sz w:val="17"/>
          <w:szCs w:val="17"/>
          <w:color w:val="auto"/>
        </w:rPr>
      </w:pPr>
    </w:p>
    <w:p>
      <w:pPr>
        <w:ind w:left="620" w:right="980" w:hanging="305"/>
        <w:spacing w:after="0" w:line="295"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Payment of withholding taxes in connection with share awards of $19.9 million, primarily driven by the vesting of restricted and performance share unit grants</w:t>
      </w:r>
    </w:p>
    <w:p>
      <w:pPr>
        <w:spacing w:after="0" w:line="116"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Payments for finance lease arrangements of $5.9 million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2" w:name="page43"/>
    <w:bookmarkEnd w:id="42"/>
    <w:p>
      <w:pPr>
        <w:ind w:left="620" w:right="480" w:hanging="305"/>
        <w:spacing w:after="0" w:line="295"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Net working capital outflows of $4.6 million, primarily due to increases in inventory levels, driven in part by product mix shifts and raw material cost increases</w:t>
      </w:r>
    </w:p>
    <w:p>
      <w:pPr>
        <w:spacing w:after="0" w:line="116" w:lineRule="exact"/>
        <w:rPr>
          <w:rFonts w:ascii="Arial" w:cs="Arial" w:eastAsia="Arial" w:hAnsi="Arial"/>
          <w:sz w:val="17"/>
          <w:szCs w:val="17"/>
          <w:color w:val="auto"/>
        </w:rPr>
      </w:pPr>
    </w:p>
    <w:p>
      <w:pPr>
        <w:ind w:left="620" w:hanging="305"/>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Purchase of noncontrolling interests of $4.1 million</w:t>
      </w:r>
    </w:p>
    <w:p>
      <w:pPr>
        <w:spacing w:after="0" w:line="207" w:lineRule="exact"/>
        <w:rPr>
          <w:sz w:val="20"/>
          <w:szCs w:val="20"/>
          <w:color w:val="auto"/>
        </w:rPr>
      </w:pPr>
    </w:p>
    <w:p>
      <w:pPr>
        <w:ind w:right="420" w:firstLine="623"/>
        <w:spacing w:after="0" w:line="268" w:lineRule="auto"/>
        <w:rPr>
          <w:sz w:val="20"/>
          <w:szCs w:val="20"/>
          <w:color w:val="auto"/>
        </w:rPr>
      </w:pPr>
      <w:r>
        <w:rPr>
          <w:rFonts w:ascii="Arial" w:cs="Arial" w:eastAsia="Arial" w:hAnsi="Arial"/>
          <w:sz w:val="17"/>
          <w:szCs w:val="17"/>
          <w:i w:val="1"/>
          <w:iCs w:val="1"/>
          <w:color w:val="auto"/>
        </w:rPr>
        <w:t xml:space="preserve">Additional Liquidity and Capital Resources Information. </w:t>
      </w:r>
      <w:r>
        <w:rPr>
          <w:rFonts w:ascii="Arial" w:cs="Arial" w:eastAsia="Arial" w:hAnsi="Arial"/>
          <w:sz w:val="17"/>
          <w:szCs w:val="17"/>
          <w:color w:val="auto"/>
        </w:rPr>
        <w:t>At March 31, 2025, we had $183.0 million of cash and cash equivalents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$1,607.7 million of debt, excluding debt issuance costs and debt premiums and discounts. During the nine months ended March 31, 2025, we financed our operations and strategic investments through internally generated cash flows from operations and cash on hand. We expect to finance our future operations through our cash, operating cash flow, and borrowings under our debt arrangements.</w:t>
      </w:r>
    </w:p>
    <w:p>
      <w:pPr>
        <w:spacing w:after="0" w:line="152" w:lineRule="exact"/>
        <w:rPr>
          <w:sz w:val="20"/>
          <w:szCs w:val="20"/>
          <w:color w:val="auto"/>
        </w:rPr>
      </w:pPr>
    </w:p>
    <w:p>
      <w:pPr>
        <w:ind w:right="420" w:firstLine="623"/>
        <w:spacing w:after="0" w:line="268" w:lineRule="auto"/>
        <w:rPr>
          <w:sz w:val="20"/>
          <w:szCs w:val="20"/>
          <w:color w:val="auto"/>
        </w:rPr>
      </w:pPr>
      <w:r>
        <w:rPr>
          <w:rFonts w:ascii="Arial" w:cs="Arial" w:eastAsia="Arial" w:hAnsi="Arial"/>
          <w:sz w:val="17"/>
          <w:szCs w:val="17"/>
          <w:color w:val="auto"/>
        </w:rPr>
        <w:t>We have historically used excess cash and cash equivalents for organic investments, share repurchases, acquisitions and equity investments, and debt reduction. During the nine months ended March 31, 2025, we purchased and retired 714,667 of our ordinary shares for $56.9 million. We evaluate share repurchases, as any other use of capital, relative to our view of the impact on our intrinsic value per share compared against other opportunities.</w:t>
      </w:r>
    </w:p>
    <w:p>
      <w:pPr>
        <w:spacing w:after="0" w:line="139" w:lineRule="exact"/>
        <w:rPr>
          <w:sz w:val="20"/>
          <w:szCs w:val="20"/>
          <w:color w:val="auto"/>
        </w:rPr>
      </w:pPr>
    </w:p>
    <w:p>
      <w:pPr>
        <w:ind w:right="80" w:firstLine="623"/>
        <w:spacing w:after="0" w:line="265" w:lineRule="auto"/>
        <w:rPr>
          <w:sz w:val="20"/>
          <w:szCs w:val="20"/>
          <w:color w:val="auto"/>
        </w:rPr>
      </w:pPr>
      <w:r>
        <w:rPr>
          <w:rFonts w:ascii="Arial" w:cs="Arial" w:eastAsia="Arial" w:hAnsi="Arial"/>
          <w:sz w:val="17"/>
          <w:szCs w:val="17"/>
          <w:i w:val="1"/>
          <w:iCs w:val="1"/>
          <w:color w:val="auto"/>
        </w:rPr>
        <w:t xml:space="preserve">Supply Chain Financing Program. </w:t>
      </w:r>
      <w:r>
        <w:rPr>
          <w:rFonts w:ascii="Arial" w:cs="Arial" w:eastAsia="Arial" w:hAnsi="Arial"/>
          <w:sz w:val="17"/>
          <w:szCs w:val="17"/>
          <w:color w:val="auto"/>
        </w:rPr>
        <w:t>As part of our ongoing efforts to manage our liquidity, we work with our suppliers to optimize our terms</w:t>
      </w:r>
      <w:r>
        <w:rPr>
          <w:rFonts w:ascii="Arial" w:cs="Arial" w:eastAsia="Arial" w:hAnsi="Arial"/>
          <w:sz w:val="17"/>
          <w:szCs w:val="17"/>
          <w:i w:val="1"/>
          <w:iCs w:val="1"/>
          <w:color w:val="auto"/>
        </w:rPr>
        <w:t xml:space="preserve"> </w:t>
      </w:r>
      <w:r>
        <w:rPr>
          <w:rFonts w:ascii="Arial" w:cs="Arial" w:eastAsia="Arial" w:hAnsi="Arial"/>
          <w:sz w:val="17"/>
          <w:szCs w:val="17"/>
          <w:color w:val="auto"/>
        </w:rPr>
        <w:t>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12 of the accompanying consolidated financial statements for additional information.</w:t>
      </w:r>
    </w:p>
    <w:p>
      <w:pPr>
        <w:spacing w:after="0" w:line="154"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i w:val="1"/>
          <w:iCs w:val="1"/>
          <w:color w:val="auto"/>
        </w:rPr>
        <w:t xml:space="preserve">Indefinitely Reinvested Earnings. </w:t>
      </w:r>
      <w:r>
        <w:rPr>
          <w:rFonts w:ascii="Arial" w:cs="Arial" w:eastAsia="Arial" w:hAnsi="Arial"/>
          <w:sz w:val="17"/>
          <w:szCs w:val="17"/>
          <w:color w:val="auto"/>
        </w:rPr>
        <w:t>As of March 31, 2025, a portion of our cash and cash equivalents were held by our subsidiaries,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undistributed earnings of our subsidiaries that are considered to be indefinitely reinvested were $91.0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Contractual obligations at March 31, 2025 are as follows: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Payments Due by Period</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center"/>
              <w:ind w:right="227"/>
              <w:spacing w:after="0" w:line="111" w:lineRule="exact"/>
              <w:rPr>
                <w:sz w:val="20"/>
                <w:szCs w:val="20"/>
                <w:color w:val="auto"/>
              </w:rPr>
            </w:pPr>
            <w:r>
              <w:rPr>
                <w:rFonts w:ascii="Arial" w:cs="Arial" w:eastAsia="Arial" w:hAnsi="Arial"/>
                <w:sz w:val="12"/>
                <w:szCs w:val="12"/>
                <w:b w:val="1"/>
                <w:bCs w:val="1"/>
                <w:color w:val="auto"/>
              </w:rPr>
              <w:t>Less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vMerge w:val="restart"/>
          </w:tcPr>
          <w:p>
            <w:pPr>
              <w:jc w:val="center"/>
              <w:ind w:right="206"/>
              <w:spacing w:after="0"/>
              <w:rPr>
                <w:sz w:val="20"/>
                <w:szCs w:val="20"/>
                <w:color w:val="auto"/>
              </w:rPr>
            </w:pPr>
            <w:r>
              <w:rPr>
                <w:rFonts w:ascii="Arial" w:cs="Arial" w:eastAsia="Arial" w:hAnsi="Arial"/>
                <w:sz w:val="12"/>
                <w:szCs w:val="12"/>
                <w:b w:val="1"/>
                <w:bCs w:val="1"/>
                <w:color w:val="auto"/>
              </w:rPr>
              <w:t>1-3</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vMerge w:val="restart"/>
          </w:tcPr>
          <w:p>
            <w:pPr>
              <w:jc w:val="right"/>
              <w:ind w:right="526"/>
              <w:spacing w:after="0"/>
              <w:rPr>
                <w:sz w:val="20"/>
                <w:szCs w:val="20"/>
                <w:color w:val="auto"/>
              </w:rPr>
            </w:pPr>
            <w:r>
              <w:rPr>
                <w:rFonts w:ascii="Arial" w:cs="Arial" w:eastAsia="Arial" w:hAnsi="Arial"/>
                <w:sz w:val="12"/>
                <w:szCs w:val="12"/>
                <w:b w:val="1"/>
                <w:bCs w:val="1"/>
                <w:color w:val="auto"/>
              </w:rPr>
              <w:t>3-5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center"/>
              <w:ind w:right="247"/>
              <w:spacing w:after="0" w:line="111" w:lineRule="exact"/>
              <w:rPr>
                <w:sz w:val="20"/>
                <w:szCs w:val="20"/>
                <w:color w:val="auto"/>
              </w:rPr>
            </w:pPr>
            <w:r>
              <w:rPr>
                <w:rFonts w:ascii="Arial" w:cs="Arial" w:eastAsia="Arial" w:hAnsi="Arial"/>
                <w:sz w:val="12"/>
                <w:szCs w:val="12"/>
                <w:b w:val="1"/>
                <w:bCs w:val="1"/>
                <w:color w:val="auto"/>
                <w:w w:val="97"/>
              </w:rPr>
              <w:t>More</w:t>
            </w:r>
          </w:p>
        </w:tc>
        <w:tc>
          <w:tcPr>
            <w:tcW w:w="0" w:type="dxa"/>
            <w:vAlign w:val="bottom"/>
          </w:tcPr>
          <w:p>
            <w:pPr>
              <w:spacing w:after="0"/>
              <w:rPr>
                <w:sz w:val="1"/>
                <w:szCs w:val="1"/>
                <w:color w:val="auto"/>
              </w:rPr>
            </w:pPr>
          </w:p>
        </w:tc>
      </w:tr>
      <w:tr>
        <w:trPr>
          <w:trHeight w:val="117"/>
        </w:trPr>
        <w:tc>
          <w:tcPr>
            <w:tcW w:w="4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64"/>
              <w:spacing w:after="0"/>
              <w:rPr>
                <w:sz w:val="20"/>
                <w:szCs w:val="20"/>
                <w:color w:val="auto"/>
              </w:rPr>
            </w:pPr>
            <w:r>
              <w:rPr>
                <w:rFonts w:ascii="Arial" w:cs="Arial" w:eastAsia="Arial" w:hAnsi="Arial"/>
                <w:sz w:val="12"/>
                <w:szCs w:val="12"/>
                <w:b w:val="1"/>
                <w:bCs w:val="1"/>
                <w:color w:val="auto"/>
              </w:rPr>
              <w:t>Total</w:t>
            </w:r>
          </w:p>
        </w:tc>
        <w:tc>
          <w:tcPr>
            <w:tcW w:w="1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center"/>
              <w:ind w:right="227"/>
              <w:spacing w:after="0" w:line="117" w:lineRule="exact"/>
              <w:rPr>
                <w:sz w:val="20"/>
                <w:szCs w:val="20"/>
                <w:color w:val="auto"/>
              </w:rPr>
            </w:pPr>
            <w:r>
              <w:rPr>
                <w:rFonts w:ascii="Arial" w:cs="Arial" w:eastAsia="Arial" w:hAnsi="Arial"/>
                <w:sz w:val="12"/>
                <w:szCs w:val="12"/>
                <w:b w:val="1"/>
                <w:bCs w:val="1"/>
                <w:color w:val="auto"/>
              </w:rPr>
              <w:t>than 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jc w:val="center"/>
              <w:ind w:right="247"/>
              <w:spacing w:after="0" w:line="117" w:lineRule="exact"/>
              <w:rPr>
                <w:sz w:val="20"/>
                <w:szCs w:val="20"/>
                <w:color w:val="auto"/>
              </w:rPr>
            </w:pPr>
            <w:r>
              <w:rPr>
                <w:rFonts w:ascii="Arial" w:cs="Arial" w:eastAsia="Arial" w:hAnsi="Arial"/>
                <w:sz w:val="12"/>
                <w:szCs w:val="12"/>
                <w:b w:val="1"/>
                <w:bCs w:val="1"/>
                <w:color w:val="auto"/>
              </w:rPr>
              <w:t>than 5</w:t>
            </w:r>
          </w:p>
        </w:tc>
        <w:tc>
          <w:tcPr>
            <w:tcW w:w="0" w:type="dxa"/>
            <w:vAlign w:val="bottom"/>
          </w:tcPr>
          <w:p>
            <w:pPr>
              <w:spacing w:after="0"/>
              <w:rPr>
                <w:sz w:val="1"/>
                <w:szCs w:val="1"/>
                <w:color w:val="auto"/>
              </w:rPr>
            </w:pPr>
          </w:p>
        </w:tc>
      </w:tr>
      <w:tr>
        <w:trPr>
          <w:trHeight w:val="178"/>
        </w:trPr>
        <w:tc>
          <w:tcPr>
            <w:tcW w:w="4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7"/>
              <w:spacing w:after="0"/>
              <w:rPr>
                <w:sz w:val="20"/>
                <w:szCs w:val="20"/>
                <w:color w:val="auto"/>
              </w:rPr>
            </w:pPr>
            <w:r>
              <w:rPr>
                <w:rFonts w:ascii="Arial" w:cs="Arial" w:eastAsia="Arial" w:hAnsi="Arial"/>
                <w:sz w:val="12"/>
                <w:szCs w:val="12"/>
                <w:b w:val="1"/>
                <w:bCs w:val="1"/>
                <w:color w:val="auto"/>
                <w:w w:val="97"/>
              </w:rPr>
              <w:t>year</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2"/>
                <w:szCs w:val="12"/>
                <w:b w:val="1"/>
                <w:bCs w:val="1"/>
                <w:color w:val="auto"/>
              </w:rPr>
              <w:t>years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6"/>
              <w:spacing w:after="0"/>
              <w:rPr>
                <w:sz w:val="20"/>
                <w:szCs w:val="20"/>
                <w:color w:val="auto"/>
              </w:rPr>
            </w:pPr>
            <w:r>
              <w:rPr>
                <w:rFonts w:ascii="Arial" w:cs="Arial" w:eastAsia="Arial" w:hAnsi="Arial"/>
                <w:sz w:val="12"/>
                <w:szCs w:val="12"/>
                <w:b w:val="1"/>
                <w:bCs w:val="1"/>
                <w:color w:val="auto"/>
              </w:rPr>
              <w:t>years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7"/>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 net of subleases (1)</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91,937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19,855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16,467</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Purchase commitments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374,711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124,715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125,230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117,674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7,092</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credit facility and interest payments (2)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1,286,313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1,053,628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color w:val="auto"/>
              </w:rPr>
              <w:t>2032 Notes and interest payments</w:t>
            </w:r>
          </w:p>
        </w:tc>
        <w:tc>
          <w:tcPr>
            <w:tcW w:w="32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815,392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77,438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77,438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7"/>
              <w:spacing w:after="0"/>
              <w:rPr>
                <w:sz w:val="20"/>
                <w:szCs w:val="20"/>
                <w:color w:val="auto"/>
              </w:rPr>
            </w:pPr>
            <w:r>
              <w:rPr>
                <w:rFonts w:ascii="Arial" w:cs="Arial" w:eastAsia="Arial" w:hAnsi="Arial"/>
                <w:sz w:val="16"/>
                <w:szCs w:val="16"/>
                <w:color w:val="auto"/>
              </w:rPr>
              <w:t>621,797</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leases, net of subleases (1)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37,616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6,597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11,233</w:t>
            </w: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(3)</w:t>
            </w: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2,613,177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277,546</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403,805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1,275,237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656,589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86" w:lineRule="exact"/>
        <w:rPr>
          <w:sz w:val="20"/>
          <w:szCs w:val="20"/>
          <w:color w:val="auto"/>
        </w:rPr>
      </w:pPr>
    </w:p>
    <w:p>
      <w:pPr>
        <w:ind w:left="240" w:right="20" w:hanging="236"/>
        <w:spacing w:after="0" w:line="281" w:lineRule="auto"/>
        <w:tabs>
          <w:tab w:leader="none" w:pos="214"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Operating and finance lease payments above include only amounts which are fixed under lease agreements. Our leases may also incur variable expenses which are not reflected in the contractual obligations above.</w:t>
      </w:r>
    </w:p>
    <w:p>
      <w:pPr>
        <w:spacing w:after="0" w:line="12" w:lineRule="exact"/>
        <w:rPr>
          <w:rFonts w:ascii="Arial" w:cs="Arial" w:eastAsia="Arial" w:hAnsi="Arial"/>
          <w:sz w:val="14"/>
          <w:szCs w:val="14"/>
          <w:color w:val="auto"/>
        </w:rPr>
      </w:pPr>
    </w:p>
    <w:p>
      <w:pPr>
        <w:jc w:val="both"/>
        <w:ind w:left="240" w:right="100" w:hanging="236"/>
        <w:spacing w:after="0" w:line="256" w:lineRule="auto"/>
        <w:tabs>
          <w:tab w:leader="none" w:pos="214"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Interest payments are based on the interest rate as of March 31, 2025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w:t>
      </w:r>
    </w:p>
    <w:p>
      <w:pPr>
        <w:spacing w:after="0" w:line="68" w:lineRule="exact"/>
        <w:rPr>
          <w:rFonts w:ascii="Arial" w:cs="Arial" w:eastAsia="Arial" w:hAnsi="Arial"/>
          <w:sz w:val="14"/>
          <w:szCs w:val="14"/>
          <w:color w:val="auto"/>
        </w:rPr>
      </w:pPr>
    </w:p>
    <w:p>
      <w:pPr>
        <w:ind w:left="240" w:right="80" w:hanging="236"/>
        <w:spacing w:after="0" w:line="255" w:lineRule="auto"/>
        <w:tabs>
          <w:tab w:leader="none" w:pos="214"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$9.2 million as of March 31, 2025 have been excluded from the contractual obligations table above. See Note 9 in our accompanying consolidated financial statements for additional information on uncertain tax positions.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3" w:name="page44"/>
    <w:bookmarkEnd w:id="43"/>
    <w:p>
      <w:pPr>
        <w:jc w:val="both"/>
        <w:ind w:right="160" w:firstLine="623"/>
        <w:spacing w:after="0" w:line="275"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rent manufacturing facilities and office space under operating leases expiring on various dates through 2037.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certain lease agreements require security deposits in the form of bank guarantees and letters of credit, with $2.7 million in the aggregate outstanding as of March 31, 2025.</w:t>
      </w:r>
    </w:p>
    <w:p>
      <w:pPr>
        <w:spacing w:after="0" w:line="133" w:lineRule="exact"/>
        <w:rPr>
          <w:sz w:val="20"/>
          <w:szCs w:val="20"/>
          <w:color w:val="auto"/>
        </w:rPr>
      </w:pPr>
    </w:p>
    <w:p>
      <w:pPr>
        <w:ind w:right="240" w:firstLine="623"/>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At March 31, 2025, we had unrecorded commitments under contract of $374.7 million. Purchase commitments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third-party cloud services of $247.6 million; third-party fulfillment and digital services of $76.1 million; software of $35.7 million; insurance costs of $5.8 million; professional and consulting fees of $3.7 million; production and computer equipment purchases of $3.0 million; production-related temporary labor of $1.7 million; and other commitments of $1.0 million.</w:t>
      </w:r>
    </w:p>
    <w:p>
      <w:pPr>
        <w:spacing w:after="0" w:line="152"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i w:val="1"/>
          <w:iCs w:val="1"/>
          <w:color w:val="auto"/>
        </w:rPr>
        <w:t xml:space="preserve">Senior Secured Credit Facility and Interest Payments. </w:t>
      </w:r>
      <w:r>
        <w:rPr>
          <w:rFonts w:ascii="Arial" w:cs="Arial" w:eastAsia="Arial" w:hAnsi="Arial"/>
          <w:sz w:val="17"/>
          <w:szCs w:val="17"/>
          <w:color w:val="auto"/>
        </w:rPr>
        <w:t>On September 26, 2024, we entered into an amendment to our Restated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to extend the maturity date of our senior secured revolving credit facility to September 26, 2029 and reduced the minimum credit spread on borrowing and the minimum commitment fee on unused balances, depending on our First Lien Leverage Ratio. Our $250.0 million senior secured revolving credit facility has $237.5 million unused as of March 31, 2025.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September 26, 2029. Interest payable included in the above table is based on the interest rate as of March 31, 2025 and assumes all Term SOFR-based revolving loan amounts outstanding will not be paid until maturity but that the term loan amortization payments will be made according to our defined schedule. As of March 31, 2025, we have borrowings under our Restated Credit Agreement of $1,075.5 million, consisting of the Term Loan B, which amortizes over the loan period, with a final maturity date of May 17, 2028.</w:t>
      </w:r>
    </w:p>
    <w:p>
      <w:pPr>
        <w:spacing w:after="0" w:line="165" w:lineRule="exact"/>
        <w:rPr>
          <w:sz w:val="20"/>
          <w:szCs w:val="20"/>
          <w:color w:val="auto"/>
        </w:rPr>
      </w:pPr>
    </w:p>
    <w:p>
      <w:pPr>
        <w:ind w:right="240" w:firstLine="623"/>
        <w:spacing w:after="0" w:line="265" w:lineRule="auto"/>
        <w:rPr>
          <w:sz w:val="20"/>
          <w:szCs w:val="20"/>
          <w:color w:val="auto"/>
        </w:rPr>
      </w:pPr>
      <w:r>
        <w:rPr>
          <w:rFonts w:ascii="Arial" w:cs="Arial" w:eastAsia="Arial" w:hAnsi="Arial"/>
          <w:sz w:val="17"/>
          <w:szCs w:val="17"/>
          <w:i w:val="1"/>
          <w:iCs w:val="1"/>
          <w:color w:val="auto"/>
        </w:rPr>
        <w:t xml:space="preserve">2032 Senior Notes and Interest Payments. </w:t>
      </w:r>
      <w:r>
        <w:rPr>
          <w:rFonts w:ascii="Arial" w:cs="Arial" w:eastAsia="Arial" w:hAnsi="Arial"/>
          <w:sz w:val="17"/>
          <w:szCs w:val="17"/>
          <w:color w:val="auto"/>
        </w:rPr>
        <w:t>On September 26, 2024, we completed a private placement of $525.0 million in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8 in the accompanying consolidated financial statements for additional information.</w:t>
      </w:r>
    </w:p>
    <w:p>
      <w:pPr>
        <w:spacing w:after="0" w:line="141" w:lineRule="exact"/>
        <w:rPr>
          <w:sz w:val="20"/>
          <w:szCs w:val="20"/>
          <w:color w:val="auto"/>
        </w:rPr>
      </w:pPr>
    </w:p>
    <w:p>
      <w:pPr>
        <w:jc w:val="both"/>
        <w:ind w:right="200" w:firstLine="623"/>
        <w:spacing w:after="0" w:line="268" w:lineRule="auto"/>
        <w:rPr>
          <w:sz w:val="20"/>
          <w:szCs w:val="20"/>
          <w:color w:val="auto"/>
        </w:rPr>
      </w:pPr>
      <w:r>
        <w:rPr>
          <w:rFonts w:ascii="Arial" w:cs="Arial" w:eastAsia="Arial" w:hAnsi="Arial"/>
          <w:sz w:val="17"/>
          <w:szCs w:val="17"/>
          <w:i w:val="1"/>
          <w:iCs w:val="1"/>
          <w:color w:val="auto"/>
        </w:rPr>
        <w:t xml:space="preserve">Debt Covenants. </w:t>
      </w:r>
      <w:r>
        <w:rPr>
          <w:rFonts w:ascii="Arial" w:cs="Arial" w:eastAsia="Arial" w:hAnsi="Arial"/>
          <w:sz w:val="17"/>
          <w:szCs w:val="17"/>
          <w:color w:val="auto"/>
        </w:rPr>
        <w:t>The Restated Credit Agreement and the indenture that governs our 2032 Notes contain covenants that restrict or limit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activities and transactions by Cimpress and our subsidiaries. As of March 31, 2025, we were in compliance with all covenants under our Restated Credit Agreement and the indenture governing our 2032 Notes. Refer to Note 8 in the accompanying consolidated financial statements for additional information.</w:t>
      </w:r>
    </w:p>
    <w:p>
      <w:pPr>
        <w:spacing w:after="0" w:line="152" w:lineRule="exact"/>
        <w:rPr>
          <w:sz w:val="20"/>
          <w:szCs w:val="20"/>
          <w:color w:val="auto"/>
        </w:rPr>
      </w:pPr>
    </w:p>
    <w:p>
      <w:pPr>
        <w:ind w:right="60" w:firstLine="623"/>
        <w:spacing w:after="0" w:line="275" w:lineRule="auto"/>
        <w:rPr>
          <w:sz w:val="20"/>
          <w:szCs w:val="20"/>
          <w:color w:val="auto"/>
        </w:rPr>
      </w:pPr>
      <w:r>
        <w:rPr>
          <w:rFonts w:ascii="Arial" w:cs="Arial" w:eastAsia="Arial" w:hAnsi="Arial"/>
          <w:sz w:val="17"/>
          <w:szCs w:val="17"/>
          <w:i w:val="1"/>
          <w:iCs w:val="1"/>
          <w:color w:val="auto"/>
        </w:rPr>
        <w:t xml:space="preserve">Other Debt. </w:t>
      </w:r>
      <w:r>
        <w:rPr>
          <w:rFonts w:ascii="Arial" w:cs="Arial" w:eastAsia="Arial" w:hAnsi="Arial"/>
          <w:sz w:val="17"/>
          <w:szCs w:val="17"/>
          <w:color w:val="auto"/>
        </w:rPr>
        <w:t>In addition, we have other debt which consists primarily of term loans acquired through our various acquisitions or used to</w:t>
      </w:r>
      <w:r>
        <w:rPr>
          <w:rFonts w:ascii="Arial" w:cs="Arial" w:eastAsia="Arial" w:hAnsi="Arial"/>
          <w:sz w:val="17"/>
          <w:szCs w:val="17"/>
          <w:i w:val="1"/>
          <w:iCs w:val="1"/>
          <w:color w:val="auto"/>
        </w:rPr>
        <w:t xml:space="preserve"> </w:t>
      </w:r>
      <w:r>
        <w:rPr>
          <w:rFonts w:ascii="Arial" w:cs="Arial" w:eastAsia="Arial" w:hAnsi="Arial"/>
          <w:sz w:val="17"/>
          <w:szCs w:val="17"/>
          <w:color w:val="auto"/>
        </w:rPr>
        <w:t>fund certain capital investments. As of March 31, 2025, we had $7.2 million outstanding for those obligations that have repayments due on various dates through September 2027.</w:t>
      </w:r>
    </w:p>
    <w:p>
      <w:pPr>
        <w:spacing w:after="0" w:line="146" w:lineRule="exact"/>
        <w:rPr>
          <w:sz w:val="20"/>
          <w:szCs w:val="20"/>
          <w:color w:val="auto"/>
        </w:rPr>
      </w:pPr>
    </w:p>
    <w:p>
      <w:pPr>
        <w:ind w:right="160" w:firstLine="623"/>
        <w:spacing w:after="0" w:line="265" w:lineRule="auto"/>
        <w:rPr>
          <w:sz w:val="20"/>
          <w:szCs w:val="20"/>
          <w:color w:val="auto"/>
        </w:rPr>
      </w:pPr>
      <w:r>
        <w:rPr>
          <w:rFonts w:ascii="Arial" w:cs="Arial" w:eastAsia="Arial" w:hAnsi="Arial"/>
          <w:sz w:val="17"/>
          <w:szCs w:val="17"/>
          <w:i w:val="1"/>
          <w:iCs w:val="1"/>
          <w:color w:val="auto"/>
        </w:rPr>
        <w:t xml:space="preserve">Finance Leases. </w:t>
      </w:r>
      <w:r>
        <w:rPr>
          <w:rFonts w:ascii="Arial" w:cs="Arial" w:eastAsia="Arial" w:hAnsi="Arial"/>
          <w:sz w:val="17"/>
          <w:szCs w:val="17"/>
          <w:color w:val="auto"/>
        </w:rPr>
        <w:t>We lease certain facilities, machinery, and plant equipment under finance lease agreements that expire at various dates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2037. The aggregate carrying value of the leased assets under finance leases included in property, plant and equipment, net in our consolidated balance sheet at March 31, 2025 is $29.3 million, net of accumulated depreciation of $32.4 million. The present value of lease installments not yet due included in other current liabilities and other liabilities in our consolidated balance sheet at March 31, 2025 amounts to $32.8 million.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Non-GAAP Financial Measures</w:t>
      </w:r>
    </w:p>
    <w:p>
      <w:pPr>
        <w:spacing w:after="0" w:line="209" w:lineRule="exact"/>
        <w:rPr>
          <w:sz w:val="20"/>
          <w:szCs w:val="20"/>
          <w:color w:val="auto"/>
        </w:rPr>
      </w:pPr>
    </w:p>
    <w:p>
      <w:pPr>
        <w:ind w:right="260" w:firstLine="623"/>
        <w:spacing w:after="0" w:line="265" w:lineRule="auto"/>
        <w:rPr>
          <w:sz w:val="20"/>
          <w:szCs w:val="20"/>
          <w:color w:val="auto"/>
        </w:rPr>
      </w:pPr>
      <w:r>
        <w:rPr>
          <w:rFonts w:ascii="Arial" w:cs="Arial" w:eastAsia="Arial" w:hAnsi="Arial"/>
          <w:sz w:val="17"/>
          <w:szCs w:val="17"/>
          <w:color w:val="auto"/>
        </w:rPr>
        <w:t>Adjusted EBITDA and adjusted free cash flow presented below, and constant-currency revenue growth and constant-currency revenue growth excluding acquisitions/divestitures presented in the consolidated results of operations section above (which we refer to above as organic constant-currency revenue growth),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ind w:firstLine="623"/>
        <w:spacing w:after="0" w:line="263" w:lineRule="auto"/>
        <w:rPr>
          <w:sz w:val="20"/>
          <w:szCs w:val="20"/>
          <w:color w:val="auto"/>
        </w:rPr>
      </w:pPr>
      <w:r>
        <w:rPr>
          <w:rFonts w:ascii="Arial" w:cs="Arial" w:eastAsia="Arial" w:hAnsi="Arial"/>
          <w:sz w:val="17"/>
          <w:szCs w:val="17"/>
          <w:color w:val="auto"/>
        </w:rPr>
        <w:t>Adjusted EBITDA is defined as net (loss) income plus income tax expense plus (gain) loss on early extinguishment of debt plus interest expense, net plus other expense (income), net plus depreciation and amortization plus share-based compensation expense plus earn-out related charges plus certain impairments plus restructuring 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spacing w:after="0" w:line="143"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net income.</w:t>
      </w:r>
    </w:p>
    <w:p>
      <w:pPr>
        <w:spacing w:after="0" w:line="154" w:lineRule="exact"/>
        <w:rPr>
          <w:sz w:val="20"/>
          <w:szCs w:val="20"/>
          <w:color w:val="auto"/>
        </w:rPr>
      </w:pPr>
    </w:p>
    <w:p>
      <w:pPr>
        <w:ind w:right="80" w:firstLine="623"/>
        <w:spacing w:after="0" w:line="260" w:lineRule="auto"/>
        <w:rPr>
          <w:sz w:val="20"/>
          <w:szCs w:val="20"/>
          <w:color w:val="auto"/>
        </w:rPr>
      </w:pPr>
      <w:r>
        <w:rPr>
          <w:rFonts w:ascii="Arial" w:cs="Arial" w:eastAsia="Arial" w:hAnsi="Arial"/>
          <w:sz w:val="17"/>
          <w:szCs w:val="17"/>
          <w:color w:val="auto"/>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spacing w:after="0" w:line="162" w:lineRule="exact"/>
        <w:rPr>
          <w:sz w:val="20"/>
          <w:szCs w:val="20"/>
          <w:color w:val="auto"/>
        </w:rPr>
      </w:pPr>
    </w:p>
    <w:p>
      <w:pPr>
        <w:ind w:firstLine="623"/>
        <w:spacing w:after="0" w:line="265" w:lineRule="auto"/>
        <w:rPr>
          <w:sz w:val="20"/>
          <w:szCs w:val="20"/>
          <w:color w:val="auto"/>
        </w:rPr>
      </w:pPr>
      <w:r>
        <w:rPr>
          <w:rFonts w:ascii="Arial" w:cs="Arial" w:eastAsia="Arial" w:hAnsi="Arial"/>
          <w:sz w:val="17"/>
          <w:szCs w:val="17"/>
          <w:color w:val="auto"/>
        </w:rPr>
        <w:t>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table below sets forth net (loss) income and adjusted EBITDA for the three and nine months ended March 31, 2025 and 2024:</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5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7"/>
                <w:szCs w:val="17"/>
                <w:color w:val="auto"/>
              </w:rPr>
            </w:pPr>
          </w:p>
        </w:tc>
        <w:tc>
          <w:tcPr>
            <w:tcW w:w="3040" w:type="dxa"/>
            <w:vAlign w:val="bottom"/>
            <w:gridSpan w:val="5"/>
          </w:tcPr>
          <w:p>
            <w:pPr>
              <w:ind w:left="360"/>
              <w:spacing w:after="0"/>
              <w:rPr>
                <w:sz w:val="20"/>
                <w:szCs w:val="20"/>
                <w:color w:val="auto"/>
              </w:rPr>
            </w:pPr>
            <w:r>
              <w:rPr>
                <w:rFonts w:ascii="Arial" w:cs="Arial" w:eastAsia="Arial" w:hAnsi="Arial"/>
                <w:sz w:val="12"/>
                <w:szCs w:val="12"/>
                <w:b w:val="1"/>
                <w:bCs w:val="1"/>
                <w:color w:val="auto"/>
              </w:rPr>
              <w:t>Three Months Ended March 31,</w:t>
            </w:r>
          </w:p>
        </w:tc>
        <w:tc>
          <w:tcPr>
            <w:tcW w:w="380" w:type="dxa"/>
            <w:vAlign w:val="bottom"/>
          </w:tcPr>
          <w:p>
            <w:pPr>
              <w:spacing w:after="0"/>
              <w:rPr>
                <w:sz w:val="17"/>
                <w:szCs w:val="17"/>
                <w:color w:val="auto"/>
              </w:rPr>
            </w:pPr>
          </w:p>
        </w:tc>
        <w:tc>
          <w:tcPr>
            <w:tcW w:w="2920" w:type="dxa"/>
            <w:vAlign w:val="bottom"/>
            <w:gridSpan w:val="4"/>
          </w:tcPr>
          <w:p>
            <w:pPr>
              <w:jc w:val="right"/>
              <w:ind w:right="724"/>
              <w:spacing w:after="0"/>
              <w:rPr>
                <w:sz w:val="20"/>
                <w:szCs w:val="20"/>
                <w:color w:val="auto"/>
              </w:rPr>
            </w:pPr>
            <w:r>
              <w:rPr>
                <w:rFonts w:ascii="Arial" w:cs="Arial" w:eastAsia="Arial" w:hAnsi="Arial"/>
                <w:sz w:val="12"/>
                <w:szCs w:val="12"/>
                <w:b w:val="1"/>
                <w:bCs w:val="1"/>
                <w:color w:val="auto"/>
              </w:rPr>
              <w:t>Nine Months Ended March 31,</w:t>
            </w:r>
          </w:p>
        </w:tc>
      </w:tr>
      <w:tr>
        <w:trPr>
          <w:trHeight w:val="161"/>
        </w:trPr>
        <w:tc>
          <w:tcPr>
            <w:tcW w:w="450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2024</w:t>
            </w:r>
          </w:p>
        </w:tc>
      </w:tr>
      <w:tr>
        <w:trPr>
          <w:trHeight w:val="202"/>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41,211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59,642</w:t>
            </w: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Exclude expense (benefit) impact of:</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9"/>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12,144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10,610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42,290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35,527</w:t>
            </w:r>
          </w:p>
        </w:tc>
      </w:tr>
      <w:tr>
        <w:trPr>
          <w:trHeight w:val="207"/>
        </w:trPr>
        <w:tc>
          <w:tcPr>
            <w:tcW w:w="4500" w:type="dxa"/>
            <w:vAlign w:val="bottom"/>
          </w:tcPr>
          <w:p>
            <w:pPr>
              <w:ind w:left="140"/>
              <w:spacing w:after="0"/>
              <w:rPr>
                <w:sz w:val="20"/>
                <w:szCs w:val="20"/>
                <w:color w:val="auto"/>
              </w:rPr>
            </w:pPr>
            <w:r>
              <w:rPr>
                <w:rFonts w:ascii="Arial" w:cs="Arial" w:eastAsia="Arial" w:hAnsi="Arial"/>
                <w:sz w:val="16"/>
                <w:szCs w:val="16"/>
                <w:color w:val="auto"/>
              </w:rPr>
              <w:t>(Gain) loss on early extinguishment of debt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(1,721)</w:t>
            </w:r>
          </w:p>
        </w:tc>
      </w:tr>
      <w:tr>
        <w:trPr>
          <w:trHeight w:val="209"/>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26,995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30,158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87,575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89,946</w:t>
            </w:r>
          </w:p>
        </w:tc>
      </w:tr>
      <w:tr>
        <w:trPr>
          <w:trHeight w:val="207"/>
        </w:trPr>
        <w:tc>
          <w:tcPr>
            <w:tcW w:w="4500" w:type="dxa"/>
            <w:vAlign w:val="bottom"/>
          </w:tcPr>
          <w:p>
            <w:pPr>
              <w:ind w:left="140"/>
              <w:spacing w:after="0"/>
              <w:rPr>
                <w:sz w:val="20"/>
                <w:szCs w:val="20"/>
                <w:color w:val="auto"/>
              </w:rPr>
            </w:pPr>
            <w:r>
              <w:rPr>
                <w:rFonts w:ascii="Arial" w:cs="Arial" w:eastAsia="Arial" w:hAnsi="Arial"/>
                <w:sz w:val="16"/>
                <w:szCs w:val="16"/>
                <w:color w:val="auto"/>
              </w:rPr>
              <w:t>Other expense (income), net</w:t>
            </w:r>
          </w:p>
        </w:tc>
        <w:tc>
          <w:tcPr>
            <w:tcW w:w="3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9,441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3,651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(2,377)</w:t>
            </w:r>
          </w:p>
        </w:tc>
      </w:tr>
      <w:tr>
        <w:trPr>
          <w:trHeight w:val="209"/>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34,300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37,072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105,057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116,103</w:t>
            </w:r>
          </w:p>
        </w:tc>
      </w:tr>
      <w:tr>
        <w:trPr>
          <w:trHeight w:val="207"/>
        </w:trPr>
        <w:tc>
          <w:tcPr>
            <w:tcW w:w="450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12,684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18,397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42,690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48,499</w:t>
            </w:r>
          </w:p>
        </w:tc>
      </w:tr>
      <w:tr>
        <w:trPr>
          <w:trHeight w:val="209"/>
        </w:trPr>
        <w:tc>
          <w:tcPr>
            <w:tcW w:w="4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Certain impairments and other adjustments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2,369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786</w:t>
            </w:r>
          </w:p>
        </w:tc>
      </w:tr>
      <w:tr>
        <w:trPr>
          <w:trHeight w:val="207"/>
        </w:trPr>
        <w:tc>
          <w:tcPr>
            <w:tcW w:w="4500" w:type="dxa"/>
            <w:vAlign w:val="bottom"/>
          </w:tcPr>
          <w:p>
            <w:pPr>
              <w:ind w:left="140"/>
              <w:spacing w:after="0"/>
              <w:rPr>
                <w:sz w:val="20"/>
                <w:szCs w:val="20"/>
                <w:color w:val="auto"/>
              </w:rPr>
            </w:pPr>
            <w:r>
              <w:rPr>
                <w:rFonts w:ascii="Arial" w:cs="Arial" w:eastAsia="Arial" w:hAnsi="Arial"/>
                <w:sz w:val="16"/>
                <w:szCs w:val="16"/>
                <w:color w:val="auto"/>
              </w:rPr>
              <w:t>Restructuring-related charges</w:t>
            </w:r>
          </w:p>
        </w:tc>
        <w:tc>
          <w:tcPr>
            <w:tcW w:w="3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728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277</w:t>
            </w: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Include certain items that are a part of other income, net: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Realized gains (losses) on currency derivatives (1)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2,646</w:t>
            </w:r>
          </w:p>
        </w:tc>
      </w:tr>
      <w:tr>
        <w:trPr>
          <w:trHeight w:val="227"/>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90,700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94,158</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310,725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349,328</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47" w:lineRule="exact"/>
        <w:rPr>
          <w:sz w:val="20"/>
          <w:szCs w:val="20"/>
          <w:color w:val="auto"/>
        </w:rPr>
      </w:pPr>
    </w:p>
    <w:p>
      <w:pPr>
        <w:ind w:left="240" w:right="220" w:hanging="236"/>
        <w:spacing w:after="0" w:line="281" w:lineRule="auto"/>
        <w:tabs>
          <w:tab w:leader="none" w:pos="21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realized gains (losses)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ind w:right="40" w:firstLine="623"/>
        <w:spacing w:after="0" w:line="295" w:lineRule="auto"/>
        <w:rPr>
          <w:sz w:val="20"/>
          <w:szCs w:val="20"/>
          <w:color w:val="auto"/>
        </w:rPr>
      </w:pPr>
      <w:r>
        <w:rPr>
          <w:rFonts w:ascii="Arial" w:cs="Arial" w:eastAsia="Arial" w:hAnsi="Arial"/>
          <w:sz w:val="17"/>
          <w:szCs w:val="17"/>
          <w:color w:val="auto"/>
        </w:rPr>
        <w:t>The table below sets forth net cash provided by operating activities and adjusted free cash flow for the nine months ended March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45"/>
              <w:spacing w:after="0"/>
              <w:rPr>
                <w:sz w:val="20"/>
                <w:szCs w:val="20"/>
                <w:color w:val="auto"/>
              </w:rPr>
            </w:pPr>
            <w:r>
              <w:rPr>
                <w:rFonts w:ascii="Arial" w:cs="Arial" w:eastAsia="Arial" w:hAnsi="Arial"/>
                <w:sz w:val="12"/>
                <w:szCs w:val="12"/>
                <w:b w:val="1"/>
                <w:bCs w:val="1"/>
                <w:color w:val="auto"/>
              </w:rPr>
              <w:t>Nine Months Ended March 31,</w:t>
            </w:r>
          </w:p>
        </w:tc>
      </w:tr>
      <w:tr>
        <w:trPr>
          <w:trHeight w:val="161"/>
        </w:trPr>
        <w:tc>
          <w:tcPr>
            <w:tcW w:w="78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5"/>
              <w:spacing w:after="0"/>
              <w:rPr>
                <w:sz w:val="20"/>
                <w:szCs w:val="20"/>
                <w:color w:val="auto"/>
              </w:rPr>
            </w:pPr>
            <w:r>
              <w:rPr>
                <w:rFonts w:ascii="Arial" w:cs="Arial" w:eastAsia="Arial" w:hAnsi="Arial"/>
                <w:sz w:val="12"/>
                <w:szCs w:val="12"/>
                <w:b w:val="1"/>
                <w:bCs w:val="1"/>
                <w:color w:val="auto"/>
              </w:rPr>
              <w:t>2024</w:t>
            </w:r>
          </w:p>
        </w:tc>
      </w:tr>
      <w:tr>
        <w:trPr>
          <w:trHeight w:val="202"/>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190,598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225,627</w:t>
            </w:r>
          </w:p>
        </w:tc>
      </w:tr>
      <w:tr>
        <w:trPr>
          <w:trHeight w:val="207"/>
        </w:trPr>
        <w:tc>
          <w:tcPr>
            <w:tcW w:w="786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(68,211)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(44,425)</w:t>
            </w:r>
          </w:p>
        </w:tc>
      </w:tr>
      <w:tr>
        <w:trPr>
          <w:trHeight w:val="20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Capitalization of software and website development costs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(43,379)</w:t>
            </w:r>
          </w:p>
        </w:tc>
      </w:tr>
      <w:tr>
        <w:trPr>
          <w:trHeight w:val="207"/>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the sale of assets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r>
      <w:tr>
        <w:trPr>
          <w:trHeight w:val="22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free cash flow</w:t>
            </w: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77,153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144,242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exposure to interest rate risk relates primarily to our cash, cash equivalents, and debt.</w:t>
      </w:r>
    </w:p>
    <w:p>
      <w:pPr>
        <w:spacing w:after="0" w:line="207" w:lineRule="exact"/>
        <w:rPr>
          <w:sz w:val="20"/>
          <w:szCs w:val="20"/>
          <w:color w:val="auto"/>
        </w:rPr>
      </w:pPr>
    </w:p>
    <w:p>
      <w:pPr>
        <w:ind w:right="360" w:firstLine="623"/>
        <w:spacing w:after="0" w:line="275" w:lineRule="auto"/>
        <w:rPr>
          <w:sz w:val="20"/>
          <w:szCs w:val="20"/>
          <w:color w:val="auto"/>
        </w:rPr>
      </w:pPr>
      <w:r>
        <w:rPr>
          <w:rFonts w:ascii="Arial" w:cs="Arial" w:eastAsia="Arial" w:hAnsi="Arial"/>
          <w:sz w:val="17"/>
          <w:szCs w:val="17"/>
          <w:color w:val="auto"/>
        </w:rPr>
        <w:t>As of March 31, 2025,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spacing w:after="0" w:line="146" w:lineRule="exact"/>
        <w:rPr>
          <w:sz w:val="20"/>
          <w:szCs w:val="20"/>
          <w:color w:val="auto"/>
        </w:rPr>
      </w:pPr>
    </w:p>
    <w:p>
      <w:pPr>
        <w:ind w:right="60" w:firstLine="623"/>
        <w:spacing w:after="0" w:line="263" w:lineRule="auto"/>
        <w:rPr>
          <w:sz w:val="20"/>
          <w:szCs w:val="20"/>
          <w:color w:val="auto"/>
        </w:rPr>
      </w:pPr>
      <w:r>
        <w:rPr>
          <w:rFonts w:ascii="Arial" w:cs="Arial" w:eastAsia="Arial" w:hAnsi="Arial"/>
          <w:sz w:val="17"/>
          <w:szCs w:val="17"/>
          <w:color w:val="auto"/>
        </w:rPr>
        <w:t>As of March 31, 2025, we had $1,075.5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March 31, 2025, a hypothetical 100 basis point increase in rates, inclusive of the impact of our outstanding interest rate swaps that are accruing interest as of March 31, 2025, would result in a $8.4 million impact to interest expense over the next 12 months. This does not include any yield from cash and marketable securities.</w:t>
      </w:r>
    </w:p>
    <w:p>
      <w:pPr>
        <w:spacing w:after="0" w:line="143" w:lineRule="exact"/>
        <w:rPr>
          <w:sz w:val="20"/>
          <w:szCs w:val="20"/>
          <w:color w:val="auto"/>
        </w:rPr>
      </w:pPr>
    </w:p>
    <w:p>
      <w:pPr>
        <w:ind w:right="40" w:firstLine="623"/>
        <w:spacing w:after="0" w:line="265" w:lineRule="auto"/>
        <w:rPr>
          <w:sz w:val="20"/>
          <w:szCs w:val="20"/>
          <w:color w:val="auto"/>
        </w:rPr>
      </w:pPr>
      <w:r>
        <w:rPr>
          <w:rFonts w:ascii="Arial" w:cs="Arial" w:eastAsia="Arial" w:hAnsi="Arial"/>
          <w:sz w:val="17"/>
          <w:szCs w:val="17"/>
          <w:i w:val="1"/>
          <w:iCs w:val="1"/>
          <w:color w:val="auto"/>
        </w:rPr>
        <w:t xml:space="preserve">Currency Exchange Rate Risk. </w:t>
      </w:r>
      <w:r>
        <w:rPr>
          <w:rFonts w:ascii="Arial" w:cs="Arial" w:eastAsia="Arial" w:hAnsi="Arial"/>
          <w:sz w:val="17"/>
          <w:szCs w:val="17"/>
          <w:color w:val="auto"/>
        </w:rPr>
        <w:t>We conduct business in multiple currencies through our worldwide operations but report our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purposes. The use of derivatives is intended to reduce, but does not entirely eliminate, the impact of adverse currency exchange rate movements. A summary of our currency risk is as follows:</w:t>
      </w:r>
    </w:p>
    <w:p>
      <w:pPr>
        <w:spacing w:after="0" w:line="154" w:lineRule="exact"/>
        <w:rPr>
          <w:sz w:val="20"/>
          <w:szCs w:val="20"/>
          <w:color w:val="auto"/>
        </w:rPr>
      </w:pPr>
    </w:p>
    <w:p>
      <w:pPr>
        <w:ind w:left="620" w:right="160" w:hanging="305"/>
        <w:spacing w:after="0" w:line="268"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Translation of our non-U.S. dollar revenues and expenses: </w:t>
      </w:r>
      <w:r>
        <w:rPr>
          <w:rFonts w:ascii="Arial" w:cs="Arial" w:eastAsia="Arial" w:hAnsi="Arial"/>
          <w:sz w:val="17"/>
          <w:szCs w:val="17"/>
          <w:color w:val="auto"/>
        </w:rPr>
        <w:t>Revenue and related expenses generated in currencies other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dollar could result in higher or lower net (loss) income when, upon consolidation, those transactions are translated to U.S. dollars. When the value or timing of revenue and expenses in a given currency are materially different, we may be exposed to significant impacts on our net loss and non-GAAP financial metrics, such as adjusted EBITDA.</w:t>
      </w:r>
    </w:p>
    <w:p>
      <w:pPr>
        <w:spacing w:after="0" w:line="152" w:lineRule="exact"/>
        <w:rPr>
          <w:rFonts w:ascii="Arial" w:cs="Arial" w:eastAsia="Arial" w:hAnsi="Arial"/>
          <w:sz w:val="17"/>
          <w:szCs w:val="17"/>
          <w:color w:val="auto"/>
        </w:rPr>
      </w:pPr>
    </w:p>
    <w:p>
      <w:pPr>
        <w:ind w:left="620" w:right="120"/>
        <w:spacing w:after="0" w:line="268" w:lineRule="auto"/>
        <w:rPr>
          <w:rFonts w:ascii="Arial" w:cs="Arial" w:eastAsia="Arial" w:hAnsi="Arial"/>
          <w:sz w:val="17"/>
          <w:szCs w:val="17"/>
          <w:color w:val="auto"/>
        </w:rPr>
      </w:pPr>
      <w:r>
        <w:rPr>
          <w:rFonts w:ascii="Arial" w:cs="Arial" w:eastAsia="Arial" w:hAnsi="Arial"/>
          <w:sz w:val="17"/>
          <w:szCs w:val="17"/>
          <w:color w:val="auto"/>
        </w:rPr>
        <w:t>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British Pound.</w:t>
      </w:r>
    </w:p>
    <w:p>
      <w:pPr>
        <w:spacing w:after="0" w:line="139" w:lineRule="exact"/>
        <w:rPr>
          <w:rFonts w:ascii="Arial" w:cs="Arial" w:eastAsia="Arial" w:hAnsi="Arial"/>
          <w:sz w:val="17"/>
          <w:szCs w:val="17"/>
          <w:color w:val="auto"/>
        </w:rPr>
      </w:pPr>
    </w:p>
    <w:p>
      <w:pPr>
        <w:ind w:left="620" w:right="140"/>
        <w:spacing w:after="0" w:line="268" w:lineRule="auto"/>
        <w:rPr>
          <w:rFonts w:ascii="Arial" w:cs="Arial" w:eastAsia="Arial" w:hAnsi="Arial"/>
          <w:sz w:val="17"/>
          <w:szCs w:val="17"/>
          <w:color w:val="auto"/>
        </w:rPr>
      </w:pPr>
      <w:r>
        <w:rPr>
          <w:rFonts w:ascii="Arial" w:cs="Arial" w:eastAsia="Arial" w:hAnsi="Arial"/>
          <w:sz w:val="17"/>
          <w:szCs w:val="17"/>
          <w:color w:val="auto"/>
        </w:rPr>
        <w:t>In addition, we elect to execute currency derivatives contracts that do not qualify for hedge accounting. As a result, we may experience volatility in our consolidated statements of operations due to (i) the impact of unrealized gains and losses reported in other (expense) income, net, on the mark-to-market of outstanding contracts and (ii) realized gains and losses recognized in other (expense) income, net, whereas the offsetting economic gains and losses are reported in the line item of the underlying activity, for example, revenue.</w:t>
      </w:r>
    </w:p>
    <w:p>
      <w:pPr>
        <w:spacing w:after="0" w:line="152" w:lineRule="exact"/>
        <w:rPr>
          <w:rFonts w:ascii="Arial" w:cs="Arial" w:eastAsia="Arial" w:hAnsi="Arial"/>
          <w:sz w:val="17"/>
          <w:szCs w:val="17"/>
          <w:color w:val="auto"/>
        </w:rPr>
      </w:pPr>
    </w:p>
    <w:p>
      <w:pPr>
        <w:ind w:left="620" w:right="40" w:hanging="305"/>
        <w:spacing w:after="0" w:line="275" w:lineRule="auto"/>
        <w:tabs>
          <w:tab w:leader="none" w:pos="616"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Translation of our non-U.S. dollar assets and liabilities</w:t>
      </w:r>
      <w:r>
        <w:rPr>
          <w:rFonts w:ascii="Arial" w:cs="Arial" w:eastAsia="Arial" w:hAnsi="Arial"/>
          <w:sz w:val="17"/>
          <w:szCs w:val="17"/>
          <w:color w:val="auto"/>
        </w:rPr>
        <w:t>: Each of our subsidiaries translates its assets and liabilities to U.S. dollars at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rates of exchange in effect at the balance sheet date. The resulting gains and losses from translation are included as a component of accumulated other comprehensive loss on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6" w:name="page47"/>
    <w:bookmarkEnd w:id="46"/>
    <w:p>
      <w:pPr>
        <w:ind w:left="620" w:right="140"/>
        <w:spacing w:after="0" w:line="275" w:lineRule="auto"/>
        <w:rPr>
          <w:sz w:val="20"/>
          <w:szCs w:val="20"/>
          <w:color w:val="auto"/>
        </w:rPr>
      </w:pPr>
      <w:r>
        <w:rPr>
          <w:rFonts w:ascii="Arial" w:cs="Arial" w:eastAsia="Arial" w:hAnsi="Arial"/>
          <w:sz w:val="17"/>
          <w:szCs w:val="17"/>
          <w:color w:val="auto"/>
        </w:rPr>
        <w:t>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w:t>
      </w:r>
    </w:p>
    <w:p>
      <w:pPr>
        <w:spacing w:after="0" w:line="133" w:lineRule="exact"/>
        <w:rPr>
          <w:sz w:val="20"/>
          <w:szCs w:val="20"/>
          <w:color w:val="auto"/>
        </w:rPr>
      </w:pPr>
    </w:p>
    <w:p>
      <w:pPr>
        <w:ind w:left="620" w:right="60" w:hanging="305"/>
        <w:spacing w:after="0" w:line="25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Remeasurement of monetary assets and liabilities: </w:t>
      </w:r>
      <w:r>
        <w:rPr>
          <w:rFonts w:ascii="Arial" w:cs="Arial" w:eastAsia="Arial" w:hAnsi="Arial"/>
          <w:sz w:val="17"/>
          <w:szCs w:val="17"/>
          <w:color w:val="auto"/>
        </w:rPr>
        <w:t>Transaction gains and losses generated from remeasurement of monetary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denominated in currencies other than the functional currency of a subsidiary are included in other (expense)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(expense) income, net. We expect these impacts may be volatile in the future, although our largest intercompany loans do not have a U.S. dollar cash impact for the consolidated group because they are either: 1) U.S. dollar loans or 2) used to hedge certain non-U.S. dollar loans with cross-currency swaps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$14.9 million on our income before income taxes for the three and nine months ended March 31, 2025.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92" w:lineRule="exact"/>
        <w:rPr>
          <w:sz w:val="20"/>
          <w:szCs w:val="20"/>
          <w:color w:val="auto"/>
        </w:rPr>
      </w:pPr>
    </w:p>
    <w:p>
      <w:pPr>
        <w:ind w:firstLine="623"/>
        <w:spacing w:after="0" w:line="258"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2025.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2025, our chief executive officer and chief financial officer concluded that, as of such date, our disclosure controls and procedures were effective at the reasonable assurance level.</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92" w:lineRule="exact"/>
        <w:rPr>
          <w:sz w:val="20"/>
          <w:szCs w:val="20"/>
          <w:color w:val="auto"/>
        </w:rPr>
      </w:pPr>
    </w:p>
    <w:p>
      <w:pPr>
        <w:jc w:val="both"/>
        <w:ind w:right="320" w:firstLine="623"/>
        <w:spacing w:after="0" w:line="275" w:lineRule="auto"/>
        <w:rPr>
          <w:sz w:val="20"/>
          <w:szCs w:val="20"/>
          <w:color w:val="auto"/>
        </w:rPr>
      </w:pPr>
      <w:r>
        <w:rPr>
          <w:rFonts w:ascii="Arial" w:cs="Arial" w:eastAsia="Arial" w:hAnsi="Arial"/>
          <w:sz w:val="17"/>
          <w:szCs w:val="17"/>
          <w:color w:val="auto"/>
        </w:rPr>
        <w:t>There were no significant changes in our internal control over financial reporting (as defined in Rules 13a-15(f) and 15d-15(f) under the Exchange Act) during the three months ended March 31, 2025 that materially affected, or are reasonably likely to materially affect, our internal control over financial reporting.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 OTHER INFORMATION</w:t>
      </w:r>
    </w:p>
    <w:p>
      <w:pPr>
        <w:spacing w:after="0" w:line="168"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57" w:lineRule="exact"/>
        <w:rPr>
          <w:sz w:val="20"/>
          <w:szCs w:val="20"/>
          <w:color w:val="auto"/>
        </w:rPr>
      </w:pPr>
    </w:p>
    <w:p>
      <w:pPr>
        <w:ind w:right="100" w:firstLine="623"/>
        <w:spacing w:after="0" w:line="252" w:lineRule="auto"/>
        <w:rPr>
          <w:sz w:val="20"/>
          <w:szCs w:val="20"/>
          <w:color w:val="auto"/>
        </w:rPr>
      </w:pPr>
      <w:r>
        <w:rPr>
          <w:rFonts w:ascii="Arial" w:cs="Arial" w:eastAsia="Arial" w:hAnsi="Arial"/>
          <w:sz w:val="17"/>
          <w:szCs w:val="17"/>
          <w:color w:val="auto"/>
        </w:rPr>
        <w:t>We are updating the following risk factors disclosed in our Form 10-K for the fiscal year ended June 30, 2024 (“Form 10-K”), as previously updated in our Form 10-Q for the quarter ended December 31, 2024. You should carefully consider the risks set forth in our Form 10-K and the following risks, together with all the other information in this report, including our consolidated financial statements and notes thereto. If any of the risks materialize in the future, our operating results, financial condition and liquidity could be materially and adversely affected.</w:t>
      </w:r>
    </w:p>
    <w:p>
      <w:pPr>
        <w:spacing w:after="0" w:line="114" w:lineRule="exact"/>
        <w:rPr>
          <w:sz w:val="20"/>
          <w:szCs w:val="20"/>
          <w:color w:val="auto"/>
        </w:rPr>
      </w:pPr>
    </w:p>
    <w:p>
      <w:pPr>
        <w:ind w:right="80" w:firstLine="623"/>
        <w:spacing w:after="0" w:line="289" w:lineRule="auto"/>
        <w:rPr>
          <w:sz w:val="20"/>
          <w:szCs w:val="20"/>
          <w:color w:val="auto"/>
        </w:rPr>
      </w:pPr>
      <w:r>
        <w:rPr>
          <w:rFonts w:ascii="Arial" w:cs="Arial" w:eastAsia="Arial" w:hAnsi="Arial"/>
          <w:sz w:val="17"/>
          <w:szCs w:val="17"/>
          <w:b w:val="1"/>
          <w:bCs w:val="1"/>
          <w:i w:val="1"/>
          <w:iCs w:val="1"/>
          <w:color w:val="auto"/>
        </w:rPr>
        <w:t>We manage our business for long-term results, and our quarterly and annual financial results often fluctuate, which has led, and may continue to lead, to volatility in our share price.</w:t>
      </w:r>
    </w:p>
    <w:p>
      <w:pPr>
        <w:spacing w:after="0" w:line="152" w:lineRule="exact"/>
        <w:rPr>
          <w:sz w:val="20"/>
          <w:szCs w:val="20"/>
          <w:color w:val="auto"/>
        </w:rPr>
      </w:pPr>
    </w:p>
    <w:p>
      <w:pPr>
        <w:ind w:right="140" w:firstLine="623"/>
        <w:spacing w:after="0" w:line="279" w:lineRule="auto"/>
        <w:rPr>
          <w:sz w:val="20"/>
          <w:szCs w:val="20"/>
          <w:color w:val="auto"/>
        </w:rPr>
      </w:pPr>
      <w:r>
        <w:rPr>
          <w:rFonts w:ascii="Arial" w:cs="Arial" w:eastAsia="Arial" w:hAnsi="Arial"/>
          <w:sz w:val="17"/>
          <w:szCs w:val="17"/>
          <w:color w:val="auto"/>
        </w:rPr>
        <w:t>Our revenue and operating results often vary significantly from period to period due to a number of factors, and as a result comparing our financial results on a period-to-period basis may not be meaningful. We prioritize our</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17"/>
          <w:szCs w:val="17"/>
          <w:color w:val="auto"/>
        </w:rPr>
        <w:t>uppermost financial objective of maximizing our intrinsic value per share even at the expense of shorter-term results. Many of the factors that lead to period-to-period fluctuations are outside of our control; however, some factors are inherent in our business strategies. Some of the specific factors that have caused, and/or could cause, our operating results to fluctuate from quarter to quarter or year to year include among others:</w:t>
      </w:r>
    </w:p>
    <w:p>
      <w:pPr>
        <w:spacing w:after="0" w:line="55" w:lineRule="exact"/>
        <w:rPr>
          <w:sz w:val="20"/>
          <w:szCs w:val="20"/>
          <w:color w:val="auto"/>
        </w:rPr>
      </w:pPr>
    </w:p>
    <w:p>
      <w:pPr>
        <w:ind w:left="620" w:right="120" w:hanging="305"/>
        <w:spacing w:after="0" w:line="248"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investments in our business in the current period intended to generate longer-term returns, where costs in the near term are not offset by revenue or cost savings until future periods, if at all</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to produce and deliver our products and provide our services</w:t>
      </w:r>
    </w:p>
    <w:p>
      <w:pPr>
        <w:ind w:left="620" w:hanging="305"/>
        <w:spacing w:after="0" w:line="223"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attract and retain customers and generate purchases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shifts in revenue mix toward less profitable products and brands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supply chain challenges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pricing and marketing strategies and those of our competitors</w:t>
      </w:r>
    </w:p>
    <w:p>
      <w:pPr>
        <w:ind w:left="620" w:right="360" w:hanging="305"/>
        <w:spacing w:after="0" w:line="23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variations in the demand for our products and services, including potential declines from pricing changes and/or surcharges related to tariffs or other trade policies of the U.S. or other countries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currency and interest rate fluctuations, which affect our revenue, costs, and fair value of our assets and liabilities</w:t>
      </w:r>
    </w:p>
    <w:p>
      <w:pPr>
        <w:ind w:left="620" w:right="140" w:hanging="305"/>
        <w:spacing w:after="0" w:line="23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U.S. and other countries' trade policies, including the types, amounts, and durations of any tariffs imposed on our products or our supply chain materials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hedging activity</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commencement or termination of agreements with our strategic partners, suppliers, and others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manage our production, fulfillment, and support operations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conditions, including volatility or economic downturns in some or all of our markets</w:t>
      </w:r>
    </w:p>
    <w:p>
      <w:pPr>
        <w:ind w:left="620" w:hanging="305"/>
        <w:spacing w:after="0" w:line="223"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expenses and charges related to our compensation arrangements with our executives and employees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and charges resulting from litigation</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our effective income tax rate or tax-related benefits or costs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to acquire businesses or integrate our acquired businesses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financing costs</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impairments of our tangible and intangible assets including goodwill</w:t>
      </w: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results of our minority investments and joint ventures</w:t>
      </w:r>
    </w:p>
    <w:p>
      <w:pPr>
        <w:spacing w:after="0" w:line="87" w:lineRule="exact"/>
        <w:rPr>
          <w:sz w:val="20"/>
          <w:szCs w:val="20"/>
          <w:color w:val="auto"/>
        </w:rPr>
      </w:pPr>
    </w:p>
    <w:p>
      <w:pPr>
        <w:ind w:right="20" w:firstLine="623"/>
        <w:spacing w:after="0" w:line="249" w:lineRule="auto"/>
        <w:rPr>
          <w:sz w:val="20"/>
          <w:szCs w:val="20"/>
          <w:color w:val="auto"/>
        </w:rPr>
      </w:pPr>
      <w:r>
        <w:rPr>
          <w:rFonts w:ascii="Arial" w:cs="Arial" w:eastAsia="Arial" w:hAnsi="Arial"/>
          <w:sz w:val="17"/>
          <w:szCs w:val="17"/>
          <w:color w:val="auto"/>
        </w:rPr>
        <w:t>Some of our expenses, such as building leases, depreciation related to previously acquired property and equipment, and personnel costs, are relatively fixed. As a result, we sometimes have been, and may in the future be, unable or unwilling to adjust operating expenses to offset any revenue shortfall. Accordingly, any shortfall in revenue may cause significant variation in operating results in any period. Our operating results have, at times, fallen below the expectations of public market analysts and investors, which has led to declines in the price of our ordinary shares in the past and may do so again in the future.</w:t>
      </w:r>
    </w:p>
    <w:p>
      <w:pPr>
        <w:spacing w:after="0" w:line="193" w:lineRule="exact"/>
        <w:rPr>
          <w:sz w:val="20"/>
          <w:szCs w:val="20"/>
          <w:color w:val="auto"/>
        </w:rPr>
      </w:pPr>
    </w:p>
    <w:p>
      <w:pPr>
        <w:ind w:right="420" w:firstLine="623"/>
        <w:spacing w:after="0" w:line="289" w:lineRule="auto"/>
        <w:rPr>
          <w:sz w:val="20"/>
          <w:szCs w:val="20"/>
          <w:color w:val="auto"/>
        </w:rPr>
      </w:pPr>
      <w:r>
        <w:rPr>
          <w:rFonts w:ascii="Arial" w:cs="Arial" w:eastAsia="Arial" w:hAnsi="Arial"/>
          <w:sz w:val="17"/>
          <w:szCs w:val="17"/>
          <w:b w:val="1"/>
          <w:bCs w:val="1"/>
          <w:i w:val="1"/>
          <w:iCs w:val="1"/>
          <w:color w:val="auto"/>
        </w:rPr>
        <w:t>Our global operations and decentralized organizational structure place a significant strain on our management, employees, facilities, and other resources and subject us to additional risks.</w:t>
      </w:r>
    </w:p>
    <w:p>
      <w:pPr>
        <w:spacing w:after="0" w:line="139" w:lineRule="exact"/>
        <w:rPr>
          <w:sz w:val="20"/>
          <w:szCs w:val="20"/>
          <w:color w:val="auto"/>
        </w:rPr>
      </w:pPr>
    </w:p>
    <w:p>
      <w:pPr>
        <w:ind w:right="100" w:firstLine="623"/>
        <w:spacing w:after="0" w:line="259" w:lineRule="auto"/>
        <w:rPr>
          <w:sz w:val="20"/>
          <w:szCs w:val="20"/>
          <w:color w:val="auto"/>
        </w:rPr>
      </w:pPr>
      <w:r>
        <w:rPr>
          <w:rFonts w:ascii="Arial" w:cs="Arial" w:eastAsia="Arial" w:hAnsi="Arial"/>
          <w:sz w:val="17"/>
          <w:szCs w:val="17"/>
          <w:color w:val="auto"/>
        </w:rPr>
        <w:t>We are a global company with production facilities, offices, employees, and localized websites in many countries across six continents, and we manage our businesses and operations in a decentralized, autonomous manner. We are subject to a number of risks and challenges that relate to our global operations, decentralization, and complexity including, among others:</w:t>
      </w:r>
    </w:p>
    <w:p>
      <w:pPr>
        <w:spacing w:after="0" w:line="55" w:lineRule="exact"/>
        <w:rPr>
          <w:sz w:val="20"/>
          <w:szCs w:val="20"/>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difficulty managing operations in, and communications among, multiple businesses, locations, and time zones</w:t>
      </w:r>
    </w:p>
    <w:p>
      <w:pPr>
        <w:spacing w:after="0" w:line="15" w:lineRule="exact"/>
        <w:rPr>
          <w:rFonts w:ascii="Arial" w:cs="Arial" w:eastAsia="Arial" w:hAnsi="Arial"/>
          <w:sz w:val="17"/>
          <w:szCs w:val="17"/>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challenges of ensuring speed, nimbleness, and entrepreneurialism in a large and complex organization</w:t>
      </w:r>
    </w:p>
    <w:p>
      <w:pPr>
        <w:ind w:left="620" w:right="300" w:hanging="305"/>
        <w:spacing w:after="0" w:line="23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difficulty complying with multiple tax laws, treaties, and regulations and limiting our exposure to onerous or unanticipated taxes, duties, tariffs, and other costs</w:t>
      </w:r>
    </w:p>
    <w:p>
      <w:pPr>
        <w:ind w:left="620" w:right="120" w:hanging="305"/>
        <w:spacing w:after="0" w:line="23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failure to maintain sufficient financial and operational controls and systems to manage our decentralized businesses and comply with our obligations as a public company</w:t>
      </w:r>
    </w:p>
    <w:p>
      <w:pPr>
        <w:ind w:left="620" w:right="260" w:hanging="305"/>
        <w:spacing w:after="0" w:line="233"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challenge of complying with disparate laws in multiple countries, such as local regulations that may impair our ability to conduct our business or impact the willingness of third parties to conduct business with us, protectionist laws that favor local businesses, and restrictions imposed by local labor laws</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challenge of maintaining management's focus on our strategic and operational priorities and minimizing lower priority distractions</w:t>
      </w: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disruptions caused by political and social instability and war that have occurred or may occur in some countries</w:t>
      </w:r>
    </w:p>
    <w:p>
      <w:pPr>
        <w:ind w:left="620" w:hanging="305"/>
        <w:spacing w:after="0" w:line="23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exposure to corrupt business practices that may be common in some countries or in some sales channels and markets, such as bribery or the willful infringement of intellectual property rights</w:t>
      </w: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difficulty repatriating cash from some countries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850" w:right="399" w:bottom="1440" w:gutter="0" w:footer="0" w:header="0"/>
        </w:sectPr>
      </w:pPr>
    </w:p>
    <w:bookmarkStart w:id="48" w:name="page49"/>
    <w:bookmarkEnd w:id="48"/>
    <w:p>
      <w:pPr>
        <w:ind w:left="620" w:right="60" w:hanging="305"/>
        <w:spacing w:after="0" w:line="245"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governmental trade policies, particularly across North America, China and Europe, difficulty importing and exporting our products and supply chain materials across country borders and difficulty complying with customs regulations in the many countries where we produce and/or sell products</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increasing prices, disruptions or cessation of important components of our international supply chain</w:t>
      </w:r>
    </w:p>
    <w:p>
      <w:pPr>
        <w:ind w:left="620" w:hanging="305"/>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failure of local laws to provide a sufficient degree of protection against infringement of our intellectual property</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addition, we are exposed to fluctuations in currency exchange rates that have impacted, and may continue to impact, items such as the</w:t>
      </w:r>
    </w:p>
    <w:p>
      <w:pPr>
        <w:spacing w:after="0" w:line="15"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translation of our revenue and expenses, remeasurement of our intercompany balances, and the value of our cash and cash equivalents and other assets and liabilities denominated in currencies other than the U.S. dollar, our reporting currency. The hedging activities we engage in sometimes</w:t>
      </w:r>
    </w:p>
    <w:p>
      <w:pPr>
        <w:ind w:right="200"/>
        <w:spacing w:after="0" w:line="260" w:lineRule="auto"/>
        <w:rPr>
          <w:sz w:val="20"/>
          <w:szCs w:val="20"/>
          <w:color w:val="auto"/>
        </w:rPr>
      </w:pPr>
      <w:r>
        <w:rPr>
          <w:rFonts w:ascii="Arial" w:cs="Arial" w:eastAsia="Arial" w:hAnsi="Arial"/>
          <w:sz w:val="17"/>
          <w:szCs w:val="17"/>
          <w:color w:val="auto"/>
        </w:rPr>
        <w:t>have not mitigated, and may in the future not mitigate, the net impact of currency exchange rate fluctuations, and our financial results sometimes have differed, and may in the future differ, materially from expectations as a result of such fluctuations.</w:t>
      </w:r>
    </w:p>
    <w:p>
      <w:pPr>
        <w:spacing w:after="0" w:line="183" w:lineRule="exact"/>
        <w:rPr>
          <w:sz w:val="20"/>
          <w:szCs w:val="20"/>
          <w:color w:val="auto"/>
        </w:rPr>
      </w:pPr>
    </w:p>
    <w:p>
      <w:pPr>
        <w:ind w:right="20" w:firstLine="623"/>
        <w:spacing w:after="0" w:line="241" w:lineRule="auto"/>
        <w:rPr>
          <w:sz w:val="20"/>
          <w:szCs w:val="20"/>
          <w:color w:val="auto"/>
        </w:rPr>
      </w:pPr>
      <w:r>
        <w:rPr>
          <w:rFonts w:ascii="Arial" w:cs="Arial" w:eastAsia="Arial" w:hAnsi="Arial"/>
          <w:sz w:val="17"/>
          <w:szCs w:val="17"/>
          <w:color w:val="auto"/>
        </w:rPr>
        <w:t>The trade and tariff situation has been changing frequently, remains in flux and is highly unpredictable. The U.S. presidential administration has announced and/or implemented new and/or increased tariffs on goods imported into the United States, which has generated various trade and tariff-related responses from other countries. Certain of the recent tariffs were imposed pursuant to the International Emergency Economic Powers Act (50 U.S.C. § 1701 et seq.) (IEEPA), and 50 U.S.C. § 1702(b)(3) explicitly precludes the President from regulating the importation of "informational materials" under IEEPA. Any change to the statutory basis upon which the U.S. presidential administration relies for imposing tariffs could materially and adversely impact our financial results if we are unable to rely upon the "informational materials" exclusion for most of our U.S. imported printed products and such products were not otherwise exempt from tariffs under the United States-Mexico-Canada Agreement. Trade-related changes could also adversely affect the availability of the de minimis exemption from import taxes and duties codified in 19 U.S.C. § 1321(a)(2)(C), which currently benefits our business. We own manufacturing facilities throughout the world, including one in Ontario, Canada that</w:t>
      </w:r>
    </w:p>
    <w:p>
      <w:pPr>
        <w:spacing w:after="0" w:line="2"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primarily services our Vista business, and others in Mexico, the United States, Australia, Brazil and throughout Europe. If the United States imposes and enforces significant tariffs applicable to imports from Canada, Mexico, China or any of the other countries in which we manufacture</w:t>
      </w:r>
    </w:p>
    <w:p>
      <w:pPr>
        <w:ind w:right="80"/>
        <w:spacing w:after="0" w:line="242" w:lineRule="auto"/>
        <w:rPr>
          <w:sz w:val="20"/>
          <w:szCs w:val="20"/>
          <w:color w:val="auto"/>
        </w:rPr>
      </w:pPr>
      <w:r>
        <w:rPr>
          <w:rFonts w:ascii="Arial" w:cs="Arial" w:eastAsia="Arial" w:hAnsi="Arial"/>
          <w:sz w:val="17"/>
          <w:szCs w:val="17"/>
          <w:color w:val="auto"/>
        </w:rPr>
        <w:t>our products and/or source materials for any meaningful period, we would incur increased costs in operating our business and our financial results would likely be materially and adversely impacted. In addition, if other countries impose and enforce increased or additional tariffs for any meaningful period, our business would likely be adversely affected. In addition to changes in U.S. trade policy, other changes to U.S. policy may impact, among other things, the U.S. and global economy, international trade relations, unemployment, immigration, healthcare, taxation, the U.S. regulatory environment, inflation and other areas. At this time we cannot predict the impact, if any, of any of these potential changes to our business. Until we know what policy changes are made and enforced and how those changes impact our business and the business of our competitors over the long term, we will not know if, overall, we will benefit from them or be negatively affected by them.</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Supply chain disruptions have impaired, and may in the future impair, our ability to source raw materials.</w:t>
      </w:r>
    </w:p>
    <w:p>
      <w:pPr>
        <w:spacing w:after="0" w:line="103" w:lineRule="exact"/>
        <w:rPr>
          <w:sz w:val="20"/>
          <w:szCs w:val="20"/>
          <w:color w:val="auto"/>
        </w:rPr>
      </w:pPr>
    </w:p>
    <w:p>
      <w:pPr>
        <w:ind w:firstLine="623"/>
        <w:spacing w:after="0" w:line="245" w:lineRule="auto"/>
        <w:rPr>
          <w:sz w:val="20"/>
          <w:szCs w:val="20"/>
          <w:color w:val="auto"/>
        </w:rPr>
      </w:pPr>
      <w:r>
        <w:rPr>
          <w:rFonts w:ascii="Arial" w:cs="Arial" w:eastAsia="Arial" w:hAnsi="Arial"/>
          <w:sz w:val="17"/>
          <w:szCs w:val="17"/>
          <w:color w:val="auto"/>
        </w:rPr>
        <w:t>A number of factors have impacted in the past, and could impact in the future, the availability of materials we use in our business, including rising costs and other inflationary pressures, changes in trade policies such as new or increased tariffs on materials we use in our business, rationing measures, labor shortages, civil unrest and war, and climate change. Our inability to source sufficient materials for our business in a</w:t>
      </w:r>
    </w:p>
    <w:p>
      <w:pPr>
        <w:spacing w:after="0" w:line="1"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timely manner, or at all, would significantly impair our ability to fulfill customer orders and sell our products, which would reduce our revenue and harm our financial results.</w:t>
      </w:r>
    </w:p>
    <w:p>
      <w:pPr>
        <w:spacing w:after="0" w:line="197" w:lineRule="exact"/>
        <w:rPr>
          <w:sz w:val="20"/>
          <w:szCs w:val="20"/>
          <w:color w:val="auto"/>
        </w:rPr>
      </w:pPr>
    </w:p>
    <w:p>
      <w:pPr>
        <w:ind w:right="120" w:firstLine="623"/>
        <w:spacing w:after="0" w:line="289" w:lineRule="auto"/>
        <w:rPr>
          <w:sz w:val="20"/>
          <w:szCs w:val="20"/>
          <w:color w:val="auto"/>
        </w:rPr>
      </w:pPr>
      <w:r>
        <w:rPr>
          <w:rFonts w:ascii="Arial" w:cs="Arial" w:eastAsia="Arial" w:hAnsi="Arial"/>
          <w:sz w:val="17"/>
          <w:szCs w:val="17"/>
          <w:b w:val="1"/>
          <w:bCs w:val="1"/>
          <w:i w:val="1"/>
          <w:iCs w:val="1"/>
          <w:color w:val="auto"/>
        </w:rPr>
        <w:t>Changes in tax laws, regulations and treaties have affected, and may in the future affect, our effective tax rate and our results of operations.</w:t>
      </w:r>
    </w:p>
    <w:p>
      <w:pPr>
        <w:spacing w:after="0" w:line="22" w:lineRule="exact"/>
        <w:rPr>
          <w:sz w:val="20"/>
          <w:szCs w:val="20"/>
          <w:color w:val="auto"/>
        </w:rPr>
      </w:pPr>
    </w:p>
    <w:p>
      <w:pPr>
        <w:ind w:right="60" w:firstLine="623"/>
        <w:spacing w:after="0" w:line="244" w:lineRule="auto"/>
        <w:rPr>
          <w:sz w:val="20"/>
          <w:szCs w:val="20"/>
          <w:color w:val="auto"/>
        </w:rPr>
      </w:pPr>
      <w:r>
        <w:rPr>
          <w:rFonts w:ascii="Arial" w:cs="Arial" w:eastAsia="Arial" w:hAnsi="Arial"/>
          <w:sz w:val="17"/>
          <w:szCs w:val="17"/>
          <w:color w:val="auto"/>
        </w:rPr>
        <w:t>Changes in tax laws, treaties or regulations, or their interpretation, of any country in which we operate could have a materially adverse impact on us, including increasing our tax burden, increasing costs of our tax compliance, or otherwise adversely affecting our financial condition, results of operations, and cash flows. There are currently multiple initiatives for comprehensive tax reform underway in key jurisdictions where we have operations, and we cannot predict whether any other specific legislation will be enacted or the terms of any such legislation. Furthermore, with the change in the U.S. presidential administration and composition of the U.S. Congress, the administration may make changes to U.S. tax law, regulations, treaties and policies. Although we cannot predict the impact, if any, of these changes to our business, they could adversely affect our business. In addition, the application of sales, value added, or other consumption taxes to e-commerce businesses, such as Cimpress, is a complex and evolving issue. When and if a government entity claims that we should have been collecting such taxes on the sale of our products in a jurisdiction where we have not been doing so, we have incurred, and may in the future incur, substantial tax liabilities for past sales.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9" w:name="page50"/>
    <w:bookmarkEnd w:id="49"/>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48" w:lineRule="exact"/>
        <w:rPr>
          <w:sz w:val="20"/>
          <w:szCs w:val="20"/>
          <w:color w:val="auto"/>
        </w:rPr>
      </w:pPr>
    </w:p>
    <w:p>
      <w:pPr>
        <w:ind w:firstLine="192"/>
        <w:spacing w:after="0" w:line="268" w:lineRule="auto"/>
        <w:rPr>
          <w:sz w:val="20"/>
          <w:szCs w:val="20"/>
          <w:color w:val="auto"/>
        </w:rPr>
      </w:pPr>
      <w:r>
        <w:rPr>
          <w:rFonts w:ascii="Arial" w:cs="Arial" w:eastAsia="Arial" w:hAnsi="Arial"/>
          <w:sz w:val="17"/>
          <w:szCs w:val="17"/>
          <w:color w:val="auto"/>
        </w:rPr>
        <w:t>On May 29, 2024, we announced that our Board had authorized the repurchase of up to an additional $200.0 million aggregate purchase price (excluding any fees, commissions, or other expenses of such purchases) of Cimpress' issued and outstanding ordinary shares on the open market, through privately negotiated transactions, or in one or more self tender offers. The Board did not set an expiration date for this new repurchase program, and we may suspend or discontinue our share repurchases at any time.</w:t>
      </w:r>
    </w:p>
    <w:p>
      <w:pPr>
        <w:spacing w:after="0" w:line="191" w:lineRule="exact"/>
        <w:rPr>
          <w:sz w:val="20"/>
          <w:szCs w:val="20"/>
          <w:color w:val="auto"/>
        </w:rPr>
      </w:pPr>
    </w:p>
    <w:p>
      <w:pPr>
        <w:ind w:right="460" w:firstLine="623"/>
        <w:spacing w:after="0" w:line="278" w:lineRule="auto"/>
        <w:rPr>
          <w:sz w:val="20"/>
          <w:szCs w:val="20"/>
          <w:color w:val="auto"/>
        </w:rPr>
      </w:pPr>
      <w:r>
        <w:rPr>
          <w:rFonts w:ascii="Arial" w:cs="Arial" w:eastAsia="Arial" w:hAnsi="Arial"/>
          <w:sz w:val="17"/>
          <w:szCs w:val="17"/>
          <w:color w:val="auto"/>
        </w:rPr>
        <w:t>The following table outlines the repurchase of our ordinary shares during the three months ended March 31, 2025 under the program described above:</w:t>
      </w:r>
    </w:p>
    <w:tbl>
      <w:tblPr>
        <w:tblLayout w:type="fixed"/>
        <w:tblInd w:w="0" w:type="dxa"/>
        <w:tblCellMar>
          <w:top w:w="0" w:type="dxa"/>
          <w:left w:w="0" w:type="dxa"/>
          <w:bottom w:w="0" w:type="dxa"/>
          <w:right w:w="0" w:type="dxa"/>
        </w:tblCellMar>
      </w:tblPr>
      <w:tr>
        <w:trPr>
          <w:trHeight w:val="130"/>
        </w:trPr>
        <w:tc>
          <w:tcPr>
            <w:tcW w:w="44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rPr>
              <w:t>Total Number of Shares</w:t>
            </w:r>
          </w:p>
        </w:tc>
        <w:tc>
          <w:tcPr>
            <w:tcW w:w="1620" w:type="dxa"/>
            <w:vAlign w:val="bottom"/>
            <w:gridSpan w:val="2"/>
          </w:tcPr>
          <w:p>
            <w:pPr>
              <w:jc w:val="right"/>
              <w:ind w:right="10"/>
              <w:spacing w:after="0" w:line="130" w:lineRule="exact"/>
              <w:rPr>
                <w:sz w:val="20"/>
                <w:szCs w:val="20"/>
                <w:color w:val="auto"/>
              </w:rPr>
            </w:pPr>
            <w:r>
              <w:rPr>
                <w:rFonts w:ascii="Arial" w:cs="Arial" w:eastAsia="Arial" w:hAnsi="Arial"/>
                <w:sz w:val="12"/>
                <w:szCs w:val="12"/>
                <w:b w:val="1"/>
                <w:bCs w:val="1"/>
                <w:color w:val="auto"/>
              </w:rPr>
              <w:t>Approximate Dollar Value</w:t>
            </w: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620" w:type="dxa"/>
            <w:vAlign w:val="bottom"/>
            <w:gridSpan w:val="2"/>
          </w:tcPr>
          <w:p>
            <w:pPr>
              <w:jc w:val="right"/>
              <w:ind w:right="10"/>
              <w:spacing w:after="0" w:line="122" w:lineRule="exact"/>
              <w:rPr>
                <w:sz w:val="20"/>
                <w:szCs w:val="20"/>
                <w:color w:val="auto"/>
              </w:rPr>
            </w:pPr>
            <w:r>
              <w:rPr>
                <w:rFonts w:ascii="Arial" w:cs="Arial" w:eastAsia="Arial" w:hAnsi="Arial"/>
                <w:sz w:val="12"/>
                <w:szCs w:val="12"/>
                <w:b w:val="1"/>
                <w:bCs w:val="1"/>
                <w:color w:val="auto"/>
              </w:rPr>
              <w:t>of Shares that May Yet be</w:t>
            </w:r>
          </w:p>
        </w:tc>
        <w:tc>
          <w:tcPr>
            <w:tcW w:w="0" w:type="dxa"/>
            <w:vAlign w:val="bottom"/>
          </w:tcPr>
          <w:p>
            <w:pPr>
              <w:spacing w:after="0"/>
              <w:rPr>
                <w:sz w:val="1"/>
                <w:szCs w:val="1"/>
                <w:color w:val="auto"/>
              </w:rPr>
            </w:pPr>
          </w:p>
        </w:tc>
      </w:tr>
      <w:tr>
        <w:trPr>
          <w:trHeight w:val="130"/>
        </w:trPr>
        <w:tc>
          <w:tcPr>
            <w:tcW w:w="4480" w:type="dxa"/>
            <w:vAlign w:val="bottom"/>
          </w:tcPr>
          <w:p>
            <w:pPr>
              <w:spacing w:after="0"/>
              <w:rPr>
                <w:sz w:val="11"/>
                <w:szCs w:val="11"/>
                <w:color w:val="auto"/>
              </w:rPr>
            </w:pPr>
          </w:p>
        </w:tc>
        <w:tc>
          <w:tcPr>
            <w:tcW w:w="168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rPr>
              <w:t>Total Number of Shares</w:t>
            </w:r>
          </w:p>
        </w:tc>
        <w:tc>
          <w:tcPr>
            <w:tcW w:w="120" w:type="dxa"/>
            <w:vAlign w:val="bottom"/>
          </w:tcPr>
          <w:p>
            <w:pPr>
              <w:spacing w:after="0"/>
              <w:rPr>
                <w:sz w:val="11"/>
                <w:szCs w:val="11"/>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rPr>
              <w:t>Average Price Paid Per</w:t>
            </w:r>
          </w:p>
        </w:tc>
        <w:tc>
          <w:tcPr>
            <w:tcW w:w="17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rPr>
              <w:t>Purchased as Part of a</w:t>
            </w:r>
          </w:p>
        </w:tc>
        <w:tc>
          <w:tcPr>
            <w:tcW w:w="160" w:type="dxa"/>
            <w:vAlign w:val="bottom"/>
          </w:tcPr>
          <w:p>
            <w:pPr>
              <w:spacing w:after="0"/>
              <w:rPr>
                <w:sz w:val="11"/>
                <w:szCs w:val="11"/>
                <w:color w:val="auto"/>
              </w:rPr>
            </w:pPr>
          </w:p>
        </w:tc>
        <w:tc>
          <w:tcPr>
            <w:tcW w:w="1460" w:type="dxa"/>
            <w:vAlign w:val="bottom"/>
          </w:tcPr>
          <w:p>
            <w:pPr>
              <w:jc w:val="center"/>
              <w:ind w:right="90"/>
              <w:spacing w:after="0" w:line="130" w:lineRule="exact"/>
              <w:rPr>
                <w:sz w:val="20"/>
                <w:szCs w:val="20"/>
                <w:color w:val="auto"/>
              </w:rPr>
            </w:pPr>
            <w:r>
              <w:rPr>
                <w:rFonts w:ascii="Arial" w:cs="Arial" w:eastAsia="Arial" w:hAnsi="Arial"/>
                <w:sz w:val="12"/>
                <w:szCs w:val="12"/>
                <w:b w:val="1"/>
                <w:bCs w:val="1"/>
                <w:color w:val="auto"/>
              </w:rPr>
              <w:t>Purchased Under the</w:t>
            </w:r>
          </w:p>
        </w:tc>
        <w:tc>
          <w:tcPr>
            <w:tcW w:w="0" w:type="dxa"/>
            <w:vAlign w:val="bottom"/>
          </w:tcPr>
          <w:p>
            <w:pPr>
              <w:spacing w:after="0"/>
              <w:rPr>
                <w:sz w:val="1"/>
                <w:szCs w:val="1"/>
                <w:color w:val="auto"/>
              </w:rPr>
            </w:pPr>
          </w:p>
        </w:tc>
      </w:tr>
      <w:tr>
        <w:trPr>
          <w:trHeight w:val="117"/>
        </w:trPr>
        <w:tc>
          <w:tcPr>
            <w:tcW w:w="448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rPr>
              <w:t>Publicly Announced</w:t>
            </w:r>
          </w:p>
        </w:tc>
        <w:tc>
          <w:tcPr>
            <w:tcW w:w="160" w:type="dxa"/>
            <w:vAlign w:val="bottom"/>
          </w:tcPr>
          <w:p>
            <w:pPr>
              <w:spacing w:after="0"/>
              <w:rPr>
                <w:sz w:val="10"/>
                <w:szCs w:val="10"/>
                <w:color w:val="auto"/>
              </w:rPr>
            </w:pPr>
          </w:p>
        </w:tc>
        <w:tc>
          <w:tcPr>
            <w:tcW w:w="1460" w:type="dxa"/>
            <w:vAlign w:val="bottom"/>
          </w:tcPr>
          <w:p>
            <w:pPr>
              <w:jc w:val="center"/>
              <w:ind w:right="90"/>
              <w:spacing w:after="0" w:line="117" w:lineRule="exact"/>
              <w:rPr>
                <w:sz w:val="20"/>
                <w:szCs w:val="20"/>
                <w:color w:val="auto"/>
              </w:rPr>
            </w:pPr>
            <w:r>
              <w:rPr>
                <w:rFonts w:ascii="Arial" w:cs="Arial" w:eastAsia="Arial" w:hAnsi="Arial"/>
                <w:sz w:val="12"/>
                <w:szCs w:val="12"/>
                <w:b w:val="1"/>
                <w:bCs w:val="1"/>
                <w:color w:val="auto"/>
              </w:rPr>
              <w:t>Program</w:t>
            </w:r>
          </w:p>
        </w:tc>
        <w:tc>
          <w:tcPr>
            <w:tcW w:w="0" w:type="dxa"/>
            <w:vAlign w:val="bottom"/>
          </w:tcPr>
          <w:p>
            <w:pPr>
              <w:spacing w:after="0"/>
              <w:rPr>
                <w:sz w:val="1"/>
                <w:szCs w:val="1"/>
                <w:color w:val="auto"/>
              </w:rPr>
            </w:pPr>
          </w:p>
        </w:tc>
      </w:tr>
      <w:tr>
        <w:trPr>
          <w:trHeight w:val="167"/>
        </w:trPr>
        <w:tc>
          <w:tcPr>
            <w:tcW w:w="448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Purchased</w:t>
            </w:r>
          </w:p>
        </w:tc>
        <w:tc>
          <w:tcPr>
            <w:tcW w:w="1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Share</w:t>
            </w:r>
          </w:p>
        </w:tc>
        <w:tc>
          <w:tcPr>
            <w:tcW w:w="1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7"/>
              </w:rPr>
              <w:t>Program</w:t>
            </w:r>
          </w:p>
        </w:tc>
        <w:tc>
          <w:tcPr>
            <w:tcW w:w="160" w:type="dxa"/>
            <w:vAlign w:val="bottom"/>
          </w:tcPr>
          <w:p>
            <w:pPr>
              <w:spacing w:after="0"/>
              <w:rPr>
                <w:sz w:val="14"/>
                <w:szCs w:val="14"/>
                <w:color w:val="auto"/>
              </w:rPr>
            </w:pPr>
          </w:p>
        </w:tc>
        <w:tc>
          <w:tcPr>
            <w:tcW w:w="1460" w:type="dxa"/>
            <w:vAlign w:val="bottom"/>
          </w:tcPr>
          <w:p>
            <w:pPr>
              <w:jc w:val="center"/>
              <w:ind w:right="11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January 1, 2025 through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6"/>
                <w:szCs w:val="16"/>
                <w:color w:val="auto"/>
              </w:rPr>
              <w:t>57,474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Arial" w:cs="Arial" w:eastAsia="Arial" w:hAnsi="Arial"/>
                <w:sz w:val="16"/>
                <w:szCs w:val="16"/>
                <w:color w:val="auto"/>
              </w:rPr>
              <w:t>February 1, 2025 through February 28, 2025</w:t>
            </w: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60" w:type="dxa"/>
            <w:vAlign w:val="bottom"/>
          </w:tcPr>
          <w:p>
            <w:pPr>
              <w:jc w:val="right"/>
              <w:ind w:right="1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1, 2025 through March 31, 2025</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68.66</w:t>
            </w:r>
          </w:p>
        </w:tc>
        <w:tc>
          <w:tcPr>
            <w:tcW w:w="1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6"/>
                <w:szCs w:val="16"/>
                <w:color w:val="auto"/>
              </w:rPr>
              <w:t>57,474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6"/>
                <w:szCs w:val="16"/>
                <w:color w:val="auto"/>
              </w:rPr>
              <w:t>136.1</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 and Financial Statement Schedules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40" w:type="dxa"/>
            <w:vAlign w:val="bottom"/>
          </w:tcPr>
          <w:p>
            <w:pPr>
              <w:spacing w:after="0"/>
              <w:rPr>
                <w:sz w:val="14"/>
                <w:szCs w:val="14"/>
                <w:color w:val="auto"/>
              </w:rPr>
            </w:pPr>
          </w:p>
        </w:tc>
        <w:tc>
          <w:tcPr>
            <w:tcW w:w="8340" w:type="dxa"/>
            <w:vAlign w:val="bottom"/>
            <w:gridSpan w:val="4"/>
            <w:vMerge w:val="restart"/>
          </w:tcPr>
          <w:p>
            <w:pPr>
              <w:ind w:left="2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840" w:type="dxa"/>
            <w:vAlign w:val="bottom"/>
          </w:tcPr>
          <w:p>
            <w:pPr>
              <w:spacing w:after="0"/>
              <w:rPr>
                <w:sz w:val="15"/>
                <w:szCs w:val="15"/>
                <w:color w:val="auto"/>
              </w:rPr>
            </w:pPr>
          </w:p>
        </w:tc>
        <w:tc>
          <w:tcPr>
            <w:tcW w:w="8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60" w:type="dxa"/>
            <w:vAlign w:val="bottom"/>
          </w:tcPr>
          <w:p>
            <w:pPr>
              <w:spacing w:after="0" w:line="168" w:lineRule="exact"/>
              <w:rPr>
                <w:sz w:val="20"/>
                <w:szCs w:val="20"/>
                <w:color w:val="auto"/>
              </w:rPr>
            </w:pPr>
            <w:r>
              <w:rPr>
                <w:rFonts w:ascii="Arial" w:cs="Arial" w:eastAsia="Arial" w:hAnsi="Arial"/>
                <w:sz w:val="16"/>
                <w:szCs w:val="16"/>
                <w:color w:val="auto"/>
              </w:rPr>
              <w:t>31.1</w:t>
            </w:r>
          </w:p>
        </w:tc>
        <w:tc>
          <w:tcPr>
            <w:tcW w:w="8660" w:type="dxa"/>
            <w:vAlign w:val="bottom"/>
            <w:tcBorders>
              <w:bottom w:val="single" w:sz="8" w:color="0000FF"/>
            </w:tcBorders>
            <w:gridSpan w:val="3"/>
          </w:tcPr>
          <w:p>
            <w:pPr>
              <w:spacing w:after="0" w:line="168" w:lineRule="exact"/>
              <w:rPr>
                <w:sz w:val="20"/>
                <w:szCs w:val="20"/>
                <w:color w:val="auto"/>
              </w:rPr>
            </w:pPr>
            <w:r>
              <w:rPr>
                <w:rFonts w:ascii="Arial" w:cs="Arial" w:eastAsia="Arial" w:hAnsi="Arial"/>
                <w:sz w:val="16"/>
                <w:szCs w:val="16"/>
                <w:color w:val="0000FF"/>
                <w:w w:val="97"/>
              </w:rPr>
              <w:t>Certification pursuant to Section 302 of the Sarbanes-Oxley Act of 2002, Rule 13a-14(a)/15d-14(a), by Chief Executive Officer</w:t>
            </w:r>
          </w:p>
        </w:tc>
        <w:tc>
          <w:tcPr>
            <w:tcW w:w="1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10180" w:type="dxa"/>
            <w:vAlign w:val="bottom"/>
            <w:gridSpan w:val="5"/>
          </w:tcPr>
          <w:p>
            <w:pPr>
              <w:spacing w:after="0"/>
              <w:rPr>
                <w:sz w:val="20"/>
                <w:szCs w:val="20"/>
                <w:color w:val="auto"/>
              </w:rPr>
            </w:pPr>
            <w:r>
              <w:rPr>
                <w:rFonts w:ascii="Arial" w:cs="Arial" w:eastAsia="Arial" w:hAnsi="Arial"/>
                <w:sz w:val="16"/>
                <w:szCs w:val="16"/>
                <w:color w:val="0000FF"/>
              </w:rPr>
              <w:t>Certification pursuant to Section 302 of the Sarbanes-Oxley Act of 2002, Rule 13a-14(a)/15d-14(a), by Chief Financial Officer</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76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10180" w:type="dxa"/>
            <w:vAlign w:val="bottom"/>
            <w:gridSpan w:val="5"/>
          </w:tcPr>
          <w:p>
            <w:pPr>
              <w:spacing w:after="0"/>
              <w:rPr>
                <w:sz w:val="20"/>
                <w:szCs w:val="20"/>
                <w:color w:val="auto"/>
              </w:rPr>
            </w:pPr>
            <w:r>
              <w:rPr>
                <w:rFonts w:ascii="Arial" w:cs="Arial" w:eastAsia="Arial" w:hAnsi="Arial"/>
                <w:sz w:val="16"/>
                <w:szCs w:val="16"/>
                <w:color w:val="0000FF"/>
                <w:w w:val="97"/>
              </w:rPr>
              <w:t>Certification pursuant to 18 U.S.C. Section 1350, as adopted pursuant to Section 906 of the Sarbanes-Oxley Act of 2002, by Chief Executive Officer</w:t>
            </w: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1840" w:type="dxa"/>
            <w:vAlign w:val="bottom"/>
            <w:tcBorders>
              <w:top w:val="single" w:sz="8" w:color="0000FF"/>
              <w:bottom w:val="single" w:sz="8" w:color="0000FF"/>
            </w:tcBorders>
          </w:tcPr>
          <w:p>
            <w:pPr>
              <w:spacing w:after="0" w:line="136" w:lineRule="exact"/>
              <w:rPr>
                <w:sz w:val="20"/>
                <w:szCs w:val="20"/>
                <w:color w:val="auto"/>
              </w:rPr>
            </w:pPr>
            <w:r>
              <w:rPr>
                <w:rFonts w:ascii="Arial" w:cs="Arial" w:eastAsia="Arial" w:hAnsi="Arial"/>
                <w:sz w:val="14"/>
                <w:szCs w:val="14"/>
                <w:color w:val="0000FF"/>
              </w:rPr>
              <w:t>and Chief Financial Officer</w:t>
            </w:r>
          </w:p>
        </w:tc>
        <w:tc>
          <w:tcPr>
            <w:tcW w:w="832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50" w:name="page51"/>
    <w:bookmarkEnd w:id="50"/>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131" w:lineRule="exact"/>
        <w:rPr>
          <w:sz w:val="20"/>
          <w:szCs w:val="20"/>
          <w:color w:val="auto"/>
        </w:rPr>
      </w:pPr>
    </w:p>
    <w:p>
      <w:pPr>
        <w:ind w:firstLine="623"/>
        <w:spacing w:after="0" w:line="29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8" w:lineRule="exact"/>
        <w:rPr>
          <w:sz w:val="20"/>
          <w:szCs w:val="20"/>
          <w:color w:val="auto"/>
        </w:rPr>
      </w:pPr>
    </w:p>
    <w:p>
      <w:pPr>
        <w:spacing w:after="0"/>
        <w:tabs>
          <w:tab w:leader="none" w:pos="2140" w:val="left"/>
        </w:tabs>
        <w:rPr>
          <w:sz w:val="20"/>
          <w:szCs w:val="20"/>
          <w:color w:val="auto"/>
        </w:rPr>
      </w:pPr>
      <w:r>
        <w:rPr>
          <w:rFonts w:ascii="Arial" w:cs="Arial" w:eastAsia="Arial" w:hAnsi="Arial"/>
          <w:sz w:val="17"/>
          <w:szCs w:val="17"/>
          <w:color w:val="auto"/>
        </w:rPr>
        <w:t>May 1, 2025</w:t>
      </w:r>
      <w:r>
        <w:rPr>
          <w:sz w:val="20"/>
          <w:szCs w:val="20"/>
          <w:color w:val="auto"/>
        </w:rPr>
        <w:tab/>
      </w:r>
      <w:r>
        <w:rPr>
          <w:rFonts w:ascii="Arial" w:cs="Arial" w:eastAsia="Arial" w:hAnsi="Arial"/>
          <w:sz w:val="17"/>
          <w:szCs w:val="17"/>
          <w:color w:val="auto"/>
        </w:rPr>
        <w:t>Cimpress plc</w:t>
      </w:r>
    </w:p>
    <w:p>
      <w:pPr>
        <w:spacing w:after="0" w:line="363" w:lineRule="exact"/>
        <w:rPr>
          <w:sz w:val="20"/>
          <w:szCs w:val="20"/>
          <w:color w:val="auto"/>
        </w:rPr>
      </w:pPr>
    </w:p>
    <w:p>
      <w:pPr>
        <w:ind w:left="5500"/>
        <w:spacing w:after="0"/>
        <w:tabs>
          <w:tab w:leader="none" w:pos="79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18415</wp:posOffset>
            </wp:positionV>
            <wp:extent cx="3296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96920" cy="8255"/>
                    </a:xfrm>
                    <a:prstGeom prst="rect">
                      <a:avLst/>
                    </a:prstGeom>
                    <a:noFill/>
                  </pic:spPr>
                </pic:pic>
              </a:graphicData>
            </a:graphic>
          </wp:anchor>
        </w:drawing>
      </w:r>
    </w:p>
    <w:p>
      <w:pPr>
        <w:spacing w:after="0" w:line="2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Chief Financial Officer</w:t>
      </w:r>
    </w:p>
    <w:p>
      <w:pPr>
        <w:spacing w:after="0" w:line="34"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080"/>
          </w:cols>
          <w:pgMar w:left="320" w:top="1068" w:right="49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31.1</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 Robert S. Keane, certify that:</w:t>
      </w:r>
    </w:p>
    <w:p>
      <w:pPr>
        <w:spacing w:after="0" w:line="116" w:lineRule="exact"/>
        <w:rPr>
          <w:sz w:val="20"/>
          <w:szCs w:val="20"/>
          <w:color w:val="auto"/>
        </w:rPr>
      </w:pPr>
    </w:p>
    <w:p>
      <w:pPr>
        <w:ind w:left="620" w:hanging="305"/>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90" w:lineRule="exact"/>
        <w:rPr>
          <w:rFonts w:ascii="Arial" w:cs="Arial" w:eastAsia="Arial" w:hAnsi="Arial"/>
          <w:sz w:val="17"/>
          <w:szCs w:val="17"/>
          <w:color w:val="auto"/>
        </w:rPr>
      </w:pPr>
    </w:p>
    <w:p>
      <w:pPr>
        <w:ind w:left="620" w:right="200" w:hanging="305"/>
        <w:spacing w:after="0" w:line="243"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20" w:right="260" w:hanging="305"/>
        <w:spacing w:after="0" w:line="224"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74"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2" w:lineRule="exact"/>
        <w:rPr>
          <w:rFonts w:ascii="Arial" w:cs="Arial" w:eastAsia="Arial" w:hAnsi="Arial"/>
          <w:sz w:val="17"/>
          <w:szCs w:val="17"/>
          <w:color w:val="auto"/>
        </w:rPr>
      </w:pPr>
    </w:p>
    <w:p>
      <w:pPr>
        <w:ind w:left="1240" w:right="440" w:hanging="302"/>
        <w:spacing w:after="0" w:line="24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7"/>
          <w:szCs w:val="17"/>
          <w:color w:val="auto"/>
        </w:rPr>
      </w:pPr>
    </w:p>
    <w:p>
      <w:pPr>
        <w:ind w:left="1240" w:right="20" w:hanging="302"/>
        <w:spacing w:after="0" w:line="243" w:lineRule="auto"/>
        <w:tabs>
          <w:tab w:leader="none" w:pos="1232"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Arial" w:cs="Arial" w:eastAsia="Arial" w:hAnsi="Arial"/>
          <w:sz w:val="17"/>
          <w:szCs w:val="17"/>
          <w:color w:val="auto"/>
        </w:rPr>
      </w:pPr>
    </w:p>
    <w:p>
      <w:pPr>
        <w:ind w:left="1240" w:right="300" w:hanging="302"/>
        <w:spacing w:after="0" w:line="263" w:lineRule="auto"/>
        <w:tabs>
          <w:tab w:leader="none" w:pos="12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Date: May 1, 2025</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S. Keane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17062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Robert S. Keane</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136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 Sean E. Quinn, certify that:</w:t>
      </w:r>
    </w:p>
    <w:p>
      <w:pPr>
        <w:spacing w:after="0" w:line="87" w:lineRule="exact"/>
        <w:rPr>
          <w:sz w:val="20"/>
          <w:szCs w:val="20"/>
          <w:color w:val="auto"/>
        </w:rPr>
      </w:pPr>
    </w:p>
    <w:p>
      <w:pPr>
        <w:ind w:left="620" w:hanging="305"/>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Cimpress plc;</w:t>
      </w:r>
    </w:p>
    <w:p>
      <w:pPr>
        <w:spacing w:after="0" w:line="103" w:lineRule="exact"/>
        <w:rPr>
          <w:rFonts w:ascii="Arial" w:cs="Arial" w:eastAsia="Arial" w:hAnsi="Arial"/>
          <w:sz w:val="17"/>
          <w:szCs w:val="17"/>
          <w:color w:val="auto"/>
        </w:rPr>
      </w:pPr>
    </w:p>
    <w:p>
      <w:pPr>
        <w:ind w:left="620" w:right="200" w:hanging="305"/>
        <w:spacing w:after="0" w:line="236"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20" w:right="280" w:hanging="305"/>
        <w:spacing w:after="0" w:line="263"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ind w:left="620" w:right="260" w:hanging="305"/>
        <w:spacing w:after="0" w:line="232"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61" w:lineRule="exact"/>
        <w:rPr>
          <w:rFonts w:ascii="Arial" w:cs="Arial" w:eastAsia="Arial" w:hAnsi="Arial"/>
          <w:sz w:val="17"/>
          <w:szCs w:val="17"/>
          <w:color w:val="auto"/>
        </w:rPr>
      </w:pPr>
    </w:p>
    <w:p>
      <w:pPr>
        <w:jc w:val="both"/>
        <w:ind w:left="1240" w:right="100" w:hanging="302"/>
        <w:spacing w:after="0" w:line="243"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5" w:lineRule="exact"/>
        <w:rPr>
          <w:rFonts w:ascii="Arial" w:cs="Arial" w:eastAsia="Arial" w:hAnsi="Arial"/>
          <w:sz w:val="17"/>
          <w:szCs w:val="17"/>
          <w:color w:val="auto"/>
        </w:rPr>
      </w:pPr>
    </w:p>
    <w:p>
      <w:pPr>
        <w:ind w:left="1240" w:right="440" w:hanging="302"/>
        <w:spacing w:after="0" w:line="236"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240" w:right="20" w:hanging="302"/>
        <w:spacing w:after="0" w:line="236" w:lineRule="auto"/>
        <w:tabs>
          <w:tab w:leader="none" w:pos="1232"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7"/>
          <w:szCs w:val="17"/>
          <w:color w:val="auto"/>
        </w:rPr>
      </w:pPr>
    </w:p>
    <w:p>
      <w:pPr>
        <w:ind w:left="1240" w:right="200" w:hanging="302"/>
        <w:spacing w:after="0" w:line="236"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7"/>
          <w:szCs w:val="17"/>
          <w:color w:val="auto"/>
        </w:rPr>
      </w:pPr>
    </w:p>
    <w:p>
      <w:pPr>
        <w:ind w:left="620" w:right="260" w:hanging="305"/>
        <w:spacing w:after="0" w:line="236"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rFonts w:ascii="Arial" w:cs="Arial" w:eastAsia="Arial" w:hAnsi="Arial"/>
          <w:sz w:val="17"/>
          <w:szCs w:val="17"/>
          <w:color w:val="auto"/>
        </w:rPr>
      </w:pPr>
    </w:p>
    <w:p>
      <w:pPr>
        <w:ind w:left="1240" w:right="80" w:hanging="302"/>
        <w:spacing w:after="0" w:line="263"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40" w:right="300" w:hanging="302"/>
        <w:spacing w:after="0" w:line="247" w:lineRule="auto"/>
        <w:tabs>
          <w:tab w:leader="none" w:pos="1229"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May 1, 2025</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18415</wp:posOffset>
            </wp:positionV>
            <wp:extent cx="17062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062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Sean E. Quinn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136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4" w:lineRule="exact"/>
        <w:rPr>
          <w:sz w:val="20"/>
          <w:szCs w:val="20"/>
          <w:color w:val="auto"/>
        </w:rPr>
      </w:pPr>
    </w:p>
    <w:p>
      <w:pPr>
        <w:ind w:right="200" w:firstLine="709"/>
        <w:spacing w:after="0" w:line="232" w:lineRule="auto"/>
        <w:rPr>
          <w:sz w:val="20"/>
          <w:szCs w:val="20"/>
          <w:color w:val="auto"/>
        </w:rPr>
      </w:pPr>
      <w:r>
        <w:rPr>
          <w:rFonts w:ascii="Arial" w:cs="Arial" w:eastAsia="Arial" w:hAnsi="Arial"/>
          <w:sz w:val="17"/>
          <w:szCs w:val="17"/>
          <w:color w:val="auto"/>
        </w:rPr>
        <w:t>In connection with the Quarterly Report on Form 10-Q of Cimpress plc (the “Company”) for the quarter ended March 31, 2025 as filed with the Securities and Exchange Commission on the date hereof (the “Report”), the undersigned, Robert S. Keane, Chief Executive Officer, and</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Sean E. Quinn, Chief Financial Officer, of the Company, each hereby certifies, pursuant to 18 U.S.C. Section 1350, that, to his knowledge on the date hereof:</w:t>
      </w:r>
    </w:p>
    <w:p>
      <w:pPr>
        <w:spacing w:after="0" w:line="57" w:lineRule="exact"/>
        <w:rPr>
          <w:sz w:val="20"/>
          <w:szCs w:val="20"/>
          <w:color w:val="auto"/>
        </w:rPr>
      </w:pPr>
    </w:p>
    <w:p>
      <w:pPr>
        <w:ind w:left="620" w:hanging="30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0" w:lineRule="exact"/>
        <w:rPr>
          <w:rFonts w:ascii="Arial" w:cs="Arial" w:eastAsia="Arial" w:hAnsi="Arial"/>
          <w:sz w:val="17"/>
          <w:szCs w:val="17"/>
          <w:color w:val="auto"/>
        </w:rPr>
      </w:pPr>
    </w:p>
    <w:p>
      <w:pPr>
        <w:ind w:left="620" w:right="460" w:hanging="305"/>
        <w:spacing w:after="0" w:line="263" w:lineRule="auto"/>
        <w:tabs>
          <w:tab w:leader="none" w:pos="6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224"/>
        </w:trPr>
        <w:tc>
          <w:tcPr>
            <w:tcW w:w="8160" w:type="dxa"/>
            <w:vAlign w:val="bottom"/>
          </w:tcPr>
          <w:p>
            <w:pPr>
              <w:spacing w:after="0"/>
              <w:rPr>
                <w:sz w:val="20"/>
                <w:szCs w:val="20"/>
                <w:color w:val="auto"/>
              </w:rPr>
            </w:pPr>
            <w:r>
              <w:rPr>
                <w:rFonts w:ascii="Arial" w:cs="Arial" w:eastAsia="Arial" w:hAnsi="Arial"/>
                <w:sz w:val="17"/>
                <w:szCs w:val="17"/>
                <w:color w:val="auto"/>
              </w:rPr>
              <w:t>Date: May 1,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Robert S. Keane</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Robert S. Keane</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Executive Officer</w:t>
            </w:r>
          </w:p>
        </w:tc>
      </w:tr>
      <w:tr>
        <w:trPr>
          <w:trHeight w:val="781"/>
        </w:trPr>
        <w:tc>
          <w:tcPr>
            <w:tcW w:w="8160" w:type="dxa"/>
            <w:vAlign w:val="bottom"/>
          </w:tcPr>
          <w:p>
            <w:pPr>
              <w:spacing w:after="0"/>
              <w:rPr>
                <w:sz w:val="20"/>
                <w:szCs w:val="20"/>
                <w:color w:val="auto"/>
              </w:rPr>
            </w:pPr>
            <w:r>
              <w:rPr>
                <w:rFonts w:ascii="Arial" w:cs="Arial" w:eastAsia="Arial" w:hAnsi="Arial"/>
                <w:sz w:val="17"/>
                <w:szCs w:val="17"/>
                <w:color w:val="auto"/>
              </w:rPr>
              <w:t>Date: May 1, 2025</w:t>
            </w:r>
          </w:p>
        </w:tc>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E. Quinn</w:t>
            </w:r>
          </w:p>
        </w:tc>
      </w:tr>
      <w:tr>
        <w:trPr>
          <w:trHeight w:val="186"/>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Sean E. Quinn</w:t>
            </w:r>
          </w:p>
        </w:tc>
      </w:tr>
      <w:tr>
        <w:trPr>
          <w:trHeight w:val="195"/>
        </w:trPr>
        <w:tc>
          <w:tcPr>
            <w:tcW w:w="8160" w:type="dxa"/>
            <w:vAlign w:val="bottom"/>
          </w:tcPr>
          <w:p>
            <w:pPr>
              <w:spacing w:after="0"/>
              <w:rPr>
                <w:sz w:val="16"/>
                <w:szCs w:val="16"/>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lvl w:ilvl="1">
      <w:lvlJc w:val="left"/>
      <w:lvlText w:val="◦"/>
      <w:numFmt w:val="bullet"/>
      <w:start w:val="1"/>
    </w:lvl>
  </w:abstractNum>
  <w:abstractNum w:abstractNumId="13">
    <w:nsid w:val="2CA88611"/>
    <w:multiLevelType w:val="hybridMultilevel"/>
    <w:lvl w:ilvl="0">
      <w:lvlJc w:val="left"/>
      <w:lvlText w:val="%1."/>
      <w:numFmt w:val="decimal"/>
      <w:start w:val="10"/>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
      <w:numFmt w:val="bullet"/>
      <w:start w:val="1"/>
    </w:lvl>
    <w:lvl w:ilvl="1">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2"/>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2025-05-02T05:10:26Z</dcterms:created>
  <dcterms:modified xsi:type="dcterms:W3CDTF">2025-05-02T05:10:26Z</dcterms:modified>
</cp:coreProperties>
</file>