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tbl>
      <w:tblPr>
        <w:tblW w:w="9157" w:type="dxa"/>
        <w:jc w:val="center"/>
        <w:tblInd w:w="0" w:type="dxa"/>
        <w:tblLayout w:type="fixed"/>
        <w:tblCellMar>
          <w:top w:w="28" w:type="dxa"/>
          <w:left w:w="28" w:type="dxa"/>
          <w:bottom w:w="28" w:type="dxa"/>
          <w:right w:w="28" w:type="dxa"/>
        </w:tblCellMar>
      </w:tblPr>
      <w:tblGrid>
        <w:gridCol w:w="183"/>
        <w:gridCol w:w="161"/>
        <w:gridCol w:w="161"/>
        <w:gridCol w:w="1076"/>
        <w:gridCol w:w="1076"/>
        <w:gridCol w:w="1076"/>
        <w:gridCol w:w="836"/>
        <w:gridCol w:w="836"/>
        <w:gridCol w:w="836"/>
        <w:gridCol w:w="836"/>
        <w:gridCol w:w="836"/>
        <w:gridCol w:w="1244"/>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QUARTERLY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quarterly period ended</w:t>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March 31, 2026</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or</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tbl>
      <w:tblPr>
        <w:tblW w:w="4510" w:type="dxa"/>
        <w:jc w:val="left"/>
        <w:tblInd w:w="0" w:type="dxa"/>
        <w:tblLayout w:type="fixed"/>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Dundalk, Co. Louth,</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w:t>
      </w:r>
    </w:p>
    <w:p>
      <w:pPr>
        <w:pStyle w:val="TextBody"/>
        <w:bidi w:val="0"/>
        <w:spacing w:before="0" w:after="0"/>
        <w:jc w:val="center"/>
        <w:rPr/>
      </w:pPr>
      <w:r>
        <w:rPr/>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center"/>
        <w:tblInd w:w="0" w:type="dxa"/>
        <w:tblLayout w:type="fixed"/>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firstLine="72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bidi w:val="0"/>
        <w:spacing w:lineRule="auto" w:line="288" w:before="20" w:after="60"/>
        <w:ind w:left="0" w:right="0" w:firstLine="720"/>
        <w:jc w:val="left"/>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bidi w:val="0"/>
        <w:spacing w:lineRule="auto" w:line="288" w:before="20" w:after="60"/>
        <w:ind w:left="0" w:right="0" w:firstLine="720"/>
        <w:jc w:val="left"/>
        <w:rPr>
          <w:rFonts w:ascii="Arial;sans-serif" w:hAnsi="Arial;sans-serif"/>
          <w:b w:val="false"/>
          <w:color w:val="000000"/>
          <w:sz w:val="17"/>
        </w:rPr>
      </w:pPr>
      <w:r>
        <w:rPr>
          <w:rFonts w:ascii="Arial;sans-serif" w:hAnsi="Arial;sans-serif"/>
          <w:b w:val="false"/>
          <w:color w:val="000000"/>
          <w:sz w:val="17"/>
        </w:rPr>
        <w:t xml:space="preserve">As of April 27, 2026, there were 24,232,090 Cimpress plc ordinary shares outstanding. </w:t>
      </w:r>
    </w:p>
    <w:p>
      <w:pPr>
        <w:pStyle w:val="TextBody"/>
        <w:bidi w:val="0"/>
        <w:spacing w:before="20" w:after="6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March 31,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64"/>
        <w:gridCol w:w="1564"/>
        <w:gridCol w:w="1564"/>
        <w:gridCol w:w="1564"/>
        <w:gridCol w:w="1568"/>
        <w:gridCol w:w="176"/>
        <w:gridCol w:w="176"/>
        <w:gridCol w:w="254"/>
      </w:tblGrid>
      <w:tr>
        <w:trPr/>
        <w:tc>
          <w:tcPr>
            <w:tcW w:w="177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136">
              <w:r>
                <w:rPr>
                  <w:rStyle w:val="InternetLink"/>
                  <w:rFonts w:ascii="Arial;sans-serif" w:hAnsi="Arial;sans-serif"/>
                  <w:b/>
                  <w:strike w:val="false"/>
                  <w:dstrike w:val="false"/>
                  <w:color w:val="000000"/>
                  <w:sz w:val="20"/>
                  <w:u w:val="none"/>
                  <w:effect w:val="none"/>
                </w:rPr>
                <w:t>PART I FINANCIAL INFORMATION</w:t>
              </w:r>
            </w:hyperlink>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10">
              <w:r>
                <w:rPr>
                  <w:rStyle w:val="InternetLink"/>
                  <w:rFonts w:ascii="Arial;sans-serif" w:hAnsi="Arial;sans-serif"/>
                  <w:b w:val="false"/>
                  <w:strike w:val="false"/>
                  <w:dstrike w:val="false"/>
                  <w:color w:val="000000"/>
                  <w:sz w:val="19"/>
                  <w:u w:val="none"/>
                  <w:effect w:val="none"/>
                </w:rPr>
                <w:t>Item 1. Financial Statements (unaudited)</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10">
              <w:r>
                <w:rPr>
                  <w:rStyle w:val="InternetLink"/>
                  <w:rFonts w:ascii="Arial;sans-serif" w:hAnsi="Arial;sans-serif"/>
                  <w:b w:val="false"/>
                  <w:strike w:val="false"/>
                  <w:dstrike w:val="false"/>
                  <w:color w:val="000000"/>
                  <w:sz w:val="19"/>
                  <w:u w:val="none"/>
                  <w:effect w:val="none"/>
                </w:rPr>
                <w:t>1</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13">
              <w:r>
                <w:rPr>
                  <w:rStyle w:val="InternetLink"/>
                  <w:rFonts w:ascii="Arial;sans-serif" w:hAnsi="Arial;sans-serif"/>
                  <w:b w:val="false"/>
                  <w:strike w:val="false"/>
                  <w:dstrike w:val="false"/>
                  <w:color w:val="000000"/>
                  <w:sz w:val="19"/>
                  <w:u w:val="none"/>
                  <w:effect w:val="none"/>
                </w:rPr>
                <w:t>Consolidated Balance Sheets as of</w:t>
              </w:r>
            </w:hyperlink>
            <w:r>
              <w:rPr>
                <w:rFonts w:ascii="Arial;sans-serif" w:hAnsi="Arial;sans-serif"/>
                <w:b w:val="false"/>
                <w:color w:val="000000"/>
                <w:sz w:val="19"/>
              </w:rPr>
              <w:t xml:space="preserve"> March 31, 2026 and June 30, 2025</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13">
              <w:r>
                <w:rPr>
                  <w:rStyle w:val="InternetLink"/>
                  <w:rFonts w:ascii="Arial;sans-serif" w:hAnsi="Arial;sans-serif"/>
                  <w:b w:val="false"/>
                  <w:strike w:val="false"/>
                  <w:dstrike w:val="false"/>
                  <w:color w:val="000000"/>
                  <w:sz w:val="19"/>
                  <w:u w:val="none"/>
                  <w:effect w:val="none"/>
                </w:rPr>
                <w:t>1</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19">
              <w:r>
                <w:rPr>
                  <w:rStyle w:val="InternetLink"/>
                  <w:rFonts w:ascii="Arial;sans-serif" w:hAnsi="Arial;sans-serif"/>
                  <w:b w:val="false"/>
                  <w:strike w:val="false"/>
                  <w:dstrike w:val="false"/>
                  <w:color w:val="000000"/>
                  <w:sz w:val="19"/>
                  <w:u w:val="none"/>
                  <w:effect w:val="none"/>
                </w:rPr>
                <w:t>Consolidated Statements of Operations for the</w:t>
              </w:r>
            </w:hyperlink>
            <w:r>
              <w:rPr>
                <w:rFonts w:ascii="Arial;sans-serif" w:hAnsi="Arial;sans-serif"/>
                <w:b w:val="false"/>
                <w:color w:val="000000"/>
                <w:sz w:val="19"/>
              </w:rPr>
              <w:t xml:space="preserve"> three and nine months ended March 31, 2026 and 2025</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19">
              <w:r>
                <w:rPr>
                  <w:rStyle w:val="InternetLink"/>
                  <w:rFonts w:ascii="Arial;sans-serif" w:hAnsi="Arial;sans-serif"/>
                  <w:b w:val="false"/>
                  <w:strike w:val="false"/>
                  <w:dstrike w:val="false"/>
                  <w:color w:val="000000"/>
                  <w:sz w:val="19"/>
                  <w:u w:val="none"/>
                  <w:effect w:val="none"/>
                </w:rPr>
                <w:t>2</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22">
              <w:r>
                <w:rPr>
                  <w:rStyle w:val="InternetLink"/>
                  <w:rFonts w:ascii="Arial;sans-serif" w:hAnsi="Arial;sans-serif"/>
                  <w:b w:val="false"/>
                  <w:strike w:val="false"/>
                  <w:dstrike w:val="false"/>
                  <w:color w:val="000000"/>
                  <w:sz w:val="19"/>
                  <w:u w:val="none"/>
                  <w:effect w:val="none"/>
                </w:rPr>
                <w:t>Consolidated Statements of Comprehensive Income for the</w:t>
              </w:r>
            </w:hyperlink>
            <w:r>
              <w:rPr>
                <w:rFonts w:ascii="Arial;sans-serif" w:hAnsi="Arial;sans-serif"/>
                <w:b w:val="false"/>
                <w:color w:val="000000"/>
                <w:sz w:val="19"/>
              </w:rPr>
              <w:t xml:space="preserve"> three and nine months ended March 31, 2026 and 2025</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22">
              <w:r>
                <w:rPr>
                  <w:rStyle w:val="InternetLink"/>
                  <w:rFonts w:ascii="Arial;sans-serif" w:hAnsi="Arial;sans-serif"/>
                  <w:b w:val="false"/>
                  <w:strike w:val="false"/>
                  <w:dstrike w:val="false"/>
                  <w:color w:val="000000"/>
                  <w:sz w:val="19"/>
                  <w:u w:val="none"/>
                  <w:effect w:val="none"/>
                </w:rPr>
                <w:t>3</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25">
              <w:r>
                <w:rPr>
                  <w:rStyle w:val="InternetLink"/>
                  <w:rFonts w:ascii="Arial;sans-serif" w:hAnsi="Arial;sans-serif"/>
                  <w:b w:val="false"/>
                  <w:strike w:val="false"/>
                  <w:dstrike w:val="false"/>
                  <w:color w:val="000000"/>
                  <w:sz w:val="19"/>
                  <w:u w:val="none"/>
                  <w:effect w:val="none"/>
                </w:rPr>
                <w:t>Consolidated Statements of Shareholders' Deficit for the</w:t>
              </w:r>
            </w:hyperlink>
            <w:r>
              <w:rPr>
                <w:rFonts w:ascii="Arial;sans-serif" w:hAnsi="Arial;sans-serif"/>
                <w:b w:val="false"/>
                <w:color w:val="000000"/>
                <w:sz w:val="19"/>
              </w:rPr>
              <w:t xml:space="preserve"> three and nine months ended March 31, 2026 and 2025</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25">
              <w:r>
                <w:rPr>
                  <w:rStyle w:val="InternetLink"/>
                  <w:rFonts w:ascii="Arial;sans-serif" w:hAnsi="Arial;sans-serif"/>
                  <w:b w:val="false"/>
                  <w:strike w:val="false"/>
                  <w:dstrike w:val="false"/>
                  <w:color w:val="000000"/>
                  <w:sz w:val="19"/>
                  <w:u w:val="none"/>
                  <w:effect w:val="none"/>
                </w:rPr>
                <w:t>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28">
              <w:r>
                <w:rPr>
                  <w:rStyle w:val="InternetLink"/>
                  <w:rFonts w:ascii="Arial;sans-serif" w:hAnsi="Arial;sans-serif"/>
                  <w:b w:val="false"/>
                  <w:strike w:val="false"/>
                  <w:dstrike w:val="false"/>
                  <w:color w:val="000000"/>
                  <w:sz w:val="19"/>
                  <w:u w:val="none"/>
                  <w:effect w:val="none"/>
                </w:rPr>
                <w:t>Consolidated Statements of Cash Flows for the</w:t>
              </w:r>
            </w:hyperlink>
            <w:r>
              <w:rPr>
                <w:rFonts w:ascii="Arial;sans-serif" w:hAnsi="Arial;sans-serif"/>
                <w:b w:val="false"/>
                <w:color w:val="000000"/>
                <w:sz w:val="19"/>
              </w:rPr>
              <w:t xml:space="preserve"> nine months ended March 31, 2026 and 2025</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28">
              <w:r>
                <w:rPr>
                  <w:rStyle w:val="InternetLink"/>
                  <w:rFonts w:ascii="Arial;sans-serif" w:hAnsi="Arial;sans-serif"/>
                  <w:b w:val="false"/>
                  <w:strike w:val="false"/>
                  <w:dstrike w:val="false"/>
                  <w:color w:val="000000"/>
                  <w:sz w:val="19"/>
                  <w:u w:val="none"/>
                  <w:effect w:val="none"/>
                </w:rPr>
                <w:t>8</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31">
              <w:r>
                <w:rPr>
                  <w:rStyle w:val="InternetLink"/>
                  <w:rFonts w:ascii="Arial;sans-serif" w:hAnsi="Arial;sans-serif"/>
                  <w:b w:val="false"/>
                  <w:strike w:val="false"/>
                  <w:dstrike w:val="false"/>
                  <w:color w:val="000000"/>
                  <w:sz w:val="19"/>
                  <w:u w:val="none"/>
                  <w:effect w:val="none"/>
                </w:rPr>
                <w:t>Notes to Consolidated Financial Statements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31">
              <w:r>
                <w:rPr>
                  <w:rStyle w:val="InternetLink"/>
                  <w:rFonts w:ascii="Arial;sans-serif" w:hAnsi="Arial;sans-serif"/>
                  <w:b w:val="false"/>
                  <w:strike w:val="false"/>
                  <w:dstrike w:val="false"/>
                  <w:color w:val="000000"/>
                  <w:sz w:val="19"/>
                  <w:u w:val="none"/>
                  <w:effect w:val="none"/>
                </w:rPr>
                <w:t>10</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76">
              <w:r>
                <w:rPr>
                  <w:rStyle w:val="InternetLink"/>
                  <w:rFonts w:ascii="Arial;sans-serif" w:hAnsi="Arial;sans-serif"/>
                  <w:b w:val="false"/>
                  <w:strike w:val="false"/>
                  <w:dstrike w:val="false"/>
                  <w:color w:val="000000"/>
                  <w:sz w:val="19"/>
                  <w:u w:val="none"/>
                  <w:effect w:val="none"/>
                </w:rPr>
                <w:t>Item 2. Management's Discussion and Analysis of Financial Condition and Results of Operations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76">
              <w:r>
                <w:rPr>
                  <w:rStyle w:val="InternetLink"/>
                  <w:rFonts w:ascii="Arial;sans-serif" w:hAnsi="Arial;sans-serif"/>
                  <w:b w:val="false"/>
                  <w:strike w:val="false"/>
                  <w:dstrike w:val="false"/>
                  <w:color w:val="000000"/>
                  <w:sz w:val="19"/>
                  <w:u w:val="none"/>
                  <w:effect w:val="none"/>
                </w:rPr>
                <w:t>29</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79">
              <w:r>
                <w:rPr>
                  <w:rStyle w:val="InternetLink"/>
                  <w:rFonts w:ascii="Arial;sans-serif" w:hAnsi="Arial;sans-serif"/>
                  <w:b w:val="false"/>
                  <w:strike w:val="false"/>
                  <w:dstrike w:val="false"/>
                  <w:color w:val="000000"/>
                  <w:sz w:val="19"/>
                  <w:u w:val="none"/>
                  <w:effect w:val="none"/>
                </w:rPr>
                <w:t>Item 3. Quantitative and Qualitative Disclosures About Market Risk</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79">
              <w:r>
                <w:rPr>
                  <w:rStyle w:val="InternetLink"/>
                  <w:rFonts w:ascii="Arial;sans-serif" w:hAnsi="Arial;sans-serif"/>
                  <w:b w:val="false"/>
                  <w:strike w:val="false"/>
                  <w:dstrike w:val="false"/>
                  <w:color w:val="000000"/>
                  <w:sz w:val="19"/>
                  <w:u w:val="none"/>
                  <w:effect w:val="none"/>
                </w:rPr>
                <w:t>42</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82">
              <w:r>
                <w:rPr>
                  <w:rStyle w:val="InternetLink"/>
                  <w:rFonts w:ascii="Arial;sans-serif" w:hAnsi="Arial;sans-serif"/>
                  <w:b w:val="false"/>
                  <w:strike w:val="false"/>
                  <w:dstrike w:val="false"/>
                  <w:color w:val="000000"/>
                  <w:sz w:val="19"/>
                  <w:u w:val="none"/>
                  <w:effect w:val="none"/>
                </w:rPr>
                <w:t>Item 4. Controls and Procedures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82">
              <w:r>
                <w:rPr>
                  <w:rStyle w:val="InternetLink"/>
                  <w:rFonts w:ascii="Arial;sans-serif" w:hAnsi="Arial;sans-serif"/>
                  <w:b w:val="false"/>
                  <w:strike w:val="false"/>
                  <w:dstrike w:val="false"/>
                  <w:color w:val="000000"/>
                  <w:sz w:val="19"/>
                  <w:u w:val="none"/>
                  <w:effect w:val="none"/>
                </w:rPr>
                <w:t>43</w:t>
              </w:r>
            </w:hyperlink>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85">
              <w:r>
                <w:rPr>
                  <w:rStyle w:val="InternetLink"/>
                  <w:rFonts w:ascii="Arial;sans-serif" w:hAnsi="Arial;sans-serif"/>
                  <w:b/>
                  <w:strike w:val="false"/>
                  <w:dstrike w:val="false"/>
                  <w:color w:val="000000"/>
                  <w:sz w:val="19"/>
                  <w:u w:val="none"/>
                  <w:effect w:val="none"/>
                </w:rPr>
                <w:t>PART II OTHER INFORMATION</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88">
              <w:r>
                <w:rPr>
                  <w:rStyle w:val="InternetLink"/>
                  <w:rFonts w:ascii="Arial;sans-serif" w:hAnsi="Arial;sans-serif"/>
                  <w:b w:val="false"/>
                  <w:strike w:val="false"/>
                  <w:dstrike w:val="false"/>
                  <w:color w:val="000000"/>
                  <w:sz w:val="19"/>
                  <w:u w:val="none"/>
                  <w:effect w:val="none"/>
                </w:rPr>
                <w:t>Item 2. Unregistered Sales of Equity Securities and Use of Proceeds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88">
              <w:r>
                <w:rPr>
                  <w:rStyle w:val="InternetLink"/>
                  <w:rFonts w:ascii="Arial;sans-serif" w:hAnsi="Arial;sans-serif"/>
                  <w:b w:val="false"/>
                  <w:strike w:val="false"/>
                  <w:dstrike w:val="false"/>
                  <w:color w:val="000000"/>
                  <w:sz w:val="19"/>
                  <w:u w:val="none"/>
                  <w:effect w:val="none"/>
                </w:rPr>
                <w:t>44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Item 5. Other Information</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91">
              <w:r>
                <w:rPr>
                  <w:rStyle w:val="InternetLink"/>
                  <w:rFonts w:ascii="Arial;sans-serif" w:hAnsi="Arial;sans-serif"/>
                  <w:b w:val="false"/>
                  <w:strike w:val="false"/>
                  <w:dstrike w:val="false"/>
                  <w:color w:val="000000"/>
                  <w:sz w:val="19"/>
                  <w:u w:val="none"/>
                  <w:effect w:val="none"/>
                </w:rPr>
                <w:t>44</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91">
              <w:r>
                <w:rPr>
                  <w:rStyle w:val="InternetLink"/>
                  <w:rFonts w:ascii="Arial;sans-serif" w:hAnsi="Arial;sans-serif"/>
                  <w:b w:val="false"/>
                  <w:strike w:val="false"/>
                  <w:dstrike w:val="false"/>
                  <w:color w:val="000000"/>
                  <w:sz w:val="19"/>
                  <w:u w:val="none"/>
                  <w:effect w:val="none"/>
                </w:rPr>
                <w:t>Item 6. Exhibits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549755815582">
              <w:r>
                <w:rPr>
                  <w:rStyle w:val="InternetLink"/>
                  <w:rFonts w:ascii="Arial;sans-serif" w:hAnsi="Arial;sans-serif"/>
                  <w:b w:val="false"/>
                  <w:strike w:val="false"/>
                  <w:dstrike w:val="false"/>
                  <w:color w:val="000000"/>
                  <w:sz w:val="19"/>
                  <w:u w:val="none"/>
                  <w:effect w:val="none"/>
                </w:rPr>
                <w:t>45</w:t>
              </w:r>
            </w:hyperlink>
          </w:p>
        </w:tc>
      </w:tr>
      <w:tr>
        <w:trPr/>
        <w:tc>
          <w:tcPr>
            <w:tcW w:w="9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3cb665f8e4b4add89a27182001101c6_94">
              <w:r>
                <w:rPr>
                  <w:rStyle w:val="InternetLink"/>
                  <w:rFonts w:ascii="Arial;sans-serif" w:hAnsi="Arial;sans-serif"/>
                  <w:b w:val="false"/>
                  <w:strike w:val="false"/>
                  <w:dstrike w:val="false"/>
                  <w:color w:val="000000"/>
                  <w:sz w:val="19"/>
                  <w:u w:val="none"/>
                  <w:effect w:val="none"/>
                </w:rPr>
                <w:t>Signatures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cb665f8e4b4add89a27182001101c6_94">
              <w:r>
                <w:rPr>
                  <w:rStyle w:val="InternetLink"/>
                  <w:rFonts w:ascii="Arial;sans-serif" w:hAnsi="Arial;sans-serif"/>
                  <w:b w:val="false"/>
                  <w:strike w:val="false"/>
                  <w:dstrike w:val="false"/>
                  <w:color w:val="000000"/>
                  <w:sz w:val="19"/>
                  <w:u w:val="none"/>
                  <w:effect w:val="none"/>
                </w:rPr>
                <w:t>46</w:t>
              </w:r>
            </w:hyperlink>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PART I. FINANCIAL INFORMATION</w:t>
      </w:r>
    </w:p>
    <w:p>
      <w:pPr>
        <w:pStyle w:val="TextBody"/>
        <w:bidi w:val="0"/>
        <w:spacing w:lineRule="auto" w:line="288" w:before="100" w:after="283"/>
        <w:jc w:val="left"/>
        <w:rPr/>
      </w:pPr>
      <w:r>
        <w:rPr>
          <w:rFonts w:ascii="Arial;sans-serif" w:hAnsi="Arial;sans-serif"/>
          <w:b/>
          <w:color w:val="000000"/>
          <w:sz w:val="20"/>
        </w:rPr>
        <w:t xml:space="preserve">Item 1. </w:t>
      </w:r>
      <w:r>
        <w:rPr>
          <w:rFonts w:ascii="Arial;sans-serif" w:hAnsi="Arial;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net of allowances of $7,049</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$7,957,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shares, nominal value €0.01 per share, 100,000,000 shares authorized; none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42,196,329 and 42,448,572 shares issued, respectively; 24,225,082 and 24,477,325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(583,490)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54"/>
        <w:gridCol w:w="1158"/>
        <w:gridCol w:w="1175"/>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09"/>
        <w:gridCol w:w="109"/>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early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Net (income) loss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Cimpress plc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(loss) per share attributable to Cimpress plc</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(loss) per share attributable to Cimpress plc</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24,260,212 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24,834,409 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24,469,786 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24,990,419 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25,185,220 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24,834,409 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25,180,347 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25,841,781 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w:t>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(1) Share-based compensation expense is allocated as follows:</w:t>
      </w:r>
    </w:p>
    <w:tbl>
      <w:tblPr>
        <w:tblW w:w="8983" w:type="dxa"/>
        <w:jc w:val="center"/>
        <w:tblInd w:w="0" w:type="dxa"/>
        <w:tblLayout w:type="fixed"/>
        <w:tblCellMar>
          <w:top w:w="28" w:type="dxa"/>
          <w:left w:w="28" w:type="dxa"/>
          <w:bottom w:w="28" w:type="dxa"/>
          <w:right w:w="28" w:type="dxa"/>
        </w:tblCellMar>
      </w:tblPr>
      <w:tblGrid>
        <w:gridCol w:w="1193"/>
        <w:gridCol w:w="1048"/>
        <w:gridCol w:w="1058"/>
        <w:gridCol w:w="288"/>
        <w:gridCol w:w="637"/>
        <w:gridCol w:w="149"/>
        <w:gridCol w:w="149"/>
        <w:gridCol w:w="149"/>
        <w:gridCol w:w="149"/>
        <w:gridCol w:w="288"/>
        <w:gridCol w:w="637"/>
        <w:gridCol w:w="149"/>
        <w:gridCol w:w="109"/>
        <w:gridCol w:w="109"/>
        <w:gridCol w:w="109"/>
        <w:gridCol w:w="278"/>
        <w:gridCol w:w="614"/>
        <w:gridCol w:w="143"/>
        <w:gridCol w:w="143"/>
        <w:gridCol w:w="143"/>
        <w:gridCol w:w="143"/>
        <w:gridCol w:w="278"/>
        <w:gridCol w:w="614"/>
        <w:gridCol w:w="143"/>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771"/>
        <w:gridCol w:w="1530"/>
        <w:gridCol w:w="1443"/>
        <w:gridCol w:w="218"/>
        <w:gridCol w:w="746"/>
        <w:gridCol w:w="112"/>
        <w:gridCol w:w="112"/>
        <w:gridCol w:w="112"/>
        <w:gridCol w:w="112"/>
        <w:gridCol w:w="218"/>
        <w:gridCol w:w="678"/>
        <w:gridCol w:w="112"/>
        <w:gridCol w:w="109"/>
        <w:gridCol w:w="109"/>
        <w:gridCol w:w="109"/>
        <w:gridCol w:w="214"/>
        <w:gridCol w:w="732"/>
        <w:gridCol w:w="110"/>
        <w:gridCol w:w="110"/>
        <w:gridCol w:w="110"/>
        <w:gridCol w:w="110"/>
        <w:gridCol w:w="214"/>
        <w:gridCol w:w="732"/>
        <w:gridCol w:w="110"/>
        <w:gridCol w:w="109"/>
        <w:gridCol w:w="163"/>
      </w:tblGrid>
      <w:tr>
        <w:trPr/>
        <w:tc>
          <w:tcPr>
            <w:tcW w:w="177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72" w:type="dxa"/>
            <w:gridSpan w:val="2"/>
            <w:tcBorders/>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gains (losses), net of hedges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derivative instruments designated and qualifying as cash flow hedges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income (loss) to net income (loss) for derivative instruments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income attributable to noncontrolling interests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(loss) attributable to Cimpress plc</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(8,112)</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2425"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(45,962)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20"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accompanying notes.</w:t>
            </w:r>
          </w:p>
        </w:tc>
        <w:tc>
          <w:tcPr>
            <w:tcW w:w="3505"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tbl>
      <w:tblPr>
        <w:tblW w:w="12425" w:type="dxa"/>
        <w:jc w:val="center"/>
        <w:tblInd w:w="0" w:type="dxa"/>
        <w:tblLayout w:type="fixed"/>
        <w:tblCellMar>
          <w:top w:w="28" w:type="dxa"/>
          <w:left w:w="28" w:type="dxa"/>
          <w:bottom w:w="28" w:type="dxa"/>
          <w:right w:w="28" w:type="dxa"/>
        </w:tblCellMar>
      </w:tblPr>
      <w:tblGrid>
        <w:gridCol w:w="576"/>
        <w:gridCol w:w="282"/>
        <w:gridCol w:w="283"/>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42,789 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(45,962)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(45,836)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tbl>
      <w:tblPr>
        <w:tblW w:w="12425"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(38,925)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20"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accompanying notes.</w:t>
            </w:r>
          </w:p>
        </w:tc>
        <w:tc>
          <w:tcPr>
            <w:tcW w:w="3505"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tbl>
      <w:tblPr>
        <w:tblW w:w="12425" w:type="dxa"/>
        <w:jc w:val="center"/>
        <w:tblInd w:w="0" w:type="dxa"/>
        <w:tblLayout w:type="fixed"/>
        <w:tblCellMar>
          <w:top w:w="28" w:type="dxa"/>
          <w:left w:w="28" w:type="dxa"/>
          <w:bottom w:w="28" w:type="dxa"/>
          <w:right w:w="28" w:type="dxa"/>
        </w:tblCellMar>
      </w:tblPr>
      <w:tblGrid>
        <w:gridCol w:w="576"/>
        <w:gridCol w:w="282"/>
        <w:gridCol w:w="283"/>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due to purchase of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42,196 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612,691 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(30,283)</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(524,101)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5"/>
        <w:gridCol w:w="2157"/>
        <w:gridCol w:w="2164"/>
        <w:gridCol w:w="211"/>
        <w:gridCol w:w="826"/>
        <w:gridCol w:w="109"/>
        <w:gridCol w:w="109"/>
        <w:gridCol w:w="109"/>
        <w:gridCol w:w="109"/>
        <w:gridCol w:w="211"/>
        <w:gridCol w:w="826"/>
        <w:gridCol w:w="109"/>
        <w:gridCol w:w="109"/>
        <w:gridCol w:w="109"/>
        <w:gridCol w:w="109"/>
        <w:gridCol w:w="109"/>
        <w:gridCol w:w="109"/>
        <w:gridCol w:w="155"/>
      </w:tblGrid>
      <w:tr>
        <w:trPr/>
        <w:tc>
          <w:tcPr>
            <w:tcW w:w="2565"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tcMar>
              <w:top w:w="0" w:type="dxa"/>
              <w:left w:w="0" w:type="dxa"/>
              <w:bottom w:w="0" w:type="dxa"/>
              <w:right w:w="0" w:type="dxa"/>
            </w:tcMar>
            <w:vAlign w:val="center"/>
          </w:tcPr>
          <w:p>
            <w:pPr>
              <w:pStyle w:val="TableContents"/>
              <w:bidi w:val="0"/>
              <w:spacing w:before="180" w:after="283"/>
              <w:jc w:val="center"/>
              <w:rPr/>
            </w:pPr>
            <w:r>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derivatives not designated as hedging instruments included in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settlement of derivatives designated as hedging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issuance of 7.375% Senior Notes due 2032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early redemption or purchase of 7.0% Senior Notes due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ordinary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ordinary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8797" w:type="dxa"/>
        <w:jc w:val="center"/>
        <w:tblInd w:w="0" w:type="dxa"/>
        <w:tblLayout w:type="fixed"/>
        <w:tblCellMar>
          <w:top w:w="28" w:type="dxa"/>
          <w:left w:w="28" w:type="dxa"/>
          <w:bottom w:w="28" w:type="dxa"/>
          <w:right w:w="28" w:type="dxa"/>
        </w:tblCellMar>
      </w:tblPr>
      <w:tblGrid>
        <w:gridCol w:w="2028"/>
        <w:gridCol w:w="1782"/>
        <w:gridCol w:w="1785"/>
        <w:gridCol w:w="219"/>
        <w:gridCol w:w="750"/>
        <w:gridCol w:w="113"/>
        <w:gridCol w:w="113"/>
        <w:gridCol w:w="113"/>
        <w:gridCol w:w="113"/>
        <w:gridCol w:w="219"/>
        <w:gridCol w:w="750"/>
        <w:gridCol w:w="113"/>
        <w:gridCol w:w="109"/>
        <w:gridCol w:w="109"/>
        <w:gridCol w:w="109"/>
        <w:gridCol w:w="109"/>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received for interest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1. Description of the Business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and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fair value of redeemable noncontrolling interests, estimated useful lives of assets, share-based compensation, and income taxes and related valuation allowances, among others. By their nature, estimates are subject to an inherent degree of uncertainty. Actual results could differ from those estimates.</w:t>
      </w:r>
    </w:p>
    <w:p>
      <w:pPr>
        <w:pStyle w:val="TextBody"/>
        <w:bidi w:val="0"/>
        <w:spacing w:before="0" w:after="0"/>
        <w:jc w:val="left"/>
        <w:rPr/>
      </w:pPr>
      <w:r>
        <w:rPr/>
      </w: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Ordinary Shares</w:t>
      </w:r>
    </w:p>
    <w:p>
      <w:pPr>
        <w:pStyle w:val="TextBody"/>
        <w:bidi w:val="0"/>
        <w:spacing w:lineRule="auto" w:line="288" w:before="4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nine months ended March 31, 2026, we repurchased 702,820 of our ordinary shares on the open market for $50,077. The repurchased shares were immediately cancelled after repurchase and therefore have been classified as authorized and unissued shares as of March 31, 2026.</w:t>
      </w:r>
    </w:p>
    <w:p>
      <w:pPr>
        <w:pStyle w:val="TextBody"/>
        <w:bidi w:val="0"/>
        <w:spacing w:before="0" w:after="0"/>
        <w:ind w:left="0" w:right="0" w:firstLine="720"/>
        <w:jc w:val="left"/>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Other Income (Expense), Net</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components of other income (expense), net.</w:t>
      </w:r>
    </w:p>
    <w:tbl>
      <w:tblPr>
        <w:tblW w:w="10205" w:type="dxa"/>
        <w:jc w:val="center"/>
        <w:tblInd w:w="0" w:type="dxa"/>
        <w:tblLayout w:type="fixed"/>
        <w:tblCellMar>
          <w:top w:w="28" w:type="dxa"/>
          <w:left w:w="28" w:type="dxa"/>
          <w:bottom w:w="28" w:type="dxa"/>
          <w:right w:w="28" w:type="dxa"/>
        </w:tblCellMar>
      </w:tblPr>
      <w:tblGrid>
        <w:gridCol w:w="1791"/>
        <w:gridCol w:w="1469"/>
        <w:gridCol w:w="1477"/>
        <w:gridCol w:w="211"/>
        <w:gridCol w:w="721"/>
        <w:gridCol w:w="109"/>
        <w:gridCol w:w="109"/>
        <w:gridCol w:w="109"/>
        <w:gridCol w:w="109"/>
        <w:gridCol w:w="211"/>
        <w:gridCol w:w="779"/>
        <w:gridCol w:w="109"/>
        <w:gridCol w:w="109"/>
        <w:gridCol w:w="109"/>
        <w:gridCol w:w="109"/>
        <w:gridCol w:w="211"/>
        <w:gridCol w:w="721"/>
        <w:gridCol w:w="109"/>
        <w:gridCol w:w="109"/>
        <w:gridCol w:w="109"/>
        <w:gridCol w:w="109"/>
        <w:gridCol w:w="211"/>
        <w:gridCol w:w="721"/>
        <w:gridCol w:w="109"/>
        <w:gridCol w:w="109"/>
        <w:gridCol w:w="156"/>
      </w:tblGrid>
      <w:tr>
        <w:trPr/>
        <w:tc>
          <w:tcPr>
            <w:tcW w:w="179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gains, net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realized and unrealized gains and losses on derivative currency forward and option contracts not designated as hedging instruments. For contracts not designated as hedging instruments, we realized losses of $2,959 and $10,197 for the three and nine months ended March 31, 2026, respectively, and gains of $4,434 and $5,183 for the three and nine months ended March 31, 2025, respectively. Refer to Note 4 for additional details relating to our derivative contracts.</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Currency-related (losses) gains, net primarily relates to significant non-functional currency intercompany financing relationships that we may change at times and are subject to currency exchange rate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00"/>
        <w:ind w:left="0" w:right="0" w:hanging="270"/>
        <w:jc w:val="left"/>
        <w:rPr>
          <w:rFonts w:ascii="Arial;sans-serif" w:hAnsi="Arial;sans-serif"/>
          <w:b/>
          <w:color w:val="000000"/>
          <w:sz w:val="20"/>
        </w:rPr>
      </w:pPr>
      <w:r>
        <w:rPr>
          <w:rFonts w:ascii="Arial;sans-serif" w:hAnsi="Arial;sans-serif"/>
          <w:b/>
          <w:color w:val="000000"/>
          <w:sz w:val="20"/>
        </w:rPr>
        <w:t>Net Income (Loss) Per Share Attributable to Cimpress plc</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Basic net income (loss) per share attributable to Cimpress plc is computed by dividing net income (loss) attributable to Cimpress plc by the weighted-average number of ordinary shares outstanding for the respective period. Diluted net income (loss)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Layout w:type="fixed"/>
        <w:tblCellMar>
          <w:top w:w="28" w:type="dxa"/>
          <w:left w:w="28" w:type="dxa"/>
          <w:bottom w:w="28" w:type="dxa"/>
          <w:right w:w="28" w:type="dxa"/>
        </w:tblCellMar>
      </w:tblPr>
      <w:tblGrid>
        <w:gridCol w:w="1399"/>
        <w:gridCol w:w="1229"/>
        <w:gridCol w:w="1231"/>
        <w:gridCol w:w="684"/>
        <w:gridCol w:w="397"/>
        <w:gridCol w:w="144"/>
        <w:gridCol w:w="144"/>
        <w:gridCol w:w="144"/>
        <w:gridCol w:w="144"/>
        <w:gridCol w:w="684"/>
        <w:gridCol w:w="397"/>
        <w:gridCol w:w="144"/>
        <w:gridCol w:w="109"/>
        <w:gridCol w:w="109"/>
        <w:gridCol w:w="109"/>
        <w:gridCol w:w="684"/>
        <w:gridCol w:w="397"/>
        <w:gridCol w:w="141"/>
        <w:gridCol w:w="141"/>
        <w:gridCol w:w="141"/>
        <w:gridCol w:w="141"/>
        <w:gridCol w:w="684"/>
        <w:gridCol w:w="397"/>
        <w:gridCol w:w="141"/>
        <w:gridCol w:w="109"/>
        <w:gridCol w:w="161"/>
      </w:tblGrid>
      <w:tr>
        <w:trPr/>
        <w:tc>
          <w:tcPr>
            <w:tcW w:w="139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70" w:type="dxa"/>
            <w:gridSpan w:val="2"/>
            <w:tcBorders/>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shares outstanding, basic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24,260,212 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24,834,409 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24,469,786 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24,990,419 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issuable upon exercise/vesting of outstanding share options/PSUs/RSUs/warrants (1)(2)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710,561 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851,362 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computing diluted net income per share attributable to Cimpress plc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25,185,220 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24,834,409 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25,180,347 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25,841,781 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anti-dilutive shares excluded from diluted net income per share attributable to Cimpress plc (1)(2)</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336,449 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2,083,040 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973,147 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312,874 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periods in which a net loss is recognized, the impact of share options, PSUs, RSUs and warrants is excluded from shares used in computed diluted net loss per share as it is anti-dilutive.</w:t>
      </w:r>
    </w:p>
    <w:p>
      <w:pPr>
        <w:pStyle w:val="TextBody"/>
        <w:bidi w:val="0"/>
        <w:spacing w:lineRule="auto" w:line="288" w:before="100" w:after="100"/>
        <w:ind w:left="0" w:right="0" w:hanging="270"/>
        <w:jc w:val="left"/>
        <w:rPr/>
      </w:pPr>
      <w:r>
        <w:rPr>
          <w:rFonts w:ascii="Arial;sans-serif" w:hAnsi="Arial;sans-serif"/>
          <w:b w:val="false"/>
          <w:color w:val="000000"/>
          <w:sz w:val="16"/>
        </w:rPr>
        <w:t>(2) On May 1, 2020, we entered into a financing arrangement which included 7-year warrants to purchase 1,055,377</w:t>
      </w:r>
      <w:r>
        <w:rPr>
          <w:color w:val="000000"/>
        </w:rPr>
        <w:t xml:space="preserve"> </w:t>
      </w:r>
      <w:r>
        <w:rPr>
          <w:rFonts w:ascii="Arial;sans-serif" w:hAnsi="Arial;sans-serif"/>
          <w:b w:val="false"/>
          <w:color w:val="000000"/>
          <w:sz w:val="16"/>
        </w:rPr>
        <w:t>of our ordinary shares with a strike price of $60. The effect of the warrants on our weighted-average shares outstanding for a period is dilutive if the average market price of our ordinary shares during the period was higher than the strike price of the warrants and anti-dilutive if the average market price of our ordinary shares during the period was lower than the strike price of the warrants.</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 xml:space="preserve">Accounting Standards to be Adopted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November 2025, the Financial Accounting Standards Board ("FASB") issued Accounting Standards Update No. 2025-09 "Derivatives and Hedging (Topic 815): Hedge Accounting Improvements" (ASU 2025-09), which more closely aligns hedge accounting with the economics of an entity’s risk management activities. The standard will be effective starting with our annual report for the fiscal year ending June 30, 2028,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September 2025, the FASB issued Accounting Standards Update No. 2025-06 "Intangibles - Goodwill and Other - Internal-Use Software (Subtopic 350-40): Targeted Improvements to the Accounting for Internal-Use Software" (ASU 2025-06), which modernizes the accounting guidance for internal-use software costs and requires capitalization of software costs to begin when (1) management has authorized and committed to funding the software project and (2) it is probable that the project will be completed and the software will be used to perform the function intended. The standard will be effective starting with our annual report for the fiscal year ending June 30, 2029,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3"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ending June 30, 2026 and we do not expect the adoption of this standard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Inputs to the valuation methodology include quoted prices for similar assets and liabilities in active markets, quoted prices for identical or similar assets in markets that are not active and inputs that are observable for the asset or liability, either directly or indirectly, for substantially the full term of the financial instrument.</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nine months ended March 31, 2026 and year ended June 30, 2025, there were no significant transfers in or out of Level 1, Level 2, and Level 3 classifications.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4"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In the fair value measurements, we incorporate credit valuation adjustments to appropriately reflect both our own nonperformance risk and the respective counterparties' nonperformance risk, and in doing so, we have considered the impact of netting and any applicable credit enhancements.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2026, we have assessed the impact of the credit valuation adjustments and determined that it is not significant to the overall valuation of our derivatives and, as a result, that our derivative valuations in their entirety are classified in Level 2 in the fair value hierarchy.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and June 30, 2025, the carrying amounts of our cash and cash equivalents, accounts receivable, accounts payable, and other current liabilities approximated their estimated fair values. As of March 31, 2026 and June 30, 2025, the carrying value of our debt, excluding debt issuance costs and debt premiums and discounts, was $1,604,503 and $1,604,513, respectively, and the fair value was $1,600,495 and $1,582,599, respectively. Our debt at March 31, 2026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4. Derivative Financial Instruments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(expense), net.</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Hedges of Interest Rate Risk</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we estimate that $4,773 of income will be reclassified from accumulated other comprehensive loss to interest expense, net during the twelve months ending March 31, 2027. As of March 31, 2026, we had six effective outstanding interest rate swap contracts that were indexed to Term or Daily SOFR. Our interest rate swap contracts have varying start and maturity dates through April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5"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6251" w:type="dxa"/>
        <w:jc w:val="center"/>
        <w:tblInd w:w="0" w:type="dxa"/>
        <w:tblLayout w:type="fixed"/>
        <w:tblCellMar>
          <w:top w:w="28" w:type="dxa"/>
          <w:left w:w="28" w:type="dxa"/>
          <w:bottom w:w="28" w:type="dxa"/>
          <w:right w:w="28" w:type="dxa"/>
        </w:tblCellMar>
      </w:tblPr>
      <w:tblGrid>
        <w:gridCol w:w="1565"/>
        <w:gridCol w:w="1376"/>
        <w:gridCol w:w="1379"/>
        <w:gridCol w:w="109"/>
        <w:gridCol w:w="109"/>
        <w:gridCol w:w="109"/>
        <w:gridCol w:w="284"/>
        <w:gridCol w:w="1113"/>
        <w:gridCol w:w="207"/>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March 31, 2026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Based on contracts outstanding as of March 31, 2026, the notional value of our contracted interest rate swaps accruing interest will fluctuate between $250,000 and $380,000 through April 2028 based on layered start dates and maturities.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 xml:space="preserve">Hedges of Currency Risk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Cross-currency swap contracts designated as net investment hedges are executed to mitigate our currency exposure of net investments in subsidiaries that have reporting currencies other than the U.S. dollar.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bidi w:val="0"/>
        <w:spacing w:lineRule="auto" w:line="288" w:before="100" w:after="100"/>
        <w:ind w:left="0" w:right="0" w:firstLine="720"/>
        <w:jc w:val="left"/>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w:t>
      </w:r>
      <w:r>
        <w:rPr>
          <w:color w:val="EE2724"/>
        </w:rPr>
        <w:t xml:space="preserve"> </w:t>
      </w:r>
      <w:r>
        <w:rPr>
          <w:rFonts w:ascii="Arial;sans-serif" w:hAnsi="Arial;sans-serif"/>
          <w:b w:val="false"/>
          <w:color w:val="000000"/>
          <w:sz w:val="20"/>
        </w:rPr>
        <w:t>that have the Euro as their functional currency. As of March 31, 2026, we had one currency forward contract designated as a net investment hedge with a notional amount of $30,319, maturing during December 2027. The impact of net investment hedges is recognized in accumulated other comprehensive loss as a component of translation adjustments, net of hedges, and would only be reclassified to earnings if the hedged subsidiaries were no longer consolidated entities.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not apply hedge accounting for all other currency forward and option contracts. During the three and nine months ended March 31, 2026 and 2025,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6" name="Frame1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we had the following outstanding currency derivative contracts that were not designated for hedge accounting and were primarily used to hedge fluctuations in the U.S. dollar value of forecasted transactions or balances denominated in the Australian Dollar, Czech Koruna, Danish Krone, Euro, GBP, Indian Rupee, Mexican Peso, New Zealand Dollar, Norwegian Krone, Philippine Peso, Swiss Franc and Swedish Krona: </w:t>
      </w:r>
    </w:p>
    <w:tbl>
      <w:tblPr>
        <w:tblW w:w="10205" w:type="dxa"/>
        <w:jc w:val="left"/>
        <w:tblInd w:w="0" w:type="dxa"/>
        <w:tblLayout w:type="fixed"/>
        <w:tblCellMar>
          <w:top w:w="28" w:type="dxa"/>
          <w:left w:w="28" w:type="dxa"/>
          <w:bottom w:w="28" w:type="dxa"/>
          <w:right w:w="28" w:type="dxa"/>
        </w:tblCellMar>
      </w:tblPr>
      <w:tblGrid>
        <w:gridCol w:w="515"/>
        <w:gridCol w:w="439"/>
        <w:gridCol w:w="443"/>
        <w:gridCol w:w="109"/>
        <w:gridCol w:w="109"/>
        <w:gridCol w:w="109"/>
        <w:gridCol w:w="795"/>
        <w:gridCol w:w="795"/>
        <w:gridCol w:w="799"/>
        <w:gridCol w:w="109"/>
        <w:gridCol w:w="109"/>
        <w:gridCol w:w="109"/>
        <w:gridCol w:w="835"/>
        <w:gridCol w:w="835"/>
        <w:gridCol w:w="839"/>
        <w:gridCol w:w="109"/>
        <w:gridCol w:w="109"/>
        <w:gridCol w:w="109"/>
        <w:gridCol w:w="605"/>
        <w:gridCol w:w="605"/>
        <w:gridCol w:w="607"/>
        <w:gridCol w:w="109"/>
        <w:gridCol w:w="109"/>
        <w:gridCol w:w="109"/>
        <w:gridCol w:w="227"/>
        <w:gridCol w:w="227"/>
        <w:gridCol w:w="331"/>
      </w:tblGrid>
      <w:tr>
        <w:trPr/>
        <w:tc>
          <w:tcPr>
            <w:tcW w:w="51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$874,121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2024 through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Financial Instrument Presentation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March 31, 2026 and June 30, 2025. Our derivative asset and liability balances fluctuate with interest rate and currency exchange rate volatility. </w:t>
      </w:r>
    </w:p>
    <w:tbl>
      <w:tblPr>
        <w:tblW w:w="1064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196"/>
        <w:gridCol w:w="626"/>
        <w:gridCol w:w="109"/>
        <w:gridCol w:w="109"/>
        <w:gridCol w:w="109"/>
        <w:gridCol w:w="109"/>
        <w:gridCol w:w="196"/>
        <w:gridCol w:w="646"/>
        <w:gridCol w:w="109"/>
        <w:gridCol w:w="109"/>
        <w:gridCol w:w="109"/>
        <w:gridCol w:w="109"/>
        <w:gridCol w:w="280"/>
        <w:gridCol w:w="205"/>
        <w:gridCol w:w="206"/>
        <w:gridCol w:w="109"/>
        <w:gridCol w:w="109"/>
        <w:gridCol w:w="109"/>
        <w:gridCol w:w="196"/>
        <w:gridCol w:w="661"/>
        <w:gridCol w:w="109"/>
        <w:gridCol w:w="109"/>
        <w:gridCol w:w="109"/>
        <w:gridCol w:w="109"/>
        <w:gridCol w:w="211"/>
        <w:gridCol w:w="601"/>
        <w:gridCol w:w="119"/>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7" name="Frame1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46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556"/>
        <w:gridCol w:w="109"/>
        <w:gridCol w:w="109"/>
        <w:gridCol w:w="109"/>
        <w:gridCol w:w="109"/>
        <w:gridCol w:w="246"/>
        <w:gridCol w:w="547"/>
        <w:gridCol w:w="138"/>
        <w:gridCol w:w="109"/>
        <w:gridCol w:w="109"/>
        <w:gridCol w:w="109"/>
        <w:gridCol w:w="196"/>
        <w:gridCol w:w="556"/>
        <w:gridCol w:w="109"/>
        <w:gridCol w:w="109"/>
        <w:gridCol w:w="109"/>
        <w:gridCol w:w="109"/>
        <w:gridCol w:w="280"/>
        <w:gridCol w:w="205"/>
        <w:gridCol w:w="206"/>
        <w:gridCol w:w="109"/>
        <w:gridCol w:w="109"/>
        <w:gridCol w:w="109"/>
        <w:gridCol w:w="196"/>
        <w:gridCol w:w="661"/>
        <w:gridCol w:w="109"/>
        <w:gridCol w:w="109"/>
        <w:gridCol w:w="109"/>
        <w:gridCol w:w="109"/>
        <w:gridCol w:w="211"/>
        <w:gridCol w:w="601"/>
        <w:gridCol w:w="119"/>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income (loss), net of tax, for the three and nine months ended March 31, 2026 and 2025:</w:t>
      </w:r>
    </w:p>
    <w:tbl>
      <w:tblPr>
        <w:tblW w:w="9547" w:type="dxa"/>
        <w:jc w:val="left"/>
        <w:tblInd w:w="0" w:type="dxa"/>
        <w:tblLayout w:type="fixed"/>
        <w:tblCellMar>
          <w:top w:w="28" w:type="dxa"/>
          <w:left w:w="28" w:type="dxa"/>
          <w:bottom w:w="28" w:type="dxa"/>
          <w:right w:w="28" w:type="dxa"/>
        </w:tblCellMar>
      </w:tblPr>
      <w:tblGrid>
        <w:gridCol w:w="1522"/>
        <w:gridCol w:w="1337"/>
        <w:gridCol w:w="1340"/>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Intercompany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8" name="Frame1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three and nine months ended March 31, 2026 and 2025:</w:t>
      </w:r>
    </w:p>
    <w:tbl>
      <w:tblPr>
        <w:tblW w:w="10205" w:type="dxa"/>
        <w:jc w:val="left"/>
        <w:tblInd w:w="0" w:type="dxa"/>
        <w:tblLayout w:type="fixed"/>
        <w:tblCellMar>
          <w:top w:w="28" w:type="dxa"/>
          <w:left w:w="28" w:type="dxa"/>
          <w:bottom w:w="28" w:type="dxa"/>
          <w:right w:w="28" w:type="dxa"/>
        </w:tblCellMar>
      </w:tblPr>
      <w:tblGrid>
        <w:gridCol w:w="799"/>
        <w:gridCol w:w="701"/>
        <w:gridCol w:w="703"/>
        <w:gridCol w:w="237"/>
        <w:gridCol w:w="573"/>
        <w:gridCol w:w="122"/>
        <w:gridCol w:w="122"/>
        <w:gridCol w:w="122"/>
        <w:gridCol w:w="122"/>
        <w:gridCol w:w="237"/>
        <w:gridCol w:w="742"/>
        <w:gridCol w:w="122"/>
        <w:gridCol w:w="122"/>
        <w:gridCol w:w="122"/>
        <w:gridCol w:w="122"/>
        <w:gridCol w:w="237"/>
        <w:gridCol w:w="742"/>
        <w:gridCol w:w="122"/>
        <w:gridCol w:w="122"/>
        <w:gridCol w:w="122"/>
        <w:gridCol w:w="122"/>
        <w:gridCol w:w="237"/>
        <w:gridCol w:w="742"/>
        <w:gridCol w:w="122"/>
        <w:gridCol w:w="1164"/>
        <w:gridCol w:w="109"/>
        <w:gridCol w:w="405"/>
        <w:gridCol w:w="405"/>
        <w:gridCol w:w="586"/>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164"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505" w:type="dxa"/>
            <w:gridSpan w:val="4"/>
            <w:tcBorders/>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4"/>
            <w:tcBorders/>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income taxes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three and nine months ended March 31, 2026 and 2025 for derivative instruments for which we did not elect hedge accounting:</w:t>
      </w:r>
    </w:p>
    <w:tbl>
      <w:tblPr>
        <w:tblW w:w="10205" w:type="dxa"/>
        <w:jc w:val="left"/>
        <w:tblInd w:w="0" w:type="dxa"/>
        <w:tblLayout w:type="fixed"/>
        <w:tblCellMar>
          <w:top w:w="28" w:type="dxa"/>
          <w:left w:w="28" w:type="dxa"/>
          <w:bottom w:w="28" w:type="dxa"/>
          <w:right w:w="28" w:type="dxa"/>
        </w:tblCellMar>
      </w:tblPr>
      <w:tblGrid>
        <w:gridCol w:w="534"/>
        <w:gridCol w:w="470"/>
        <w:gridCol w:w="473"/>
        <w:gridCol w:w="211"/>
        <w:gridCol w:w="721"/>
        <w:gridCol w:w="109"/>
        <w:gridCol w:w="109"/>
        <w:gridCol w:w="109"/>
        <w:gridCol w:w="109"/>
        <w:gridCol w:w="211"/>
        <w:gridCol w:w="782"/>
        <w:gridCol w:w="109"/>
        <w:gridCol w:w="109"/>
        <w:gridCol w:w="109"/>
        <w:gridCol w:w="109"/>
        <w:gridCol w:w="211"/>
        <w:gridCol w:w="721"/>
        <w:gridCol w:w="109"/>
        <w:gridCol w:w="109"/>
        <w:gridCol w:w="109"/>
        <w:gridCol w:w="109"/>
        <w:gridCol w:w="211"/>
        <w:gridCol w:w="677"/>
        <w:gridCol w:w="109"/>
        <w:gridCol w:w="1501"/>
        <w:gridCol w:w="109"/>
        <w:gridCol w:w="572"/>
        <w:gridCol w:w="572"/>
        <w:gridCol w:w="812"/>
      </w:tblGrid>
      <w:tr>
        <w:trPr/>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Gain (Loss) Recognized in Net Income</w:t>
            </w:r>
          </w:p>
        </w:tc>
        <w:tc>
          <w:tcPr>
            <w:tcW w:w="150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2065" w:type="dxa"/>
            <w:gridSpan w:val="4"/>
            <w:tcBorders/>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5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4"/>
            <w:tcBorders/>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(expense), net</w:t>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5. Accumulated Other Comprehensive Loss</w:t>
      </w:r>
    </w:p>
    <w:p>
      <w:pPr>
        <w:pStyle w:val="TextBody"/>
        <w:bidi w:val="0"/>
        <w:spacing w:lineRule="auto" w:line="288" w:before="100" w:after="100"/>
        <w:ind w:left="0" w:right="0" w:firstLine="720"/>
        <w:jc w:val="left"/>
        <w:rPr/>
      </w:pPr>
      <w:r>
        <w:rPr>
          <w:rFonts w:ascii="Arial;sans-serif" w:hAnsi="Arial;sans-serif"/>
          <w:b w:val="false"/>
          <w:color w:val="000000"/>
          <w:sz w:val="20"/>
        </w:rPr>
        <w:t>The following table presents a roll forward of amounts recognized in accumulated other comprehensive loss by component, net of tax of</w:t>
      </w:r>
      <w:r>
        <w:rPr>
          <w:color w:val="EE2724"/>
        </w:rPr>
        <w:t xml:space="preserve"> </w:t>
      </w:r>
      <w:r>
        <w:rPr>
          <w:rFonts w:ascii="Arial;sans-serif" w:hAnsi="Arial;sans-serif"/>
          <w:b w:val="false"/>
          <w:color w:val="000000"/>
          <w:sz w:val="20"/>
        </w:rPr>
        <w:t>$477, for the nine months ended March 31, 2026</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39"/>
        <w:gridCol w:w="937"/>
        <w:gridCol w:w="931"/>
        <w:gridCol w:w="288"/>
        <w:gridCol w:w="843"/>
        <w:gridCol w:w="149"/>
        <w:gridCol w:w="109"/>
        <w:gridCol w:w="109"/>
        <w:gridCol w:w="109"/>
        <w:gridCol w:w="109"/>
        <w:gridCol w:w="109"/>
        <w:gridCol w:w="348"/>
        <w:gridCol w:w="1104"/>
        <w:gridCol w:w="180"/>
        <w:gridCol w:w="109"/>
        <w:gridCol w:w="109"/>
        <w:gridCol w:w="109"/>
        <w:gridCol w:w="321"/>
        <w:gridCol w:w="1173"/>
        <w:gridCol w:w="166"/>
        <w:gridCol w:w="109"/>
        <w:gridCol w:w="109"/>
        <w:gridCol w:w="109"/>
        <w:gridCol w:w="211"/>
        <w:gridCol w:w="756"/>
        <w:gridCol w:w="160"/>
      </w:tblGrid>
      <w:tr>
        <w:trPr/>
        <w:tc>
          <w:tcPr>
            <w:tcW w:w="14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Gains (losses) on cash flow </w:t>
              <w:br/>
              <w:t>hedges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Gains (losses) on pension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Other comprehensive income before reclassifications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income to net income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2026</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Gains (losses) on cash flow hedges include our interest rate swap contracts designated in cash flow hedging relationships.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As of March 31, 2026 and June 30, 2025, the translation adjustment is inclusive of both the realized and unrealized effects of our net investment hedges. Gains (losses) on currency forward and cross-currency swap contracts designated as net investment hedges, net of tax, of $1,625 and $(9,406) have been included in accumulated other comprehensive loss as of March 31, 2026 and June 30, 2025, respectively. Intercompany loan hedge gains, net of tax, which are associated with a previously settled loan of $42,159 have been included in accumulated other comprehensive loss for both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9" name="Frame1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6. Goodwill</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March 31, 2026 and June 30, 2025 was as follows: </w:t>
      </w:r>
    </w:p>
    <w:tbl>
      <w:tblPr>
        <w:tblW w:w="10205" w:type="dxa"/>
        <w:jc w:val="left"/>
        <w:tblInd w:w="0" w:type="dxa"/>
        <w:tblLayout w:type="fixed"/>
        <w:tblCellMar>
          <w:top w:w="28" w:type="dxa"/>
          <w:left w:w="28" w:type="dxa"/>
          <w:bottom w:w="28" w:type="dxa"/>
          <w:right w:w="28" w:type="dxa"/>
        </w:tblCellMar>
      </w:tblPr>
      <w:tblGrid>
        <w:gridCol w:w="1110"/>
        <w:gridCol w:w="893"/>
        <w:gridCol w:w="8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1"/>
        <w:gridCol w:w="986"/>
        <w:gridCol w:w="129"/>
        <w:gridCol w:w="109"/>
        <w:gridCol w:w="109"/>
        <w:gridCol w:w="109"/>
        <w:gridCol w:w="211"/>
        <w:gridCol w:w="826"/>
        <w:gridCol w:w="157"/>
      </w:tblGrid>
      <w:tr>
        <w:trPr/>
        <w:tc>
          <w:tcPr>
            <w:tcW w:w="111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817,929 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we completed a tuck-in acquisition that was not material of a business that is included in our PrintBrothers reportable segment in exchange for $10,401 of cash consideration, net of cash acquired, which resulted in the recognition of goodwill of $729. The purchase price allocation and pro forma results were not material and therefore not presented herein.</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Related to goodwill held by subsidiaries whose functional currency is not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7. Other Balance Sheet Components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6893" w:type="dxa"/>
        <w:jc w:val="left"/>
        <w:tblInd w:w="0" w:type="dxa"/>
        <w:tblLayout w:type="fixed"/>
        <w:tblCellMar>
          <w:top w:w="28" w:type="dxa"/>
          <w:left w:w="28" w:type="dxa"/>
          <w:bottom w:w="28" w:type="dxa"/>
          <w:right w:w="28" w:type="dxa"/>
        </w:tblCellMar>
      </w:tblPr>
      <w:tblGrid>
        <w:gridCol w:w="1531"/>
        <w:gridCol w:w="1348"/>
        <w:gridCol w:w="1350"/>
        <w:gridCol w:w="211"/>
        <w:gridCol w:w="826"/>
        <w:gridCol w:w="109"/>
        <w:gridCol w:w="109"/>
        <w:gridCol w:w="109"/>
        <w:gridCol w:w="109"/>
        <w:gridCol w:w="211"/>
        <w:gridCol w:w="82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and indirect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manufacturing and digital content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Shipping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737" w:type="dxa"/>
        <w:jc w:val="left"/>
        <w:tblInd w:w="0" w:type="dxa"/>
        <w:tblLayout w:type="fixed"/>
        <w:tblCellMar>
          <w:top w:w="28" w:type="dxa"/>
          <w:left w:w="28" w:type="dxa"/>
          <w:bottom w:w="28" w:type="dxa"/>
          <w:right w:w="28" w:type="dxa"/>
        </w:tblCellMar>
      </w:tblPr>
      <w:tblGrid>
        <w:gridCol w:w="1535"/>
        <w:gridCol w:w="1352"/>
        <w:gridCol w:w="1357"/>
        <w:gridCol w:w="219"/>
        <w:gridCol w:w="748"/>
        <w:gridCol w:w="113"/>
        <w:gridCol w:w="109"/>
        <w:gridCol w:w="109"/>
        <w:gridCol w:w="109"/>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Short-term derivative liabilities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 (1)</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the mandatory redemption date for minority equity interests in three of our businesses within the PrintBrothers reportable segment was reached, resulting in the purchase of their outstanding equity interests for $10,724.</w:t>
      </w:r>
    </w:p>
    <w:p>
      <w:pPr>
        <w:pStyle w:val="TextBody"/>
        <w:bidi w:val="0"/>
        <w:spacing w:before="100" w:after="10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20" name="Frame2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270"/>
        <w:jc w:val="left"/>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5643" w:type="dxa"/>
        <w:jc w:val="left"/>
        <w:tblInd w:w="0" w:type="dxa"/>
        <w:tblLayout w:type="fixed"/>
        <w:tblCellMar>
          <w:top w:w="28" w:type="dxa"/>
          <w:left w:w="28" w:type="dxa"/>
          <w:bottom w:w="28" w:type="dxa"/>
          <w:right w:w="28" w:type="dxa"/>
        </w:tblCellMar>
      </w:tblPr>
      <w:tblGrid>
        <w:gridCol w:w="1103"/>
        <w:gridCol w:w="970"/>
        <w:gridCol w:w="972"/>
        <w:gridCol w:w="219"/>
        <w:gridCol w:w="748"/>
        <w:gridCol w:w="113"/>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93,460 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8. Debt</w:t>
      </w:r>
    </w:p>
    <w:tbl>
      <w:tblPr>
        <w:tblW w:w="7703" w:type="dxa"/>
        <w:jc w:val="left"/>
        <w:tblInd w:w="0" w:type="dxa"/>
        <w:tblLayout w:type="fixed"/>
        <w:tblCellMar>
          <w:top w:w="28" w:type="dxa"/>
          <w:left w:w="28" w:type="dxa"/>
          <w:bottom w:w="28" w:type="dxa"/>
          <w:right w:w="28" w:type="dxa"/>
        </w:tblCellMar>
      </w:tblPr>
      <w:tblGrid>
        <w:gridCol w:w="1716"/>
        <w:gridCol w:w="1508"/>
        <w:gridCol w:w="1515"/>
        <w:gridCol w:w="211"/>
        <w:gridCol w:w="976"/>
        <w:gridCol w:w="109"/>
        <w:gridCol w:w="109"/>
        <w:gridCol w:w="109"/>
        <w:gridCol w:w="109"/>
        <w:gridCol w:w="211"/>
        <w:gridCol w:w="97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7.375% Senior Notes due 2032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discounts, net of debt premiums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short-term debt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increase in other debt is primarily related to debt acquired as part of a tuck-in acquisition completed during the second quarter of fiscal year 2026 within our PrintBrothers reportable segment.</w:t>
      </w:r>
    </w:p>
    <w:p>
      <w:pPr>
        <w:pStyle w:val="TextBody"/>
        <w:bidi w:val="0"/>
        <w:spacing w:lineRule="auto" w:line="288" w:before="100" w:after="220"/>
        <w:ind w:left="0" w:right="0" w:hanging="270"/>
        <w:jc w:val="left"/>
        <w:rPr/>
      </w:pPr>
      <w:r>
        <w:rPr>
          <w:rFonts w:ascii="Arial;sans-serif" w:hAnsi="Arial;sans-serif"/>
          <w:b w:val="false"/>
          <w:color w:val="000000"/>
          <w:sz w:val="16"/>
        </w:rPr>
        <w:t>(2) Balances as of March 31, 2026 and June 30, 2025 are inclusive of short-term debt issuance costs, debt premiums and discounts of $4,892 and $4,895</w:t>
      </w:r>
      <w:r>
        <w:rPr>
          <w:rFonts w:ascii="Times New Roman;serif" w:hAnsi="Times New Roman;serif"/>
          <w:b w:val="false"/>
          <w:color w:val="000000"/>
          <w:sz w:val="20"/>
        </w:rPr>
        <w:t xml:space="preserve">, </w:t>
      </w:r>
      <w:r>
        <w:rPr>
          <w:rFonts w:ascii="Arial;sans-serif" w:hAnsi="Arial;sans-serif"/>
          <w:b w:val="false"/>
          <w:color w:val="000000"/>
          <w:sz w:val="16"/>
        </w:rPr>
        <w:t>respectively.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March 31, 2026, we were in compliance with all covenants in those debt contracts, including our amended and restated senior secured credit agreement dated as of May 17, 2021 (as further amended from time to time, the "Restated Credit Agreement") and the indenture governing our 7.375% senior unsecured notes due September 15, 2032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entered into a Restated Credit Agreement which consists of the following as of March 31,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 $1,064,711 USD Tranche that bears interest at Term SOFR (with a Term SOFR rate floor of 0.50%) plus 2.50%, which amortizes over the loan period, with a final maturity date of May 17, 2028, and</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a $250,000 senior secured revolving credit facility with a maturity date of September 26, 2029 (the “Revolving Credit Facility”), with no outstanding borrowings for any periods presented.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Borrowings under the Revolving Credit Facility bear interest at Term SOFR (with a Term SOFR rate floor of 0%) plus 2.25% to 3.00% depending on the Company’s First Lien Leverage Ratio, a net leverage calculation, as defined in the Restated Credit Agreement.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the weighted-average interest rate on outstanding borrowings under the Restated Credit Agreement was 5.88%, inclusive of interest rate swap rates. We are also required to pay a commitment fee for our Revolving Credit Facility on unused balances of 0.30% to 0.45% depending on our First Lien Leverage Ratio. We have pledged the assets and/or share capital of a number of our subsidiaries as collateral under our Restated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21" name="Frame2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Notes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issued $525,000 in 2032 Notes, which are unsecured. We can redeem some or all of the 2032 Notes at the redemption prices specified in the indenture that governs the 2032 Notes, plus accrued and unpaid interest to, but not including, the redemption date. As of March 31, 2026, we have not redeemed any of the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Debt</w:t>
      </w:r>
    </w:p>
    <w:p>
      <w:pPr>
        <w:pStyle w:val="TextBody"/>
        <w:bidi w:val="0"/>
        <w:spacing w:lineRule="auto" w:line="288" w:before="100" w:after="100"/>
        <w:ind w:left="0" w:right="0" w:firstLine="720"/>
        <w:jc w:val="left"/>
        <w:rPr/>
      </w:pPr>
      <w:r>
        <w:rPr>
          <w:rFonts w:ascii="Arial;sans-serif" w:hAnsi="Arial;sans-serif"/>
          <w:b w:val="false"/>
          <w:color w:val="000000"/>
          <w:sz w:val="20"/>
        </w:rPr>
        <w:t>Other debt primarily consists of term loans acquired through acquisitions or used to fund certain capital investments. As of March 31, 2026 and June 30, 2025, we had $14,792</w:t>
      </w:r>
      <w:r>
        <w:rPr>
          <w:color w:val="000000"/>
        </w:rPr>
        <w:t xml:space="preserve"> </w:t>
      </w:r>
      <w:r>
        <w:rPr>
          <w:rFonts w:ascii="Arial;sans-serif" w:hAnsi="Arial;sans-serif"/>
          <w:b w:val="false"/>
          <w:color w:val="000000"/>
          <w:sz w:val="20"/>
        </w:rPr>
        <w:t>and $6,695, respectively, outstanding for those obligations that are payable through September 2037.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pPr>
      <w:r>
        <w:rPr>
          <w:rFonts w:ascii="Arial;sans-serif" w:hAnsi="Arial;sans-serif"/>
          <w:b/>
          <w:color w:val="000000"/>
          <w:sz w:val="20"/>
        </w:rPr>
        <w:t>9. Income Taxes</w:t>
      </w:r>
      <w:r>
        <w:rPr>
          <w:color w:val="000000"/>
        </w:rPr>
        <w:t xml:space="preserve"> </w:t>
      </w:r>
    </w:p>
    <w:p>
      <w:pPr>
        <w:pStyle w:val="TextBody"/>
        <w:bidi w:val="0"/>
        <w:spacing w:lineRule="auto" w:line="288" w:before="100" w:after="100"/>
        <w:ind w:left="0" w:right="0" w:firstLine="720"/>
        <w:jc w:val="left"/>
        <w:rPr/>
      </w:pPr>
      <w:r>
        <w:rPr>
          <w:rFonts w:ascii="Arial;sans-serif" w:hAnsi="Arial;sans-serif"/>
          <w:b w:val="false"/>
          <w:color w:val="000000"/>
          <w:sz w:val="20"/>
        </w:rPr>
        <w:t xml:space="preserve">Our income tax expense was $11,709 and $42,884 for the three and nine months ended March 31, 2026, respectively, as compared to $12,144 and $42,290 for the three and nine months ended March 31, 2025, respectively. For the three and nine months ended March 31, 2026, income tax expense was in line with the prior comparative periods. </w:t>
      </w:r>
      <w:r>
        <w:rPr>
          <w:rFonts w:ascii="Arial;sans-serif" w:hAnsi="Arial;sans-serif"/>
          <w:b w:val="false"/>
          <w:color w:val="000000"/>
          <w:sz w:val="20"/>
          <w:shd w:fill="FFFFFF" w:val="clear"/>
        </w:rPr>
        <w:t>O</w:t>
      </w:r>
      <w:r>
        <w:rPr>
          <w:rFonts w:ascii="Arial;sans-serif" w:hAnsi="Arial;sans-serif"/>
          <w:b w:val="false"/>
          <w:color w:val="000000"/>
          <w:sz w:val="20"/>
        </w:rPr>
        <w:t>ur effective tax rate continues to be negatively impacted by losses in certain jurisdictions where we are unable to recognize a tax benefit in the current period. These losses with no tax benefit were excluded in calculating income tax expense for all periods presented, in accordance with GAAP. We continuously analyze our valuation allowance positions and the weight of objective and verifiable evidence of actual results against the more subjective evidence of anticipated future income.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we had unrecognized tax benefits of $14,086, including accrued interest and penalties of $55. We recognize interest and, if applicable, penalties related to unrecognized tax benefits in the provision for income taxes. If recognized, $1,328 of unrecognized tax benefits would reduce our tax expense. It is reasonably possible that a reduction in unrecognized tax benefits may occur within the next twelve months in the range of $1,500 to $1,600 related to the lapse of applicable statutes of limitations or settlement. We believe we have appropriately provided for all tax uncertainties.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conduct business in a number of tax jurisdictions and, as such, are required to file income tax returns in multiple jurisdictions globally. The years 2014 through 2025 remain open for examination by the U.S. Internal Revenue Service and the years 2015 through 2025 remain open for examination in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10. Noncontrolling Interests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These noncontrolling interests span multiple businesses and reportable segments.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 We recognize redeemable noncontrolling interests at fair value on the sale or acquisition date and adjust to the redemption value on a periodic basis with the offset to retained earnings in the consolidated balance sheet. If the formulaic redemption value exceeds the fair value of the noncontrolling interest, then the accretion to redemption value is offset to the net (income) loss attributable to noncontrolling interest in our consolidated statement of operations.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Redeemable Noncontrolling Interests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2026, we completed the sale of an 8.75% aggregate equity interest in each of the businesses within our PrintBrothers reportable segment to certain members of the management team in exchange for cash proceeds of €21,000 ($24,814 based on the exchange rate in effect on the date we received the proceeds).The management team member minority interest holders are subject to a 10-year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2" name="Frame2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lock-up period and noncompete restrictions and hold the right, starting in 2036, to sell their interests to us at a price that considers specified market inputs. We recognized the redeemable noncontrolling interest at the estimated fair value of €53,000 ($61,498 based on the exchange rate in effect on the date we completed the sale).</w:t>
      </w:r>
    </w:p>
    <w:p>
      <w:pPr>
        <w:pStyle w:val="TextBody"/>
        <w:bidi w:val="0"/>
        <w:spacing w:lineRule="auto" w:line="288" w:before="100" w:after="100"/>
        <w:ind w:left="0" w:right="0" w:firstLine="720"/>
        <w:jc w:val="left"/>
        <w:rPr/>
      </w:pPr>
      <w:r>
        <w:rPr>
          <w:rFonts w:ascii="Arial;sans-serif" w:hAnsi="Arial;sans-serif"/>
          <w:b w:val="false"/>
          <w:color w:val="000000"/>
          <w:sz w:val="20"/>
        </w:rPr>
        <w:t xml:space="preserve">We concluded that the arrangement includes elements that are recognized in accordance with ASC 718, </w:t>
      </w:r>
      <w:r>
        <w:rPr>
          <w:rFonts w:ascii="Arial;sans-serif" w:hAnsi="Arial;sans-serif"/>
          <w:b w:val="false"/>
          <w:i/>
          <w:color w:val="000000"/>
          <w:sz w:val="20"/>
        </w:rPr>
        <w:t xml:space="preserve">Stock Compensation, </w:t>
      </w:r>
      <w:r>
        <w:rPr>
          <w:rFonts w:ascii="Arial;sans-serif" w:hAnsi="Arial;sans-serif"/>
          <w:b w:val="false"/>
          <w:color w:val="000000"/>
          <w:sz w:val="20"/>
        </w:rPr>
        <w:t>since the counterparties to the agreement are current members of the respective management teams. Consequently, we recognized an asset of $36,684 for the difference between the estimated fair value of the redeemable noncontrolling interest and the cash consideration received. This asset will be recognized as share-based compensation expense over the noncompete period, which extends two years beyond the lock-up period, or over a 12 year period. As of March 31, 2026, $2,656 of this asset is recognized within prepaid expenses and other current assets, and $31,652 is recognized within other assets in our consolidated balance sheets.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March 31, 2026, the estimated redemption value of these redeemable noncontrolling interests was below the carrying value and therefore no adjustments were recognized.</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10029" w:type="dxa"/>
        <w:jc w:val="left"/>
        <w:tblInd w:w="0" w:type="dxa"/>
        <w:tblLayout w:type="fixed"/>
        <w:tblCellMar>
          <w:top w:w="28" w:type="dxa"/>
          <w:left w:w="28" w:type="dxa"/>
          <w:bottom w:w="28" w:type="dxa"/>
          <w:right w:w="28" w:type="dxa"/>
        </w:tblCellMar>
      </w:tblPr>
      <w:tblGrid>
        <w:gridCol w:w="2057"/>
        <w:gridCol w:w="1807"/>
        <w:gridCol w:w="1820"/>
        <w:gridCol w:w="486"/>
        <w:gridCol w:w="1662"/>
        <w:gridCol w:w="251"/>
        <w:gridCol w:w="109"/>
        <w:gridCol w:w="109"/>
        <w:gridCol w:w="109"/>
        <w:gridCol w:w="410"/>
        <w:gridCol w:w="908"/>
        <w:gridCol w:w="301"/>
      </w:tblGrid>
      <w:tr>
        <w:trPr/>
        <w:tc>
          <w:tcPr>
            <w:tcW w:w="205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 of noncontrolling interests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Fair value adjustment from sale of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Accretion to redemption value recognized in retained earnings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 to purchase price recognized in additional paid in capital</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 of noncontrolling interests (1)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2026</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70,204 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pPr>
      <w:r>
        <w:rPr>
          <w:rFonts w:ascii="Arial;sans-serif" w:hAnsi="Arial;sans-serif"/>
          <w:b w:val="false"/>
          <w:color w:val="000000"/>
          <w:sz w:val="16"/>
        </w:rPr>
        <w:t>(1) In the second quarter of fiscal year 2026, the minority equity interest holders for one of our smaller businesses within the PrintBrothers reportable segment exercised their put option, which resulted in our purchase of the remaining noncontrolling interests for $11,909</w:t>
      </w:r>
      <w:r>
        <w:rPr>
          <w:rFonts w:ascii="Arial;sans-serif" w:hAnsi="Arial;sans-serif"/>
          <w:b w:val="false"/>
          <w:color w:val="EE2724"/>
          <w:sz w:val="16"/>
        </w:rPr>
        <w:t xml:space="preserve">. </w:t>
      </w:r>
      <w:r>
        <w:rPr>
          <w:rFonts w:ascii="Arial;sans-serif" w:hAnsi="Arial;sans-serif"/>
          <w:b w:val="false"/>
          <w:color w:val="000000"/>
          <w:sz w:val="16"/>
        </w:rPr>
        <w:t>In the third quarter of fiscal year 2026, we purchased the remaining noncontrolling interests in another of our smaller businesses within the PrintBrothers reportable segment for $1,792.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11. Segment Information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we have numerous operating segments under our management reporting structure which are reported in the following five reportable segments: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VistaPrint </w:t>
      </w:r>
      <w:r>
        <w:rPr>
          <w:rFonts w:ascii="Arial;sans-serif" w:hAnsi="Arial;sans-serif"/>
          <w:b w:val="false"/>
          <w:color w:val="000000"/>
          <w:sz w:val="20"/>
        </w:rPr>
        <w:t>- Consists of the operations of our VistaPrint branded websites in North America, Western Europe, Australia, New Zealand, India, and Singapore. This business also includes our 99designs by Vista business, which provides graphic design services, VistaCreate for do-it-yourself (DIY) design, our Vista x Wix partnership for small business websites, and our VistaPrint Corporate Solutions business, which serves medium-sized businesses and large corporations.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druck.at, Printdeal, and WIRmachenDRUCK, a group of Upload &amp; Print businesses that serve graphic professionals throughout Europe, primarily in Austria, Belgium, Germany, the Netherlands, and Switzerland.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Includes the results of Easyflyer, Exaprint, Packstyle, Pixartprinting, and Tradeprint, a group of Upload &amp; Print businesses that serve graphic professionals throughout Europe, primarily in France, Italy, Spain, and the United Kingdom. Pixartprinting's U.S. facility went live in March 2025, fulfilling orders for third-party customers and other Cimpress businesses.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Serves small businesses across geographies including North America, Europe, and Australia. The pens.com branded business sells through their ecommerce site and is supported by digital marketing methods as well as direct mail and telesales. National Pen focuses on customized writing instruments and promotional products, apparel, and gifts for small- and medium-sized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3" name="Frame2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Includes two businesses grouped together based on materiality.</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BuildASign is a provider of canvas-print wall décor, business signage and other large-format printed products.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Printi, a smaller business that is an online printing leader in Brazil.</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year 2026, we made updates to our previously implemented methodology for inter-segment transactions, which is used for purposes of measuring and reporting our segment financial performance. These transactions occur when one Cimpress business chooses to buy from or sell to another Cimpress business. Under the updated methodology, a merchant business (the buyer) is cross charged the variable cost of fulfillment that includes labor, materials and shipping costs, but excludes the overhead allocation that was previously included. A fulfiller business (the seller) receives inter-segment revenue that includes the variable cost of fulfillment plus a markup, as well as the shipping costs. The fulfiller profit is included in the fulfiller’s segment results, but eliminated from consolidated reporting through an inter-segment EBITDA elimination. The updated approach allows our merchant businesses to access the ultimate Cimpress variable cost of fulfillment for a given product and therefore that ultimate Cimpress variable cost can be used to determine pricing, advertising spend, and other operational decisions. We made this change to simplify the inputs required for our businesses to transact with each other, and also to set the right incentives to drive increased use of our internal production capabilities. We have recast our historical segment results for all periods presented to ensure comparability with the updated methodology. These changes in methodology have no impact on our consolidated financial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year 2026, we updated our internal organizational structure which included the transfer of two teams from our VistaPrint reportable segment into our central functions. The change is intended to drive efficiencies through those functions. We have updated our segment presentation for all periods presented to reflect these changes.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real estate, corporate communications, consolidated reporting and compliance, investor relations, and the functions of our CEO and CFO. These costs also include certain unallocated share-based compensation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4" name="Frame2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8678" w:type="dxa"/>
        <w:jc w:val="center"/>
        <w:tblInd w:w="0" w:type="dxa"/>
        <w:tblLayout w:type="fixed"/>
        <w:tblCellMar>
          <w:top w:w="28" w:type="dxa"/>
          <w:left w:w="28" w:type="dxa"/>
          <w:bottom w:w="28" w:type="dxa"/>
          <w:right w:w="28" w:type="dxa"/>
        </w:tblCellMar>
      </w:tblPr>
      <w:tblGrid>
        <w:gridCol w:w="936"/>
        <w:gridCol w:w="823"/>
        <w:gridCol w:w="79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(1) The prior-period segment results have been adjusted to ensure comparability with the updated methodology used for inter-segment transactions. Refer to the discussion above for further details.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Refer to the "Revenue by Geographic Region" tables below for detail of the inter-segment revenue within each respective segment.</w:t>
      </w: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2026</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928,200 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93,007 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886,209 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2026</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2,915,452 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2,791,688 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0"/>
        <w:gridCol w:w="582"/>
        <w:gridCol w:w="586"/>
        <w:gridCol w:w="211"/>
        <w:gridCol w:w="826"/>
        <w:gridCol w:w="109"/>
        <w:gridCol w:w="109"/>
        <w:gridCol w:w="109"/>
        <w:gridCol w:w="109"/>
        <w:gridCol w:w="211"/>
        <w:gridCol w:w="826"/>
        <w:gridCol w:w="109"/>
        <w:gridCol w:w="109"/>
        <w:gridCol w:w="109"/>
        <w:gridCol w:w="109"/>
        <w:gridCol w:w="217"/>
        <w:gridCol w:w="744"/>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8"/>
      </w:tblGrid>
      <w:tr>
        <w:trPr/>
        <w:tc>
          <w:tcPr>
            <w:tcW w:w="7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2025</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372,676 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(1)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816,056 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82,623 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789,468 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5" name="Frame2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6"/>
        <w:gridCol w:w="379"/>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2025</w:t>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(1)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(1) The prior-period segment results have been adjusted to ensure comparability with the updated methodology used for inter-segment transactions. Refer to the discussion above for further details. </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tables include segment revenue and significant segment expenses by reportable segment, as well as our reported measure of segment profit or loss, EBITDA, by reportable segment for the three and nine months ended March 31, 2026 and 2025. Total segment EBITDA shown in the tables below is prior to inter-segment eliminations. Refer to the subsequent table for a reconciliation of total segment EBITDA to income from operations and income (loss) before income taxes.</w:t>
      </w:r>
    </w:p>
    <w:tbl>
      <w:tblPr>
        <w:tblW w:w="9873" w:type="dxa"/>
        <w:jc w:val="left"/>
        <w:tblInd w:w="0" w:type="dxa"/>
        <w:tblLayout w:type="fixed"/>
        <w:tblCellMar>
          <w:top w:w="28" w:type="dxa"/>
          <w:left w:w="28" w:type="dxa"/>
          <w:bottom w:w="28" w:type="dxa"/>
          <w:right w:w="28" w:type="dxa"/>
        </w:tblCellMar>
      </w:tblPr>
      <w:tblGrid>
        <w:gridCol w:w="1087"/>
        <w:gridCol w:w="955"/>
        <w:gridCol w:w="9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2026</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9"/>
        <w:gridCol w:w="944"/>
        <w:gridCol w:w="94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7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Cost of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6" name="Frame2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7"/>
        <w:gridCol w:w="944"/>
        <w:gridCol w:w="94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and the transfer of two functions between our VistaPrint reportable segment and central and corporate costs. Refer to the discussion above for further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For each reportable segment, other operating expenses consists primarily of marketing and selling expense (excluding advertising expenses), technology and development expense and general and administrative expense.</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(3) Other segment items primarily are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(4) Total segment EBITDA was $143,115 and $472,642 for the three and nine months ended March 31, 2026, respectively, as compared to $125,697 and $414,011 for the three and nine months ended March 31, 2025,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before income taxes as outlined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310"/>
                <wp:effectExtent l="0" t="0" r="0" b="0"/>
                <wp:wrapNone/>
                <wp:docPr id="27" name="Frame2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total segment EBITDA, total income from operations and total income before income taxes:</w:t>
      </w:r>
    </w:p>
    <w:tbl>
      <w:tblPr>
        <w:tblW w:w="9503" w:type="dxa"/>
        <w:jc w:val="left"/>
        <w:tblInd w:w="0" w:type="dxa"/>
        <w:tblLayout w:type="fixed"/>
        <w:tblCellMar>
          <w:top w:w="28" w:type="dxa"/>
          <w:left w:w="28" w:type="dxa"/>
          <w:bottom w:w="28" w:type="dxa"/>
          <w:right w:w="28" w:type="dxa"/>
        </w:tblCellMar>
      </w:tblPr>
      <w:tblGrid>
        <w:gridCol w:w="1331"/>
        <w:gridCol w:w="1169"/>
        <w:gridCol w:w="11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Certain impairments and other adjustments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the discussion above for further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Includes the elimination of inter-segment profit that relates to cross-Cimpress transactions in which the merchant business is cross charged the variable cost of fulfillment and the fulfiller business receives a markup on the cost to fulfill the related orders. These inter-segment profits are eliminated at a consolidated level. Refer to the discussion above regarding our updated methodology for inter-segment transactions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(3) Depreciation and amortization includes costs within our central and corporate costs of $5,616 and $17,059 for the three and nine months ended March 31, 2026, respectively, as compared to $5,537 and $17,369 for the three and nine months ended March 31, 2025, respectively. </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purchases of property, plant, and equipment by reportable segment:</w:t>
      </w:r>
    </w:p>
    <w:tbl>
      <w:tblPr>
        <w:tblW w:w="9517" w:type="dxa"/>
        <w:jc w:val="center"/>
        <w:tblInd w:w="0" w:type="dxa"/>
        <w:tblLayout w:type="fixed"/>
        <w:tblCellMar>
          <w:top w:w="28" w:type="dxa"/>
          <w:left w:w="28" w:type="dxa"/>
          <w:bottom w:w="28" w:type="dxa"/>
          <w:right w:w="28" w:type="dxa"/>
        </w:tblCellMar>
      </w:tblPr>
      <w:tblGrid>
        <w:gridCol w:w="1488"/>
        <w:gridCol w:w="1306"/>
        <w:gridCol w:w="13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During the three months ended March 31, 2026, we reclassified capital expenditures from our central and corporate costs to our VistaPrint reportable segment for investments made during the first half of the current fiscal year in new manufacturing capabilities in our North American market. The impact was not material to prior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310"/>
                <wp:effectExtent l="0" t="0" r="0" b="0"/>
                <wp:wrapNone/>
                <wp:docPr id="28" name="Frame2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capitalization of software and website development costs by reportable segment:</w:t>
      </w:r>
    </w:p>
    <w:tbl>
      <w:tblPr>
        <w:tblW w:w="10205" w:type="dxa"/>
        <w:jc w:val="left"/>
        <w:tblInd w:w="0" w:type="dxa"/>
        <w:tblLayout w:type="fixed"/>
        <w:tblCellMar>
          <w:top w:w="28" w:type="dxa"/>
          <w:left w:w="28" w:type="dxa"/>
          <w:bottom w:w="28" w:type="dxa"/>
          <w:right w:w="28" w:type="dxa"/>
        </w:tblCellMar>
      </w:tblPr>
      <w:tblGrid>
        <w:gridCol w:w="1735"/>
        <w:gridCol w:w="1528"/>
        <w:gridCol w:w="15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539" w:type="dxa"/>
        <w:jc w:val="left"/>
        <w:tblInd w:w="0" w:type="dxa"/>
        <w:tblLayout w:type="fixed"/>
        <w:tblCellMar>
          <w:top w:w="28" w:type="dxa"/>
          <w:left w:w="28" w:type="dxa"/>
          <w:bottom w:w="28" w:type="dxa"/>
          <w:right w:w="28" w:type="dxa"/>
        </w:tblCellMar>
      </w:tblPr>
      <w:tblGrid>
        <w:gridCol w:w="679"/>
        <w:gridCol w:w="596"/>
        <w:gridCol w:w="600"/>
        <w:gridCol w:w="211"/>
        <w:gridCol w:w="826"/>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Tunisia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Excludes goodwill of $817,929 and $826,156, intangible assets, net of $51,617 and $58,348, and deferred tax assets of $55,465 and $61,086 as of March 31, 2026 and June 30, 2025, respectively.</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The increase is related to investments in new manufacturing capabilities to support our North American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 xml:space="preserve">Supply Chain Finance Program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March 31, 2026 and June 30, 2025 were $67,005 and $64,854,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310"/>
                <wp:effectExtent l="0" t="0" r="0" b="0"/>
                <wp:wrapNone/>
                <wp:docPr id="29" name="Frame2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At March 31, 2026, we had unrecorded commitments under contract of $350,952, including third-party cloud services of $225,930; inventory, third-party fulfillment and digital service purchase commitments of $68,961; software of $35,289; insurance costs of $5,451; professional and consulting fees of $4,500; production-related temporary labor of $3,268; advertising of $2,924; production and computer equipment purchases of $2,538; and other unrecorded purchase commitments of $2,091.</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are not currently party to any legal proceedings we believe to be material.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310"/>
                <wp:effectExtent l="0" t="0" r="0" b="0"/>
                <wp:wrapNone/>
                <wp:docPr id="30" name="Frame3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00"/>
        <w:jc w:val="left"/>
        <w:rPr/>
      </w:pPr>
      <w:r>
        <w:rPr>
          <w:rFonts w:ascii="Arial;sans-serif" w:hAnsi="Arial;sans-serif"/>
          <w:b/>
          <w:color w:val="000000"/>
          <w:sz w:val="20"/>
        </w:rPr>
        <w:t xml:space="preserve">Item 2.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80" w:after="283"/>
        <w:ind w:left="0" w:right="0" w:firstLine="72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duration, and severity of supply chain constraints and fluctuating inflation; our inability to make investments in our businesses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that affect our businesses, or in their enforcement or interpretation,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2025 fiscal year, this Quarterly Report on Form 10-Q and subsequent documents we periodically file with the SEC.</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Executive Overview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we have numerous operating segments under our management reporting structure that are reported in the following five reportable segments: VistaPrint, PrintBrothers, The Print Group, National Pen, and All Other Businesses. For purposes of measuring and reporting our segment financial performance, we made updates to our previously implemented methodology for inter-segment transactions during the first quarter of fiscal 2026. These transactions occur when one Cimpress business buys from or sells to another Cimpress business. Under the updated methodology, a merchant business (the buyer) is cross charged the variable cost of fulfillment that includes labor, materials and shipping costs, which excludes the previously included overhead allocation. We also updated our internal organizational structure, which included the transfer of two teams from our VistaPrint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11 in our accompanying consolidated financial statements for additional information relating to our reportable segments and our segment financial measures.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Financial Summary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310"/>
                <wp:effectExtent l="0" t="0" r="0" b="0"/>
                <wp:wrapNone/>
                <wp:docPr id="31" name="Frame3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including revenue growth, constant-currency revenue growth, organic constant-currency revenue growth (which excludes the impact of acquisitions/divestitures), operating income, net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nine months ended March 31, 2026 as compared to the three and nine months ended March 31, 2025 follows: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Third Quarter Fiscal Year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Revenue increased by 12% to $886.2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Operating income increased by $8.6 million to $49.2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increased by $22.7 million to $14.6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EBITDA (a non-GAAP financial measure) increased by $9.8 million to $100.5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Diluted net income per share attributable to Cimpress plc increased by $0.88 to $0.55.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Year to Date Fiscal Year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Revenue increased by 10% to $2,791.7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Operating income increased by $25.4 million to $186.2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increased by $29.4 million to $70.7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EBITDA (a non-GAAP financial measure) increased by $27.4 million to $338.1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Diluted net income per share attributable to Cimpress plc increased by $1.25 to $2.81.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Cash provided by operating activities decreased by $17.4 million to $173.2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free cash flow (a non-GAAP financial measure) decreased by $25.2 million to $52.0 million.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2026, the increases in reported consolidated revenue were driven by external revenue growth across all of our reportable segments, as well as currency benefits and the addition of revenue from a recent tuck-in acquisition in our PrintBrothers reportable segment. The largest contributor of the organic constant-currency revenue growth was our VistaPrint business, driven by growth across all regions. Revenue growth continued to be strong across our assortment of elevated products.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increases to operating income of $8.6 million and $25.4 million during the three and nine months ended March 31, 2026, respectively, were primarily driven by gross profit growth due to the revenue growth discussed above, cost improvements, benefits from currency, and a tuck-in acquisition. Gross profit improved despite an increase year over year of $3.6 million and $5.0 million, respectively, of net start-up costs, including the effect of depreciation expense, associated with the expansion of our North America production network. This gross profit growth was partially offset by increases to operating expenses during the three and nine months ended March 31, 2026.</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Net income increased $22.7 million and $29.4 million during the three and nine months ended March 31, 2026, respectively, as compared to the prior-year periods. Both periods were partly impacted by volatility from higher unrealized hedging gains, as well as the impact of the operating income increases described above, and lower interest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increased by $9.8 million and $27.4 million during the three and nine months ended March 31, 2026, respectively, for similar reasons as the increase in operating income as described above, as well as $2.7 million and $9.7 million in year-over-year currency benefits, respectively. A tuck-in acquisition within the PrintBrothers reportable segment contributed an immaterial amount and $1.3 million to adjusted EBITDA for the three and nine months ended March 31, 2026, respectively. Adjusted EBITDA improved despite an increase year over year of $3.3 million and $5.2 million, respectively, of net start-up costs, excluding the effect of depreciation expense, associated with the expansion of our North America production network.</w:t>
      </w:r>
    </w:p>
    <w:p>
      <w:pPr>
        <w:pStyle w:val="TextBody"/>
        <w:bidi w:val="0"/>
        <w:spacing w:lineRule="auto" w:line="288" w:before="100" w:after="100"/>
        <w:ind w:left="0" w:right="0" w:firstLine="720"/>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nine months ended March 31, 2026</w:t>
      </w:r>
      <w:r>
        <w:rPr>
          <w:rFonts w:ascii="Arial;sans-serif" w:hAnsi="Arial;sans-serif"/>
          <w:b w:val="false"/>
          <w:color w:val="000000"/>
          <w:sz w:val="20"/>
          <w:shd w:fill="FFFFFF" w:val="clear"/>
        </w:rPr>
        <w:t xml:space="preserve">, cash from operations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shd w:fill="FFFFFF" w:val="clear"/>
        </w:rPr>
        <w:t xml:space="preserve">$17.4 million year over year, driven by less favorable changes in net working capital year over year of </w:t>
      </w:r>
      <w:r>
        <w:rPr>
          <w:rFonts w:ascii="Arial;sans-serif" w:hAnsi="Arial;sans-serif"/>
          <w:b w:val="false"/>
          <w:color w:val="000000"/>
          <w:sz w:val="20"/>
        </w:rPr>
        <w:t>$36.9 million, primarily due to timing items and unfavorable currency movements, as well as higher cash taxes, which were partially offset by the net income increase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310"/>
                <wp:effectExtent l="0" t="0" r="0" b="0"/>
                <wp:wrapNone/>
                <wp:docPr id="32" name="Frame3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decreased by $25.2 million for the nine months ended March 31, 2026, primarily driven by the decrease in cash flow from operations as described above. Adjusted free cash flow was also impacted by a $6.3 million increase in capital expenditures mainly driven by the expansion of our North America production network, and a $2.5 million increase in capitalized software and website development costs, primarily driven by investments in our mass customization platform and related technology enhancements.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U.S. Tariffs</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The U.S. tariff environment remains fluid. Cimpress businesses operate in the U.S., and we maintain fulfillment operations for U.S. customers in multiple locations across the U.S., Canada, and Mexico. During the three months ended March 31, 2026, the legal framework for U.S. tariffs was significantly altered by judicial and executive actions. On February 20, 2026, the U.S. Supreme Court invalidated using the International Emergency Economic Powers Act (IEEPA) as a basis to impose the broad tariffs that had been in place since May 2025. Following this ruling, the IEEPA-based duties were terminated and replaced, effective February 24, 2026, with a 10% global tariff under Section 122 of the Trade Act of 1974. By statute, this Section 122 surcharge is temporary and is currently scheduled to expire in July 2026 unless extended by Congress or replaced by other trade measures. The U.S. government is currently investigating additional avenues to implement more permanent tariffs.</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The primary impact of tariffs on Cimpress continues to be for promotional products that we source from China and several other countries. To date, we have continued to minimize most impacts through supply chain optimization and pricing changes.</w:t>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Following the invalidation of the IEEPA-based tariffs, the U.S. Court of International Trade ordered the U.S. government to establish a process for refunding these invalidated duties. As of April 20, 2026, the U.S. government has opened the Phase 1 application process for refunds, leading to the potential for refunds of duties paid between May 2025 and February 2026. As the importer of record for various impacted goods, we are pursuing all available avenues for reimbursement. Despite the commencement of this process, we have not recognized any benefit for those potential refunds, as the administrative mechanics and final eligibility determinations remain sufficiently unclear to preclude a reliable estimate of the timing or amount of recovery.</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VistaPrint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Total revenue and revenue growth by reportable segment for the three and nine months ended March 31, 2026 and 2025 are shown in the following tables. The revenue by reportable segment includes inter-segment transactions, which is when one Cimpress business chooses to buy from or sell to another Cimpress business that is part of a different reportable segment. These transactions are eliminated in the inter-segment elimination line in the tables below.</w:t>
      </w:r>
    </w:p>
    <w:tbl>
      <w:tblPr>
        <w:tblW w:w="10205" w:type="dxa"/>
        <w:jc w:val="left"/>
        <w:tblInd w:w="0" w:type="dxa"/>
        <w:tblLayout w:type="fixed"/>
        <w:tblCellMar>
          <w:top w:w="28" w:type="dxa"/>
          <w:left w:w="28" w:type="dxa"/>
          <w:bottom w:w="28" w:type="dxa"/>
          <w:right w:w="28" w:type="dxa"/>
        </w:tblCellMar>
      </w:tblPr>
      <w:tblGrid>
        <w:gridCol w:w="518"/>
        <w:gridCol w:w="408"/>
        <w:gridCol w:w="412"/>
        <w:gridCol w:w="211"/>
        <w:gridCol w:w="826"/>
        <w:gridCol w:w="109"/>
        <w:gridCol w:w="109"/>
        <w:gridCol w:w="109"/>
        <w:gridCol w:w="109"/>
        <w:gridCol w:w="211"/>
        <w:gridCol w:w="826"/>
        <w:gridCol w:w="109"/>
        <w:gridCol w:w="109"/>
        <w:gridCol w:w="109"/>
        <w:gridCol w:w="109"/>
        <w:gridCol w:w="205"/>
        <w:gridCol w:w="205"/>
        <w:gridCol w:w="206"/>
        <w:gridCol w:w="109"/>
        <w:gridCol w:w="109"/>
        <w:gridCol w:w="109"/>
        <w:gridCol w:w="325"/>
        <w:gridCol w:w="325"/>
        <w:gridCol w:w="329"/>
        <w:gridCol w:w="109"/>
        <w:gridCol w:w="109"/>
        <w:gridCol w:w="109"/>
        <w:gridCol w:w="262"/>
        <w:gridCol w:w="262"/>
        <w:gridCol w:w="267"/>
        <w:gridCol w:w="109"/>
        <w:gridCol w:w="109"/>
        <w:gridCol w:w="109"/>
        <w:gridCol w:w="359"/>
        <w:gridCol w:w="359"/>
        <w:gridCol w:w="360"/>
        <w:gridCol w:w="109"/>
        <w:gridCol w:w="109"/>
        <w:gridCol w:w="109"/>
        <w:gridCol w:w="488"/>
        <w:gridCol w:w="270"/>
        <w:gridCol w:w="391"/>
      </w:tblGrid>
      <w:tr>
        <w:trPr/>
        <w:tc>
          <w:tcPr>
            <w:tcW w:w="5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310"/>
                <wp:effectExtent l="0" t="0" r="0" b="0"/>
                <wp:wrapNone/>
                <wp:docPr id="33" name="Frame3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0"/>
        <w:gridCol w:w="389"/>
        <w:gridCol w:w="393"/>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Constant-currency revenue growth, a non-GAAP financial measure, represents the change in total revenue between current and prior-year periods at constant-currency exchange rates by translating all non-U.S. dollar denominated revenue generated in the current period using the prior-year period’s average exchange rate for each currency to the U.S. dollar. Our reportable segments-related growth is inclusive of inter-segment revenues, which are eliminated in our consolidated results.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bidi w:val="0"/>
        <w:spacing w:lineRule="auto" w:line="288" w:before="100" w:after="100"/>
        <w:jc w:val="left"/>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bidi w:val="0"/>
        <w:spacing w:lineRule="auto" w:line="288" w:before="200" w:after="100"/>
        <w:ind w:left="0" w:right="0" w:firstLine="720"/>
        <w:jc w:val="left"/>
        <w:rPr/>
      </w:pPr>
      <w:r>
        <w:rPr>
          <w:rFonts w:ascii="Arial;sans-serif" w:hAnsi="Arial;sans-serif"/>
          <w:b w:val="false"/>
          <w:color w:val="000000"/>
          <w:sz w:val="20"/>
        </w:rPr>
        <w:t>For the three and nine months ended March 31, 2026, the reported revenue growth of $96.7 million and $258.1 million, respectively, was primarily driven by revenue growth in our VistaPrint and PrintBrothers reportable segments. Revenue was positively impacted by $47.2 million and $113.3 million, respectively, from currency exchange rate fluctuations as compared to the prior-year periods. Excluding the effect of changes in currency exchange rates and inter-segment revenue, the largest increases in revenue were from our VistaPrint business with increases of $13.5 million and $54.5 million, respectively, for the three and nine months ended March 31, 2026. VistaPrint revenue was higher year over year across all regions, with strong growth in elevated products.</w:t>
      </w:r>
      <w:r>
        <w:rPr>
          <w:color w:val="EE2724"/>
        </w:rPr>
        <w:t xml:space="preserve"> </w:t>
      </w:r>
      <w:r>
        <w:rPr>
          <w:rFonts w:ascii="Arial;sans-serif" w:hAnsi="Arial;sans-serif"/>
          <w:b w:val="false"/>
          <w:color w:val="000000"/>
          <w:sz w:val="20"/>
        </w:rPr>
        <w:t>Our PrintBrothers reportable segment also contributed $24.8 million and $60.5 million, respectively, of increased revenue for the three and nine months ended March 31, 2026, excluding the effect of changes in currency exchange rates and inter-segment revenue, partly driven by $15.1 million and $34.6 million, respectively, from the addition of revenue from a recently acquired business, as well as new customer and order volume growth.</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additional discussion relating to segment revenue results, refer to the "Reportable Segment Results" section included below.</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tbl>
      <w:tblPr>
        <w:tblW w:w="8260" w:type="dxa"/>
        <w:jc w:val="center"/>
        <w:tblInd w:w="0" w:type="dxa"/>
        <w:tblLayout w:type="fixed"/>
        <w:tblCellMar>
          <w:top w:w="28" w:type="dxa"/>
          <w:left w:w="28" w:type="dxa"/>
          <w:bottom w:w="28" w:type="dxa"/>
          <w:right w:w="28" w:type="dxa"/>
        </w:tblCellMar>
      </w:tblPr>
      <w:tblGrid>
        <w:gridCol w:w="537"/>
        <w:gridCol w:w="473"/>
        <w:gridCol w:w="47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271"/>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1,491,972 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2026, year-over-year cost of revenue increased by $60.1 million and $163.0 million, respectively, driven by higher internal manufacturing costs of $18.9 million and $57.3 million, respectively, and higher shipping costs of $4.8 million and $19.0 million, respectively, primarily driven by volume-related increases. Internal manufacturing costs were also impacted by start-up costs from the expansion of our North America production network of $4.6 million and $7.6 million, respectively, and costs from a recent tuck-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310"/>
                <wp:effectExtent l="0" t="0" r="0" b="0"/>
                <wp:wrapNone/>
                <wp:docPr id="34" name="Frame3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acquisition in the PrintBrothers reportable segment of $6.7 million and $14.9 million, respectively. The increase in cost of revenue was also influenced by higher third-party fulfillment costs of $23.0 million and $56.3 million, respectively, partly due to business and product mix shifts that leverage our third-party fulfillment network. The cost of revenue increase was impacted by tariff-related cost increases in the U.S., which were more pronounced during the first half of the fiscal year and have largely been offset by price increases, as well as the impact of currency exchange rate fluctuations of $30.0 million and $69.8 million, respectively. These increases were partially offset by a year-over-year benefit from the non-recurrence of a $2.6 million impairment charge, recognized in the three months ended March 31, 2025, related to the sale of a facility in our National Pen business. </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Operating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10205" w:type="dxa"/>
        <w:jc w:val="left"/>
        <w:tblInd w:w="0" w:type="dxa"/>
        <w:tblLayout w:type="fixed"/>
        <w:tblCellMar>
          <w:top w:w="28" w:type="dxa"/>
          <w:left w:w="28" w:type="dxa"/>
          <w:bottom w:w="28" w:type="dxa"/>
          <w:right w:w="28" w:type="dxa"/>
        </w:tblCellMar>
      </w:tblPr>
      <w:tblGrid>
        <w:gridCol w:w="761"/>
        <w:gridCol w:w="591"/>
        <w:gridCol w:w="594"/>
        <w:gridCol w:w="211"/>
        <w:gridCol w:w="826"/>
        <w:gridCol w:w="271"/>
        <w:gridCol w:w="109"/>
        <w:gridCol w:w="109"/>
        <w:gridCol w:w="109"/>
        <w:gridCol w:w="211"/>
        <w:gridCol w:w="826"/>
        <w:gridCol w:w="271"/>
        <w:gridCol w:w="109"/>
        <w:gridCol w:w="109"/>
        <w:gridCol w:w="109"/>
        <w:gridCol w:w="195"/>
        <w:gridCol w:w="183"/>
        <w:gridCol w:w="185"/>
        <w:gridCol w:w="109"/>
        <w:gridCol w:w="109"/>
        <w:gridCol w:w="109"/>
        <w:gridCol w:w="211"/>
        <w:gridCol w:w="826"/>
        <w:gridCol w:w="271"/>
        <w:gridCol w:w="109"/>
        <w:gridCol w:w="109"/>
        <w:gridCol w:w="109"/>
        <w:gridCol w:w="211"/>
        <w:gridCol w:w="826"/>
        <w:gridCol w:w="271"/>
        <w:gridCol w:w="109"/>
        <w:gridCol w:w="109"/>
        <w:gridCol w:w="109"/>
        <w:gridCol w:w="109"/>
        <w:gridCol w:w="109"/>
        <w:gridCol w:w="186"/>
        <w:gridCol w:w="175"/>
        <w:gridCol w:w="250"/>
      </w:tblGrid>
      <w:tr>
        <w:trPr/>
        <w:tc>
          <w:tcPr>
            <w:tcW w:w="7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6"/>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507%</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 primarily consists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2026, year-over-year technology and development expense increased by $3.8 million and $13.0 million, respectively, primarily driven by higher year-over-year cash compensation costs of $2.0 million and $6.5 million, respectively, due in part by our annual merit cycle. Amortization of capitalized software increased year over year by $1.6 million and $3.6 million, respectively, due to continued investment in technology capabilities across many of our businesses. For the three months ended March 31,2026, third-party technology costs declined $0.7 million, which was mostly driven by the timing of certain vendor rebates, that more than offset increases due to growth in business volume. For the nine months ended March 31, 2026, third-party technology costs increased $4.4 million, primarily driven by growth in business volume, partially offset by certain vendor rebates received in the third quarter.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Marketing and selling expense primarily consists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PrintBrothers and The Print Group businesses due to differences in the customers that they serve.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2026, year-over-year marketing and selling expenses increased by $15.2 million and $44.1 million, respectively, partly due to higher year-over-year advertising spend of $3.3 million and $17.9 million, respectively, largely due to volume-driven increases, as well as targeted advertising investments in certain businesses. Despite those increases, advertising expense as a percentage of revenue was lower year over year for both periods presented. In addition, the marketing and selling expense increases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5" name="Frame3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higher cash compensation costs of $7.9 million and $19.0 million, respectively, driven in part by our annual merit cycle.</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primarily consists of transaction costs, including third-party professional fees, insurance, and payroll and related expenses of employees involved in executive management, finance, legal, strategy, human resources, and procurement.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2026, year-over-year general and administrative expenses increased by $8.4 million and $13.7 million, respectively, driven by higher year-over-year cash compensation costs of $4.9 million and $10.8 million, respectively, primarily from our annual merit cycle, as well as higher year-over-year share-based compensation of $1.2 million and $1.0 million, respectively. These increases were partially offset by lower long-term incentive cash compensation costs of $0.7 million and $3.6 million, respectively, due to changes in the estimated payout for certain businesses. In addition, for the nine months ended March 31, 2026, the increase was impacted by a $1.9 million expense associated with a sales tax reserve, more than offset by a year-over-year benefit from the non-recurrence of a $2.9 million charge recognized in the nine months ended March 31, 2025 for a land duty tax that we continue to contest in Australia related to our 2019 redomiciliation to Ireland.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Other Consolidated Results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income (expense),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 the benefits of hedge accounting relative to the additional economic cost of trade execution and administrative burden. Based on this analysis, we execute certain currency derivative contracts that do not qualify for hedge accounting.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income (expense), net: </w:t>
      </w:r>
    </w:p>
    <w:tbl>
      <w:tblPr>
        <w:tblW w:w="10205" w:type="dxa"/>
        <w:jc w:val="center"/>
        <w:tblInd w:w="0" w:type="dxa"/>
        <w:tblLayout w:type="fixed"/>
        <w:tblCellMar>
          <w:top w:w="28" w:type="dxa"/>
          <w:left w:w="28" w:type="dxa"/>
          <w:bottom w:w="28" w:type="dxa"/>
          <w:right w:w="28" w:type="dxa"/>
        </w:tblCellMar>
      </w:tblPr>
      <w:tblGrid>
        <w:gridCol w:w="1780"/>
        <w:gridCol w:w="1475"/>
        <w:gridCol w:w="1479"/>
        <w:gridCol w:w="211"/>
        <w:gridCol w:w="721"/>
        <w:gridCol w:w="109"/>
        <w:gridCol w:w="109"/>
        <w:gridCol w:w="109"/>
        <w:gridCol w:w="109"/>
        <w:gridCol w:w="211"/>
        <w:gridCol w:w="782"/>
        <w:gridCol w:w="109"/>
        <w:gridCol w:w="109"/>
        <w:gridCol w:w="109"/>
        <w:gridCol w:w="109"/>
        <w:gridCol w:w="211"/>
        <w:gridCol w:w="721"/>
        <w:gridCol w:w="109"/>
        <w:gridCol w:w="109"/>
        <w:gridCol w:w="109"/>
        <w:gridCol w:w="109"/>
        <w:gridCol w:w="211"/>
        <w:gridCol w:w="721"/>
        <w:gridCol w:w="109"/>
        <w:gridCol w:w="109"/>
        <w:gridCol w:w="156"/>
      </w:tblGrid>
      <w:tr>
        <w:trPr/>
        <w:tc>
          <w:tcPr>
            <w:tcW w:w="17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2026, the year-over-year changes in other income (expense), net were primarily due to the currency exchange rate volatility impacting our derivatives that are not designated as hedging instruments, of which our Euro and GBP contracts are the most significant exposures that we economically hedge. We expect volatility to continue in future periods, as we do not apply hedge accounting for most of our derivative currency contracts.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experience currency-related net gains and losses due to currency exchange rate volatility on our non-functional currency intercompany relationships, which we may alter from time to time.</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nine months ended March 31, 2026, the year-over-year interest expense, net decreased $1.6 million and $7.1 million, respectively, primarily due to a lower weighted-average interest rate (net of interest rate swaps) on our senior secured term loan partly from our repricing action in December 2024 that reduced the credit spread on our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36" name="Frame3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Income tax expense</w:t>
      </w:r>
    </w:p>
    <w:tbl>
      <w:tblPr>
        <w:tblW w:w="7810" w:type="dxa"/>
        <w:jc w:val="center"/>
        <w:tblInd w:w="0" w:type="dxa"/>
        <w:tblLayout w:type="fixed"/>
        <w:tblCellMar>
          <w:top w:w="28" w:type="dxa"/>
          <w:left w:w="28" w:type="dxa"/>
          <w:bottom w:w="28" w:type="dxa"/>
          <w:right w:w="28" w:type="dxa"/>
        </w:tblCellMar>
      </w:tblPr>
      <w:tblGrid>
        <w:gridCol w:w="635"/>
        <w:gridCol w:w="559"/>
        <w:gridCol w:w="56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tax rate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294.5 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pPr>
      <w:r>
        <w:rPr>
          <w:rFonts w:ascii="Arial;sans-serif" w:hAnsi="Arial;sans-serif"/>
          <w:b w:val="false"/>
          <w:color w:val="000000"/>
          <w:sz w:val="20"/>
        </w:rPr>
        <w:t xml:space="preserve">For the three and nine months ended March 31, 2026, income tax expense was in line with the prior comparative periods. </w:t>
      </w:r>
      <w:r>
        <w:rPr>
          <w:rFonts w:ascii="Arial;sans-serif" w:hAnsi="Arial;sans-serif"/>
          <w:b w:val="false"/>
          <w:color w:val="000000"/>
          <w:sz w:val="20"/>
          <w:shd w:fill="FFFFFF" w:val="clear"/>
        </w:rPr>
        <w:t>O</w:t>
      </w:r>
      <w:r>
        <w:rPr>
          <w:rFonts w:ascii="Arial;sans-serif" w:hAnsi="Arial;sans-serif"/>
          <w:b w:val="false"/>
          <w:color w:val="000000"/>
          <w:sz w:val="20"/>
        </w:rPr>
        <w:t>ur effective tax rate continues to be negatively impacted by losses in certain jurisdictions where we are unable to recognize a tax benefit in the current period. These losses with no tax benefit were excluded in calculating income tax expense for all periods presented, in accordance with GAAP. 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pStyle w:val="TextBody"/>
        <w:bidi w:val="0"/>
        <w:spacing w:lineRule="auto" w:line="288" w:before="200" w:after="200"/>
        <w:jc w:val="left"/>
        <w:rPr>
          <w:rFonts w:ascii="Arial;sans-serif" w:hAnsi="Arial;sans-serif"/>
          <w:b/>
          <w:color w:val="000000"/>
          <w:sz w:val="20"/>
          <w:shd w:fill="FFFFFF" w:val="clear"/>
        </w:rPr>
      </w:pPr>
      <w:r>
        <w:rPr>
          <w:rFonts w:ascii="Arial;sans-serif" w:hAnsi="Arial;sans-serif"/>
          <w:b/>
          <w:color w:val="000000"/>
          <w:sz w:val="20"/>
          <w:shd w:fill="FFFFFF" w:val="clear"/>
        </w:rPr>
        <w:t>Reportable Segment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purposes of measuring and reporting our segment financial performance, we made updates to our previously implemented methodology for inter-segment transactions during the first quarter of fiscal 2026. These transactions are when one Cimpress business chooses to buy from or sell to another Cimpress business in another reportable segment. We also updated our internal organizational structure, which included the transfer of two teams from our VistaPrint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11 in our accompanying consolidated financial statements for additional details.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VistaPrint</w:t>
      </w:r>
    </w:p>
    <w:tbl>
      <w:tblPr>
        <w:tblW w:w="10205" w:type="dxa"/>
        <w:jc w:val="left"/>
        <w:tblInd w:w="0" w:type="dxa"/>
        <w:tblLayout w:type="fixed"/>
        <w:tblCellMar>
          <w:top w:w="28" w:type="dxa"/>
          <w:left w:w="28" w:type="dxa"/>
          <w:bottom w:w="28" w:type="dxa"/>
          <w:right w:w="28" w:type="dxa"/>
        </w:tblCellMar>
      </w:tblPr>
      <w:tblGrid>
        <w:gridCol w:w="466"/>
        <w:gridCol w:w="410"/>
        <w:gridCol w:w="411"/>
        <w:gridCol w:w="211"/>
        <w:gridCol w:w="826"/>
        <w:gridCol w:w="271"/>
        <w:gridCol w:w="109"/>
        <w:gridCol w:w="109"/>
        <w:gridCol w:w="109"/>
        <w:gridCol w:w="211"/>
        <w:gridCol w:w="826"/>
        <w:gridCol w:w="271"/>
        <w:gridCol w:w="109"/>
        <w:gridCol w:w="109"/>
        <w:gridCol w:w="109"/>
        <w:gridCol w:w="210"/>
        <w:gridCol w:w="210"/>
        <w:gridCol w:w="212"/>
        <w:gridCol w:w="109"/>
        <w:gridCol w:w="109"/>
        <w:gridCol w:w="109"/>
        <w:gridCol w:w="211"/>
        <w:gridCol w:w="976"/>
        <w:gridCol w:w="271"/>
        <w:gridCol w:w="109"/>
        <w:gridCol w:w="109"/>
        <w:gridCol w:w="109"/>
        <w:gridCol w:w="211"/>
        <w:gridCol w:w="976"/>
        <w:gridCol w:w="271"/>
        <w:gridCol w:w="109"/>
        <w:gridCol w:w="109"/>
        <w:gridCol w:w="109"/>
        <w:gridCol w:w="109"/>
        <w:gridCol w:w="109"/>
        <w:gridCol w:w="210"/>
        <w:gridCol w:w="210"/>
        <w:gridCol w:w="212"/>
        <w:gridCol w:w="109"/>
        <w:gridCol w:w="16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and organizational changes that transferred two teams to our central functions. Refer to Note 11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VistaPrint's reported revenue growth for the three and nine months ended March 31, 2026 was 7% for both periods, and was positively affected by currency exchange rate fluctuations of 4% and 3%, respectively, resulting in constant-currency revenue growth of 3% and 4%, respectively. For the three and nine months ended March 31, 2026, VistaPrint had strong growth in elevated products, partially offset by year-over-year declines of 3% and 2%, respectively, in business card and stationery products. Geographically, all regions drove revenue growth for both comparative periods, however, during the current quarter, severe weather events in North America caused weakness in January and February, which was followed by an acceleration of growth in March.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37" name="Frame3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VistaPrint's segment EBITDA for the three and nine months ended March 31, 2026, increased by $5.7 million and $24.3 million, respectively, primarily due to gross profit growth of $14.6 million and $49.3 million, respectively, which was driven by the revenue growth described above. Partially offsetting the increases in gross profit were increases in advertising spend of $2.5 million and $11.2 million, respectively, that were primarily related to increases in performance advertising spend, which as a percentage of revenue was lower versus the prior comparative periods. In addition, operating expenses increased by $6.8 million and $12.5 million, respectively, driven by compensation increases from our annual merit cycle and costs associated with customer self-service features to improve customer care efficiency. Segment EBITDA growth was dampened by start-up costs for new manufacturing facilities in North America of $5.1 million for both periods, which included the transfer of $1.8 million of costs from the first half of the fiscal year from our central and corporate costs. For the three and nine months ended March 31, 2026, fluctuations in currency exchange rates benefited segment EBITDA year over year by $2.9 million and $7.1 million, respectively.</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PrintBrothers</w:t>
      </w:r>
    </w:p>
    <w:tbl>
      <w:tblPr>
        <w:tblW w:w="10205" w:type="dxa"/>
        <w:jc w:val="left"/>
        <w:tblInd w:w="0" w:type="dxa"/>
        <w:tblLayout w:type="fixed"/>
        <w:tblCellMar>
          <w:top w:w="28" w:type="dxa"/>
          <w:left w:w="28" w:type="dxa"/>
          <w:bottom w:w="28" w:type="dxa"/>
          <w:right w:w="28" w:type="dxa"/>
        </w:tblCellMar>
      </w:tblPr>
      <w:tblGrid>
        <w:gridCol w:w="498"/>
        <w:gridCol w:w="439"/>
        <w:gridCol w:w="440"/>
        <w:gridCol w:w="211"/>
        <w:gridCol w:w="826"/>
        <w:gridCol w:w="271"/>
        <w:gridCol w:w="109"/>
        <w:gridCol w:w="109"/>
        <w:gridCol w:w="109"/>
        <w:gridCol w:w="211"/>
        <w:gridCol w:w="826"/>
        <w:gridCol w:w="271"/>
        <w:gridCol w:w="109"/>
        <w:gridCol w:w="109"/>
        <w:gridCol w:w="109"/>
        <w:gridCol w:w="245"/>
        <w:gridCol w:w="245"/>
        <w:gridCol w:w="247"/>
        <w:gridCol w:w="109"/>
        <w:gridCol w:w="109"/>
        <w:gridCol w:w="109"/>
        <w:gridCol w:w="211"/>
        <w:gridCol w:w="826"/>
        <w:gridCol w:w="271"/>
        <w:gridCol w:w="109"/>
        <w:gridCol w:w="109"/>
        <w:gridCol w:w="109"/>
        <w:gridCol w:w="211"/>
        <w:gridCol w:w="826"/>
        <w:gridCol w:w="271"/>
        <w:gridCol w:w="109"/>
        <w:gridCol w:w="109"/>
        <w:gridCol w:w="109"/>
        <w:gridCol w:w="109"/>
        <w:gridCol w:w="109"/>
        <w:gridCol w:w="245"/>
        <w:gridCol w:w="245"/>
        <w:gridCol w:w="247"/>
        <w:gridCol w:w="109"/>
        <w:gridCol w:w="16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490,929 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reported revenue growth for the three and nine months ended March 31, 2026 was positively affected by currency exchange rate fluctuations of 13% and 10%, respectively, and a tuck-in acquisition which positively impacted revenue growth by 9% and 7%, respectively, resulting in organic constant-currency revenue growth of 8% and 7%, respectively. Organic constant-currency revenue growth was driven primarily by customer and order volume growth across the businesses, as well as volumes related to regional elections which benefited a portion of the current-year periods.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segment EBITDA for the three and nine months ended March 31, 2026 increased $4.3 million and $14.8 million, respectively, primarily due to the revenue growth described above, as well as positive year-over-year impacts from currency exchange fluctuations of $2.3 million and $6.2 million, respectively. Additionally, the acquisition contributed an immaterial amount and $1.3 million of segment EBITDA, respectively. This was partially offset by increases in advertising spend of $0.1 million and $1.3 million, respectively, which as a percentage of external revenue were flat year over year, as well as increases in operating expenses of $3.2 million and $9.2 million, respectively, which were mostly driven by technology investments and compensation increases from our annual merit cycle.</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The Print Group</w:t>
      </w:r>
    </w:p>
    <w:tbl>
      <w:tblPr>
        <w:tblW w:w="10205" w:type="dxa"/>
        <w:jc w:val="left"/>
        <w:tblInd w:w="0" w:type="dxa"/>
        <w:tblLayout w:type="fixed"/>
        <w:tblCellMar>
          <w:top w:w="28" w:type="dxa"/>
          <w:left w:w="28" w:type="dxa"/>
          <w:bottom w:w="28" w:type="dxa"/>
          <w:right w:w="28" w:type="dxa"/>
        </w:tblCellMar>
      </w:tblPr>
      <w:tblGrid>
        <w:gridCol w:w="512"/>
        <w:gridCol w:w="451"/>
        <w:gridCol w:w="453"/>
        <w:gridCol w:w="211"/>
        <w:gridCol w:w="826"/>
        <w:gridCol w:w="271"/>
        <w:gridCol w:w="109"/>
        <w:gridCol w:w="109"/>
        <w:gridCol w:w="109"/>
        <w:gridCol w:w="211"/>
        <w:gridCol w:w="721"/>
        <w:gridCol w:w="271"/>
        <w:gridCol w:w="109"/>
        <w:gridCol w:w="109"/>
        <w:gridCol w:w="109"/>
        <w:gridCol w:w="256"/>
        <w:gridCol w:w="256"/>
        <w:gridCol w:w="258"/>
        <w:gridCol w:w="109"/>
        <w:gridCol w:w="109"/>
        <w:gridCol w:w="109"/>
        <w:gridCol w:w="211"/>
        <w:gridCol w:w="826"/>
        <w:gridCol w:w="271"/>
        <w:gridCol w:w="109"/>
        <w:gridCol w:w="109"/>
        <w:gridCol w:w="109"/>
        <w:gridCol w:w="211"/>
        <w:gridCol w:w="826"/>
        <w:gridCol w:w="271"/>
        <w:gridCol w:w="109"/>
        <w:gridCol w:w="109"/>
        <w:gridCol w:w="109"/>
        <w:gridCol w:w="109"/>
        <w:gridCol w:w="109"/>
        <w:gridCol w:w="256"/>
        <w:gridCol w:w="256"/>
        <w:gridCol w:w="258"/>
        <w:gridCol w:w="109"/>
        <w:gridCol w:w="160"/>
      </w:tblGrid>
      <w:tr>
        <w:trPr/>
        <w:tc>
          <w:tcPr>
            <w:tcW w:w="5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11 of the accompanying consolidated financial statements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310"/>
                <wp:effectExtent l="0" t="0" r="0" b="0"/>
                <wp:wrapNone/>
                <wp:docPr id="38" name="Frame3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Print Group's reported revenue growth for the three and nine months ended March 31, 2026 was positively affected by currency exchange rate fluctuations of 12% and 9%, respectively, resulting in constant-currency revenue growth of 8% in both periods, and was primarily driven by increased fulfillment for other Cimpress businesses. External revenue growth improved during the third quarter of the current fiscal year, which was supported by election-related demand in France; however, the segment continues to experience a shift to lower overall order values in certain product categories.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Print Group's segment EBITDA increased $4.5 million and $9.4 million during the three and nine months ended March 31, 2026, respectively, partly due to positive year-over-year impacts from currency exchange fluctuations of $2.0 million and $4.9 million, respectively. Excluding the effect of currency, segment EBITDA was positively impacted by increases in gross profit in both periods, driven by the revenue growth described above and improved cost efficiency. For the three and nine months ended March 31, 2026, these impacts were partially offset by increases of $0.3 million and $2.5 million, respectively, in variable long-term incentive compensation expense, driven by changes in estimated payouts.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National Pen</w:t>
      </w:r>
    </w:p>
    <w:tbl>
      <w:tblPr>
        <w:tblW w:w="10205" w:type="dxa"/>
        <w:jc w:val="left"/>
        <w:tblInd w:w="0" w:type="dxa"/>
        <w:tblLayout w:type="fixed"/>
        <w:tblCellMar>
          <w:top w:w="28" w:type="dxa"/>
          <w:left w:w="28" w:type="dxa"/>
          <w:bottom w:w="28" w:type="dxa"/>
          <w:right w:w="28" w:type="dxa"/>
        </w:tblCellMar>
      </w:tblPr>
      <w:tblGrid>
        <w:gridCol w:w="526"/>
        <w:gridCol w:w="464"/>
        <w:gridCol w:w="465"/>
        <w:gridCol w:w="211"/>
        <w:gridCol w:w="721"/>
        <w:gridCol w:w="271"/>
        <w:gridCol w:w="109"/>
        <w:gridCol w:w="109"/>
        <w:gridCol w:w="109"/>
        <w:gridCol w:w="211"/>
        <w:gridCol w:w="721"/>
        <w:gridCol w:w="271"/>
        <w:gridCol w:w="109"/>
        <w:gridCol w:w="109"/>
        <w:gridCol w:w="109"/>
        <w:gridCol w:w="267"/>
        <w:gridCol w:w="267"/>
        <w:gridCol w:w="269"/>
        <w:gridCol w:w="109"/>
        <w:gridCol w:w="109"/>
        <w:gridCol w:w="109"/>
        <w:gridCol w:w="211"/>
        <w:gridCol w:w="826"/>
        <w:gridCol w:w="271"/>
        <w:gridCol w:w="109"/>
        <w:gridCol w:w="109"/>
        <w:gridCol w:w="109"/>
        <w:gridCol w:w="211"/>
        <w:gridCol w:w="826"/>
        <w:gridCol w:w="271"/>
        <w:gridCol w:w="109"/>
        <w:gridCol w:w="109"/>
        <w:gridCol w:w="109"/>
        <w:gridCol w:w="109"/>
        <w:gridCol w:w="109"/>
        <w:gridCol w:w="267"/>
        <w:gridCol w:w="267"/>
        <w:gridCol w:w="269"/>
        <w:gridCol w:w="109"/>
        <w:gridCol w:w="160"/>
      </w:tblGrid>
      <w:tr>
        <w:trPr/>
        <w:tc>
          <w:tcPr>
            <w:tcW w:w="5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jc w:val="left"/>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National Pen's reported revenue growth for the three and nine months ended March 31, 2026 was positively impacted by currency exchange rate fluctuations of 5% and 4%, respectively, resulting in constant-currency revenue growth of 5% and 8%, respectively, driven by growth in external revenue, mostly from growth within e-commerce and telesales channels, as well as increases in fulfillment for other Cimpress businesses.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National Pen's segment EBITDA increased $2.8 million and $7.2 million for the three and nine months ended March 31, 2026, respectively, and benefited from positive fluctuations in currency exchange rates of $0.5 million and $2.7 million, respectively. Segment EBITDA growth was also supported by increases in gross profit, due to the revenue growth described above, as well as lower variable long-term incentive compensation expense of $1.0 million and $3.5 million, respectively, driven by changes in estimated payouts. Segment EBITDA also benefited from decreases in advertising spend of $1.6 million and $0.4 million, respectively, from reduced spend in certain channels that have driven improved advertising spend efficiencies.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All Other Businesses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This segment includes BuildASign and Printi, a smaller business that is an online printing leader in Brazil.</w:t>
      </w:r>
    </w:p>
    <w:tbl>
      <w:tblPr>
        <w:tblW w:w="10205" w:type="dxa"/>
        <w:jc w:val="left"/>
        <w:tblInd w:w="0" w:type="dxa"/>
        <w:tblLayout w:type="fixed"/>
        <w:tblCellMar>
          <w:top w:w="28" w:type="dxa"/>
          <w:left w:w="28" w:type="dxa"/>
          <w:bottom w:w="28" w:type="dxa"/>
          <w:right w:w="28" w:type="dxa"/>
        </w:tblCellMar>
      </w:tblPr>
      <w:tblGrid>
        <w:gridCol w:w="533"/>
        <w:gridCol w:w="470"/>
        <w:gridCol w:w="471"/>
        <w:gridCol w:w="211"/>
        <w:gridCol w:w="721"/>
        <w:gridCol w:w="271"/>
        <w:gridCol w:w="109"/>
        <w:gridCol w:w="109"/>
        <w:gridCol w:w="109"/>
        <w:gridCol w:w="211"/>
        <w:gridCol w:w="721"/>
        <w:gridCol w:w="271"/>
        <w:gridCol w:w="109"/>
        <w:gridCol w:w="109"/>
        <w:gridCol w:w="109"/>
        <w:gridCol w:w="264"/>
        <w:gridCol w:w="264"/>
        <w:gridCol w:w="266"/>
        <w:gridCol w:w="109"/>
        <w:gridCol w:w="109"/>
        <w:gridCol w:w="109"/>
        <w:gridCol w:w="211"/>
        <w:gridCol w:w="826"/>
        <w:gridCol w:w="271"/>
        <w:gridCol w:w="109"/>
        <w:gridCol w:w="109"/>
        <w:gridCol w:w="109"/>
        <w:gridCol w:w="211"/>
        <w:gridCol w:w="826"/>
        <w:gridCol w:w="271"/>
        <w:gridCol w:w="109"/>
        <w:gridCol w:w="109"/>
        <w:gridCol w:w="109"/>
        <w:gridCol w:w="109"/>
        <w:gridCol w:w="109"/>
        <w:gridCol w:w="264"/>
        <w:gridCol w:w="264"/>
        <w:gridCol w:w="266"/>
        <w:gridCol w:w="109"/>
        <w:gridCol w:w="159"/>
      </w:tblGrid>
      <w:tr>
        <w:trPr/>
        <w:tc>
          <w:tcPr>
            <w:tcW w:w="5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11 of the accompanying consolidated financial statements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9" name="Frame3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All Other Businesses' revenue growth for the three and nine months ended March 31, 2026 was positively impacted by currency exchange rate fluctuations of 2% and 1%, respectively, resulting in constant-currency revenue growth of 16% and 11%, respectively. BuildASign, the largest business in this segment, delivered strong growth from fulfillment for other Cimpress businesses as well as growth across home decor, signage and packaging categories. Our Printi business delivered improved constant-currency revenue growth versus the prior year.</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2026, year-over-year segment EBITDA was flat and increased $3.0 million, respectively, largely driven by the cross-Cimpress revenue growth described above. For the nine months ended March 31, 2026, the increase versus the prior year was also impacted by lower variable long-term incentive compensation expense of $1.4 million, driven by changes in estimated payouts. These increases for the three and nine months ended March 31, 2026, were partially offset by $0.7 million of start-up costs from the expansion of our North American production network.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Central and Corporate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Central and corporate costs primarily consist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our corporate functions, including tax, treasury, internal audit, legal, sustainability, real estate, corporate communications, consolidated reporting and compliance, investor relations, and the functions of our CEO and CFO. These costs also include certain unallocated share-based compensation costs. </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March 31, 2026, year-over-year central and corporate costs decreased by $0.1 million, primarily due to lower third-party technology costs of $2.6 million that were influenced by the timing of certain third-party vendor rebates. Additionally benefiting the third quarter of 2026 was $1.8 million of start-up costs from the first half of the fiscal year which were transferred to our VistaPrint reportable segment during the current quarter. These items were mostly offset by higher unallocated share-based compensation expense of $1.6 million, driven by fluctuations in the attainment levels year over year associated with the performance conditions of performance share units, and increased compensation of $0.5 million from our annual merit cycle.</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nine months ended March 31, 2026, year-over-year central and corporate costs increased by $5.2 million, primarily due to compensation increases of $2.8 million from our annual merit cycle, and higher unallocated share-based compensation expense of $2.7 million, driven by fluctuations in the attainment levels year over year associated with the performance conditions of performance share units. These items were partially offset by the non-recurrence of a $2.9 million charge recognized in the nine months ended March 31, 2025 for a land duty tax that we continue to contest in Australia related to our 2019 redomiciliation to Ireland.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Statements of Cash Flows Data</w:t>
      </w:r>
    </w:p>
    <w:tbl>
      <w:tblPr>
        <w:tblW w:w="6738" w:type="dxa"/>
        <w:jc w:val="left"/>
        <w:tblInd w:w="0" w:type="dxa"/>
        <w:tblLayout w:type="fixed"/>
        <w:tblCellMar>
          <w:top w:w="28" w:type="dxa"/>
          <w:left w:w="28" w:type="dxa"/>
          <w:bottom w:w="28" w:type="dxa"/>
          <w:right w:w="28" w:type="dxa"/>
        </w:tblCellMar>
      </w:tblPr>
      <w:tblGrid>
        <w:gridCol w:w="1237"/>
        <w:gridCol w:w="1090"/>
        <w:gridCol w:w="1093"/>
        <w:gridCol w:w="211"/>
        <w:gridCol w:w="826"/>
        <w:gridCol w:w="109"/>
        <w:gridCol w:w="109"/>
        <w:gridCol w:w="109"/>
        <w:gridCol w:w="109"/>
        <w:gridCol w:w="211"/>
        <w:gridCol w:w="826"/>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cash flows during the nine months ended March 31, 2026 related primarily to the following items: </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 xml:space="preserve">Cash inflows: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of $70.7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Adjustments for non-cash items of $144.1 million primarily related to adjustments for depreciation and amortization of $110.6 million, share-based compensation costs of $46.3 million and deferred taxes of $3.6 million, offset in part by unrealized currency-related gains of $21.7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40" name="Frame4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sale of noncontrolling interests of $24.8 million, which related to the sale of a minority 8.75% aggregate equity interest in each of the businesses within the PrintBrothers reportable segment. Refer to Note 10 in the accompanying consolidated financial statements for additional details.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sale of assets of $3.4 million, primarily related to the recent sale of a production facility within our National Pen business, as well as the sale and replacement of smaller production equipment assets across several businesses.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exercise of options of $1.5 million.</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Cash outflows: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Capital expenditures of $74.5 million, of which the majority is related to the purchase of manufacturing and automation equipment and expansion of our North American production network.</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Internal and external costs of $50.1 million for software and website development that we have capitalized.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Purchases of our ordinary shares for $50.1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working capital outflows of $41.5 million, primarily due to increases in inventory levels and prepaid expenses and other assets.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Purchase of noncontrolling interests for $24.4 million, which related to our purchase of the remaining minority equity interests in various businesses within our PrintBrothers reportable segment. Refer to Notes 7 and 10 in the accompanying consolidated financial statements for additional details.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 of withholding taxes in connection with share awards of $14.3 million, primarily driven by the vesting of restricted and performance share units.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Business acquisitions, net of cash acquired of $11.7 million, which related to tuck-in acquisitions that were not material and are included in our PrintBrothers reportable segment.</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repayments of debt of $10.2 million, primarily including our term loan amortization payments.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Payments for finance lease arrangements of $7.8 million.</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March 31, 2026, we had $189.0 million of cash and cash equivalents and $1,604.5 million of debt, excluding debt issuance costs and debt premiums and discounts. During the nine months ended March 31, 2026, we financed our operations and strategic investments through internally generated cash flows from operations and cash on hand. We expect to finance our future operations through our cash, operating cash flow, and borrowings under our debt arrangements.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historically used excess cash and cash equivalents for organic investments, share repurchases, acquisitions and equity investments, and debt reduction. During the nine months ended March 31, 2026, we purchased and retired 702,820 of our ordinary shares for $50.1 million. We evaluate share repurchases, as any other use of capital, relative to our view of the impact on our intrinsic value per share compared against other opportunities. </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Supply Chain Financing Program. </w:t>
      </w:r>
      <w:r>
        <w:rPr>
          <w:rFonts w:ascii="Arial;sans-serif" w:hAnsi="Arial;sans-serif"/>
          <w:b w:val="false"/>
          <w:color w:val="000000"/>
          <w:sz w:val="20"/>
        </w:rPr>
        <w:t>As part of our ongoing efforts to manage our liquidity, we work with our suppliers to optimize our terms 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March 31, 2026, a portion of our cash and cash equivalents were held by our subsidiaries, and undistributed earnings of our subsidiaries that are considered to be indefinitely reinvested were $99.1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41" name="Frame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Contractual obligations at March 31, 2026 are as follows:</w:t>
      </w:r>
    </w:p>
    <w:tbl>
      <w:tblPr>
        <w:tblW w:w="10205" w:type="dxa"/>
        <w:jc w:val="left"/>
        <w:tblInd w:w="0" w:type="dxa"/>
        <w:tblLayout w:type="fixed"/>
        <w:tblCellMar>
          <w:top w:w="28" w:type="dxa"/>
          <w:left w:w="28" w:type="dxa"/>
          <w:bottom w:w="28" w:type="dxa"/>
          <w:right w:w="28" w:type="dxa"/>
        </w:tblCellMar>
      </w:tblPr>
      <w:tblGrid>
        <w:gridCol w:w="1080"/>
        <w:gridCol w:w="869"/>
        <w:gridCol w:w="87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Notes and interest 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647,483 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(2) Interest payments are based on the interest rate as of March 31, 2026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$0.6 million as of March 31, 2026 have been excluded from the contractual obligations table above. See Note 9 in our accompanying consolidated financial statements for additional information on uncertain tax positions.</w:t>
      </w:r>
    </w:p>
    <w:p>
      <w:pPr>
        <w:pStyle w:val="TextBody"/>
        <w:bidi w:val="0"/>
        <w:spacing w:lineRule="auto" w:line="288" w:before="200" w:after="100"/>
        <w:ind w:left="0" w:right="0" w:firstLine="720"/>
        <w:jc w:val="left"/>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2037. The terms of certain lease agreements require security deposits in the form of bank guarantees and letters of credit, with $4.4 million in the aggregate outstanding as of March 31, 2026.</w:t>
      </w:r>
    </w:p>
    <w:p>
      <w:pPr>
        <w:pStyle w:val="TextBody"/>
        <w:bidi w:val="0"/>
        <w:spacing w:lineRule="auto" w:line="288" w:before="100" w:after="100"/>
        <w:ind w:left="0" w:right="0" w:firstLine="720"/>
        <w:jc w:val="left"/>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March 31, 2026, we had unrecorded commitments under contract of $351.0 million. Purchase commitments consisted of third-party cloud services of $225.9 million; third-party fulfillment and digital services of $69.0 million; software of $35.3 million; insurance costs of $5.5 million; professional and consulting fees of $4.5 million; production-related temporary labor of $3.3 million; advertising of $2.9 million; production and computer equipment purchases of $2.5 million; and other commitments of $2.1 million.</w:t>
      </w:r>
    </w:p>
    <w:p>
      <w:pPr>
        <w:pStyle w:val="TextBody"/>
        <w:bidi w:val="0"/>
        <w:spacing w:lineRule="auto" w:line="288" w:before="100" w:after="100"/>
        <w:ind w:left="0" w:right="0" w:firstLine="720"/>
        <w:jc w:val="left"/>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 xml:space="preserve">On September 26, 2024, we entered into an amendment to our Restated Credit 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$232.6 million unused as of March 31, 2026.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September 26, 2029. Interest payable included in the above table is based on the interest rate as of March 31, 2026 and assumes all Term SOFR-based revolving loan amounts outstanding will not be paid until maturity but that the term loan amortization payments will be made according to our defined schedule. As of March 31, 2026, we have borrowings under our Restated Credit Agreement of $1,064.7 million, consisting of the term loan, which amortizes over the loan period, with a final maturity date of May 17, 2028. </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2032 Senior Notes and Interest Payments. </w:t>
      </w:r>
      <w:r>
        <w:rPr>
          <w:rFonts w:ascii="Arial;sans-serif" w:hAnsi="Arial;sans-serif"/>
          <w:b w:val="false"/>
          <w:color w:val="000000"/>
          <w:sz w:val="20"/>
        </w:rPr>
        <w:t>On September 26, 2024, we completed a private placement of $525.0 million in aggregate 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8 in the accompanying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2" name="Frame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The Restated Credit Agreement and the indenture that governs our 2032 Notes contain covenants that restrict or limit certain activities and transactions by Cimpress and our subsidiaries. As of March 31, 2026, we were in compliance with all covenants under our Restated Credit Agreement and the indenture governing our 2032 Notes. Refer to Note 8 in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March 31, 2026, we had $14.8 million outstanding for those obligations that have repayments due on various dates through September 2037.</w:t>
      </w:r>
    </w:p>
    <w:p>
      <w:pPr>
        <w:pStyle w:val="TextBody"/>
        <w:bidi w:val="0"/>
        <w:spacing w:lineRule="auto" w:line="288" w:before="100" w:after="100"/>
        <w:ind w:left="0" w:right="0" w:firstLine="720"/>
        <w:jc w:val="left"/>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facilities, machinery, and plant equipment under finance lease agreements that expire at various dates through 2037. The aggregate carrying value of the leased assets under finance leases included in property, plant and equipment, net in our consolidated balance sheet at March 31, 2026 is $38.1 million, net of accumulated depreciation of $26.0 million. The present value of lease installments not yet due included in other current liabilities and other liabilities in our consolidated balance sheet at March 31, 2026 amounts to $43.9 million.</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Additional Non-GAAP Financial Measures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defined as net income plus income tax expense plus (gain) loss on early extinguishment of debt plus interest expense, net plus other expense (income), net plus depreciation and amortization plus share-based compensation expense plus earn-out related charges plus certain impairments plus restructuring-related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3" name="Frame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income (loss) and adjusted EBITDA for the three and nine months ended March 31, 2026 and 2025:</w:t>
      </w:r>
    </w:p>
    <w:tbl>
      <w:tblPr>
        <w:tblW w:w="10205" w:type="dxa"/>
        <w:jc w:val="center"/>
        <w:tblInd w:w="0" w:type="dxa"/>
        <w:tblLayout w:type="fixed"/>
        <w:tblCellMar>
          <w:top w:w="28" w:type="dxa"/>
          <w:left w:w="28" w:type="dxa"/>
          <w:bottom w:w="28" w:type="dxa"/>
          <w:right w:w="28" w:type="dxa"/>
        </w:tblCellMar>
      </w:tblPr>
      <w:tblGrid>
        <w:gridCol w:w="1778"/>
        <w:gridCol w:w="1348"/>
        <w:gridCol w:w="135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6"/>
      </w:tblGrid>
      <w:tr>
        <w:trPr/>
        <w:tc>
          <w:tcPr>
            <w:tcW w:w="177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 certain items that are a part of 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(losses) gains on currency derivatives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Realized (losses)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cash provided by operating activities and adjusted free cash flow for the nine months ended March 31, 2026 and 2025:</w:t>
      </w:r>
    </w:p>
    <w:tbl>
      <w:tblPr>
        <w:tblW w:w="8102" w:type="dxa"/>
        <w:jc w:val="left"/>
        <w:tblInd w:w="0" w:type="dxa"/>
        <w:tblLayout w:type="fixed"/>
        <w:tblCellMar>
          <w:top w:w="28" w:type="dxa"/>
          <w:left w:w="28" w:type="dxa"/>
          <w:bottom w:w="28" w:type="dxa"/>
          <w:right w:w="28" w:type="dxa"/>
        </w:tblCellMar>
      </w:tblPr>
      <w:tblGrid>
        <w:gridCol w:w="1729"/>
        <w:gridCol w:w="1525"/>
        <w:gridCol w:w="1530"/>
        <w:gridCol w:w="211"/>
        <w:gridCol w:w="826"/>
        <w:gridCol w:w="109"/>
        <w:gridCol w:w="109"/>
        <w:gridCol w:w="109"/>
        <w:gridCol w:w="109"/>
        <w:gridCol w:w="211"/>
        <w:gridCol w:w="826"/>
        <w:gridCol w:w="109"/>
        <w:gridCol w:w="109"/>
        <w:gridCol w:w="109"/>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w:t>
      </w:r>
    </w:p>
    <w:p>
      <w:pPr>
        <w:pStyle w:val="TextBody"/>
        <w:bidi w:val="0"/>
        <w:spacing w:lineRule="auto" w:line="288" w:before="100" w:after="100"/>
        <w:ind w:left="0" w:right="0" w:firstLine="720"/>
        <w:jc w:val="left"/>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bidi w:val="0"/>
        <w:spacing w:lineRule="auto" w:line="288" w:before="100" w:after="100"/>
        <w:ind w:left="0" w:right="0" w:firstLine="720"/>
        <w:jc w:val="left"/>
        <w:rPr/>
      </w:pPr>
      <w:r>
        <w:rPr>
          <w:rFonts w:ascii="Arial;sans-serif" w:hAnsi="Arial;sans-serif"/>
          <w:b w:val="false"/>
          <w:color w:val="000000"/>
          <w:sz w:val="20"/>
        </w:rPr>
        <w:t>As of March 31, 2026, we had</w:t>
      </w:r>
      <w:r>
        <w:rPr>
          <w:color w:val="FF0000"/>
        </w:rPr>
        <w:t xml:space="preserve"> </w:t>
      </w:r>
      <w:r>
        <w:rPr>
          <w:rFonts w:ascii="Arial;sans-serif" w:hAnsi="Arial;sans-serif"/>
          <w:b w:val="false"/>
          <w:color w:val="000000"/>
          <w:sz w:val="20"/>
        </w:rPr>
        <w:t>$1,064.7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March 31, 2026, a hypothetical 100 basis point increase in rates, inclusive of the impact of our outstanding interest rate swaps that are accruing interest as of March 31, 2026, would result in a $7.4 million increase to interest expense over the next 12 months. This does not include any yield from cash and marketable securities.</w:t>
      </w:r>
    </w:p>
    <w:p>
      <w:pPr>
        <w:pStyle w:val="TextBody"/>
        <w:bidi w:val="0"/>
        <w:spacing w:lineRule="auto" w:line="288" w:before="100" w:after="100"/>
        <w:ind w:left="0" w:right="0" w:firstLine="720"/>
        <w:jc w:val="left"/>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 xml:space="preserve">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4"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purposes. The use of derivatives is intended to reduce, but does not entirely eliminate, the impact of adverse currency exchange rate movements. A summary of our currency risk is as follows: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Revenue and related expenses generated in currencies other than the U.S. dollar could result in higher or lower net income (loss)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GBP.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are non-U.S. dollar loans that we hedge with cross-currency swap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$9.1 million on our income before income taxes for the three and nine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5" name="Frame4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March 31, 2026 that materially affected, or are reasonably likely to materially affect, our internal control over financial reporting.</w:t>
      </w:r>
    </w:p>
    <w:p>
      <w:pPr>
        <w:pStyle w:val="TextBody"/>
        <w:bidi w:val="0"/>
        <w:spacing w:before="100" w:after="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center"/>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Item 2.        </w:t>
      </w:r>
      <w:r>
        <w:rPr>
          <w:rFonts w:ascii="Arial;sans-serif" w:hAnsi="Arial;sans-serif"/>
          <w:b/>
          <w:i/>
          <w:color w:val="000000"/>
          <w:sz w:val="20"/>
        </w:rPr>
        <w:t>Unregistered Sales of Equity Securities and Use of Proceeds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On March 25, 2026, our Board authorized the repurchase, from time to time, with no expiration date, of up to $200.0 million aggregate purchase price (excluding any fees, commissions, or other expenses of such purchases) of Cimpress' issued and outstanding ordinary shares on the open market, through privately negotiated transactions, or in one or more self-tender offers. This authorization replaced the remaining unused portion of the $200.0 million share repurchase authorization previously approved by our Board on May 29, 2024, which was terminated immediately prior to the effectiveness of the new authorization. The Board’s authorization does not necessarily mean that we will repurchase the full dollar amount authorized. Share repurchases remain subject to Cimpress’ net leverage and capital allocation priorities and may be suspended or discontinued at any time.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outlines the repurchase of our ordinary shares during the three months ended March 31, 2026, under the program described above:</w:t>
      </w:r>
    </w:p>
    <w:tbl>
      <w:tblPr>
        <w:tblW w:w="10205" w:type="dxa"/>
        <w:jc w:val="left"/>
        <w:tblInd w:w="0" w:type="dxa"/>
        <w:tblLayout w:type="fixed"/>
        <w:tblCellMar>
          <w:top w:w="28" w:type="dxa"/>
          <w:left w:w="28" w:type="dxa"/>
          <w:bottom w:w="28" w:type="dxa"/>
          <w:right w:w="28" w:type="dxa"/>
        </w:tblCellMar>
      </w:tblPr>
      <w:tblGrid>
        <w:gridCol w:w="653"/>
        <w:gridCol w:w="526"/>
        <w:gridCol w:w="530"/>
        <w:gridCol w:w="629"/>
        <w:gridCol w:w="413"/>
        <w:gridCol w:w="415"/>
        <w:gridCol w:w="109"/>
        <w:gridCol w:w="109"/>
        <w:gridCol w:w="109"/>
        <w:gridCol w:w="284"/>
        <w:gridCol w:w="831"/>
        <w:gridCol w:w="146"/>
        <w:gridCol w:w="109"/>
        <w:gridCol w:w="109"/>
        <w:gridCol w:w="109"/>
        <w:gridCol w:w="892"/>
        <w:gridCol w:w="683"/>
        <w:gridCol w:w="686"/>
        <w:gridCol w:w="109"/>
        <w:gridCol w:w="109"/>
        <w:gridCol w:w="109"/>
        <w:gridCol w:w="511"/>
        <w:gridCol w:w="1492"/>
        <w:gridCol w:w="264"/>
        <w:gridCol w:w="109"/>
        <w:gridCol w:w="160"/>
      </w:tblGrid>
      <w:tr>
        <w:trPr/>
        <w:tc>
          <w:tcPr>
            <w:tcW w:w="6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 as Part of a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Approximate Dollar Value of Shares that May Yet be Purchased Under the Program</w:t>
              <w:b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2026 through January 31, 2026</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168,365 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168,365 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2026 through February 28, 2026</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119,744 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119,744 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 2026 through March 31, 2026</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288,109 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288,109 </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Item 5. </w:t>
      </w:r>
      <w:r>
        <w:rPr>
          <w:rFonts w:ascii="Arial;sans-serif" w:hAnsi="Arial;sans-serif"/>
          <w:b/>
          <w:i/>
          <w:color w:val="000000"/>
          <w:sz w:val="20"/>
        </w:rPr>
        <w:t>Other Information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On February 25, 2026, Sean Quinn, our Executive Vice President and Chief Financial Officer, adopted a plan for the sale of Cimpress ordinary shares that is intended to satisfy the affirmative defense conditions of Exchange Act Rule 10b5-1(c) and that expires on July 30, 2027. The plan provides for sales, on dates and at prices set forth in the plan, of up to 121,057 ordinary shares held by Mr. Quinn as of the date of the plan adoption plus additional shares Mr. Quinn receives between the adoption and expiration dates of his plan upon the vesting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310"/>
                <wp:effectExtent l="0" t="0" r="0" b="0"/>
                <wp:wrapNone/>
                <wp:docPr id="46" name="Frame4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i/>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267"/>
        <w:gridCol w:w="234"/>
        <w:gridCol w:w="235"/>
        <w:gridCol w:w="109"/>
        <w:gridCol w:w="109"/>
        <w:gridCol w:w="109"/>
        <w:gridCol w:w="2793"/>
        <w:gridCol w:w="2625"/>
        <w:gridCol w:w="3724"/>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lorianbaumgartn.htm">
              <w:r>
                <w:rPr>
                  <w:rStyle w:val="InternetLink"/>
                  <w:rFonts w:ascii="Arial;sans-serif" w:hAnsi="Arial;sans-serif"/>
                  <w:b w:val="false"/>
                  <w:color w:val="0000FF"/>
                  <w:sz w:val="18"/>
                  <w:u w:val="single"/>
                </w:rPr>
                <w:t>Addendum Agreement, effective as of February 1, 2026, by and between Vistaprint Deutschland GmbH, as successor by merger to Cimpress Deutschland GmbH ("Cimpress Deutschland"), and Florian Baumgartner, relating to the Employment Agreement, dated as of July 10, 2019, by and between Cimpress Deutschland and Florian Baumgartner, as amended by the Amendment to Employment Agreement, dated January 1, 2021, by and between Cimpress Deutschland and Florian Baumgartner.</w:t>
              </w:r>
            </w:hyperlink>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2"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33126.htm">
              <w:r>
                <w:rPr>
                  <w:rStyle w:val="InternetLink"/>
                  <w:rFonts w:ascii="Arial;sans-serif" w:hAnsi="Arial;sans-serif"/>
                  <w:b w:val="false"/>
                  <w:color w:val="0000FF"/>
                  <w:sz w:val="18"/>
                  <w:u w:val="single"/>
                </w:rPr>
                <w:t>Certification pursuant to Section 302 of the Sarbanes-Oxley Act of 2002, Rule 13a-14(a)/15d-14(a), by Chief Executive Officer</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33126.htm">
              <w:r>
                <w:rPr>
                  <w:rStyle w:val="InternetLink"/>
                  <w:rFonts w:ascii="Arial;sans-serif" w:hAnsi="Arial;sans-serif"/>
                  <w:b w:val="false"/>
                  <w:color w:val="0000FF"/>
                  <w:sz w:val="18"/>
                  <w:u w:val="single"/>
                </w:rPr>
                <w:t>Certification pursuant to Section 302 of the Sarbanes-Oxley Act of 2002, Rule 13a-14(a)/15d-14(a), by Chief Financial Officer</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33126.htm">
              <w:r>
                <w:rPr>
                  <w:rStyle w:val="InternetLink"/>
                  <w:rFonts w:ascii="Arial;sans-serif" w:hAnsi="Arial;sans-serif"/>
                  <w:b w:val="false"/>
                  <w:color w:val="0000FF"/>
                  <w:sz w:val="18"/>
                  <w:u w:val="single"/>
                </w:rPr>
                <w:t>Certification pursuant to 18 U.S.C. Section 1350, as adopted pursuant to Section 906 of the Sarbanes-Oxley Act of 2002, by Chief Executive Officer and Chief Financial Officer</w:t>
              </w:r>
            </w:hyperlink>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80" w:after="283"/>
        <w:jc w:val="left"/>
        <w:rPr>
          <w:rFonts w:ascii="Arial;sans-serif" w:hAnsi="Arial;sans-serif"/>
          <w:b w:val="false"/>
          <w:color w:val="000000"/>
          <w:sz w:val="16"/>
        </w:rPr>
      </w:pPr>
      <w:r>
        <w:rPr>
          <w:rFonts w:ascii="Arial;sans-serif" w:hAnsi="Arial;sans-serif"/>
          <w:b w:val="false"/>
          <w:color w:val="000000"/>
          <w:sz w:val="16"/>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310"/>
                <wp:effectExtent l="0" t="0" r="0" b="0"/>
                <wp:wrapNone/>
                <wp:docPr id="47" name="Frame4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60" w:after="283"/>
        <w:jc w:val="left"/>
        <w:rPr/>
      </w:pPr>
      <w:r>
        <w:rPr>
          <w:rFonts w:ascii="Arial;sans-serif" w:hAnsi="Arial;sans-serif"/>
          <w:b w:val="false"/>
          <w:color w:val="000000"/>
          <w:sz w:val="20"/>
        </w:rPr>
        <w:t>April 30, 2026</w:t>
      </w:r>
      <w:r>
        <w:rPr>
          <w:color w:val="EE2724"/>
        </w:rPr>
        <w:t> </w:t>
      </w:r>
      <w:r>
        <w:rPr>
          <w:color w:val="000000"/>
        </w:rPr>
        <w:t>                        </w:t>
      </w:r>
      <w:r>
        <w:rPr>
          <w:rFonts w:ascii="Arial;sans-serif" w:hAnsi="Arial;sans-serif"/>
          <w:b w:val="false"/>
          <w:color w:val="000000"/>
          <w:sz w:val="20"/>
        </w:rPr>
        <w:t>Cimpress plc                                                    </w:t>
      </w:r>
    </w:p>
    <w:tbl>
      <w:tblPr>
        <w:tblW w:w="4435" w:type="dxa"/>
        <w:jc w:val="center"/>
        <w:tblInd w:w="0" w:type="dxa"/>
        <w:tblLayout w:type="fixed"/>
        <w:tblCellMar>
          <w:top w:w="28" w:type="dxa"/>
          <w:left w:w="28" w:type="dxa"/>
          <w:bottom w:w="28" w:type="dxa"/>
          <w:right w:w="28" w:type="dxa"/>
        </w:tblCellMar>
      </w:tblPr>
      <w:tblGrid>
        <w:gridCol w:w="124"/>
        <w:gridCol w:w="109"/>
        <w:gridCol w:w="109"/>
        <w:gridCol w:w="154"/>
        <w:gridCol w:w="154"/>
        <w:gridCol w:w="156"/>
        <w:gridCol w:w="1059"/>
        <w:gridCol w:w="1059"/>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310"/>
                <wp:effectExtent l="0" t="0" r="0" b="0"/>
                <wp:wrapNone/>
                <wp:docPr id="48" name="Frame4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1"/>
        <w:gridCol w:w="1725"/>
        <w:gridCol w:w="1727"/>
        <w:gridCol w:w="1401"/>
        <w:gridCol w:w="1401"/>
        <w:gridCol w:w="1990"/>
      </w:tblGrid>
      <w:tr>
        <w:trPr/>
        <w:tc>
          <w:tcPr>
            <w:tcW w:w="196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5413"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rFonts w:ascii="Arial;sans-serif" w:hAnsi="Arial;sans-serif"/>
                <w:b/>
                <w:color w:val="000000"/>
                <w:sz w:val="20"/>
              </w:rPr>
              <w:t xml:space="preserve">Diese Ergänzungsvereinbarung </w:t>
            </w:r>
            <w:r>
              <w:rPr>
                <w:rFonts w:ascii="Arial;sans-serif" w:hAnsi="Arial;sans-serif"/>
                <w:b w:val="false"/>
                <w:color w:val="000000"/>
                <w:sz w:val="20"/>
              </w:rPr>
              <w:t>(“Vereinbarung”) wird abgeschlossen zwischen:    </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rFonts w:ascii="Arial;sans-serif" w:hAnsi="Arial;sans-serif"/>
                <w:b/>
                <w:color w:val="000000"/>
                <w:sz w:val="20"/>
              </w:rPr>
              <w:t>This Addendum Agreement</w:t>
            </w:r>
            <w:r>
              <w:rPr>
                <w:color w:val="000000"/>
              </w:rPr>
              <w:t xml:space="preserve"> </w:t>
            </w:r>
            <w:r>
              <w:rPr>
                <w:rFonts w:ascii="Arial;sans-serif" w:hAnsi="Arial;sans-serif"/>
                <w:b w:val="false"/>
                <w:color w:val="000000"/>
                <w:sz w:val="20"/>
              </w:rPr>
              <w:t>(“Agreement”) is concluded    between:        </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color w:val="000000"/>
                <w:sz w:val="20"/>
              </w:rPr>
              <w:t xml:space="preserve">Vistaprint Deutschland GmbH </w:t>
            </w:r>
            <w:r>
              <w:rPr>
                <w:rFonts w:ascii="Arial;sans-serif" w:hAnsi="Arial;sans-serif"/>
                <w:b w:val="false"/>
                <w:color w:val="000000"/>
                <w:sz w:val="20"/>
              </w:rPr>
              <w:br/>
              <w:t>Salzufer 6</w:t>
              <w:br/>
              <w:t>10587 Berlin, Germany</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(„Gesellschaft“/“Company“)</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20" w:after="120"/>
              <w:ind w:left="0" w:right="0" w:hanging="360"/>
              <w:jc w:val="both"/>
              <w:rPr>
                <w:rFonts w:ascii="Arial;sans-serif" w:hAnsi="Arial;sans-serif"/>
                <w:b/>
                <w:color w:val="000000"/>
                <w:sz w:val="20"/>
              </w:rPr>
            </w:pPr>
            <w:r>
              <w:rPr>
                <w:rFonts w:ascii="Arial;sans-serif" w:hAnsi="Arial;sans-serif"/>
                <w:b/>
                <w:color w:val="000000"/>
                <w:sz w:val="20"/>
              </w:rPr>
              <w:t>b)Florian Baumgartner</w:t>
            </w:r>
          </w:p>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[Address omitted pursuant to Item 601(a)(6) of Regulation S-K]</w:t>
            </w:r>
          </w:p>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(„Geschäftsführer“/“Managing Director“)</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(einzeln die “Partei” und zusammen die “Parteien”/(individually the “Party” and collectively the “Parties”)</w:t>
            </w:r>
          </w:p>
        </w:tc>
      </w:tr>
      <w:tr>
        <w:trPr/>
        <w:tc>
          <w:tcPr>
            <w:tcW w:w="5413"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rFonts w:ascii="Arial;sans-serif" w:hAnsi="Arial;sans-serif"/>
                <w:b w:val="false"/>
                <w:color w:val="000000"/>
                <w:sz w:val="20"/>
              </w:rPr>
              <w:t>Herr Florian Baumgartner ist bei der Gesellschaft seit dem 10. Juli 2019 angestellt, zuletzt in der Funktion des Chief Executive Officer der Vista-Geschäftsbereiche auf Grundlage eines schriftlichen Anstellungsvertrags (der „</w:t>
            </w:r>
            <w:r>
              <w:rPr>
                <w:rFonts w:ascii="Arial;sans-serif" w:hAnsi="Arial;sans-serif"/>
                <w:b/>
                <w:color w:val="000000"/>
                <w:sz w:val="20"/>
              </w:rPr>
              <w:t>Arbeitsvertrag</w:t>
            </w:r>
            <w:r>
              <w:rPr>
                <w:color w:val="000000"/>
              </w:rPr>
              <w:t>“</w:t>
            </w:r>
            <w:r>
              <w:rPr>
                <w:rFonts w:ascii="Arial;sans-serif" w:hAnsi="Arial;sans-serif"/>
                <w:b w:val="false"/>
                <w:color w:val="000000"/>
                <w:sz w:val="20"/>
              </w:rPr>
              <w:t xml:space="preserve">). </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rFonts w:ascii="Arial;sans-serif" w:hAnsi="Arial;sans-serif"/>
                <w:b w:val="false"/>
                <w:color w:val="000000"/>
                <w:sz w:val="20"/>
              </w:rPr>
              <w:t>Mr Florian Baumgartner is employed by the Company, most recently in the role of Chief Executive Officer of the Vista businesses since 10 July 2019 under a written employment agreement (the "</w:t>
            </w:r>
            <w:r>
              <w:rPr>
                <w:rFonts w:ascii="Arial;sans-serif" w:hAnsi="Arial;sans-serif"/>
                <w:b/>
                <w:color w:val="000000"/>
                <w:sz w:val="20"/>
              </w:rPr>
              <w:t>Employment Agreemen</w:t>
            </w:r>
            <w:r>
              <w:rPr>
                <w:rFonts w:ascii="Arial;sans-serif" w:hAnsi="Arial;sans-serif"/>
                <w:b w:val="false"/>
                <w:color w:val="000000"/>
                <w:sz w:val="20"/>
              </w:rPr>
              <w:t xml:space="preserve">t"). </w:t>
            </w:r>
          </w:p>
        </w:tc>
      </w:tr>
      <w:tr>
        <w:trPr/>
        <w:tc>
          <w:tcPr>
            <w:tcW w:w="5413"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Mit Wirkung zum 16. Januar 2026 erklärte sich Herr Baumgartner bereit, die Position des satzungsmäßigen Geschäftsführers der Gesellschaft zu übernehmen, und wurde daraufhin dazu bestellt.</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With effect from 16 January 2026, Mr Baumgartner agreed to and was subsequently appointed as the statutory managing director of the Company.</w:t>
            </w:r>
          </w:p>
        </w:tc>
      </w:tr>
      <w:tr>
        <w:trPr/>
        <w:tc>
          <w:tcPr>
            <w:tcW w:w="54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Ungeachtet dieser vorstehend genannten Bestellung halten die Parteien ausdrücklich fest, dass (1) der Geschäftsführer ungeachtet seiner Bestellung zum Geschäftsführer gemäß dieser Vereinbarung weiterhin sämtliche arbeitsvertraglichen Rechte, Leistungen und Schutzmechanismen aus dem Arbeitsvertrag sowie den lokalen Gesetzen behält; und (2) eine Beendigung dieser Vereinbarung den Arbeitsvertrag nicht beendet, welcher weiterhin unter anderem dem Kündigungsschutzgesetz (KSchG) unterliegt.</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Notwithstanding this aforementioned appointment, the Parties expressly record that (i) the Managing Director shall continue to hold all employment rights, benefits and protections under the Employment Agreement and subject to local laws notwithstanding their appointment under this Addendum; and (2) any termination of this Agreement does not terminate the Employment Agreement, which continues to be regulated by, amongst others, the Dismissal Protection Act (KSchG). </w:t>
            </w:r>
          </w:p>
        </w:tc>
      </w:tr>
      <w:tr>
        <w:trPr/>
        <w:tc>
          <w:tcPr>
            <w:tcW w:w="5413"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Die Gesellschaft erklärt sich bereit, sämtliche rechtlichen und steuerlichen Beratungskosten zu tragen, die dem Geschäftsführer im Zusammenhang mit der rechtlichen Prüfung und Unterzeichnung dieser Vereinbarung bis zu deren Abschluss entstehen. Die Gesellschaft begleicht diese Kosten entweder durch direkte Zahlung an den Rechtsbeistand des Geschäftsführers oder durch Erstattung an den Geschäftsführer gegen Vorlage der entsprechenden Rechnung(en).</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 agrees to bear all legal and tax advisory costs incurred by the Managing Director regarding the legal review and execution of this Agreement until conclusion of this Agreement. The Company shall settle such costs either by direct payment to the Managing Director’s legal counsel or by reimbursement to the Managing Director upon presentation of the invoice(s) Agreement.</w:t>
            </w:r>
          </w:p>
        </w:tc>
      </w:tr>
      <w:tr>
        <w:trPr/>
        <w:tc>
          <w:tcPr>
            <w:tcW w:w="5413"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Die Parteien schließen die folgende Vereinbarung zum Vertrag: </w:t>
            </w:r>
          </w:p>
        </w:tc>
        <w:tc>
          <w:tcPr>
            <w:tcW w:w="479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Parties conclude this Agreement to the Employment Agreement:</w:t>
            </w:r>
          </w:p>
        </w:tc>
      </w:tr>
    </w:tbl>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957070"/>
                <wp:effectExtent l="0" t="0" r="0" b="0"/>
                <wp:wrapNone/>
                <wp:docPr id="49" name="Frame49"/>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r>
                              <w:br w:type="page"/>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013"/>
        <w:gridCol w:w="1408"/>
        <w:gridCol w:w="1423"/>
        <w:gridCol w:w="1274"/>
        <w:gridCol w:w="1274"/>
        <w:gridCol w:w="1813"/>
      </w:tblGrid>
      <w:tr>
        <w:trPr/>
        <w:tc>
          <w:tcPr>
            <w:tcW w:w="301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both"/>
              <w:rPr>
                <w:rFonts w:ascii="Arial;sans-serif" w:hAnsi="Arial;sans-serif"/>
                <w:b/>
                <w:color w:val="000000"/>
                <w:sz w:val="20"/>
              </w:rPr>
            </w:pPr>
            <w:r>
              <w:rPr>
                <w:rFonts w:ascii="Arial;sans-serif" w:hAnsi="Arial;sans-serif"/>
                <w:b/>
                <w:color w:val="000000"/>
                <w:sz w:val="20"/>
              </w:rPr>
              <w:t>1.Pflichten und Aufgaben</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both"/>
              <w:rPr>
                <w:rFonts w:ascii="Arial;sans-serif" w:hAnsi="Arial;sans-serif"/>
                <w:b/>
                <w:color w:val="000000"/>
                <w:sz w:val="20"/>
              </w:rPr>
            </w:pPr>
            <w:r>
              <w:rPr>
                <w:rFonts w:ascii="Arial;sans-serif" w:hAnsi="Arial;sans-serif"/>
                <w:b/>
                <w:color w:val="000000"/>
                <w:sz w:val="20"/>
              </w:rPr>
              <w:t>1.Duties and responsibilities</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 xml:space="preserve">1.1.Der Geschäftsführer ist verpflichtet, alle Handlungen vorzunehmen und Erklärungen abzugeben, die für seine Bestellung und die Eintragung seines Namens in das Handelsregister erforderlich sind. </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 xml:space="preserve">1.1.The Managing Director shall take all actions and make all declarations required for his appointment and the registration of his name into the commercial register. </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1.2.Der Geschäftsführer übt weiterhin die Position des Chief Executive Officer der Vista-Geschäftsbereiche aus.</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1.2.The Managing Director will continue to act as the Chief Executive Officer of the Vista businesses.</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1.3.Der Geschäftsführer ist: einzelvertretungsberechtigt. Die Gesellschaft kann die Vertretungsbefugnis jederzeit ändern.</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1.3.The Managing Director has sole power of representation. The Company may change the power of representation at any time.</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2.Geschäftsführung</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2.Management</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2.1.Der Geschäftsführer führt die Geschäfte nach Maßgabe der Gesetze, der jeweils geltenden Satzung der Gesellschaft, soweit vorhanden der jeweiligen Geschäftsordnung der Gesellschaft, dieses Geschäftsführervertrags und den Beschlüssen der Gesellschafterversammlung der Gesellschaft.</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2.1.The Managing Director shall manage the business of the Company in accordance with the laws, the Articles of Association of the Company effective from time to time, if available the rules of procedure for management effective from time to time, this Managing Director Agreement and the resolutions of the shareholders' meeting of the Company.</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425"/>
              <w:jc w:val="both"/>
              <w:rPr>
                <w:rFonts w:ascii="Arial;sans-serif" w:hAnsi="Arial;sans-serif"/>
                <w:b w:val="false"/>
                <w:color w:val="000000"/>
                <w:sz w:val="20"/>
              </w:rPr>
            </w:pPr>
            <w:r>
              <w:rPr>
                <w:rFonts w:ascii="Arial;sans-serif" w:hAnsi="Arial;sans-serif"/>
                <w:b w:val="false"/>
                <w:color w:val="000000"/>
                <w:sz w:val="20"/>
              </w:rPr>
              <w:t>2.2.Dem Geschäftsführer obliegen die ihm nach einer etwaigen Geschäftsordnung jeweils zugewiesenen Aufgaben.</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2.2.The Managing Director shall fulfill the respective duties assigned to him in accordance with any rules of procedure for the management.</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2.3.Die Gesellschaft kann jederzeit weitere Geschäftsführer bestellen und die Aufgaben des Geschäftsführers ändern.</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2.3.The Company may appoint other managing directors at any time and change the duties of the Managing Director.</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0" w:after="0"/>
              <w:ind w:left="0" w:right="0" w:hanging="425"/>
              <w:jc w:val="both"/>
              <w:rPr>
                <w:rFonts w:ascii="Arial;sans-serif" w:hAnsi="Arial;sans-serif"/>
                <w:b w:val="false"/>
                <w:color w:val="000000"/>
                <w:sz w:val="20"/>
              </w:rPr>
            </w:pPr>
            <w:r>
              <w:rPr>
                <w:rFonts w:ascii="Arial;sans-serif" w:hAnsi="Arial;sans-serif"/>
                <w:b w:val="false"/>
                <w:color w:val="000000"/>
                <w:sz w:val="20"/>
              </w:rPr>
              <w:t>2.4.Der Geschäftsführer bedarf für alle Geschäfte und Maßnahmen, die über den gewöhnlichen Betrieb des Handelsgewerbes der Gesellschaft hinausgehen, der ausdrücklichen schriftlichen Einwilligung der Gesellschafterversammlung. Die Gesellschaft kann jederzeit eine Liste der Handlungen, deren Ausführung der vorherigen Zustimmung der Gesellschafterversammlung bedarf, erlassen und diese Liste kann jederzeit durch Beschluss der Gesellschafterversammlung erweitert oder eingeschränkt werden.</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2.4.The Managing Director needs the shareholders' meeting's explicit written authorization for all business transactions and measures exceeding the Company's usual business operations. The Company may determine a list of transactions the execution of which requires the prior consent of the shareholders´ meeting at any time and such list may be extended or limited by resolution of the shareholders´ meeting at any time.</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0" w:after="0"/>
              <w:ind w:left="0" w:right="0" w:hanging="425"/>
              <w:jc w:val="both"/>
              <w:rPr>
                <w:rFonts w:ascii="Arial;sans-serif" w:hAnsi="Arial;sans-serif"/>
                <w:b w:val="false"/>
                <w:color w:val="000000"/>
                <w:sz w:val="20"/>
              </w:rPr>
            </w:pPr>
            <w:r>
              <w:rPr>
                <w:rFonts w:ascii="Arial;sans-serif" w:hAnsi="Arial;sans-serif"/>
                <w:b w:val="false"/>
                <w:color w:val="000000"/>
                <w:sz w:val="20"/>
              </w:rPr>
              <w:t>2.5.Der Geschäftsführer hat für eine angemessene Compliance Organisation, insbesondere für den Schutz von Betriebs- und Geschäftsgeheimnissen, zu sorgen.</w:t>
            </w:r>
          </w:p>
        </w:tc>
        <w:tc>
          <w:tcPr>
            <w:tcW w:w="4361"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both"/>
              <w:rPr>
                <w:rFonts w:ascii="Arial;sans-serif" w:hAnsi="Arial;sans-serif"/>
                <w:b w:val="false"/>
                <w:color w:val="000000"/>
                <w:sz w:val="20"/>
              </w:rPr>
            </w:pPr>
            <w:r>
              <w:rPr>
                <w:rFonts w:ascii="Arial;sans-serif" w:hAnsi="Arial;sans-serif"/>
                <w:b w:val="false"/>
                <w:color w:val="000000"/>
                <w:sz w:val="20"/>
              </w:rPr>
              <w:t>2.5.The Managing Director shall arrange a reasonable Compliance Organization, especially in matters of the protection of business or operational secrets.</w:t>
            </w:r>
          </w:p>
        </w:tc>
      </w:tr>
      <w:tr>
        <w:trPr/>
        <w:tc>
          <w:tcPr>
            <w:tcW w:w="5844" w:type="dxa"/>
            <w:gridSpan w:val="3"/>
            <w:tcBorders/>
            <w:tcMar>
              <w:top w:w="0" w:type="dxa"/>
              <w:left w:w="0" w:type="dxa"/>
              <w:bottom w:w="0" w:type="dxa"/>
              <w:right w:w="0" w:type="dxa"/>
            </w:tcMar>
            <w:vAlign w:val="center"/>
          </w:tcPr>
          <w:p>
            <w:pPr>
              <w:pStyle w:val="TableContents"/>
              <w:bidi w:val="0"/>
              <w:spacing w:lineRule="auto" w:line="288" w:before="0" w:after="0"/>
              <w:ind w:left="0" w:right="0" w:hanging="425"/>
              <w:jc w:val="both"/>
              <w:rPr>
                <w:rFonts w:ascii="Arial;sans-serif" w:hAnsi="Arial;sans-serif"/>
                <w:b w:val="false"/>
                <w:color w:val="000000"/>
                <w:sz w:val="20"/>
              </w:rPr>
            </w:pPr>
            <w:r>
              <w:rPr>
                <w:rFonts w:ascii="Arial;sans-serif" w:hAnsi="Arial;sans-serif"/>
                <w:b w:val="false"/>
                <w:color w:val="000000"/>
                <w:sz w:val="20"/>
              </w:rPr>
              <w:t>2.6.§ 43 Abs. 2 GmbHG findet im Verhältnis der Parteien zueinander keine Anwendung.</w:t>
            </w:r>
          </w:p>
        </w:tc>
        <w:tc>
          <w:tcPr>
            <w:tcW w:w="4361"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32"/>
              <w:jc w:val="both"/>
              <w:rPr>
                <w:rFonts w:ascii="Arial;sans-serif" w:hAnsi="Arial;sans-serif"/>
                <w:b w:val="false"/>
                <w:color w:val="000000"/>
                <w:sz w:val="20"/>
              </w:rPr>
            </w:pPr>
            <w:r>
              <w:rPr>
                <w:rFonts w:ascii="Arial;sans-serif" w:hAnsi="Arial;sans-serif"/>
                <w:b w:val="false"/>
                <w:color w:val="000000"/>
                <w:sz w:val="20"/>
              </w:rPr>
              <w:t>2.6.§ 43 para 1 of German Act on Limited Liability Companies (GmbHG) does not apply between the Parties.</w:t>
            </w:r>
          </w:p>
        </w:tc>
      </w:tr>
    </w:tbl>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957070"/>
                <wp:effectExtent l="0" t="0" r="0" b="0"/>
                <wp:wrapNone/>
                <wp:docPr id="50" name="Frame50"/>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r>
                              <w:br w:type="page"/>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13"/>
        <w:gridCol w:w="1582"/>
        <w:gridCol w:w="1612"/>
        <w:gridCol w:w="1459"/>
        <w:gridCol w:w="1459"/>
        <w:gridCol w:w="2080"/>
      </w:tblGrid>
      <w:tr>
        <w:trPr/>
        <w:tc>
          <w:tcPr>
            <w:tcW w:w="201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3.Spesen</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3.Expenses</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Die Erstattung von notwendigen dienstlich veranlassten Auslagen bestimmt sich nach der jeweils gültigen Richtlinie der Gesellschaft. Soweit eine solche Richtlinie nicht vorhanden ist, erhält der Geschäftsführer nach vorheriger Absprache und gegen Vorlage der entsprechenden Belege Erstattung von notwendigen dienstlich veranlassten Auslagen nach den jeweils steuerlich abzugsfähigen Sätzen.</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reimbursement of necessary and officially incurred expenses is determined by the valid policy of the Company effective from time to time. If there is no such policy, the Managing Director will be reimbursed after prior written approval and representation of the supporting documents for such necessary and officially incurred expenses based on the respective tax-deductible rates.</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4.Dauer und Beendigung</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4.Term and Termination</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 xml:space="preserve">4.1.Diese Vereinbarung tritt zum 1. Februar 2026 in Kraft und ist unbefristet, vorbehaltlich einer Beendigung durch die Gesellschaft (aus wichtigem Grund oder ohne wichtigen Grund) oder im Fall des Todes, im Rahmen einer automatischen Beendigung gemäß Ziffer 4.3 oder eines Rücktritts des Geschäftsführers, wie nachstehend näher dargelegt. Zur Klarstellung: Die Beendigung dieser Vereinbarung beendet nicht den Arbeitsvertrag, der weiterhin den lokalen Gesetzen, unter anderem dem Kündigungsschutzgesetz (KSchG) unterliegt. </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4.1.This Addendum Agreement shall become effective on 1 February 2026 and shall be for an indefinite term, subject to termination by the Company (for cause or without cause), or in the event of death, in accordance with an automatic termination in accordance with clause 4.3 or resignation of the Managing Director as more fully recorded below. For avoidance of doubt, termination of this Agreement does not terminate the Employment Agreement, which remains subject to local laws, amongst others the Anti Dismissal Protection Act (KSchG).</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left"/>
              <w:rPr>
                <w:rFonts w:ascii="Arial;sans-serif" w:hAnsi="Arial;sans-serif"/>
                <w:b w:val="false"/>
                <w:color w:val="000000"/>
                <w:sz w:val="20"/>
              </w:rPr>
            </w:pPr>
            <w:r>
              <w:rPr>
                <w:rFonts w:ascii="Arial;sans-serif" w:hAnsi="Arial;sans-serif"/>
                <w:b w:val="false"/>
                <w:color w:val="000000"/>
                <w:sz w:val="20"/>
              </w:rPr>
              <w:t>4.2.Jegliche zwischen den Parteien ausgesprochene Kündigung bedarf der Schriftform.</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 xml:space="preserve">4.2.Any notice of termination tendered between the Parties must be given in writing. </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4.3.Die Bestellung zum Geschäftsführer kann durch Beschluss des satzungsmäßigen Organs jederzeit widerrufen werden. Im Fall des Widerrufs der Bestellung zum Geschäftsführer endet diese Ergänzungsvereinbarung mit sofortiger Wirkung und der Geschäftsführer wird auf Basis des Arbeitsvertrags weiterhin als Arbeitnehmer tätig bleiben.</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4.3.The appointment as statutory managing director may be withdrawn by resolution of the appropriate body according to the articles of association of the Company at any time. In the event that the appointment as Managing Director is withdrawn, this Addendum Agreement will end with immediate effect and the Managing Director will remain an employee under the Employment Agreement.</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4.4.In Hinblick auf die Bestellung des Geschäftsführers zum Geschäftsführer gemäß dieser Vereinbarung behält sich die Gesellschaft das Recht vor, die Bestellung jederzeit und aus beliebigem Grund gemäß § 38 Abs. 1 GmbHG zu widerrufen.</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 xml:space="preserve">4.4.In respect of the Managing Director’s appointment as managing director under this Agreement, the Company retains the right to revoke the appointment at any time for any reason in accordance with § 38 para 1 of the Act on Limited Liability Companies (GmbHG). </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4.5.Im Fall der Kündigung des Arbeitsverhältnisses findet § 14 KSchG keine Anwendung.</w:t>
            </w:r>
          </w:p>
        </w:tc>
        <w:tc>
          <w:tcPr>
            <w:tcW w:w="4998"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4.5.In case of a termination of the Employment Agreement, § 14 of the Anti Dismissal Protection Act (KSchG) does not apply.</w:t>
            </w:r>
          </w:p>
        </w:tc>
      </w:tr>
    </w:tbl>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957070"/>
                <wp:effectExtent l="0" t="0" r="0" b="0"/>
                <wp:wrapNone/>
                <wp:docPr id="51" name="Frame51"/>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r>
                              <w:br w:type="page"/>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90"/>
        <w:gridCol w:w="1927"/>
        <w:gridCol w:w="1936"/>
        <w:gridCol w:w="1341"/>
        <w:gridCol w:w="1154"/>
        <w:gridCol w:w="1657"/>
      </w:tblGrid>
      <w:tr>
        <w:trPr/>
        <w:tc>
          <w:tcPr>
            <w:tcW w:w="219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5.Berichtswesen</w:t>
            </w:r>
          </w:p>
        </w:tc>
        <w:tc>
          <w:tcPr>
            <w:tcW w:w="415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5.Reports</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Der Geschäftsführer ist verpflichtet, den Gesellschaftern jederzeit auf Verlangen der Gesellschafterversammlung schriftlich über die Situation der Gesellschaft zu berichten. Der Bericht hat insbesondere folgende Punkte zu enthalten: Verkäufe, Neuabschlüsse von Verträgen, Gewinn und Verlust, Personalkosten, Forderungen und Verbindlichkeiten, sowie alle anderen üblichen Angaben oder Angaben, die die Gesellschaft verlangt.</w:t>
            </w:r>
          </w:p>
        </w:tc>
        <w:tc>
          <w:tcPr>
            <w:tcW w:w="415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Managing Director is obliged to report to the shareholders about the Company's state of affairs in writing upon request of the shareholders' meeting at any time. Such report has to contain in particular the following items: sales, conclusion of new contracts, profit and loss, human resources expenditure, receivables and liabilities as well as all other customary information and information requested by the Company.</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6.Bucheinsicht</w:t>
            </w:r>
          </w:p>
        </w:tc>
        <w:tc>
          <w:tcPr>
            <w:tcW w:w="415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6.Access to Accounts</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Der Geschäftsführer hat den Gesellschaftern oder deren Beauftragten jederzeit Einsicht in die Bücher der Gesellschaft zu gewähren.</w:t>
            </w:r>
          </w:p>
        </w:tc>
        <w:tc>
          <w:tcPr>
            <w:tcW w:w="415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Managing Director shall permit the shareholders or their representatives to inspect the books of the Company at any time.</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7.Versicherungen</w:t>
            </w:r>
          </w:p>
        </w:tc>
        <w:tc>
          <w:tcPr>
            <w:tcW w:w="415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7.Insurances</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0" w:after="0"/>
              <w:ind w:left="0" w:right="0" w:hanging="567"/>
              <w:jc w:val="both"/>
              <w:rPr>
                <w:rFonts w:ascii="Arial;sans-serif" w:hAnsi="Arial;sans-serif"/>
                <w:b w:val="false"/>
                <w:color w:val="000000"/>
                <w:sz w:val="20"/>
              </w:rPr>
            </w:pPr>
            <w:r>
              <w:rPr>
                <w:rFonts w:ascii="Arial;sans-serif" w:hAnsi="Arial;sans-serif"/>
                <w:b w:val="false"/>
                <w:color w:val="000000"/>
                <w:sz w:val="20"/>
              </w:rPr>
              <w:t>7.1.Die Gesellschaft wird auf eigene Kosten im Rahmen des Cimpress plc - Versicherungsprogramms eine D&amp;O Versicherung für den Geschäftsführer aufrechterhalten. Der Umfang und die Höhe dieser Versicherung müssen mindestens dem Schutz entsprechen, der anderen Directors und Officers innerhalb der Cimpress plc - Gruppe gewährt wird. Der Versicherungsschutz im Rahmen des Versicherungsprogramms wird auf Pflichtverletzungen (wrongful acts), wie in der Versicherungspolice definiert, erstreckt. Sofern die Gesellschaft nicht in der Lage ist, den Geschäftsführer freizustellen, ist dieser berechtigt, einen Anspruch aus der Cimpress D&amp;O-Versicherungspolice auf Erstattung seiner Verluste geltend zu machen. Die Gesellschaft wird dem Geschäftsführer auf Anfrage Kopien sämtlicher D&amp;O-Versicherungspolicen zur Verfügung stellen. Die Gesellschaft verpflichtet sich, den Geschäftsführer bei der Geltendmachung von Ansprüchen für nicht entschädigungsfähige Verluste zu unterstützen, sofern Versicherungsschutz im Rahmen der Police besteht.</w:t>
            </w:r>
          </w:p>
        </w:tc>
        <w:tc>
          <w:tcPr>
            <w:tcW w:w="4152" w:type="dxa"/>
            <w:gridSpan w:val="3"/>
            <w:tcBorders/>
            <w:tcMar>
              <w:top w:w="0" w:type="dxa"/>
              <w:left w:w="0" w:type="dxa"/>
              <w:bottom w:w="0" w:type="dxa"/>
              <w:right w:w="0" w:type="dxa"/>
            </w:tcMar>
            <w:vAlign w:val="center"/>
          </w:tcPr>
          <w:p>
            <w:pPr>
              <w:pStyle w:val="TableContents"/>
              <w:bidi w:val="0"/>
              <w:spacing w:lineRule="auto" w:line="288" w:before="0" w:after="120"/>
              <w:ind w:left="0" w:right="0" w:hanging="425"/>
              <w:jc w:val="both"/>
              <w:rPr>
                <w:rFonts w:ascii="Arial;sans-serif" w:hAnsi="Arial;sans-serif"/>
                <w:b w:val="false"/>
                <w:color w:val="000000"/>
                <w:sz w:val="20"/>
              </w:rPr>
            </w:pPr>
            <w:r>
              <w:rPr>
                <w:rFonts w:ascii="Arial;sans-serif" w:hAnsi="Arial;sans-serif"/>
                <w:b w:val="false"/>
                <w:color w:val="000000"/>
                <w:sz w:val="20"/>
              </w:rPr>
              <w:t>7.1.The Company shall maintain, at its own expense, D&amp;O insurance coverage for the Managing Director through the Cimpress plc insurance program. The scope and limit of this coverage shall be at least equivalent to that provided to other directors and officers within the Cimpress plc group. Coverage by the insurance program will be extended for wrongful acts as defined in the policy. If the Company is unable to indemnify the Managing Director, he will be eligible to file a claim under the Cimpress D&amp;O policy seeking reimbursement for his losses. The company shall, upon request, provide the Managing Director with copies of all D&amp;O insurance policies. The Company agrees to support the Managing Director with filing a claim for non-indemnifiable losses where coverage applies within the policy.</w:t>
            </w:r>
          </w:p>
        </w:tc>
      </w:tr>
      <w:tr>
        <w:trPr/>
        <w:tc>
          <w:tcPr>
            <w:tcW w:w="6053" w:type="dxa"/>
            <w:gridSpan w:val="3"/>
            <w:tcBorders/>
            <w:tcMar>
              <w:top w:w="0" w:type="dxa"/>
              <w:left w:w="0" w:type="dxa"/>
              <w:bottom w:w="0" w:type="dxa"/>
              <w:right w:w="0" w:type="dxa"/>
            </w:tcMar>
            <w:vAlign w:val="center"/>
          </w:tcPr>
          <w:p>
            <w:pPr>
              <w:pStyle w:val="TableContents"/>
              <w:bidi w:val="0"/>
              <w:spacing w:lineRule="auto" w:line="288" w:before="0" w:after="120"/>
              <w:ind w:left="0" w:right="0" w:hanging="567"/>
              <w:jc w:val="both"/>
              <w:rPr/>
            </w:pPr>
            <w:r>
              <w:rPr>
                <w:rFonts w:ascii="Arial;sans-serif" w:hAnsi="Arial;sans-serif"/>
                <w:b w:val="false"/>
                <w:color w:val="000000"/>
                <w:sz w:val="20"/>
              </w:rPr>
              <w:t>7.2.</w:t>
            </w:r>
            <w:r>
              <w:rPr>
                <w:color w:val="000000"/>
              </w:rPr>
              <w:t> </w:t>
            </w:r>
            <w:r>
              <w:rPr>
                <w:rFonts w:ascii="Arial;sans-serif" w:hAnsi="Arial;sans-serif"/>
                <w:b w:val="false"/>
                <w:color w:val="000000"/>
                <w:sz w:val="20"/>
              </w:rPr>
              <w:t>Der Versicherungsschutz deckt auch den Zeitraum nach Beendigung dieses Geschäftsführervertrages für die Dauer der Verjährungsfrist von Organhaftungsansprüchen im Zusammenhang mit diesem Geschäftsführervertrag ab.</w:t>
            </w:r>
          </w:p>
        </w:tc>
        <w:tc>
          <w:tcPr>
            <w:tcW w:w="4152" w:type="dxa"/>
            <w:gridSpan w:val="3"/>
            <w:tcBorders/>
            <w:tcMar>
              <w:top w:w="0" w:type="dxa"/>
              <w:left w:w="0" w:type="dxa"/>
              <w:bottom w:w="0" w:type="dxa"/>
              <w:right w:w="0" w:type="dxa"/>
            </w:tcMar>
            <w:vAlign w:val="center"/>
          </w:tcPr>
          <w:p>
            <w:pPr>
              <w:pStyle w:val="TableContents"/>
              <w:bidi w:val="0"/>
              <w:spacing w:lineRule="auto" w:line="288" w:before="0" w:after="0"/>
              <w:ind w:left="0" w:right="0" w:hanging="425"/>
              <w:jc w:val="both"/>
              <w:rPr>
                <w:rFonts w:ascii="Arial;sans-serif" w:hAnsi="Arial;sans-serif"/>
                <w:b w:val="false"/>
                <w:color w:val="000000"/>
                <w:sz w:val="20"/>
              </w:rPr>
            </w:pPr>
            <w:r>
              <w:rPr>
                <w:rFonts w:ascii="Arial;sans-serif" w:hAnsi="Arial;sans-serif"/>
                <w:b w:val="false"/>
                <w:color w:val="000000"/>
                <w:sz w:val="20"/>
              </w:rPr>
              <w:t>7.2.The insurance coverage shall also cover the period after the termination of this Agreement for the duration of the limitation period of claims for liability of corporate bodies in connection with this Agreement.</w:t>
            </w:r>
          </w:p>
        </w:tc>
      </w:tr>
    </w:tbl>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957070"/>
                <wp:effectExtent l="0" t="0" r="0" b="0"/>
                <wp:wrapNone/>
                <wp:docPr id="52" name="Frame52"/>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r>
                              <w:br w:type="page"/>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52"/>
        <w:gridCol w:w="1605"/>
        <w:gridCol w:w="1525"/>
        <w:gridCol w:w="1634"/>
        <w:gridCol w:w="1292"/>
        <w:gridCol w:w="1697"/>
      </w:tblGrid>
      <w:tr>
        <w:trPr/>
        <w:tc>
          <w:tcPr>
            <w:tcW w:w="245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8.Anwendbares Recht</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8.Governing Law</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Diese Vereinbarung unterliegt dem Recht der Bundesrepublik Deutschland und ist nach diesem auszulegen. Die Parteien vereinbaren unwiderruflich, dass die Gerichte in Berlin, Deutschland, die ausschließliche Zuständigkeit für die Beilegung sämtlicher Streitigkeiten und Ansprüche haben, die sich aus oder im Zusammenhang mit dieser Vereinbarung ergeben.</w:t>
            </w:r>
          </w:p>
        </w:tc>
        <w:tc>
          <w:tcPr>
            <w:tcW w:w="462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Agreement shall be governed by, and construed in accordance with the laws of the Federal Republic of Germany. The parties irrevocably agree that the court of Berlin, Germany shall have exclusive jurisdiction to settle any dispute or claim that arises out of or in connection with this Agreement.</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9.Schlussbestimmungen</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9.Final Provisions</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9.1.Soweit in dieser Vereinbarung Ansprüche oder Pflichten des Geschäftsführers gegenüber Verbundenen Unternehmen oder Ansprüche oder Pflichten von Verbundenen Unternehmen gegenüber dem Geschäftsführer geregelt werden, handelt die Gesellschaft im Einverständnis dieser Verbundenen Unternehmen.</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9.1.To the extent that any claims or obligations of the Managing Director towards Affiliated Companies or claims or obligations of the Affiliated Companies towards the Managing Director are subject to this Agreement the Company acts with the consent of these Affiliated Companies.</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9.2.Änderungen und Ergänzungen dieser Vereinbarung bedürfen zu ihrer Wirksamkeit der Schriftform. Das gilt auch für die Änderung dieser Klausel. Mündliche Nebenabreden sind nichtig. § 305b BGB bleibt unberührt.</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9.2.Any amendments or additions to this Agreement must be in writing. This shall also apply to any change in this provision. Oral agreements are void. Section 305b German Civil Code shall remain unaffected.</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9.3.Sollte eine Bestimmung dieser Vereinbarung unwirksam sein oder werden, so wird die Wirksamkeit der übrigen Bestimmungen dadurch nicht berührt. Die Parteien sind im Falle einer unwirksamen Bestimmung verpflichtet, über eine wirksame und zumutbare Ersatzregelung zu verhandeln, die dem von den Parteien mit der unwirksamen Bestimmung verfolgten wirtschaftlichen Zweck möglichst nahekommt. Dies gilt entsprechend, wenn sich eine Lücke in dieser Vereinbarung herausstellt.</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9.3.Should any provision of this Agreement be or become void, the validity of the other provisions will not be affected thereby. In the event of an invalid provision, the Parties shall be obliged to negotiate a valid and reasonable substitute provision which comes as close as possible to the economic purpose the Parties had pursued with the invalid provision. This shall apply accordingly if a gap in this Agreement becomes apparent.</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9.4.Die Geltendmachung von Ansprüchen durch den Geschäftsführer im Wege des Urkundenprozesses ist nicht statthaft.</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9.4.The submission of claims by the Managing Director through summary procedure (Urkundenprozess) shall not be admissible.</w:t>
            </w:r>
          </w:p>
        </w:tc>
      </w:tr>
      <w:tr>
        <w:trPr/>
        <w:tc>
          <w:tcPr>
            <w:tcW w:w="5582"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567"/>
              <w:jc w:val="both"/>
              <w:rPr>
                <w:rFonts w:ascii="Arial;sans-serif" w:hAnsi="Arial;sans-serif"/>
                <w:b w:val="false"/>
                <w:color w:val="000000"/>
                <w:sz w:val="20"/>
              </w:rPr>
            </w:pPr>
            <w:r>
              <w:rPr>
                <w:rFonts w:ascii="Arial;sans-serif" w:hAnsi="Arial;sans-serif"/>
                <w:b w:val="false"/>
                <w:color w:val="000000"/>
                <w:sz w:val="20"/>
              </w:rPr>
              <w:t xml:space="preserve">9.5.Alle übrigen Bedingungen des Arbeitsvertrages, die nicht durch diese Vereinbarung geändert wurden, gelten unverändert fort. </w:t>
            </w:r>
          </w:p>
        </w:tc>
        <w:tc>
          <w:tcPr>
            <w:tcW w:w="4623"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425"/>
              <w:jc w:val="both"/>
              <w:rPr>
                <w:rFonts w:ascii="Arial;sans-serif" w:hAnsi="Arial;sans-serif"/>
                <w:b w:val="false"/>
                <w:color w:val="000000"/>
                <w:sz w:val="20"/>
              </w:rPr>
            </w:pPr>
            <w:r>
              <w:rPr>
                <w:rFonts w:ascii="Arial;sans-serif" w:hAnsi="Arial;sans-serif"/>
                <w:b w:val="false"/>
                <w:color w:val="000000"/>
                <w:sz w:val="20"/>
              </w:rPr>
              <w:t>9.5.All other terms of the Employment Agreement, not amended in this Agreement, remain unchanged.</w:t>
            </w:r>
          </w:p>
        </w:tc>
      </w:tr>
    </w:tbl>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957070"/>
                <wp:effectExtent l="0" t="0" r="0" b="0"/>
                <wp:wrapNone/>
                <wp:docPr id="53" name="Frame53"/>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r>
                              <w:br w:type="page"/>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91"/>
        <w:gridCol w:w="1366"/>
        <w:gridCol w:w="1368"/>
        <w:gridCol w:w="2655"/>
        <w:gridCol w:w="1053"/>
        <w:gridCol w:w="1472"/>
      </w:tblGrid>
      <w:tr>
        <w:trPr/>
        <w:tc>
          <w:tcPr>
            <w:tcW w:w="229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10.Unterschriftsregelung</w:t>
            </w:r>
          </w:p>
        </w:tc>
        <w:tc>
          <w:tcPr>
            <w:tcW w:w="5180" w:type="dxa"/>
            <w:gridSpan w:val="3"/>
            <w:tcBorders/>
            <w:tcMar>
              <w:top w:w="0" w:type="dxa"/>
              <w:left w:w="0" w:type="dxa"/>
              <w:bottom w:w="0" w:type="dxa"/>
              <w:right w:w="0" w:type="dxa"/>
            </w:tcMar>
            <w:vAlign w:val="center"/>
          </w:tcPr>
          <w:p>
            <w:pPr>
              <w:pStyle w:val="TableContents"/>
              <w:bidi w:val="0"/>
              <w:spacing w:lineRule="auto" w:line="288" w:before="120" w:after="120"/>
              <w:ind w:left="0" w:right="0" w:hanging="360"/>
              <w:jc w:val="left"/>
              <w:rPr>
                <w:rFonts w:ascii="Arial;sans-serif" w:hAnsi="Arial;sans-serif"/>
                <w:b/>
                <w:color w:val="000000"/>
                <w:sz w:val="20"/>
              </w:rPr>
            </w:pPr>
            <w:r>
              <w:rPr>
                <w:rFonts w:ascii="Arial;sans-serif" w:hAnsi="Arial;sans-serif"/>
                <w:b/>
                <w:color w:val="000000"/>
                <w:sz w:val="20"/>
              </w:rPr>
              <w:t>10.Signature</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Diese Vereinbarung kann in beliebig vielen Ausfertigungen unterzeichnet werden, von denen jede einzelne nach Unterzeichnung und Übermittlung als Unterschrift gilt. Alle Ausfertigungen zusammen bilden jedoch eine einheitliche und identische Urkunde.</w:t>
            </w:r>
          </w:p>
        </w:tc>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This Agreement may be executed in any number of counterparts, each of which when executed and delivered shall constitute a duplicate original, but all the counterparts shall together constitute one and the same instrument. </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Reading, MA United States of America</w:t>
            </w:r>
          </w:p>
        </w:tc>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Oberhaching, BY Germany</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u w:val="single"/>
              </w:rPr>
              <w:t>3 February 2026                               </w:t>
            </w:r>
            <w:r>
              <w:rPr>
                <w:rFonts w:ascii="Arial;sans-serif" w:hAnsi="Arial;sans-serif"/>
                <w:b w:val="false"/>
                <w:color w:val="000000"/>
                <w:sz w:val="20"/>
              </w:rPr>
              <w:br/>
              <w:t>Ort/Place, Datum/Date</w:t>
            </w:r>
          </w:p>
        </w:tc>
        <w:tc>
          <w:tcPr>
            <w:tcW w:w="5180"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u w:val="single"/>
              </w:rPr>
              <w:t>6 February 2026                                         </w:t>
            </w:r>
            <w:r>
              <w:rPr>
                <w:rFonts w:ascii="Arial;sans-serif" w:hAnsi="Arial;sans-serif"/>
                <w:b w:val="false"/>
                <w:color w:val="000000"/>
                <w:sz w:val="20"/>
              </w:rPr>
              <w:br/>
              <w:t>Ort/Place, Datum/Date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u w:val="single"/>
              </w:rPr>
              <w:t>/s/ Sean Quinn                                 </w:t>
            </w:r>
            <w:r>
              <w:rPr>
                <w:rFonts w:ascii="Arial;sans-serif" w:hAnsi="Arial;sans-serif"/>
                <w:b w:val="false"/>
                <w:color w:val="000000"/>
                <w:sz w:val="20"/>
              </w:rPr>
              <w:br/>
              <w:t>Sean Quinn</w:t>
            </w:r>
          </w:p>
        </w:tc>
        <w:tc>
          <w:tcPr>
            <w:tcW w:w="5180"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20"/>
                <w:u w:val="single"/>
              </w:rPr>
              <w:t>/s/ Florian Baumgartner                               </w:t>
            </w:r>
            <w:r>
              <w:rPr>
                <w:rFonts w:ascii="Arial;sans-serif" w:hAnsi="Arial;sans-serif"/>
                <w:b w:val="false"/>
                <w:color w:val="000000"/>
                <w:sz w:val="20"/>
              </w:rPr>
              <w:br/>
              <w:t>Florian Baumgartner</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als Vertreter der Gesellschafterversammlung der Vistaprint Deutschland GmbH / as representative of the shareholder meeting of the Vistaprint Deutschland GmbH</w:t>
            </w:r>
          </w:p>
        </w:tc>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Der Geschäftsführer bestätigt mit der Unterschrift, eine vollständige Ausführung dieser Ergänzungsvereinbarung erhalten zu haben, die von beiden Parteien im Original unterschrieben wurde.</w:t>
            </w:r>
          </w:p>
        </w:tc>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Managing Director hereby confirms by signature that the Managing Director has received a complete execution of this Addendum Agreement that has been signed by both parties with original signatures.</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957070"/>
                <wp:effectExtent l="0" t="0" r="0" b="0"/>
                <wp:wrapNone/>
                <wp:docPr id="54" name="Frame54"/>
                <a:graphic xmlns:a="http://schemas.openxmlformats.org/drawingml/2006/main">
                  <a:graphicData uri="http://schemas.microsoft.com/office/word/2010/wordprocessingShape">
                    <wps:wsp>
                      <wps:cNvSpPr txBox="1"/>
                      <wps:spPr>
                        <a:xfrm>
                          <a:off x="0" y="0"/>
                          <a:ext cx="6480175" cy="1957070"/>
                        </a:xfrm>
                        <a:prstGeom prst="rect"/>
                        <a:solidFill>
                          <a:srgbClr val="FFFFFF"/>
                        </a:solidFill>
                      </wps:spPr>
                      <wps:txb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4.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bl>
                      <w:tblPr>
                        <w:tblW w:w="496" w:type="dxa"/>
                        <w:jc w:val="left"/>
                        <w:tblInd w:w="0" w:type="dxa"/>
                        <w:tblLayout w:type="fixed"/>
                        <w:tblCellMar>
                          <w:top w:w="28" w:type="dxa"/>
                          <w:left w:w="28" w:type="dxa"/>
                          <w:bottom w:w="28" w:type="dxa"/>
                          <w:right w:w="28" w:type="dxa"/>
                        </w:tblCellMar>
                      </w:tblPr>
                      <w:tblGrid>
                        <w:gridCol w:w="1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47" w:before="0" w:after="120"/>
        <w:jc w:val="left"/>
        <w:rPr>
          <w:rFonts w:ascii="Arial;sans-serif" w:hAnsi="Arial;sans-serif"/>
          <w:b w:val="false"/>
          <w:color w:val="000000"/>
          <w:sz w:val="20"/>
        </w:rPr>
      </w:pPr>
      <w:r>
        <w:rPr>
          <w:rFonts w:ascii="Arial;sans-serif" w:hAnsi="Arial;sans-serif"/>
          <w:b w:val="false"/>
          <w:color w:val="000000"/>
          <w:sz w:val="20"/>
        </w:rPr>
        <w:t>Date: April 30, 2026</w:t>
      </w:r>
    </w:p>
    <w:p>
      <w:pPr>
        <w:pStyle w:val="TextBody"/>
        <w:bidi w:val="0"/>
        <w:spacing w:before="0" w:after="120"/>
        <w:jc w:val="left"/>
        <w:rPr/>
      </w:pPr>
      <w:r>
        <w:rPr/>
      </w:r>
    </w:p>
    <w:tbl>
      <w:tblPr>
        <w:tblW w:w="2306" w:type="dxa"/>
        <w:jc w:val="left"/>
        <w:tblInd w:w="0" w:type="dxa"/>
        <w:tblLayout w:type="fixed"/>
        <w:tblCellMar>
          <w:top w:w="28" w:type="dxa"/>
          <w:left w:w="28" w:type="dxa"/>
          <w:bottom w:w="28" w:type="dxa"/>
          <w:right w:w="28" w:type="dxa"/>
        </w:tblCellMar>
      </w:tblPr>
      <w:tblGrid>
        <w:gridCol w:w="701"/>
        <w:gridCol w:w="615"/>
        <w:gridCol w:w="618"/>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76" w:before="0" w:after="120"/>
        <w:ind w:left="0" w:right="0" w:firstLine="120"/>
        <w:jc w:val="left"/>
        <w:rPr>
          <w:rFonts w:ascii="Arial;sans-serif" w:hAnsi="Arial;sans-serif"/>
          <w:b w:val="false"/>
          <w:color w:val="000000"/>
          <w:sz w:val="20"/>
        </w:rPr>
      </w:pPr>
      <w:r>
        <w:rPr>
          <w:rFonts w:ascii="Arial;sans-serif" w:hAnsi="Arial;sans-serif"/>
          <w:b w:val="false"/>
          <w:color w:val="000000"/>
          <w:sz w:val="20"/>
        </w:rPr>
        <w:t>Date: April 30, 2026</w:t>
      </w:r>
    </w:p>
    <w:tbl>
      <w:tblPr>
        <w:tblW w:w="2262" w:type="dxa"/>
        <w:jc w:val="left"/>
        <w:tblInd w:w="0" w:type="dxa"/>
        <w:tblLayout w:type="fixed"/>
        <w:tblCellMar>
          <w:top w:w="28" w:type="dxa"/>
          <w:left w:w="28" w:type="dxa"/>
          <w:bottom w:w="28" w:type="dxa"/>
          <w:right w:w="28" w:type="dxa"/>
        </w:tblCellMar>
      </w:tblPr>
      <w:tblGrid>
        <w:gridCol w:w="683"/>
        <w:gridCol w:w="602"/>
        <w:gridCol w:w="605"/>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ind w:left="0" w:right="0" w:firstLine="2471"/>
        <w:jc w:val="center"/>
        <w:rPr/>
      </w:pPr>
      <w:r>
        <w:rPr/>
      </w:r>
    </w:p>
    <w:p>
      <w:pPr>
        <w:pStyle w:val="TextBody"/>
        <w:bidi w:val="0"/>
        <w:spacing w:lineRule="auto" w:line="247" w:before="0" w:after="120"/>
        <w:ind w:left="0" w:right="0" w:firstLine="8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Cimpress plc (the “Company”) for the quarter ended March 31, 2026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bidi w:val="0"/>
        <w:spacing w:before="0" w:after="120"/>
        <w:ind w:left="0" w:right="0" w:firstLine="120"/>
        <w:jc w:val="left"/>
        <w:rPr/>
      </w:pPr>
      <w:r>
        <w:rPr/>
      </w:r>
    </w:p>
    <w:tbl>
      <w:tblPr>
        <w:tblW w:w="4789"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09"/>
        <w:gridCol w:w="109"/>
        <w:gridCol w:w="109"/>
        <w:gridCol w:w="109"/>
        <w:gridCol w:w="109"/>
        <w:gridCol w:w="109"/>
        <w:gridCol w:w="573"/>
        <w:gridCol w:w="573"/>
        <w:gridCol w:w="81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120"/>
        <w:ind w:left="0" w:right="0" w:firstLine="120"/>
        <w:jc w:val="left"/>
        <w:rPr/>
      </w:pPr>
      <w:r>
        <w:rPr/>
      </w:r>
    </w:p>
    <w:tbl>
      <w:tblPr>
        <w:tblW w:w="4744"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09"/>
        <w:gridCol w:w="109"/>
        <w:gridCol w:w="109"/>
        <w:gridCol w:w="109"/>
        <w:gridCol w:w="109"/>
        <w:gridCol w:w="109"/>
        <w:gridCol w:w="560"/>
        <w:gridCol w:w="560"/>
        <w:gridCol w:w="79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ind w:left="0" w:right="0" w:firstLine="12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26007</Words>
  <Characters>149797</Characters>
  <CharactersWithSpaces>174160</CharactersWithSpaces>
  <Paragraphs>4057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