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p>
      <w:pPr>
        <w:pStyle w:val="TextBody"/>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tbl>
      <w:tblPr>
        <w:tblW w:w="9156" w:type="dxa"/>
        <w:jc w:val="center"/>
        <w:tblInd w:w="0" w:type="dxa"/>
        <w:tblCellMar>
          <w:top w:w="28" w:type="dxa"/>
          <w:left w:w="28" w:type="dxa"/>
          <w:bottom w:w="28" w:type="dxa"/>
          <w:right w:w="28" w:type="dxa"/>
        </w:tblCellMar>
      </w:tblPr>
      <w:tblGrid>
        <w:gridCol w:w="183"/>
        <w:gridCol w:w="161"/>
        <w:gridCol w:w="161"/>
        <w:gridCol w:w="1342"/>
        <w:gridCol w:w="1342"/>
        <w:gridCol w:w="1342"/>
        <w:gridCol w:w="1342"/>
        <w:gridCol w:w="1342"/>
        <w:gridCol w:w="1941"/>
      </w:tblGrid>
      <w:tr>
        <w:trPr/>
        <w:tc>
          <w:tcPr>
            <w:tcW w:w="1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41" w:type="dxa"/>
            <w:tcBorders/>
            <w:shd w:fill="auto" w:val="clear"/>
            <w:vAlign w:val="center"/>
          </w:tcPr>
          <w:p>
            <w:pPr>
              <w:pStyle w:val="TableContents"/>
              <w:spacing w:before="0" w:after="283"/>
              <w:rPr>
                <w:sz w:val="4"/>
                <w:szCs w:val="4"/>
              </w:rPr>
            </w:pPr>
            <w:r>
              <w:rPr>
                <w:sz w:val="4"/>
                <w:szCs w:val="4"/>
              </w:rPr>
            </w:r>
          </w:p>
        </w:tc>
      </w:tr>
      <w:tr>
        <w:trPr/>
        <w:tc>
          <w:tcPr>
            <w:tcW w:w="45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(Mark One)</w:t>
            </w:r>
          </w:p>
        </w:tc>
        <w:tc>
          <w:tcPr>
            <w:tcW w:w="4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5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QUARTERLY REPORT PURSUANT TO SECTION 13 OR 15(d) OF THE SECURITIES EXCHANGE ACT OF 1934</w:t>
            </w:r>
          </w:p>
        </w:tc>
      </w:tr>
      <w:tr>
        <w:trPr/>
        <w:tc>
          <w:tcPr>
            <w:tcW w:w="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For the quarterly period ended</w:t>
            </w:r>
          </w:p>
        </w:tc>
        <w:tc>
          <w:tcPr>
            <w:tcW w:w="4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March 31, 2023</w:t>
            </w:r>
          </w:p>
        </w:tc>
      </w:tr>
      <w:tr>
        <w:trPr/>
        <w:tc>
          <w:tcPr>
            <w:tcW w:w="9156"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or</w:t>
            </w:r>
          </w:p>
        </w:tc>
      </w:tr>
      <w:tr>
        <w:trPr/>
        <w:tc>
          <w:tcPr>
            <w:tcW w:w="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5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TRANSITION REPORT PURSUANT TO SECTION 13 OR 15(d) OF THE SECURITIES EXCHANGE ACT OF 1934</w:t>
            </w:r>
          </w:p>
        </w:tc>
      </w:tr>
      <w:tr>
        <w:trPr/>
        <w:tc>
          <w:tcPr>
            <w:tcW w:w="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5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7"/>
              </w:rPr>
            </w:pPr>
            <w:r>
              <w:rPr>
                <w:rFonts w:ascii="Arial;sans-serif" w:hAnsi="Arial;sans-serif"/>
                <w:b/>
                <w:color w:val="000000"/>
                <w:sz w:val="17"/>
              </w:rPr>
              <w:t>For the transition period from               to               </w:t>
            </w:r>
          </w:p>
        </w:tc>
      </w:tr>
    </w:tbl>
    <w:p>
      <w:pPr>
        <w:pStyle w:val="TextBody"/>
        <w:spacing w:lineRule="auto" w:line="288" w:before="40" w:after="283"/>
        <w:jc w:val="center"/>
        <w:rPr>
          <w:rFonts w:ascii="Arial;sans-serif" w:hAnsi="Arial;sans-serif"/>
          <w:b/>
          <w:color w:val="000000"/>
          <w:sz w:val="17"/>
        </w:rPr>
      </w:pPr>
      <w:r>
        <w:rPr>
          <w:rFonts w:ascii="Arial;sans-serif" w:hAnsi="Arial;sans-serif"/>
          <w:b/>
          <w:color w:val="000000"/>
          <w:sz w:val="17"/>
        </w:rPr>
        <w:t xml:space="preserve">Commission file number 000-51539 </w:t>
      </w:r>
    </w:p>
    <w:p>
      <w:pPr>
        <w:pStyle w:val="TextBody"/>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p>
      <w:pPr>
        <w:pStyle w:val="TextBody"/>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tbl>
      <w:tblPr>
        <w:tblW w:w="4510" w:type="dxa"/>
        <w:jc w:val="left"/>
        <w:tblInd w:w="0" w:type="dxa"/>
        <w:tblCellMar>
          <w:top w:w="28" w:type="dxa"/>
          <w:left w:w="28" w:type="dxa"/>
          <w:bottom w:w="28" w:type="dxa"/>
          <w:right w:w="28" w:type="dxa"/>
        </w:tblCellMar>
      </w:tblPr>
      <w:tblGrid>
        <w:gridCol w:w="471"/>
        <w:gridCol w:w="414"/>
        <w:gridCol w:w="414"/>
        <w:gridCol w:w="414"/>
        <w:gridCol w:w="414"/>
        <w:gridCol w:w="422"/>
        <w:gridCol w:w="109"/>
        <w:gridCol w:w="109"/>
        <w:gridCol w:w="109"/>
        <w:gridCol w:w="476"/>
        <w:gridCol w:w="476"/>
        <w:gridCol w:w="682"/>
      </w:tblGrid>
      <w:tr>
        <w:trPr/>
        <w:tc>
          <w:tcPr>
            <w:tcW w:w="47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r>
      <w:tr>
        <w:trPr/>
        <w:tc>
          <w:tcPr>
            <w:tcW w:w="254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7"/>
              </w:rPr>
            </w:pPr>
            <w:r>
              <w:rPr>
                <w:rFonts w:ascii="Arial;sans-serif" w:hAnsi="Arial;sans-serif"/>
                <w:b/>
                <w:color w:val="000000"/>
                <w:sz w:val="17"/>
              </w:rPr>
              <w:t>98-0417483</w:t>
            </w:r>
          </w:p>
        </w:tc>
      </w:tr>
      <w:tr>
        <w:trPr/>
        <w:tc>
          <w:tcPr>
            <w:tcW w:w="254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spacing w:lineRule="auto" w:line="240" w:before="0" w:after="0"/>
              <w:jc w:val="center"/>
              <w:rPr/>
            </w:pPr>
            <w:r>
              <w:rPr>
                <w:rFonts w:ascii="Arial;sans-serif" w:hAnsi="Arial;sans-serif"/>
                <w:b/>
                <w:color w:val="000000"/>
                <w:sz w:val="16"/>
              </w:rPr>
              <w:t>Identification No.)</w:t>
            </w:r>
            <w:r>
              <w:rPr>
                <w:color w:val="000000"/>
              </w:rPr>
              <w:t xml:space="preserve"> </w:t>
            </w:r>
          </w:p>
        </w:tc>
      </w:tr>
    </w:tbl>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First Floor Building 3, Finnabair Business and Technology Park A91 XR61,</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 xml:space="preserve">Dundalk, Co. Louth,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 xml:space="preserve">Ireland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 xml:space="preserve">(Address of Principal Executive Offices)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353 42 938 8500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857" w:type="dxa"/>
        <w:jc w:val="center"/>
        <w:tblInd w:w="0" w:type="dxa"/>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790"/>
        <w:gridCol w:w="790"/>
        <w:gridCol w:w="1120"/>
      </w:tblGrid>
      <w:tr>
        <w:trPr/>
        <w:tc>
          <w:tcPr>
            <w:tcW w:w="1531"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of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w:t>
      </w:r>
    </w:p>
    <w:p>
      <w:pPr>
        <w:pStyle w:val="TextBody"/>
        <w:spacing w:before="0" w:after="0"/>
        <w:jc w:val="center"/>
        <w:rPr/>
      </w:pPr>
      <w:r>
        <w:rPr/>
      </w:r>
    </w:p>
    <w:p>
      <w:pPr>
        <w:pStyle w:val="TextBody"/>
        <w:spacing w:lineRule="auto" w:line="288" w:before="20" w:after="283"/>
        <w:rPr>
          <w:color w:val="000000"/>
        </w:rPr>
      </w:pPr>
      <w:r>
        <w:rPr>
          <w:color w:val="000000"/>
        </w:rPr>
        <w:t>    </w:t>
      </w:r>
      <w:r>
        <w:rPr>
          <w:rFonts w:ascii="Arial;sans-serif" w:hAnsi="Arial;sans-serif"/>
          <w:b/>
          <w:color w:val="000000"/>
          <w:sz w:val="17"/>
        </w:rPr>
        <w:t>Securities registered pursuant to Section 12(g) of the Act: None</w:t>
      </w:r>
    </w:p>
    <w:p>
      <w:pPr>
        <w:pStyle w:val="TextBody"/>
        <w:spacing w:lineRule="auto" w:line="288" w:before="80" w:after="283"/>
        <w:ind w:left="0" w:right="0" w:firstLine="720"/>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spacing w:lineRule="auto" w:line="288" w:before="80" w:after="283"/>
        <w:ind w:left="0" w:right="0" w:firstLine="720"/>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spacing w:lineRule="auto" w:line="288" w:before="80" w:after="283"/>
        <w:ind w:left="0" w:right="0" w:firstLine="720"/>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6548" w:type="dxa"/>
        <w:jc w:val="center"/>
        <w:tblInd w:w="0" w:type="dxa"/>
        <w:tblCellMar>
          <w:top w:w="28" w:type="dxa"/>
          <w:left w:w="28" w:type="dxa"/>
          <w:bottom w:w="28" w:type="dxa"/>
          <w:right w:w="28" w:type="dxa"/>
        </w:tblCellMar>
      </w:tblPr>
      <w:tblGrid>
        <w:gridCol w:w="629"/>
        <w:gridCol w:w="554"/>
        <w:gridCol w:w="556"/>
        <w:gridCol w:w="145"/>
        <w:gridCol w:w="145"/>
        <w:gridCol w:w="146"/>
        <w:gridCol w:w="684"/>
        <w:gridCol w:w="684"/>
        <w:gridCol w:w="687"/>
        <w:gridCol w:w="109"/>
        <w:gridCol w:w="109"/>
        <w:gridCol w:w="109"/>
        <w:gridCol w:w="539"/>
        <w:gridCol w:w="539"/>
        <w:gridCol w:w="541"/>
        <w:gridCol w:w="109"/>
        <w:gridCol w:w="109"/>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60"/>
        <w:ind w:left="0" w:right="0" w:firstLine="720"/>
        <w:rPr/>
      </w:pPr>
      <w:r>
        <w:rPr>
          <w:rFonts w:ascii="Arial;sans-serif" w:hAnsi="Arial;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7"/>
        </w:rPr>
        <w:t>o</w:t>
      </w:r>
      <w:r>
        <w:rPr>
          <w:color w:val="000000"/>
        </w:rPr>
        <w:t> </w:t>
      </w:r>
    </w:p>
    <w:p>
      <w:pPr>
        <w:pStyle w:val="TextBody"/>
        <w:spacing w:lineRule="auto" w:line="288" w:before="20" w:after="60"/>
        <w:ind w:left="0" w:right="0" w:firstLine="720"/>
        <w:rPr/>
      </w:pPr>
      <w:r>
        <w:rPr>
          <w:rFonts w:ascii="Arial;sans-serif" w:hAnsi="Arial;sans-serif"/>
          <w:b w:val="false"/>
          <w:color w:val="000000"/>
          <w:sz w:val="17"/>
        </w:rPr>
        <w:t>Indicate by check mark whether the registrant is a shell company (as defined in Exchange Act Rule 12b-2).  Yes </w:t>
      </w:r>
      <w:r>
        <w:rPr>
          <w:color w:val="000000"/>
        </w:rPr>
        <w:t>☐     </w:t>
      </w:r>
      <w:r>
        <w:rPr>
          <w:rFonts w:ascii="Arial;sans-serif" w:hAnsi="Arial;sans-serif"/>
          <w:b w:val="false"/>
          <w:color w:val="000000"/>
          <w:sz w:val="17"/>
        </w:rPr>
        <w:t>No </w:t>
      </w:r>
      <w:r>
        <w:rPr>
          <w:color w:val="000000"/>
        </w:rPr>
        <w:t xml:space="preserve">☑ </w:t>
      </w:r>
    </w:p>
    <w:p>
      <w:pPr>
        <w:pStyle w:val="TextBody"/>
        <w:spacing w:lineRule="auto" w:line="288" w:before="20" w:after="60"/>
        <w:ind w:left="0" w:right="0" w:firstLine="720"/>
        <w:rPr/>
      </w:pPr>
      <w:r>
        <w:rPr>
          <w:rFonts w:ascii="Arial;sans-serif" w:hAnsi="Arial;sans-serif"/>
          <w:b w:val="false"/>
          <w:color w:val="000000"/>
          <w:sz w:val="17"/>
        </w:rPr>
        <w:t>As of April 24, 2023, there were</w:t>
      </w:r>
      <w:r>
        <w:rPr>
          <w:color w:val="FF0000"/>
        </w:rPr>
        <w:t xml:space="preserve"> </w:t>
      </w:r>
      <w:r>
        <w:rPr>
          <w:rFonts w:ascii="Arial;sans-serif" w:hAnsi="Arial;sans-serif"/>
          <w:b w:val="false"/>
          <w:color w:val="000000"/>
          <w:sz w:val="17"/>
        </w:rPr>
        <w:t>26,322,666</w:t>
      </w:r>
      <w:r>
        <w:rPr>
          <w:color w:val="FF0000"/>
        </w:rPr>
        <w:t xml:space="preserve"> </w:t>
      </w:r>
      <w:r>
        <w:rPr>
          <w:rFonts w:ascii="Arial;sans-serif" w:hAnsi="Arial;sans-serif"/>
          <w:b w:val="false"/>
          <w:color w:val="000000"/>
          <w:sz w:val="17"/>
        </w:rPr>
        <w:t xml:space="preserve">Cimpress plc ordinary shares outstanding. </w:t>
      </w:r>
    </w:p>
    <w:p>
      <w:pPr>
        <w:pStyle w:val="TextBody"/>
        <w:spacing w:before="20" w:after="60"/>
        <w:jc w:val="center"/>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center"/>
        <w:rPr/>
      </w:pPr>
      <w:r>
        <w:rPr/>
      </w:r>
    </w:p>
    <w:p>
      <w:pPr>
        <w:pStyle w:val="TextBody"/>
        <w:spacing w:lineRule="auto" w:line="288" w:before="220" w:after="283"/>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 the Three and Nine Months Ended March 31, 2023</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spacing w:before="100" w:after="283"/>
        <w:jc w:val="center"/>
        <w:rPr/>
      </w:pPr>
      <w:r>
        <w:rPr/>
      </w:r>
    </w:p>
    <w:tbl>
      <w:tblPr>
        <w:tblW w:w="10205" w:type="dxa"/>
        <w:jc w:val="center"/>
        <w:tblInd w:w="0" w:type="dxa"/>
        <w:tblCellMar>
          <w:top w:w="28" w:type="dxa"/>
          <w:left w:w="28" w:type="dxa"/>
          <w:bottom w:w="28" w:type="dxa"/>
          <w:right w:w="28" w:type="dxa"/>
        </w:tblCellMar>
      </w:tblPr>
      <w:tblGrid>
        <w:gridCol w:w="1775"/>
        <w:gridCol w:w="1564"/>
        <w:gridCol w:w="1564"/>
        <w:gridCol w:w="1564"/>
        <w:gridCol w:w="1564"/>
        <w:gridCol w:w="1568"/>
        <w:gridCol w:w="176"/>
        <w:gridCol w:w="176"/>
        <w:gridCol w:w="254"/>
      </w:tblGrid>
      <w:tr>
        <w:trPr/>
        <w:tc>
          <w:tcPr>
            <w:tcW w:w="1775"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4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 FINANCIAL INFORMATION</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 Financial Statements (unaudited)</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16">
              <w:r>
                <w:rPr>
                  <w:rStyle w:val="InternetLink"/>
                  <w:rFonts w:ascii="Arial;sans-serif" w:hAnsi="Arial;sans-serif"/>
                  <w:b w:val="false"/>
                  <w:strike w:val="false"/>
                  <w:dstrike w:val="false"/>
                  <w:color w:val="000000"/>
                  <w:sz w:val="19"/>
                  <w:u w:val="none"/>
                  <w:effect w:val="none"/>
                </w:rPr>
                <w:t>1</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Balance Sheets as of March 31, 2023 and June 30, 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19">
              <w:r>
                <w:rPr>
                  <w:rStyle w:val="InternetLink"/>
                  <w:rFonts w:ascii="Arial;sans-serif" w:hAnsi="Arial;sans-serif"/>
                  <w:b w:val="false"/>
                  <w:strike w:val="false"/>
                  <w:dstrike w:val="false"/>
                  <w:color w:val="000000"/>
                  <w:sz w:val="19"/>
                  <w:u w:val="none"/>
                  <w:effect w:val="none"/>
                </w:rPr>
                <w:t>1</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Statements of Operations for the three and nine months ended March 31, 2023 and 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25">
              <w:r>
                <w:rPr>
                  <w:rStyle w:val="InternetLink"/>
                  <w:rFonts w:ascii="Arial;sans-serif" w:hAnsi="Arial;sans-serif"/>
                  <w:b w:val="false"/>
                  <w:strike w:val="false"/>
                  <w:dstrike w:val="false"/>
                  <w:color w:val="000000"/>
                  <w:sz w:val="19"/>
                  <w:u w:val="none"/>
                  <w:effect w:val="none"/>
                </w:rPr>
                <w:t>2</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Statements of Comprehensive (Loss) Income for the three and nine months ended March 31, 2023 and 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28">
              <w:r>
                <w:rPr>
                  <w:rStyle w:val="InternetLink"/>
                  <w:rFonts w:ascii="Arial;sans-serif" w:hAnsi="Arial;sans-serif"/>
                  <w:b w:val="false"/>
                  <w:strike w:val="false"/>
                  <w:dstrike w:val="false"/>
                  <w:color w:val="000000"/>
                  <w:sz w:val="19"/>
                  <w:u w:val="none"/>
                  <w:effect w:val="none"/>
                </w:rPr>
                <w:t>3</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Statements of Shareholders' Deficit for the three and nine months ended March 31, 2023 and 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31">
              <w:r>
                <w:rPr>
                  <w:rStyle w:val="InternetLink"/>
                  <w:rFonts w:ascii="Arial;sans-serif" w:hAnsi="Arial;sans-serif"/>
                  <w:b w:val="false"/>
                  <w:strike w:val="false"/>
                  <w:dstrike w:val="false"/>
                  <w:color w:val="000000"/>
                  <w:sz w:val="19"/>
                  <w:u w:val="none"/>
                  <w:effect w:val="none"/>
                </w:rPr>
                <w:t>4</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Statements of Cash Flows for the nine months ended March 31, 2023 and 2022</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37">
              <w:r>
                <w:rPr>
                  <w:rStyle w:val="InternetLink"/>
                  <w:rFonts w:ascii="Arial;sans-serif" w:hAnsi="Arial;sans-serif"/>
                  <w:b w:val="false"/>
                  <w:strike w:val="false"/>
                  <w:dstrike w:val="false"/>
                  <w:color w:val="000000"/>
                  <w:sz w:val="19"/>
                  <w:u w:val="none"/>
                  <w:effect w:val="none"/>
                </w:rPr>
                <w:t>8</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Notes to Consolidated Financial Statements</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40">
              <w:r>
                <w:rPr>
                  <w:rStyle w:val="InternetLink"/>
                  <w:rFonts w:ascii="Arial;sans-serif" w:hAnsi="Arial;sans-serif"/>
                  <w:b w:val="false"/>
                  <w:strike w:val="false"/>
                  <w:dstrike w:val="false"/>
                  <w:color w:val="000000"/>
                  <w:sz w:val="19"/>
                  <w:u w:val="none"/>
                  <w:effect w:val="none"/>
                </w:rPr>
                <w:t>10</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 Management's Discussion and Analysis of Financial Condition and Results of Operations</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106">
              <w:r>
                <w:rPr>
                  <w:rStyle w:val="InternetLink"/>
                  <w:rFonts w:ascii="Arial;sans-serif" w:hAnsi="Arial;sans-serif"/>
                  <w:b w:val="false"/>
                  <w:strike w:val="false"/>
                  <w:dstrike w:val="false"/>
                  <w:color w:val="000000"/>
                  <w:sz w:val="19"/>
                  <w:u w:val="none"/>
                  <w:effect w:val="none"/>
                </w:rPr>
                <w:t>28</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 Quantitative and Qualitative Disclosures About Market Risk</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109">
              <w:r>
                <w:rPr>
                  <w:rStyle w:val="InternetLink"/>
                  <w:rFonts w:ascii="Arial;sans-serif" w:hAnsi="Arial;sans-serif"/>
                  <w:b w:val="false"/>
                  <w:strike w:val="false"/>
                  <w:dstrike w:val="false"/>
                  <w:color w:val="000000"/>
                  <w:sz w:val="19"/>
                  <w:u w:val="none"/>
                  <w:effect w:val="none"/>
                </w:rPr>
                <w:t>41</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4. Controls and Procedures</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112">
              <w:r>
                <w:rPr>
                  <w:rStyle w:val="InternetLink"/>
                  <w:rFonts w:ascii="Arial;sans-serif" w:hAnsi="Arial;sans-serif"/>
                  <w:b w:val="false"/>
                  <w:strike w:val="false"/>
                  <w:dstrike w:val="false"/>
                  <w:color w:val="000000"/>
                  <w:sz w:val="19"/>
                  <w:u w:val="none"/>
                  <w:effect w:val="none"/>
                </w:rPr>
                <w:t>42</w:t>
              </w:r>
            </w:hyperlink>
          </w:p>
        </w:tc>
      </w:tr>
      <w:tr>
        <w:trPr/>
        <w:tc>
          <w:tcPr>
            <w:tcW w:w="4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PART II OTHER INFORMATION</w:t>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3" w:type="dxa"/>
            <w:gridSpan w:val="3"/>
            <w:tcBorders/>
            <w:shd w:fill="auto" w:val="clear"/>
            <w:vAlign w:val="center"/>
          </w:tcPr>
          <w:p>
            <w:pPr>
              <w:pStyle w:val="TableContents"/>
              <w:spacing w:before="0" w:after="283"/>
              <w:rPr>
                <w:sz w:val="4"/>
                <w:szCs w:val="4"/>
              </w:rPr>
            </w:pPr>
            <w:r>
              <w:rPr>
                <w:sz w:val="4"/>
                <w:szCs w:val="4"/>
              </w:rPr>
            </w:r>
          </w:p>
        </w:tc>
        <w:tc>
          <w:tcPr>
            <w:tcW w:w="4696"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tcPr>
          <w:p>
            <w:pPr>
              <w:pStyle w:val="TableContents"/>
              <w:spacing w:before="0" w:after="283"/>
              <w:rPr>
                <w:sz w:val="4"/>
                <w:szCs w:val="4"/>
              </w:rPr>
            </w:pPr>
            <w:r>
              <w:rPr>
                <w:sz w:val="4"/>
                <w:szCs w:val="4"/>
              </w:rPr>
            </w:r>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6. Exhibits</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121">
              <w:r>
                <w:rPr>
                  <w:rStyle w:val="InternetLink"/>
                  <w:rFonts w:ascii="Arial;sans-serif" w:hAnsi="Arial;sans-serif"/>
                  <w:b w:val="false"/>
                  <w:strike w:val="false"/>
                  <w:dstrike w:val="false"/>
                  <w:color w:val="000000"/>
                  <w:sz w:val="19"/>
                  <w:u w:val="none"/>
                  <w:effect w:val="none"/>
                </w:rPr>
                <w:t>44</w:t>
              </w:r>
            </w:hyperlink>
          </w:p>
        </w:tc>
      </w:tr>
      <w:tr>
        <w:trPr/>
        <w:tc>
          <w:tcPr>
            <w:tcW w:w="95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Signatures</w:t>
            </w:r>
          </w:p>
        </w:tc>
        <w:tc>
          <w:tcPr>
            <w:tcW w:w="60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af3ef40ba754ef0a348307d4a3ef7fa_124">
              <w:r>
                <w:rPr>
                  <w:rStyle w:val="InternetLink"/>
                  <w:rFonts w:ascii="Arial;sans-serif" w:hAnsi="Arial;sans-serif"/>
                  <w:b w:val="false"/>
                  <w:strike w:val="false"/>
                  <w:dstrike w:val="false"/>
                  <w:color w:val="000000"/>
                  <w:sz w:val="19"/>
                  <w:u w:val="none"/>
                  <w:effect w:val="none"/>
                </w:rPr>
                <w:t>45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88" w:before="100" w:after="283"/>
        <w:jc w:val="center"/>
        <w:rPr>
          <w:rFonts w:ascii="Arial;sans-serif" w:hAnsi="Arial;sans-serif"/>
          <w:b/>
          <w:color w:val="000000"/>
          <w:sz w:val="24"/>
        </w:rPr>
      </w:pPr>
      <w:r>
        <w:rPr>
          <w:rFonts w:ascii="Arial;sans-serif" w:hAnsi="Arial;sans-serif"/>
          <w:b/>
          <w:color w:val="000000"/>
          <w:sz w:val="24"/>
        </w:rPr>
        <w:t>PART I. FINANCIAL INFORMATION</w:t>
      </w:r>
    </w:p>
    <w:p>
      <w:pPr>
        <w:pStyle w:val="TextBody"/>
        <w:spacing w:lineRule="auto" w:line="288" w:before="0" w:after="0"/>
        <w:rPr/>
      </w:pPr>
      <w:r>
        <w:rPr>
          <w:rFonts w:ascii="Arial;sans-serif" w:hAnsi="Arial;sans-serif"/>
          <w:b/>
          <w:color w:val="000000"/>
          <w:sz w:val="20"/>
        </w:rPr>
        <w:t xml:space="preserve">Item 1. </w:t>
      </w:r>
      <w:r>
        <w:rPr>
          <w:rFonts w:ascii="Arial;sans-serif" w:hAnsi="Arial;sans-serif"/>
          <w:b/>
          <w:i/>
          <w:color w:val="000000"/>
          <w:sz w:val="20"/>
        </w:rPr>
        <w:t>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left"/>
        <w:tblInd w:w="0" w:type="dxa"/>
        <w:tblCellMar>
          <w:top w:w="28" w:type="dxa"/>
          <w:left w:w="28" w:type="dxa"/>
          <w:bottom w:w="28" w:type="dxa"/>
          <w:right w:w="28" w:type="dxa"/>
        </w:tblCellMar>
      </w:tblPr>
      <w:tblGrid>
        <w:gridCol w:w="2913"/>
        <w:gridCol w:w="2187"/>
        <w:gridCol w:w="2140"/>
        <w:gridCol w:w="211"/>
        <w:gridCol w:w="976"/>
        <w:gridCol w:w="109"/>
        <w:gridCol w:w="109"/>
        <w:gridCol w:w="109"/>
        <w:gridCol w:w="109"/>
        <w:gridCol w:w="211"/>
        <w:gridCol w:w="976"/>
        <w:gridCol w:w="155"/>
      </w:tblGrid>
      <w:tr>
        <w:trPr/>
        <w:tc>
          <w:tcPr>
            <w:tcW w:w="2913"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2022</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Accounts receivable, net of allowances of $5,957</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$6,140,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626,315 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and website development costs,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113,088 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766,600 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 non-current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48,945 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2,167,672 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 noncontrolling interests and shareholders’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313,710 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253,841 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692,539 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1,675,562 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2,531,111 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131,483 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deficit: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shares, nominal value €0.01 per share, 100,000,000 shares authorized; none issued and outstanding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nominal value €0.01 per share, 100,000,000 shares authorized; 44,285,490 and 44,083,569 shares issued, respectively; 26,314,243 and 26,112,322 shares outstanding,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17,971,247 shares for both periods presented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501,003 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414,138 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(47,128)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 attributable to Cimpress plc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(494,922)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(Note 10)</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(494,922)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2,167,672 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center"/>
        <w:tblInd w:w="0" w:type="dxa"/>
        <w:tblCellMar>
          <w:top w:w="28" w:type="dxa"/>
          <w:left w:w="28" w:type="dxa"/>
          <w:bottom w:w="28" w:type="dxa"/>
          <w:right w:w="28" w:type="dxa"/>
        </w:tblCellMar>
      </w:tblPr>
      <w:tblGrid>
        <w:gridCol w:w="1625"/>
        <w:gridCol w:w="1173"/>
        <w:gridCol w:w="1190"/>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09"/>
        <w:gridCol w:w="109"/>
        <w:gridCol w:w="155"/>
      </w:tblGrid>
      <w:tr>
        <w:trPr/>
        <w:tc>
          <w:tcPr>
            <w:tcW w:w="1625"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7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64" w:type="dxa"/>
            <w:gridSpan w:val="2"/>
            <w:tcBorders/>
            <w:shd w:fill="auto" w:val="clear"/>
          </w:tcPr>
          <w:p>
            <w:pPr>
              <w:pStyle w:val="TableContents"/>
              <w:spacing w:before="0" w:after="283"/>
              <w:rPr>
                <w:sz w:val="4"/>
                <w:szCs w:val="4"/>
              </w:rPr>
            </w:pPr>
            <w:r>
              <w:rPr>
                <w:sz w:val="4"/>
                <w:szCs w:val="4"/>
              </w:rPr>
            </w:r>
          </w:p>
        </w:tc>
      </w:tr>
      <w:tr>
        <w:trPr/>
        <w:tc>
          <w:tcPr>
            <w:tcW w:w="39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(1)</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 (1)</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 (1)</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577,931 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 (1)</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 (1)</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Cimpress plc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 net loss per share attributable to Cimpress plc</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26,268,301 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26,102,610 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26,226,989 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26,090,460 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88"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w:t>
      </w:r>
    </w:p>
    <w:p>
      <w:pPr>
        <w:pStyle w:val="TextBody"/>
        <w:spacing w:lineRule="auto" w:line="288" w:before="120" w:after="283"/>
        <w:rPr>
          <w:rFonts w:ascii="Arial;sans-serif" w:hAnsi="Arial;sans-serif"/>
          <w:b w:val="false"/>
          <w:color w:val="000000"/>
          <w:sz w:val="16"/>
        </w:rPr>
      </w:pPr>
      <w:r>
        <w:rPr>
          <w:rFonts w:ascii="Arial;sans-serif" w:hAnsi="Arial;sans-serif"/>
          <w:b w:val="false"/>
          <w:color w:val="000000"/>
          <w:sz w:val="16"/>
        </w:rPr>
        <w:t>(1) Share-based compensation is allocated as follows:</w:t>
      </w:r>
    </w:p>
    <w:tbl>
      <w:tblPr>
        <w:tblW w:w="8979" w:type="dxa"/>
        <w:jc w:val="center"/>
        <w:tblInd w:w="0" w:type="dxa"/>
        <w:tblCellMar>
          <w:top w:w="28" w:type="dxa"/>
          <w:left w:w="28" w:type="dxa"/>
          <w:bottom w:w="28" w:type="dxa"/>
          <w:right w:w="28" w:type="dxa"/>
        </w:tblCellMar>
      </w:tblPr>
      <w:tblGrid>
        <w:gridCol w:w="1193"/>
        <w:gridCol w:w="1048"/>
        <w:gridCol w:w="1058"/>
        <w:gridCol w:w="305"/>
        <w:gridCol w:w="522"/>
        <w:gridCol w:w="157"/>
        <w:gridCol w:w="157"/>
        <w:gridCol w:w="157"/>
        <w:gridCol w:w="157"/>
        <w:gridCol w:w="305"/>
        <w:gridCol w:w="674"/>
        <w:gridCol w:w="157"/>
        <w:gridCol w:w="109"/>
        <w:gridCol w:w="109"/>
        <w:gridCol w:w="109"/>
        <w:gridCol w:w="278"/>
        <w:gridCol w:w="614"/>
        <w:gridCol w:w="143"/>
        <w:gridCol w:w="143"/>
        <w:gridCol w:w="143"/>
        <w:gridCol w:w="143"/>
        <w:gridCol w:w="278"/>
        <w:gridCol w:w="614"/>
        <w:gridCol w:w="143"/>
        <w:gridCol w:w="109"/>
        <w:gridCol w:w="154"/>
      </w:tblGrid>
      <w:tr>
        <w:trPr/>
        <w:tc>
          <w:tcPr>
            <w:tcW w:w="119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5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63" w:type="dxa"/>
            <w:gridSpan w:val="2"/>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9,808 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9,655 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8,436 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15,157 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(LOSS) INCOME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0205" w:type="dxa"/>
        <w:jc w:val="center"/>
        <w:tblInd w:w="0" w:type="dxa"/>
        <w:tblCellMar>
          <w:top w:w="28" w:type="dxa"/>
          <w:left w:w="28" w:type="dxa"/>
          <w:bottom w:w="28" w:type="dxa"/>
          <w:right w:w="28" w:type="dxa"/>
        </w:tblCellMar>
      </w:tblPr>
      <w:tblGrid>
        <w:gridCol w:w="1646"/>
        <w:gridCol w:w="1419"/>
        <w:gridCol w:w="1445"/>
        <w:gridCol w:w="212"/>
        <w:gridCol w:w="767"/>
        <w:gridCol w:w="109"/>
        <w:gridCol w:w="109"/>
        <w:gridCol w:w="109"/>
        <w:gridCol w:w="109"/>
        <w:gridCol w:w="212"/>
        <w:gridCol w:w="767"/>
        <w:gridCol w:w="109"/>
        <w:gridCol w:w="109"/>
        <w:gridCol w:w="109"/>
        <w:gridCol w:w="109"/>
        <w:gridCol w:w="211"/>
        <w:gridCol w:w="867"/>
        <w:gridCol w:w="109"/>
        <w:gridCol w:w="109"/>
        <w:gridCol w:w="109"/>
        <w:gridCol w:w="109"/>
        <w:gridCol w:w="211"/>
        <w:gridCol w:w="762"/>
        <w:gridCol w:w="109"/>
        <w:gridCol w:w="109"/>
        <w:gridCol w:w="160"/>
      </w:tblGrid>
      <w:tr>
        <w:trPr/>
        <w:tc>
          <w:tcPr>
            <w:tcW w:w="1646"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269" w:type="dxa"/>
            <w:gridSpan w:val="2"/>
            <w:tcBorders/>
            <w:shd w:fill="auto" w:val="clear"/>
          </w:tcPr>
          <w:p>
            <w:pPr>
              <w:pStyle w:val="TableContents"/>
              <w:spacing w:before="0" w:after="283"/>
              <w:rPr>
                <w:sz w:val="4"/>
                <w:szCs w:val="4"/>
              </w:rPr>
            </w:pPr>
            <w:r>
              <w:rPr>
                <w:sz w:val="4"/>
                <w:szCs w:val="4"/>
              </w:rPr>
            </w:r>
          </w:p>
        </w:tc>
      </w:tr>
      <w:tr>
        <w:trPr/>
        <w:tc>
          <w:tcPr>
            <w:tcW w:w="4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(losses) gains, net of hedges</w:t>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(losses) gains on derivative instruments designated and qualifying as cash flow hedges</w:t>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loss for derivative instruments</w:t>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pension benefit obligation, net</w:t>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 income</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Comprehensive loss (income) attributable to noncontrolling interests</w:t>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loss attributable to Cimpress plc</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0" w:after="0"/>
        <w:jc w:val="center"/>
        <w:rPr/>
      </w:pPr>
      <w:r>
        <w:rPr/>
      </w:r>
    </w:p>
    <w:p>
      <w:pPr>
        <w:pStyle w:val="TextBody"/>
        <w:spacing w:lineRule="auto" w:line="288" w:before="60" w:after="60"/>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spacing w:before="0" w:after="0"/>
        <w:jc w:val="center"/>
        <w:rPr/>
      </w:pPr>
      <w:r>
        <w:rPr/>
      </w:r>
    </w:p>
    <w:tbl>
      <w:tblPr>
        <w:tblW w:w="13232" w:type="dxa"/>
        <w:jc w:val="center"/>
        <w:tblInd w:w="0" w:type="dxa"/>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206"/>
        <w:gridCol w:w="200"/>
        <w:gridCol w:w="201"/>
        <w:gridCol w:w="109"/>
        <w:gridCol w:w="109"/>
        <w:gridCol w:w="109"/>
        <w:gridCol w:w="196"/>
        <w:gridCol w:w="331"/>
        <w:gridCol w:w="109"/>
        <w:gridCol w:w="109"/>
        <w:gridCol w:w="109"/>
        <w:gridCol w:w="109"/>
        <w:gridCol w:w="330"/>
        <w:gridCol w:w="331"/>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6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Deferred Ordinary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(71,482)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(449,371)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2021</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(17,991)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(67,187)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(450,816)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noncontrolling interest due to share purchase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pension benefit obligation, net of tax</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2021</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44,080 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(17,980)</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(1,364,336)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476,002 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562,214 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(57,327)</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(382,804)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spacing w:before="0" w:after="0"/>
        <w:jc w:val="center"/>
        <w:rPr/>
      </w:pPr>
      <w:r>
        <w:rPr/>
      </w:r>
    </w:p>
    <w:tbl>
      <w:tblPr>
        <w:tblW w:w="15375" w:type="dxa"/>
        <w:jc w:val="center"/>
        <w:tblInd w:w="0" w:type="dxa"/>
        <w:tblCellMar>
          <w:top w:w="28" w:type="dxa"/>
          <w:left w:w="28" w:type="dxa"/>
          <w:bottom w:w="28" w:type="dxa"/>
          <w:right w:w="28" w:type="dxa"/>
        </w:tblCellMar>
      </w:tblPr>
      <w:tblGrid>
        <w:gridCol w:w="569"/>
        <w:gridCol w:w="263"/>
        <w:gridCol w:w="264"/>
        <w:gridCol w:w="323"/>
        <w:gridCol w:w="323"/>
        <w:gridCol w:w="226"/>
        <w:gridCol w:w="109"/>
        <w:gridCol w:w="109"/>
        <w:gridCol w:w="109"/>
        <w:gridCol w:w="196"/>
        <w:gridCol w:w="421"/>
        <w:gridCol w:w="109"/>
        <w:gridCol w:w="109"/>
        <w:gridCol w:w="109"/>
        <w:gridCol w:w="109"/>
        <w:gridCol w:w="225"/>
        <w:gridCol w:w="225"/>
        <w:gridCol w:w="226"/>
        <w:gridCol w:w="109"/>
        <w:gridCol w:w="109"/>
        <w:gridCol w:w="109"/>
        <w:gridCol w:w="196"/>
        <w:gridCol w:w="406"/>
        <w:gridCol w:w="109"/>
        <w:gridCol w:w="109"/>
        <w:gridCol w:w="109"/>
        <w:gridCol w:w="109"/>
        <w:gridCol w:w="330"/>
        <w:gridCol w:w="331"/>
        <w:gridCol w:w="226"/>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55"/>
        <w:gridCol w:w="862"/>
        <w:gridCol w:w="144"/>
        <w:gridCol w:w="109"/>
        <w:gridCol w:w="109"/>
        <w:gridCol w:w="109"/>
        <w:gridCol w:w="211"/>
        <w:gridCol w:w="811"/>
        <w:gridCol w:w="119"/>
        <w:gridCol w:w="109"/>
        <w:gridCol w:w="109"/>
        <w:gridCol w:w="109"/>
        <w:gridCol w:w="109"/>
        <w:gridCol w:w="109"/>
        <w:gridCol w:w="109"/>
        <w:gridCol w:w="109"/>
        <w:gridCol w:w="109"/>
        <w:gridCol w:w="109"/>
        <w:gridCol w:w="109"/>
        <w:gridCol w:w="109"/>
        <w:gridCol w:w="109"/>
        <w:gridCol w:w="109"/>
        <w:gridCol w:w="109"/>
        <w:gridCol w:w="109"/>
        <w:gridCol w:w="154"/>
      </w:tblGrid>
      <w:tr>
        <w:trPr/>
        <w:tc>
          <w:tcPr>
            <w:tcW w:w="56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Ordinary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Deferred Ordinary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Treasury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Number</w:t>
              <w:br/>
              <w:t>of</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5"/>
              </w:rPr>
            </w:pPr>
            <w:r>
              <w:rPr>
                <w:rFonts w:ascii="Arial;sans-serif" w:hAnsi="Arial;sans-serif"/>
                <w:b/>
                <w:color w:val="000000"/>
                <w:sz w:val="15"/>
              </w:rPr>
              <w:t>Total</w:t>
              <w:br/>
              <w:t>Shareholders’</w:t>
              <w:br/>
              <w:t>Deficit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(17,980)</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(57,327)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(382,804)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Restricted share units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 and cancellation of deferred ordinary shares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loss attributable to Cimpress plc</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(71,817)</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(29,034)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unrealized gain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(3,919)</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Balance at March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(17,976)</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(1,363,956)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(49,623)</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(463,452)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0" w:after="0"/>
        <w:jc w:val="center"/>
        <w:rPr/>
      </w:pPr>
      <w:r>
        <w:rPr/>
      </w:r>
    </w:p>
    <w:p>
      <w:pPr>
        <w:pStyle w:val="TextBody"/>
        <w:spacing w:before="60" w:after="283"/>
        <w:jc w:val="center"/>
        <w:rPr/>
      </w:pPr>
      <w:r>
        <w:rPr/>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spacing w:before="0" w:after="0"/>
        <w:jc w:val="center"/>
        <w:rPr/>
      </w:pPr>
      <w:r>
        <w:rPr/>
      </w:r>
    </w:p>
    <w:tbl>
      <w:tblPr>
        <w:tblW w:w="13307" w:type="dxa"/>
        <w:jc w:val="center"/>
        <w:tblInd w:w="0" w:type="dxa"/>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206"/>
        <w:gridCol w:w="200"/>
        <w:gridCol w:w="201"/>
        <w:gridCol w:w="109"/>
        <w:gridCol w:w="109"/>
        <w:gridCol w:w="109"/>
        <w:gridCol w:w="196"/>
        <w:gridCol w:w="406"/>
        <w:gridCol w:w="109"/>
        <w:gridCol w:w="109"/>
        <w:gridCol w:w="109"/>
        <w:gridCol w:w="109"/>
        <w:gridCol w:w="330"/>
        <w:gridCol w:w="331"/>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69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Deferred Ordinary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(47,128)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(6,835)</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44,196 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(40,141)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(507,660)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2022</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44,211 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521,531 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256,152 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(28,059)</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(613,311)</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TextBody"/>
        <w:spacing w:before="60" w:after="283"/>
        <w:jc w:val="center"/>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0" w:after="0"/>
        <w:jc w:val="center"/>
        <w:rPr/>
      </w:pPr>
      <w:r>
        <w:rPr/>
      </w:r>
    </w:p>
    <w:p>
      <w:pPr>
        <w:pStyle w:val="TextBody"/>
        <w:spacing w:lineRule="auto" w:line="288" w:before="60" w:after="283"/>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 (CONTINUED)</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3307" w:type="dxa"/>
        <w:jc w:val="center"/>
        <w:tblInd w:w="0" w:type="dxa"/>
        <w:tblCellMar>
          <w:top w:w="28" w:type="dxa"/>
          <w:left w:w="28" w:type="dxa"/>
          <w:bottom w:w="28" w:type="dxa"/>
          <w:right w:w="28" w:type="dxa"/>
        </w:tblCellMar>
      </w:tblPr>
      <w:tblGrid>
        <w:gridCol w:w="576"/>
        <w:gridCol w:w="282"/>
        <w:gridCol w:w="283"/>
        <w:gridCol w:w="323"/>
        <w:gridCol w:w="323"/>
        <w:gridCol w:w="201"/>
        <w:gridCol w:w="109"/>
        <w:gridCol w:w="109"/>
        <w:gridCol w:w="109"/>
        <w:gridCol w:w="196"/>
        <w:gridCol w:w="421"/>
        <w:gridCol w:w="109"/>
        <w:gridCol w:w="109"/>
        <w:gridCol w:w="109"/>
        <w:gridCol w:w="109"/>
        <w:gridCol w:w="206"/>
        <w:gridCol w:w="200"/>
        <w:gridCol w:w="201"/>
        <w:gridCol w:w="109"/>
        <w:gridCol w:w="109"/>
        <w:gridCol w:w="109"/>
        <w:gridCol w:w="196"/>
        <w:gridCol w:w="406"/>
        <w:gridCol w:w="109"/>
        <w:gridCol w:w="109"/>
        <w:gridCol w:w="109"/>
        <w:gridCol w:w="109"/>
        <w:gridCol w:w="330"/>
        <w:gridCol w:w="331"/>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57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Deferred Ordinary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44,211 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(613,311)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44,285 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(35,291)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(662,417)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(unaudited in thousands)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550"/>
        <w:gridCol w:w="2134"/>
        <w:gridCol w:w="2142"/>
        <w:gridCol w:w="211"/>
        <w:gridCol w:w="885"/>
        <w:gridCol w:w="109"/>
        <w:gridCol w:w="109"/>
        <w:gridCol w:w="109"/>
        <w:gridCol w:w="109"/>
        <w:gridCol w:w="211"/>
        <w:gridCol w:w="826"/>
        <w:gridCol w:w="109"/>
        <w:gridCol w:w="109"/>
        <w:gridCol w:w="109"/>
        <w:gridCol w:w="109"/>
        <w:gridCol w:w="109"/>
        <w:gridCol w:w="109"/>
        <w:gridCol w:w="156"/>
      </w:tblGrid>
      <w:tr>
        <w:trPr/>
        <w:tc>
          <w:tcPr>
            <w:tcW w:w="2550" w:type="dxa"/>
            <w:tcBorders/>
            <w:shd w:fill="auto" w:val="clear"/>
            <w:vAlign w:val="center"/>
          </w:tcPr>
          <w:p>
            <w:pPr>
              <w:pStyle w:val="TableContents"/>
              <w:spacing w:before="0" w:after="283"/>
              <w:rPr>
                <w:sz w:val="4"/>
                <w:szCs w:val="4"/>
              </w:rPr>
            </w:pPr>
            <w:r>
              <w:rPr>
                <w:sz w:val="4"/>
                <w:szCs w:val="4"/>
              </w:rPr>
            </w:r>
          </w:p>
        </w:tc>
        <w:tc>
          <w:tcPr>
            <w:tcW w:w="2134" w:type="dxa"/>
            <w:tcBorders/>
            <w:shd w:fill="auto" w:val="clear"/>
            <w:vAlign w:val="center"/>
          </w:tcPr>
          <w:p>
            <w:pPr>
              <w:pStyle w:val="TableContents"/>
              <w:spacing w:before="0" w:after="283"/>
              <w:rPr>
                <w:sz w:val="4"/>
                <w:szCs w:val="4"/>
              </w:rPr>
            </w:pPr>
            <w:r>
              <w:rPr>
                <w:sz w:val="4"/>
                <w:szCs w:val="4"/>
              </w:rPr>
            </w:r>
          </w:p>
        </w:tc>
        <w:tc>
          <w:tcPr>
            <w:tcW w:w="21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tcMar>
              <w:top w:w="0" w:type="dxa"/>
              <w:left w:w="0" w:type="dxa"/>
              <w:bottom w:w="0" w:type="dxa"/>
              <w:right w:w="0" w:type="dxa"/>
            </w:tcMar>
            <w:vAlign w:val="center"/>
          </w:tcPr>
          <w:p>
            <w:pPr>
              <w:pStyle w:val="TableContents"/>
              <w:spacing w:before="180" w:after="283"/>
              <w:jc w:val="center"/>
              <w:rPr/>
            </w:pPr>
            <w:r>
              <w:rPr/>
            </w:r>
          </w:p>
        </w:tc>
        <w:tc>
          <w:tcPr>
            <w:tcW w:w="26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gridSpan w:val="4"/>
            <w:tcBorders/>
            <w:shd w:fill="auto" w:val="clear"/>
          </w:tcPr>
          <w:p>
            <w:pPr>
              <w:pStyle w:val="TableContents"/>
              <w:spacing w:before="0" w:after="283"/>
              <w:rPr>
                <w:sz w:val="4"/>
                <w:szCs w:val="4"/>
              </w:rPr>
            </w:pPr>
            <w:r>
              <w:rPr>
                <w:sz w:val="4"/>
                <w:szCs w:val="4"/>
              </w:rPr>
            </w:r>
          </w:p>
        </w:tc>
      </w:tr>
      <w:tr>
        <w:trPr/>
        <w:tc>
          <w:tcPr>
            <w:tcW w:w="6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provided by operating activities</w:t>
            </w:r>
          </w:p>
        </w:tc>
        <w:tc>
          <w:tcPr>
            <w:tcW w:w="1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(gain) on derivatives not designated as hedging instruments included in net loss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monetary assets and liabilities denominated in non-functional currency</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effects of businesses acquired:</w:t>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subsidiaries, net of transaction costs and cash divested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net of cash acquired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maturity of held-to-maturity investments</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settlement of derivatives designated as hedging instruments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borrowings of debt </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purchase consideration included in acquisition-date fair value</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withholding taxes in connection with equity awards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finance lease obligations</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50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See accompanying notes.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26"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724"/>
        <w:gridCol w:w="1514"/>
        <w:gridCol w:w="1517"/>
        <w:gridCol w:w="416"/>
        <w:gridCol w:w="1422"/>
        <w:gridCol w:w="214"/>
        <w:gridCol w:w="214"/>
        <w:gridCol w:w="214"/>
        <w:gridCol w:w="214"/>
        <w:gridCol w:w="416"/>
        <w:gridCol w:w="1422"/>
        <w:gridCol w:w="214"/>
        <w:gridCol w:w="109"/>
        <w:gridCol w:w="109"/>
        <w:gridCol w:w="109"/>
        <w:gridCol w:w="109"/>
        <w:gridCol w:w="109"/>
        <w:gridCol w:w="159"/>
      </w:tblGrid>
      <w:tr>
        <w:trPr/>
        <w:tc>
          <w:tcPr>
            <w:tcW w:w="1724"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950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CIMPRESS PLC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950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CASH FLOWS (CONTINUED)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950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(unaudited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before="180" w:after="283"/>
              <w:jc w:val="center"/>
              <w:rPr/>
            </w:pPr>
            <w:r>
              <w:rPr/>
            </w:r>
          </w:p>
        </w:tc>
        <w:tc>
          <w:tcPr>
            <w:tcW w:w="474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Nine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20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period for:</w:t>
            </w:r>
          </w:p>
        </w:tc>
        <w:tc>
          <w:tcPr>
            <w:tcW w:w="2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4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70,796 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1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2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acquired under finance leases</w:t>
            </w:r>
          </w:p>
        </w:tc>
        <w:tc>
          <w:tcPr>
            <w:tcW w:w="1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14,405 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3,755 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property, plant and equipment</w:t>
            </w:r>
          </w:p>
        </w:tc>
        <w:tc>
          <w:tcPr>
            <w:tcW w:w="1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capitalized software development costs</w:t>
            </w:r>
          </w:p>
        </w:tc>
        <w:tc>
          <w:tcPr>
            <w:tcW w:w="1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business acquisitions</w:t>
            </w:r>
          </w:p>
        </w:tc>
        <w:tc>
          <w:tcPr>
            <w:tcW w:w="1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See accompanying notes.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1. Description of the Business</w:t>
      </w:r>
    </w:p>
    <w:p>
      <w:pPr>
        <w:pStyle w:val="TextBody"/>
        <w:spacing w:lineRule="auto" w:line="288" w:before="200" w:after="283"/>
        <w:ind w:left="0" w:right="0" w:firstLine="720"/>
        <w:rPr>
          <w:rFonts w:ascii="Arial;sans-serif" w:hAnsi="Arial;sans-serif"/>
          <w:b w:val="false"/>
          <w:color w:val="000000"/>
          <w:sz w:val="20"/>
        </w:rPr>
      </w:pPr>
      <w:r>
        <w:rPr>
          <w:rFonts w:ascii="Arial;sans-serif" w:hAnsi="Arial;sans-serif"/>
          <w:b w:val="false"/>
          <w:color w:val="000000"/>
          <w:sz w:val="20"/>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pPr>
      <w:r>
        <w:rPr>
          <w:rFonts w:ascii="Arial;sans-serif" w:hAnsi="Arial;sans-serif"/>
          <w:b/>
          <w:color w:val="000000"/>
          <w:sz w:val="20"/>
        </w:rPr>
        <w:t>2.</w:t>
      </w:r>
      <w:r>
        <w:rPr>
          <w:color w:val="000000"/>
        </w:rPr>
        <w:t xml:space="preserve"> </w:t>
      </w:r>
      <w:r>
        <w:rPr>
          <w:rFonts w:ascii="Arial;sans-serif" w:hAnsi="Arial;sans-serif"/>
          <w:b/>
          <w:color w:val="000000"/>
          <w:sz w:val="20"/>
        </w:rPr>
        <w:t>Summary of Significant Accounting Policies</w:t>
      </w: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Basis of Presentation</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Use of Estimates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pStyle w:val="TextBody"/>
        <w:spacing w:before="0" w:after="0"/>
        <w:ind w:left="0" w:right="0" w:firstLine="72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Mandatorily Redeemable Noncontrolling Interests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 xml:space="preserve">Noncontrolling interests held by third parties in consolidated subsidiaries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is to be redeemed via the transfer of assets. Mandatorily redeemable noncontrolling interests are presented as liability-based financial instruments and are re-measured on a recurring basis to the expected redemption value.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During the second quarter of fiscal 2023, the exercise of put options by the minority shareholders of three PrintBrothers businesses to redeem a portion of their equity interests triggered a mandatory redemption feature for the remaining minority interests after exercise. As such, we reclassified the remaining minority equity interests from redeemable noncontrolling interest to mandatorily redeemable noncontrolling interest, which is presented as part of other liabilities on the consolidated balance sheets. Refer to Note 10 for additional details.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Marketable Securities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We hold certain investments that are classified as held-to-maturity as we have the intent and ability to hold them to their maturity dates. Our policy is to invest in the following permitted classes of assets: overnight money market funds invested in U.S. Treasury securities and U.S. government agency securities, U.S. Treasury securities, U.S. government agency securities, bank time deposits, commercial paper, corporate notes and bonds, and medium term notes. We invest in securities with a remaining maturity of two years or less. As the investments are classified as held-to-maturity, they are recorded at amortized cost and interest income is recorded as it is earned within interest expense, net.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three and nine months ended March 31, 2023 and 2022.</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The following is a summary of the net carrying amount, unrealized gains, unrealized losses, and fair value of held-to-maturity securities by type and contractual maturity as of March 31, 2023 and June 30, 2022.</w:t>
      </w:r>
    </w:p>
    <w:p>
      <w:pPr>
        <w:pStyle w:val="TextBody"/>
        <w:spacing w:before="0" w:after="0"/>
        <w:ind w:left="0" w:right="0" w:firstLine="720"/>
        <w:rPr/>
      </w:pPr>
      <w:r>
        <w:rPr/>
      </w:r>
    </w:p>
    <w:tbl>
      <w:tblPr>
        <w:tblW w:w="8481" w:type="dxa"/>
        <w:jc w:val="center"/>
        <w:tblInd w:w="0" w:type="dxa"/>
        <w:tblCellMar>
          <w:top w:w="28" w:type="dxa"/>
          <w:left w:w="28" w:type="dxa"/>
          <w:bottom w:w="28" w:type="dxa"/>
          <w:right w:w="28" w:type="dxa"/>
        </w:tblCellMar>
      </w:tblPr>
      <w:tblGrid>
        <w:gridCol w:w="1341"/>
        <w:gridCol w:w="1179"/>
        <w:gridCol w:w="1184"/>
        <w:gridCol w:w="267"/>
        <w:gridCol w:w="914"/>
        <w:gridCol w:w="138"/>
        <w:gridCol w:w="109"/>
        <w:gridCol w:w="109"/>
        <w:gridCol w:w="109"/>
        <w:gridCol w:w="109"/>
        <w:gridCol w:w="109"/>
        <w:gridCol w:w="395"/>
        <w:gridCol w:w="901"/>
        <w:gridCol w:w="204"/>
        <w:gridCol w:w="109"/>
        <w:gridCol w:w="109"/>
        <w:gridCol w:w="109"/>
        <w:gridCol w:w="211"/>
        <w:gridCol w:w="721"/>
        <w:gridCol w:w="154"/>
      </w:tblGrid>
      <w:tr>
        <w:trPr/>
        <w:tc>
          <w:tcPr>
            <w:tcW w:w="134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4" w:type="dxa"/>
            <w:gridSpan w:val="11"/>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1413" w:type="dxa"/>
            <w:gridSpan w:val="6"/>
            <w:tcBorders/>
            <w:shd w:fill="auto" w:val="clea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Due within one year or less: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32,242 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securities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within one year or less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Due between one and two years:</w:t>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securities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within between one and two years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held-to-maturity securities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74,771 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7447" w:type="dxa"/>
        <w:jc w:val="center"/>
        <w:tblInd w:w="0" w:type="dxa"/>
        <w:tblCellMar>
          <w:top w:w="28" w:type="dxa"/>
          <w:left w:w="28" w:type="dxa"/>
          <w:bottom w:w="28" w:type="dxa"/>
          <w:right w:w="28" w:type="dxa"/>
        </w:tblCellMar>
      </w:tblPr>
      <w:tblGrid>
        <w:gridCol w:w="967"/>
        <w:gridCol w:w="850"/>
        <w:gridCol w:w="853"/>
        <w:gridCol w:w="267"/>
        <w:gridCol w:w="914"/>
        <w:gridCol w:w="138"/>
        <w:gridCol w:w="109"/>
        <w:gridCol w:w="109"/>
        <w:gridCol w:w="109"/>
        <w:gridCol w:w="395"/>
        <w:gridCol w:w="901"/>
        <w:gridCol w:w="204"/>
        <w:gridCol w:w="109"/>
        <w:gridCol w:w="109"/>
        <w:gridCol w:w="109"/>
        <w:gridCol w:w="109"/>
        <w:gridCol w:w="109"/>
        <w:gridCol w:w="211"/>
        <w:gridCol w:w="721"/>
        <w:gridCol w:w="154"/>
      </w:tblGrid>
      <w:tr>
        <w:trPr/>
        <w:tc>
          <w:tcPr>
            <w:tcW w:w="967"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4" w:type="dxa"/>
            <w:gridSpan w:val="11"/>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c>
          <w:tcPr>
            <w:tcW w:w="1413" w:type="dxa"/>
            <w:gridSpan w:val="6"/>
            <w:tcBorders/>
            <w:shd w:fill="auto" w:val="clea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Due within one year or less: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49,952 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held-to-maturity securities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49,952 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20" w:after="283"/>
        <w:rPr>
          <w:rFonts w:ascii="Arial;sans-serif" w:hAnsi="Arial;sans-serif"/>
          <w:b/>
          <w:color w:val="000000"/>
          <w:sz w:val="20"/>
        </w:rPr>
      </w:pPr>
      <w:r>
        <w:rPr>
          <w:rFonts w:ascii="Arial;sans-serif" w:hAnsi="Arial;sans-serif"/>
          <w:b/>
          <w:color w:val="000000"/>
          <w:sz w:val="20"/>
        </w:rPr>
        <w:t>Other Income, Net</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The following table summarizes the components of other income, net:</w:t>
      </w:r>
    </w:p>
    <w:tbl>
      <w:tblPr>
        <w:tblW w:w="10205" w:type="dxa"/>
        <w:jc w:val="center"/>
        <w:tblInd w:w="0" w:type="dxa"/>
        <w:tblCellMar>
          <w:top w:w="28" w:type="dxa"/>
          <w:left w:w="28" w:type="dxa"/>
          <w:bottom w:w="28" w:type="dxa"/>
          <w:right w:w="28" w:type="dxa"/>
        </w:tblCellMar>
      </w:tblPr>
      <w:tblGrid>
        <w:gridCol w:w="1824"/>
        <w:gridCol w:w="1504"/>
        <w:gridCol w:w="1513"/>
        <w:gridCol w:w="211"/>
        <w:gridCol w:w="675"/>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6"/>
      </w:tblGrid>
      <w:tr>
        <w:trPr/>
        <w:tc>
          <w:tcPr>
            <w:tcW w:w="1824"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3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shd w:fill="auto" w:val="clear"/>
          </w:tcPr>
          <w:p>
            <w:pPr>
              <w:pStyle w:val="TableContents"/>
              <w:spacing w:before="0" w:after="283"/>
              <w:rPr>
                <w:sz w:val="4"/>
                <w:szCs w:val="4"/>
              </w:rPr>
            </w:pPr>
            <w:r>
              <w:rPr>
                <w:sz w:val="4"/>
                <w:szCs w:val="4"/>
              </w:rPr>
            </w:r>
          </w:p>
        </w:tc>
      </w:tr>
      <w:tr>
        <w:trPr/>
        <w:tc>
          <w:tcPr>
            <w:tcW w:w="4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on derivatives not designated as hedging instruments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Currency-related gains (losses), net (2)</w:t>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(losses) gains</w:t>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(1) Includes realized and unrealized gains and losses on derivative currency forward and option contracts not designated as hedging instruments, as well as the ineffective portion of certain interest rate swap contracts that were de-designated from hedge accounting in the prior periods. For contracts not designated as hedging instruments, we realized gains of $4,876 and $35,864 for the three and nine months ended March 31, 2023, and gains of $2,011 and losses $2,407 for the three and nine months ended March 31, 2022. Losses on ineffective interest rate swaps amounted to $6,580 and $6,364 for the three and nine months ended March 31, 2022, compared to no gains or losses in the current periods. Refer to Note 4 for additional details relating to our derivative contracts.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(2) Currency-related gains (losses), net primarily relates to significant non-functional currency intercompany financing relationships that we may change at times and are subject to currency exchange rate volatility. In addition, we have a cross-currency swap designated as a cash flow hedge which hedges the remeasurement of an intercompany loan. Refer to Note 4 for additional details relating to this cash flow hedge.</w:t>
      </w:r>
    </w:p>
    <w:p>
      <w:pPr>
        <w:pStyle w:val="TextBody"/>
        <w:spacing w:before="0" w:after="0"/>
        <w:ind w:left="0" w:right="0" w:hanging="270"/>
        <w:rPr/>
      </w:pPr>
      <w:r>
        <w:rPr/>
      </w:r>
    </w:p>
    <w:p>
      <w:pPr>
        <w:pStyle w:val="TextBody"/>
        <w:spacing w:lineRule="auto" w:line="288" w:before="100" w:after="283"/>
        <w:ind w:left="0" w:right="0" w:hanging="270"/>
        <w:rPr>
          <w:rFonts w:ascii="Arial;sans-serif" w:hAnsi="Arial;sans-serif"/>
          <w:b/>
          <w:color w:val="000000"/>
          <w:sz w:val="20"/>
        </w:rPr>
      </w:pPr>
      <w:r>
        <w:rPr>
          <w:rFonts w:ascii="Arial;sans-serif" w:hAnsi="Arial;sans-serif"/>
          <w:b/>
          <w:color w:val="000000"/>
          <w:sz w:val="20"/>
        </w:rPr>
        <w:t>Net Loss Per Share Attributable to Cimpress plc</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Basic net loss per share attributable to Cimpress plc is computed by dividing net loss attributable to Cimpress plc by the weighted-average number of ordinary shares outstanding for the respective period. Diluted net loss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The following table sets forth the reconciliation of the weighted-average number of ordinary shares:</w:t>
      </w:r>
    </w:p>
    <w:tbl>
      <w:tblPr>
        <w:tblW w:w="10205" w:type="dxa"/>
        <w:jc w:val="left"/>
        <w:tblInd w:w="0" w:type="dxa"/>
        <w:tblCellMar>
          <w:top w:w="28" w:type="dxa"/>
          <w:left w:w="28" w:type="dxa"/>
          <w:bottom w:w="28" w:type="dxa"/>
          <w:right w:w="28" w:type="dxa"/>
        </w:tblCellMar>
      </w:tblPr>
      <w:tblGrid>
        <w:gridCol w:w="1377"/>
        <w:gridCol w:w="1208"/>
        <w:gridCol w:w="1215"/>
        <w:gridCol w:w="684"/>
        <w:gridCol w:w="397"/>
        <w:gridCol w:w="150"/>
        <w:gridCol w:w="150"/>
        <w:gridCol w:w="150"/>
        <w:gridCol w:w="150"/>
        <w:gridCol w:w="684"/>
        <w:gridCol w:w="397"/>
        <w:gridCol w:w="150"/>
        <w:gridCol w:w="109"/>
        <w:gridCol w:w="109"/>
        <w:gridCol w:w="109"/>
        <w:gridCol w:w="684"/>
        <w:gridCol w:w="397"/>
        <w:gridCol w:w="147"/>
        <w:gridCol w:w="147"/>
        <w:gridCol w:w="147"/>
        <w:gridCol w:w="147"/>
        <w:gridCol w:w="684"/>
        <w:gridCol w:w="397"/>
        <w:gridCol w:w="147"/>
        <w:gridCol w:w="109"/>
        <w:gridCol w:w="160"/>
      </w:tblGrid>
      <w:tr>
        <w:trPr/>
        <w:tc>
          <w:tcPr>
            <w:tcW w:w="1377"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9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9" w:type="dxa"/>
            <w:gridSpan w:val="2"/>
            <w:tcBorders/>
            <w:shd w:fill="auto" w:val="clear"/>
          </w:tcPr>
          <w:p>
            <w:pPr>
              <w:pStyle w:val="TableContents"/>
              <w:spacing w:before="0" w:after="283"/>
              <w:rPr>
                <w:sz w:val="4"/>
                <w:szCs w:val="4"/>
              </w:rPr>
            </w:pPr>
            <w:r>
              <w:rPr>
                <w:sz w:val="4"/>
                <w:szCs w:val="4"/>
              </w:rPr>
            </w:r>
          </w:p>
        </w:tc>
      </w:tr>
      <w:tr>
        <w:trPr/>
        <w:tc>
          <w:tcPr>
            <w:tcW w:w="3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4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basic and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26,268,301 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26,102,610 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26,226,989 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26,090,460 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800"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800"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anti-dilutive shares excluded from diluted net loss per share attributable to Cimpress plc (1)(2)</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3,161,275 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908,354 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3,045,675 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770,500 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(1) In the periods in which a net loss is recognized, the impact of share options, RSUs and warrants is not included as they are anti-dilutive.</w:t>
      </w:r>
    </w:p>
    <w:p>
      <w:pPr>
        <w:pStyle w:val="TextBody"/>
        <w:spacing w:lineRule="auto" w:line="288" w:before="100" w:after="100"/>
        <w:ind w:left="0" w:right="0" w:hanging="270"/>
        <w:rPr>
          <w:rFonts w:ascii="Arial;sans-serif" w:hAnsi="Arial;sans-serif"/>
          <w:b w:val="false"/>
          <w:color w:val="000000"/>
          <w:sz w:val="16"/>
        </w:rPr>
      </w:pPr>
      <w:r>
        <w:rPr>
          <w:rFonts w:ascii="Arial;sans-serif" w:hAnsi="Arial;sans-serif"/>
          <w:b w:val="false"/>
          <w:color w:val="000000"/>
          <w:sz w:val="16"/>
        </w:rPr>
        <w:t>(2) On May 1, 2020, we entered into a financing arrangement with Apollo Global Management, Inc., which included 7-year warrants with a strike price of $60 that have a potentially dilutive impact on our weighted average shares outstanding. For the three and nine months ended March 31, 2023, the weighted average anti-dilutive effect of the warrants was 1,055,377 shares in both periods, and 103,443 and 264,963 shares for the three and nine months ended March 31, 2022, respectively.</w:t>
      </w:r>
    </w:p>
    <w:p>
      <w:pPr>
        <w:pStyle w:val="TextBody"/>
        <w:spacing w:before="0" w:after="0"/>
        <w:ind w:left="0" w:right="0" w:firstLine="72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Recently Issued or Adopted Accounting Pronouncements</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Adopted Accounting Standards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In December 2022, the FASB issued Accounting Standards Update No. 2022-06 "Reference Rate Reform (Topic 848) - Deferral of the Sunset Date of Topic 848" (ASU 2022-06), which extends the optional transition relief to ease the potential burden in accounting for reference rate reform on financial reporting. The transition relief is provided through December 30, 2024 based on the expectation that the London Interbank Offered Rate (LIBOR) will cease to be published as of June 30, 2023. We applied the transition guidance to our two Term SOFR interest rate swap contracts this quarter and will apply the guidance when updating existing interest rate swap contracts to index to a replacement rate. There was no material impact on our consolidated financial statements in the periods presented.</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In May 2021, the FASB issued Accounting Standards Update No. 2021-04 "Earnings Per Share (Topic 260), Debt—Modifications and Extinguishments (Subtopic 470-50), Compensation—Stock Compensation (Topic 718), and Derivatives and Hedging—Contracts in Entity’s Own Equity (Subtopic 815-40)" (ASU 2021-04), which provides authoritative guidance for the accounting treatment of contracts in an entity's own equity when calculating earnings per share. We adopted the standard on July 1, 2022. We recognize freestanding equity-classified warrants on our consolidated balance sheet and as the standard is applied prospectively, there was no impact on our consolidated financial statements in the current period.</w:t>
      </w:r>
    </w:p>
    <w:p>
      <w:pPr>
        <w:pStyle w:val="TextBody"/>
        <w:spacing w:before="0" w:after="0"/>
        <w:ind w:left="0" w:right="0" w:firstLine="72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Issued Accounting Standards to be Adopted</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 xml:space="preserve">In September 2022, the FASB issued Accounting Standards Update No. 2022-04 "Liabilities - Supplier Finance Programs (Subtopic 405-50)" (ASU 2022-04), which provides authoritative guidance for expanded disclosure requirements for supply chain finance programs. The standard is effective on July 1, 2023. Cimpress businesses have an active supply chain finance program which will require additional disclosure after adoption of this standard. We will include the expanded disclosure requirements starting in the first quarter of fiscal 2024.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3. Fair Value Measurements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pStyle w:val="TextBody"/>
        <w:spacing w:lineRule="auto" w:line="288" w:before="120" w:after="283"/>
        <w:ind w:left="0" w:right="0" w:hanging="360"/>
        <w:rPr/>
      </w:pPr>
      <w:r>
        <w:rPr>
          <w:color w:val="000000"/>
        </w:rPr>
        <w:t>•</w:t>
      </w:r>
      <w:r>
        <w:rPr>
          <w:rFonts w:ascii="Arial;sans-serif" w:hAnsi="Arial;sans-serif"/>
          <w:b w:val="false"/>
          <w:i/>
          <w:color w:val="000000"/>
          <w:sz w:val="20"/>
        </w:rPr>
        <w:t>Level 1:</w:t>
      </w:r>
      <w:r>
        <w:rPr>
          <w:color w:val="000000"/>
        </w:rPr>
        <w:t xml:space="preserve"> </w:t>
      </w:r>
      <w:r>
        <w:rPr>
          <w:rFonts w:ascii="Arial;sans-serif" w:hAnsi="Arial;sans-serif"/>
          <w:b w:val="false"/>
          <w:color w:val="000000"/>
          <w:sz w:val="20"/>
        </w:rPr>
        <w:t>Inputs to the valuation methodology are quoted prices (unadjusted) for identical assets or liabilities in active markets.</w:t>
      </w:r>
    </w:p>
    <w:p>
      <w:pPr>
        <w:pStyle w:val="TextBody"/>
        <w:spacing w:lineRule="auto" w:line="288" w:before="120" w:after="283"/>
        <w:ind w:left="0" w:right="0" w:hanging="360"/>
        <w:rPr/>
      </w:pPr>
      <w:r>
        <w:rPr>
          <w:color w:val="000000"/>
        </w:rPr>
        <w:t>•</w:t>
      </w:r>
      <w:r>
        <w:rPr>
          <w:rFonts w:ascii="Arial;sans-serif" w:hAnsi="Arial;sans-serif"/>
          <w:b w:val="false"/>
          <w:i/>
          <w:color w:val="000000"/>
          <w:sz w:val="20"/>
        </w:rPr>
        <w:t>Level 2:</w:t>
      </w:r>
      <w:r>
        <w:rPr>
          <w:color w:val="000000"/>
        </w:rPr>
        <w:t xml:space="preserve"> </w:t>
      </w:r>
      <w:r>
        <w:rPr>
          <w:rFonts w:ascii="Arial;sans-serif" w:hAnsi="Arial;sans-serif"/>
          <w:b w:val="false"/>
          <w:color w:val="000000"/>
          <w:sz w:val="20"/>
        </w:rPr>
        <w:t>Inputs to the valuation methodology include quoted prices for similar assets and liabilities in active markets, quoted prices for identical or similar assets in markets that are not active and inputs that are observable for the asset or liability, either directly or indirectly, for substantially the full term of the financial instrument.</w:t>
      </w:r>
    </w:p>
    <w:p>
      <w:pPr>
        <w:pStyle w:val="TextBody"/>
        <w:spacing w:lineRule="auto" w:line="288" w:before="120" w:after="283"/>
        <w:ind w:left="0" w:right="0" w:hanging="360"/>
        <w:rPr/>
      </w:pPr>
      <w:r>
        <w:rPr>
          <w:color w:val="000000"/>
        </w:rPr>
        <w:t>•</w:t>
      </w:r>
      <w:r>
        <w:rPr>
          <w:rFonts w:ascii="Arial;sans-serif" w:hAnsi="Arial;sans-serif"/>
          <w:b w:val="false"/>
          <w:i/>
          <w:color w:val="000000"/>
          <w:sz w:val="20"/>
        </w:rPr>
        <w:t>Level 3:</w:t>
      </w:r>
      <w:r>
        <w:rPr>
          <w:color w:val="000000"/>
        </w:rPr>
        <w:t xml:space="preserve"> </w:t>
      </w:r>
      <w:r>
        <w:rPr>
          <w:rFonts w:ascii="Arial;sans-serif" w:hAnsi="Arial;sans-serif"/>
          <w:b w:val="false"/>
          <w:color w:val="000000"/>
          <w:sz w:val="20"/>
        </w:rPr>
        <w:t>Inputs to the valuation methodology are unobservable and significant to the fair value measurement.</w:t>
      </w:r>
    </w:p>
    <w:p>
      <w:pPr>
        <w:pStyle w:val="TextBody"/>
        <w:spacing w:lineRule="auto" w:line="288" w:before="120" w:after="283"/>
        <w:ind w:left="0" w:right="0" w:firstLine="720"/>
        <w:rPr>
          <w:rFonts w:ascii="Arial;sans-serif" w:hAnsi="Arial;sans-serif"/>
          <w:b w:val="false"/>
          <w:color w:val="000000"/>
          <w:sz w:val="20"/>
        </w:rPr>
      </w:pPr>
      <w:r>
        <w:rPr>
          <w:rFonts w:ascii="Arial;sans-serif" w:hAnsi="Arial;sans-serif"/>
          <w:b w:val="false"/>
          <w:color w:val="000000"/>
          <w:sz w:val="20"/>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tbl>
      <w:tblPr>
        <w:tblW w:w="8562" w:type="dxa"/>
        <w:jc w:val="left"/>
        <w:tblInd w:w="0" w:type="dxa"/>
        <w:tblCellMar>
          <w:top w:w="28" w:type="dxa"/>
          <w:left w:w="28" w:type="dxa"/>
          <w:bottom w:w="28" w:type="dxa"/>
          <w:right w:w="28" w:type="dxa"/>
        </w:tblCellMar>
      </w:tblPr>
      <w:tblGrid>
        <w:gridCol w:w="1104"/>
        <w:gridCol w:w="972"/>
        <w:gridCol w:w="984"/>
        <w:gridCol w:w="211"/>
        <w:gridCol w:w="721"/>
        <w:gridCol w:w="109"/>
        <w:gridCol w:w="109"/>
        <w:gridCol w:w="109"/>
        <w:gridCol w:w="109"/>
        <w:gridCol w:w="344"/>
        <w:gridCol w:w="663"/>
        <w:gridCol w:w="178"/>
        <w:gridCol w:w="109"/>
        <w:gridCol w:w="109"/>
        <w:gridCol w:w="109"/>
        <w:gridCol w:w="258"/>
        <w:gridCol w:w="883"/>
        <w:gridCol w:w="133"/>
        <w:gridCol w:w="109"/>
        <w:gridCol w:w="109"/>
        <w:gridCol w:w="109"/>
        <w:gridCol w:w="279"/>
        <w:gridCol w:w="537"/>
        <w:gridCol w:w="205"/>
      </w:tblGrid>
      <w:tr>
        <w:trPr/>
        <w:tc>
          <w:tcPr>
            <w:tcW w:w="110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50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562" w:type="dxa"/>
        <w:jc w:val="left"/>
        <w:tblInd w:w="0" w:type="dxa"/>
        <w:tblCellMar>
          <w:top w:w="28" w:type="dxa"/>
          <w:left w:w="28" w:type="dxa"/>
          <w:bottom w:w="28" w:type="dxa"/>
          <w:right w:w="28" w:type="dxa"/>
        </w:tblCellMar>
      </w:tblPr>
      <w:tblGrid>
        <w:gridCol w:w="1104"/>
        <w:gridCol w:w="972"/>
        <w:gridCol w:w="984"/>
        <w:gridCol w:w="211"/>
        <w:gridCol w:w="721"/>
        <w:gridCol w:w="109"/>
        <w:gridCol w:w="109"/>
        <w:gridCol w:w="109"/>
        <w:gridCol w:w="109"/>
        <w:gridCol w:w="344"/>
        <w:gridCol w:w="663"/>
        <w:gridCol w:w="178"/>
        <w:gridCol w:w="109"/>
        <w:gridCol w:w="109"/>
        <w:gridCol w:w="109"/>
        <w:gridCol w:w="258"/>
        <w:gridCol w:w="883"/>
        <w:gridCol w:w="133"/>
        <w:gridCol w:w="109"/>
        <w:gridCol w:w="109"/>
        <w:gridCol w:w="109"/>
        <w:gridCol w:w="279"/>
        <w:gridCol w:w="537"/>
        <w:gridCol w:w="205"/>
      </w:tblGrid>
      <w:tr>
        <w:trPr/>
        <w:tc>
          <w:tcPr>
            <w:tcW w:w="110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50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10,611 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45,585 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 xml:space="preserve">During the nine months ended March 31, 2023 and year ended June 30, 2022, there were no significant transfers in or out of Level 1, Level 2 and Level 3 classifications.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March 31, 2023,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pStyle w:val="TextBody"/>
        <w:spacing w:before="0" w:after="0"/>
        <w:rPr/>
      </w:pPr>
      <w:r>
        <w:rPr/>
      </w:r>
    </w:p>
    <w:p>
      <w:pPr>
        <w:pStyle w:val="TextBody"/>
        <w:spacing w:lineRule="auto" w:line="288" w:before="0" w:after="0"/>
        <w:ind w:left="0" w:right="0" w:firstLine="720"/>
        <w:rPr/>
      </w:pPr>
      <w:r>
        <w:rPr>
          <w:rFonts w:ascii="Arial;sans-serif" w:hAnsi="Arial;sans-serif"/>
          <w:b w:val="false"/>
          <w:color w:val="000000"/>
          <w:sz w:val="20"/>
        </w:rPr>
        <w:t>As of March 31, 2023 and June 30, 2022, the carrying amounts of our cash and cash equivalents, accounts receivable, accounts payable and other current liabilities approximated their estimated fair values. As of March 31, 2023 and June 30, 2022, the carrying value of our debt, excluding debt issuance costs and debt premiums and discounts, was</w:t>
      </w:r>
      <w:r>
        <w:rPr>
          <w:color w:val="FF0000"/>
        </w:rPr>
        <w:t xml:space="preserve"> </w:t>
      </w:r>
      <w:r>
        <w:rPr>
          <w:rFonts w:ascii="Arial;sans-serif" w:hAnsi="Arial;sans-serif"/>
          <w:b w:val="false"/>
          <w:color w:val="000000"/>
          <w:sz w:val="20"/>
        </w:rPr>
        <w:t xml:space="preserve">$1,710,187 and $1,705,365, respectively, and the fair value was $1,624,353 and $1,600,627, respectively. Our debt at March 31, 2023 includes variable-rate debt instruments indexed to LIBOR and Euribor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w:t>
      </w:r>
    </w:p>
    <w:p>
      <w:pPr>
        <w:pStyle w:val="TextBody"/>
        <w:spacing w:before="0" w:after="0"/>
        <w:ind w:left="0" w:right="0" w:firstLine="720"/>
        <w:rPr/>
      </w:pPr>
      <w:r>
        <w:rPr/>
      </w:r>
    </w:p>
    <w:p>
      <w:pPr>
        <w:pStyle w:val="TextBody"/>
        <w:spacing w:lineRule="auto" w:line="288" w:before="0" w:after="0"/>
        <w:ind w:left="0" w:right="0" w:firstLine="720"/>
        <w:rPr/>
      </w:pPr>
      <w:r>
        <w:rPr>
          <w:rFonts w:ascii="Arial;sans-serif" w:hAnsi="Arial;sans-serif"/>
          <w:b w:val="false"/>
          <w:color w:val="000000"/>
          <w:sz w:val="20"/>
        </w:rPr>
        <w:t>As of March 31, 2023 and June 30, 2022 our held-to-maturity marketable securities were held at an amortized cost of $74,771</w:t>
      </w:r>
      <w:r>
        <w:rPr>
          <w:color w:val="EE2724"/>
        </w:rPr>
        <w:t xml:space="preserve"> </w:t>
      </w:r>
      <w:r>
        <w:rPr>
          <w:rFonts w:ascii="Arial;sans-serif" w:hAnsi="Arial;sans-serif"/>
          <w:b w:val="false"/>
          <w:color w:val="000000"/>
          <w:sz w:val="20"/>
        </w:rPr>
        <w:t>and $49,952,</w:t>
      </w:r>
      <w:r>
        <w:rPr>
          <w:color w:val="EE2724"/>
        </w:rPr>
        <w:t xml:space="preserve"> </w:t>
      </w:r>
      <w:r>
        <w:rPr>
          <w:rFonts w:ascii="Arial;sans-serif" w:hAnsi="Arial;sans-serif"/>
          <w:b w:val="false"/>
          <w:color w:val="000000"/>
          <w:sz w:val="20"/>
        </w:rPr>
        <w:t>respectively,</w:t>
      </w:r>
      <w:r>
        <w:rPr>
          <w:color w:val="EE2724"/>
        </w:rPr>
        <w:t xml:space="preserve"> </w:t>
      </w:r>
      <w:r>
        <w:rPr>
          <w:rFonts w:ascii="Arial;sans-serif" w:hAnsi="Arial;sans-serif"/>
          <w:b w:val="false"/>
          <w:color w:val="000000"/>
          <w:sz w:val="20"/>
        </w:rPr>
        <w:t>while the fair value was $74,262</w:t>
      </w:r>
      <w:r>
        <w:rPr>
          <w:color w:val="EE2724"/>
        </w:rPr>
        <w:t xml:space="preserve"> </w:t>
      </w:r>
      <w:r>
        <w:rPr>
          <w:rFonts w:ascii="Arial;sans-serif" w:hAnsi="Arial;sans-serif"/>
          <w:b w:val="false"/>
          <w:color w:val="000000"/>
          <w:sz w:val="20"/>
        </w:rPr>
        <w:t>and</w:t>
      </w:r>
      <w:r>
        <w:rPr>
          <w:color w:val="EE2724"/>
        </w:rPr>
        <w:t xml:space="preserve"> </w:t>
      </w:r>
      <w:r>
        <w:rPr>
          <w:rFonts w:ascii="Arial;sans-serif" w:hAnsi="Arial;sans-serif"/>
          <w:b w:val="false"/>
          <w:color w:val="000000"/>
          <w:sz w:val="20"/>
        </w:rPr>
        <w:t xml:space="preserve">$49,406, respectively. The securities were valued using quoted prices for identical assets in active markets, which fall into Level 1 under the fair value hierarchy.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The estimated fair value of assets and liabilities disclosed above may not be representative of actual values that could have been or will be realized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180"/>
        <w:rPr>
          <w:rFonts w:ascii="Arial;sans-serif" w:hAnsi="Arial;sans-serif"/>
          <w:b/>
          <w:color w:val="000000"/>
          <w:sz w:val="20"/>
        </w:rPr>
      </w:pPr>
      <w:r>
        <w:rPr>
          <w:rFonts w:ascii="Arial;sans-serif" w:hAnsi="Arial;sans-serif"/>
          <w:b/>
          <w:color w:val="000000"/>
          <w:sz w:val="20"/>
        </w:rPr>
        <w:t>4. Derivative Financial Instruments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w:t>
      </w:r>
    </w:p>
    <w:p>
      <w:pPr>
        <w:pStyle w:val="TextBody"/>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The change in the fair value of derivatives not designated as hedges is recognized directly in earnings as a component of other income, net.</w:t>
      </w:r>
    </w:p>
    <w:p>
      <w:pPr>
        <w:pStyle w:val="TextBody"/>
        <w:spacing w:lineRule="auto" w:line="288" w:before="220" w:after="283"/>
        <w:jc w:val="both"/>
        <w:rPr>
          <w:rFonts w:ascii="Arial;sans-serif" w:hAnsi="Arial;sans-serif"/>
          <w:b/>
          <w:color w:val="000000"/>
          <w:sz w:val="20"/>
        </w:rPr>
      </w:pPr>
      <w:r>
        <w:rPr>
          <w:rFonts w:ascii="Arial;sans-serif" w:hAnsi="Arial;sans-serif"/>
          <w:b/>
          <w:color w:val="000000"/>
          <w:sz w:val="20"/>
        </w:rPr>
        <w:t>Hedges of Interest Rate Risk</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color w:val="000000"/>
          <w:sz w:val="20"/>
        </w:rPr>
      </w:pPr>
      <w:r>
        <w:rPr>
          <w:rFonts w:ascii="Arial;sans-serif" w:hAnsi="Arial;sans-serif"/>
          <w:b w:val="false"/>
          <w:color w:val="000000"/>
          <w:sz w:val="20"/>
        </w:rPr>
        <w:t xml:space="preserve">related to interest rate swap contracts will be reclassified to interest expense, net as interest payments are accrued or made on our variable-rate debt.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As of March 31, 2023, we estimate that $6,830 of income will be reclassified from accumulated other comprehensive loss to interest expense, net during the twelve months ending March 31, 2024. As of March 31, 2023, we had sixteen effective outstanding interest rate swap contracts. Fourteen of our swaps are indexed to USD LIBOR, while the remaining two are indexed to Term SOFR. The transition relief guidance from ASC 848 was applied to designate the two Term SOFR swap contracts that we entered into during the current quarter for hedge accounting. After USD LIBOR sunsets on June 30, 2023, we may convert our contracts to index to Term SOFR, otherwise the contracts will be subject to the fallback language within our credit agreement.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Our interest rate swap contracts have varying start and maturity dates through April 2028. </w:t>
      </w:r>
    </w:p>
    <w:tbl>
      <w:tblPr>
        <w:tblW w:w="5981" w:type="dxa"/>
        <w:jc w:val="center"/>
        <w:tblInd w:w="0" w:type="dxa"/>
        <w:tblCellMar>
          <w:top w:w="28" w:type="dxa"/>
          <w:left w:w="28" w:type="dxa"/>
          <w:bottom w:w="28" w:type="dxa"/>
          <w:right w:w="28" w:type="dxa"/>
        </w:tblCellMar>
      </w:tblPr>
      <w:tblGrid>
        <w:gridCol w:w="1467"/>
        <w:gridCol w:w="1290"/>
        <w:gridCol w:w="1293"/>
        <w:gridCol w:w="109"/>
        <w:gridCol w:w="109"/>
        <w:gridCol w:w="109"/>
        <w:gridCol w:w="284"/>
        <w:gridCol w:w="1113"/>
        <w:gridCol w:w="207"/>
      </w:tblGrid>
      <w:tr>
        <w:trPr/>
        <w:tc>
          <w:tcPr>
            <w:tcW w:w="1467"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Interest rate swap contracts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Notional Amounts</w:t>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Contracts accruing interest as of March 31,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with a future start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430,000 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830,000 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00"/>
        <w:rPr>
          <w:rFonts w:ascii="Arial;sans-serif" w:hAnsi="Arial;sans-serif"/>
          <w:b/>
          <w:color w:val="000000"/>
          <w:sz w:val="20"/>
        </w:rPr>
      </w:pPr>
      <w:r>
        <w:rPr>
          <w:rFonts w:ascii="Arial;sans-serif" w:hAnsi="Arial;sans-serif"/>
          <w:b/>
          <w:color w:val="000000"/>
          <w:sz w:val="20"/>
        </w:rPr>
        <w:t xml:space="preserve">Hedges of Currency Risk </w:t>
      </w:r>
    </w:p>
    <w:p>
      <w:pPr>
        <w:pStyle w:val="TextBody"/>
        <w:spacing w:lineRule="auto" w:line="288" w:before="280" w:after="283"/>
        <w:rPr>
          <w:rFonts w:ascii="Arial;sans-serif" w:hAnsi="Arial;sans-serif"/>
          <w:b w:val="false"/>
          <w:i/>
          <w:color w:val="000000"/>
          <w:sz w:val="20"/>
        </w:rPr>
      </w:pPr>
      <w:r>
        <w:rPr>
          <w:rFonts w:ascii="Arial;sans-serif" w:hAnsi="Arial;sans-serif"/>
          <w:b w:val="false"/>
          <w:i/>
          <w:color w:val="000000"/>
          <w:sz w:val="20"/>
        </w:rPr>
        <w:t>Cross-Currency Swap Contracts</w:t>
      </w:r>
    </w:p>
    <w:p>
      <w:pPr>
        <w:pStyle w:val="TextBody"/>
        <w:spacing w:lineRule="auto" w:line="288" w:before="180" w:after="283"/>
        <w:ind w:left="0" w:right="0" w:firstLine="720"/>
        <w:rPr>
          <w:rFonts w:ascii="Arial;sans-serif" w:hAnsi="Arial;sans-serif"/>
          <w:b w:val="false"/>
          <w:color w:val="000000"/>
          <w:sz w:val="20"/>
        </w:rPr>
      </w:pPr>
      <w:r>
        <w:rPr>
          <w:rFonts w:ascii="Arial;sans-serif" w:hAnsi="Arial;sans-serif"/>
          <w:b w:val="false"/>
          <w:color w:val="000000"/>
          <w:sz w:val="20"/>
        </w:rPr>
        <w:t>We execute cross-currency swap contracts designated as cash flow hedges or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pStyle w:val="TextBody"/>
        <w:spacing w:lineRule="auto" w:line="288" w:before="180" w:after="283"/>
        <w:ind w:left="0" w:right="0" w:firstLine="720"/>
        <w:rPr>
          <w:rFonts w:ascii="Arial;sans-serif" w:hAnsi="Arial;sans-serif"/>
          <w:b w:val="false"/>
          <w:color w:val="000000"/>
          <w:sz w:val="20"/>
        </w:rPr>
      </w:pPr>
      <w:r>
        <w:rPr>
          <w:rFonts w:ascii="Arial;sans-serif" w:hAnsi="Arial;sans-serif"/>
          <w:b w:val="false"/>
          <w:color w:val="000000"/>
          <w:sz w:val="20"/>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March 31, 2023, we had one outstanding cross-currency swap contract designated as a cash flow hedge with a total notional amount of $58,478, maturing during June 2024. We entered into the cross-currency swap contract to hedge the risk of changes in one Euro-denominated intercompany loan entered into with one of our consolidated subsidiaries that has the Euro as its functional currency.</w:t>
      </w:r>
    </w:p>
    <w:p>
      <w:pPr>
        <w:pStyle w:val="TextBody"/>
        <w:spacing w:lineRule="auto" w:line="288" w:before="180" w:after="283"/>
        <w:ind w:left="0" w:right="0" w:firstLine="720"/>
        <w:rPr/>
      </w:pPr>
      <w:r>
        <w:rPr>
          <w:rFonts w:ascii="Arial;sans-serif" w:hAnsi="Arial;sans-serif"/>
          <w:b w:val="false"/>
          <w:color w:val="000000"/>
          <w:sz w:val="20"/>
        </w:rPr>
        <w:t>Amounts reported in accumulated other comprehensive loss will be reclassified to other income, net as interest payments are accrued or paid and upon remeasuring the intercompany loan. As of March 31, 2023, we estimate that</w:t>
      </w:r>
      <w:r>
        <w:rPr>
          <w:color w:val="EE2724"/>
        </w:rPr>
        <w:t xml:space="preserve"> </w:t>
      </w:r>
      <w:r>
        <w:rPr>
          <w:rFonts w:ascii="Arial;sans-serif" w:hAnsi="Arial;sans-serif"/>
          <w:b w:val="false"/>
          <w:color w:val="000000"/>
          <w:sz w:val="20"/>
        </w:rPr>
        <w:t>$1,744</w:t>
      </w:r>
      <w:r>
        <w:rPr>
          <w:color w:val="EE2724"/>
        </w:rPr>
        <w:t xml:space="preserve"> </w:t>
      </w:r>
      <w:r>
        <w:rPr>
          <w:rFonts w:ascii="Arial;sans-serif" w:hAnsi="Arial;sans-serif"/>
          <w:b w:val="false"/>
          <w:color w:val="000000"/>
          <w:sz w:val="20"/>
        </w:rPr>
        <w:t>of income will be reclassified from accumulated other comprehensive loss to interest expense, net during the twelve months ending March 31, 2024.</w:t>
      </w:r>
    </w:p>
    <w:p>
      <w:pPr>
        <w:pStyle w:val="TextBody"/>
        <w:spacing w:lineRule="auto" w:line="288" w:before="220" w:after="100"/>
        <w:rPr>
          <w:rFonts w:ascii="Arial;sans-serif" w:hAnsi="Arial;sans-serif"/>
          <w:b w:val="false"/>
          <w:i/>
          <w:color w:val="000000"/>
          <w:sz w:val="20"/>
        </w:rPr>
      </w:pPr>
      <w:r>
        <w:rPr>
          <w:rFonts w:ascii="Arial;sans-serif" w:hAnsi="Arial;sans-serif"/>
          <w:b w:val="false"/>
          <w:i/>
          <w:color w:val="000000"/>
          <w:sz w:val="20"/>
        </w:rPr>
        <w:t>Other Currency Hedges</w:t>
      </w:r>
    </w:p>
    <w:p>
      <w:pPr>
        <w:pStyle w:val="TextBody"/>
        <w:spacing w:lineRule="auto" w:line="288" w:before="180" w:after="283"/>
        <w:ind w:left="0" w:right="0" w:firstLine="720"/>
        <w:rPr/>
      </w:pPr>
      <w:r>
        <w:rPr>
          <w:rFonts w:ascii="Arial;sans-serif" w:hAnsi="Arial;sans-serif"/>
          <w:b w:val="false"/>
          <w:color w:val="000000"/>
          <w:sz w:val="20"/>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w:t>
      </w:r>
      <w:r>
        <w:rPr>
          <w:color w:val="EE2724"/>
        </w:rPr>
        <w:t xml:space="preserve"> </w:t>
      </w:r>
      <w:r>
        <w:rPr>
          <w:rFonts w:ascii="Arial;sans-serif" w:hAnsi="Arial;sans-serif"/>
          <w:b w:val="false"/>
          <w:color w:val="000000"/>
          <w:sz w:val="20"/>
        </w:rPr>
        <w:t>that have the Euro as their functional currency. Amounts reported in accumulated other comprehensive loss are recognized as a component of our cumulative translation adjustment.</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As of March 31, 2023, we have one intercompany loan designated as a net investment hedge with a total notional amount of $364,524 that matures in May 2028.</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We have elected to not apply hedge accounting for all other currency forward and option contracts. During the three and nine months ended March 31, 2023 and 2022, we experienced volatility within other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color w:val="000000"/>
          <w:sz w:val="20"/>
        </w:rPr>
      </w:pPr>
      <w:r>
        <w:rPr>
          <w:rFonts w:ascii="Arial;sans-serif" w:hAnsi="Arial;sans-serif"/>
          <w:b w:val="false"/>
          <w:color w:val="000000"/>
          <w:sz w:val="20"/>
        </w:rPr>
        <w:t>financial metrics that exclude non-cash items such as depreciation and amortization, we may experience increased, not decreased, volatility in our GAAP results as a result of our currency hedging program.</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As of March 31, 2023, we had the following outstanding currency derivative contracts that were not designated for hedge accounting and were primarily used to hedge fluctuations in the U.S. dollar value of forecasted transactions or balances denominated in Australian Dollar, British Pound, Canadian Dollar, Danish Krone, Euro, Indian Rupee, Mexican Peso, New Zealand Dollar, Norwegian Krone, Philippine Peso, Swiss Franc and Swedish Krona: </w:t>
      </w:r>
    </w:p>
    <w:tbl>
      <w:tblPr>
        <w:tblW w:w="10205" w:type="dxa"/>
        <w:jc w:val="left"/>
        <w:tblInd w:w="0" w:type="dxa"/>
        <w:tblCellMar>
          <w:top w:w="28" w:type="dxa"/>
          <w:left w:w="28" w:type="dxa"/>
          <w:bottom w:w="28" w:type="dxa"/>
          <w:right w:w="28" w:type="dxa"/>
        </w:tblCellMar>
      </w:tblPr>
      <w:tblGrid>
        <w:gridCol w:w="513"/>
        <w:gridCol w:w="435"/>
        <w:gridCol w:w="439"/>
        <w:gridCol w:w="109"/>
        <w:gridCol w:w="109"/>
        <w:gridCol w:w="109"/>
        <w:gridCol w:w="785"/>
        <w:gridCol w:w="785"/>
        <w:gridCol w:w="789"/>
        <w:gridCol w:w="109"/>
        <w:gridCol w:w="109"/>
        <w:gridCol w:w="109"/>
        <w:gridCol w:w="853"/>
        <w:gridCol w:w="853"/>
        <w:gridCol w:w="857"/>
        <w:gridCol w:w="109"/>
        <w:gridCol w:w="109"/>
        <w:gridCol w:w="109"/>
        <w:gridCol w:w="600"/>
        <w:gridCol w:w="600"/>
        <w:gridCol w:w="602"/>
        <w:gridCol w:w="109"/>
        <w:gridCol w:w="109"/>
        <w:gridCol w:w="109"/>
        <w:gridCol w:w="227"/>
        <w:gridCol w:w="227"/>
        <w:gridCol w:w="332"/>
      </w:tblGrid>
      <w:tr>
        <w:trPr/>
        <w:tc>
          <w:tcPr>
            <w:tcW w:w="51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r>
      <w:tr>
        <w:trPr/>
        <w:tc>
          <w:tcPr>
            <w:tcW w:w="13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Effective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Index</w:t>
            </w:r>
          </w:p>
        </w:tc>
      </w:tr>
      <w:tr>
        <w:trPr/>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$532,504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2021 through March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 dates through March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w:t>
            </w:r>
          </w:p>
        </w:tc>
      </w:tr>
    </w:tbl>
    <w:p>
      <w:pPr>
        <w:pStyle w:val="TextBody"/>
        <w:spacing w:lineRule="auto" w:line="288" w:before="220" w:after="283"/>
        <w:rPr>
          <w:rFonts w:ascii="Arial;sans-serif" w:hAnsi="Arial;sans-serif"/>
          <w:b/>
          <w:color w:val="000000"/>
          <w:sz w:val="20"/>
        </w:rPr>
      </w:pPr>
      <w:r>
        <w:rPr>
          <w:rFonts w:ascii="Arial;sans-serif" w:hAnsi="Arial;sans-serif"/>
          <w:b/>
          <w:color w:val="000000"/>
          <w:sz w:val="20"/>
        </w:rPr>
        <w:t>Financial Instrument Presentation</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The table below presents the fair value of our derivative financial instruments as well as their classification on the balance sheet as of March 31, 2023 and June 30, 2022. Our derivative asset and liability balances fluctuate with interest rate and currency exchange rate volatility. </w:t>
      </w:r>
    </w:p>
    <w:tbl>
      <w:tblPr>
        <w:tblW w:w="10463" w:type="dxa"/>
        <w:jc w:val="left"/>
        <w:tblInd w:w="0" w:type="dxa"/>
        <w:tblCellMar>
          <w:top w:w="28" w:type="dxa"/>
          <w:left w:w="28" w:type="dxa"/>
          <w:bottom w:w="28" w:type="dxa"/>
          <w:right w:w="28" w:type="dxa"/>
        </w:tblCellMar>
      </w:tblPr>
      <w:tblGrid>
        <w:gridCol w:w="678"/>
        <w:gridCol w:w="306"/>
        <w:gridCol w:w="307"/>
        <w:gridCol w:w="220"/>
        <w:gridCol w:w="205"/>
        <w:gridCol w:w="206"/>
        <w:gridCol w:w="109"/>
        <w:gridCol w:w="109"/>
        <w:gridCol w:w="109"/>
        <w:gridCol w:w="196"/>
        <w:gridCol w:w="646"/>
        <w:gridCol w:w="109"/>
        <w:gridCol w:w="109"/>
        <w:gridCol w:w="109"/>
        <w:gridCol w:w="109"/>
        <w:gridCol w:w="246"/>
        <w:gridCol w:w="547"/>
        <w:gridCol w:w="138"/>
        <w:gridCol w:w="109"/>
        <w:gridCol w:w="109"/>
        <w:gridCol w:w="109"/>
        <w:gridCol w:w="196"/>
        <w:gridCol w:w="646"/>
        <w:gridCol w:w="109"/>
        <w:gridCol w:w="109"/>
        <w:gridCol w:w="109"/>
        <w:gridCol w:w="109"/>
        <w:gridCol w:w="280"/>
        <w:gridCol w:w="205"/>
        <w:gridCol w:w="206"/>
        <w:gridCol w:w="109"/>
        <w:gridCol w:w="109"/>
        <w:gridCol w:w="109"/>
        <w:gridCol w:w="196"/>
        <w:gridCol w:w="571"/>
        <w:gridCol w:w="109"/>
        <w:gridCol w:w="109"/>
        <w:gridCol w:w="109"/>
        <w:gridCol w:w="109"/>
        <w:gridCol w:w="211"/>
        <w:gridCol w:w="601"/>
        <w:gridCol w:w="119"/>
        <w:gridCol w:w="109"/>
        <w:gridCol w:w="109"/>
        <w:gridCol w:w="109"/>
        <w:gridCol w:w="196"/>
        <w:gridCol w:w="571"/>
        <w:gridCol w:w="154"/>
      </w:tblGrid>
      <w:tr>
        <w:trPr/>
        <w:tc>
          <w:tcPr>
            <w:tcW w:w="67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0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swaps</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320" w:after="283"/>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tbl>
      <w:tblPr>
        <w:tblW w:w="10263" w:type="dxa"/>
        <w:jc w:val="left"/>
        <w:tblInd w:w="0" w:type="dxa"/>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646"/>
        <w:gridCol w:w="109"/>
        <w:gridCol w:w="109"/>
        <w:gridCol w:w="109"/>
        <w:gridCol w:w="109"/>
        <w:gridCol w:w="196"/>
        <w:gridCol w:w="626"/>
        <w:gridCol w:w="109"/>
        <w:gridCol w:w="109"/>
        <w:gridCol w:w="109"/>
        <w:gridCol w:w="109"/>
        <w:gridCol w:w="196"/>
        <w:gridCol w:w="646"/>
        <w:gridCol w:w="109"/>
        <w:gridCol w:w="109"/>
        <w:gridCol w:w="109"/>
        <w:gridCol w:w="109"/>
        <w:gridCol w:w="280"/>
        <w:gridCol w:w="205"/>
        <w:gridCol w:w="206"/>
        <w:gridCol w:w="109"/>
        <w:gridCol w:w="109"/>
        <w:gridCol w:w="109"/>
        <w:gridCol w:w="214"/>
        <w:gridCol w:w="477"/>
        <w:gridCol w:w="120"/>
        <w:gridCol w:w="109"/>
        <w:gridCol w:w="109"/>
        <w:gridCol w:w="109"/>
        <w:gridCol w:w="256"/>
        <w:gridCol w:w="531"/>
        <w:gridCol w:w="144"/>
        <w:gridCol w:w="109"/>
        <w:gridCol w:w="109"/>
        <w:gridCol w:w="109"/>
        <w:gridCol w:w="196"/>
        <w:gridCol w:w="436"/>
        <w:gridCol w:w="154"/>
      </w:tblGrid>
      <w:tr>
        <w:trPr/>
        <w:tc>
          <w:tcPr>
            <w:tcW w:w="72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2"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swaps</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20" w:after="283"/>
        <w:ind w:left="0" w:right="0" w:firstLine="720"/>
        <w:rPr>
          <w:rFonts w:ascii="Arial;sans-serif" w:hAnsi="Arial;sans-serif"/>
          <w:b w:val="false"/>
          <w:color w:val="000000"/>
          <w:sz w:val="20"/>
        </w:rPr>
      </w:pPr>
      <w:r>
        <w:rPr>
          <w:rFonts w:ascii="Arial;sans-serif" w:hAnsi="Arial;sans-serif"/>
          <w:b w:val="false"/>
          <w:color w:val="000000"/>
          <w:sz w:val="20"/>
        </w:rPr>
        <w:t>The following table presents the effect of our derivative financial instruments designated as hedging instruments and their classification within comprehensive (loss) income, net of tax, for the three and nine months ended March 31, 2023 and 2022:</w:t>
      </w:r>
    </w:p>
    <w:tbl>
      <w:tblPr>
        <w:tblW w:w="9547" w:type="dxa"/>
        <w:jc w:val="left"/>
        <w:tblInd w:w="0" w:type="dxa"/>
        <w:tblCellMar>
          <w:top w:w="28" w:type="dxa"/>
          <w:left w:w="28" w:type="dxa"/>
          <w:bottom w:w="28" w:type="dxa"/>
          <w:right w:w="28" w:type="dxa"/>
        </w:tblCellMar>
      </w:tblPr>
      <w:tblGrid>
        <w:gridCol w:w="1522"/>
        <w:gridCol w:w="1337"/>
        <w:gridCol w:w="1340"/>
        <w:gridCol w:w="211"/>
        <w:gridCol w:w="691"/>
        <w:gridCol w:w="109"/>
        <w:gridCol w:w="109"/>
        <w:gridCol w:w="109"/>
        <w:gridCol w:w="109"/>
        <w:gridCol w:w="211"/>
        <w:gridCol w:w="721"/>
        <w:gridCol w:w="109"/>
        <w:gridCol w:w="109"/>
        <w:gridCol w:w="109"/>
        <w:gridCol w:w="109"/>
        <w:gridCol w:w="211"/>
        <w:gridCol w:w="691"/>
        <w:gridCol w:w="109"/>
        <w:gridCol w:w="109"/>
        <w:gridCol w:w="109"/>
        <w:gridCol w:w="109"/>
        <w:gridCol w:w="211"/>
        <w:gridCol w:w="721"/>
        <w:gridCol w:w="109"/>
        <w:gridCol w:w="109"/>
        <w:gridCol w:w="154"/>
      </w:tblGrid>
      <w:tr>
        <w:trPr/>
        <w:tc>
          <w:tcPr>
            <w:tcW w:w="1522"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shd w:fill="auto" w:val="clea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Intercompany loan</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20" w:after="283"/>
        <w:ind w:left="0" w:right="0" w:firstLine="720"/>
        <w:rPr>
          <w:rFonts w:ascii="Arial;sans-serif" w:hAnsi="Arial;sans-serif"/>
          <w:b w:val="false"/>
          <w:color w:val="000000"/>
          <w:sz w:val="20"/>
        </w:rPr>
      </w:pPr>
      <w:r>
        <w:rPr>
          <w:rFonts w:ascii="Arial;sans-serif" w:hAnsi="Arial;sans-serif"/>
          <w:b w:val="false"/>
          <w:color w:val="000000"/>
          <w:sz w:val="20"/>
        </w:rPr>
        <w:t>The following table presents reclassifications out of accumulated other comprehensive loss for the three and nine months ended March 31, 2023 and 2022:</w:t>
      </w:r>
    </w:p>
    <w:tbl>
      <w:tblPr>
        <w:tblW w:w="10205" w:type="dxa"/>
        <w:jc w:val="left"/>
        <w:tblInd w:w="0" w:type="dxa"/>
        <w:tblCellMar>
          <w:top w:w="28" w:type="dxa"/>
          <w:left w:w="28" w:type="dxa"/>
          <w:bottom w:w="28" w:type="dxa"/>
          <w:right w:w="28" w:type="dxa"/>
        </w:tblCellMar>
      </w:tblPr>
      <w:tblGrid>
        <w:gridCol w:w="874"/>
        <w:gridCol w:w="644"/>
        <w:gridCol w:w="645"/>
        <w:gridCol w:w="231"/>
        <w:gridCol w:w="716"/>
        <w:gridCol w:w="119"/>
        <w:gridCol w:w="119"/>
        <w:gridCol w:w="119"/>
        <w:gridCol w:w="119"/>
        <w:gridCol w:w="231"/>
        <w:gridCol w:w="674"/>
        <w:gridCol w:w="119"/>
        <w:gridCol w:w="119"/>
        <w:gridCol w:w="119"/>
        <w:gridCol w:w="119"/>
        <w:gridCol w:w="231"/>
        <w:gridCol w:w="716"/>
        <w:gridCol w:w="119"/>
        <w:gridCol w:w="119"/>
        <w:gridCol w:w="119"/>
        <w:gridCol w:w="119"/>
        <w:gridCol w:w="231"/>
        <w:gridCol w:w="789"/>
        <w:gridCol w:w="119"/>
        <w:gridCol w:w="1103"/>
        <w:gridCol w:w="109"/>
        <w:gridCol w:w="426"/>
        <w:gridCol w:w="426"/>
        <w:gridCol w:w="612"/>
      </w:tblGrid>
      <w:tr>
        <w:trPr/>
        <w:tc>
          <w:tcPr>
            <w:tcW w:w="87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r>
      <w:tr>
        <w:trPr/>
        <w:tc>
          <w:tcPr>
            <w:tcW w:w="2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 of Net Gain (Loss) Reclassified from Accumulated Other Comprehensive Loss into Income</w:t>
            </w:r>
          </w:p>
        </w:tc>
        <w:tc>
          <w:tcPr>
            <w:tcW w:w="1103"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1573" w:type="dxa"/>
            <w:gridSpan w:val="4"/>
            <w:tcBorders/>
            <w:shd w:fill="auto" w:val="clear"/>
          </w:tcPr>
          <w:p>
            <w:pPr>
              <w:pStyle w:val="TableContents"/>
              <w:spacing w:before="0" w:after="283"/>
              <w:rPr>
                <w:sz w:val="4"/>
                <w:szCs w:val="4"/>
              </w:rPr>
            </w:pPr>
            <w:r>
              <w:rPr>
                <w:sz w:val="4"/>
                <w:szCs w:val="4"/>
              </w:rPr>
            </w:r>
          </w:p>
        </w:tc>
      </w:tr>
      <w:tr>
        <w:trPr/>
        <w:tc>
          <w:tcPr>
            <w:tcW w:w="2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103"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4"/>
            <w:tcBorders/>
            <w:shd w:fill="auto" w:val="clear"/>
          </w:tcPr>
          <w:p>
            <w:pPr>
              <w:pStyle w:val="TableContents"/>
              <w:spacing w:before="0" w:after="283"/>
              <w:rPr>
                <w:sz w:val="4"/>
                <w:szCs w:val="4"/>
              </w:rPr>
            </w:pPr>
            <w:r>
              <w:rPr>
                <w:sz w:val="4"/>
                <w:szCs w:val="4"/>
              </w:rPr>
            </w:r>
          </w:p>
        </w:tc>
      </w:tr>
      <w:tr>
        <w:trPr/>
        <w:tc>
          <w:tcPr>
            <w:tcW w:w="2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expense, net</w:t>
            </w:r>
          </w:p>
        </w:tc>
      </w:tr>
      <w:tr>
        <w:trPr/>
        <w:tc>
          <w:tcPr>
            <w:tcW w:w="21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net</w:t>
            </w:r>
          </w:p>
        </w:tc>
      </w:tr>
      <w:tr>
        <w:trPr/>
        <w:tc>
          <w:tcPr>
            <w:tcW w:w="21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before income tax</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(Loss) income before income taxes</w:t>
            </w:r>
          </w:p>
        </w:tc>
      </w:tr>
      <w:tr>
        <w:trPr/>
        <w:tc>
          <w:tcPr>
            <w:tcW w:w="21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w:t>
            </w:r>
          </w:p>
        </w:tc>
      </w:tr>
      <w:tr>
        <w:trPr/>
        <w:tc>
          <w:tcPr>
            <w:tcW w:w="21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before="0" w:after="0"/>
        <w:ind w:left="0" w:right="0" w:hanging="270"/>
        <w:rPr/>
      </w:pPr>
      <w:r>
        <w:rPr/>
      </w:r>
    </w:p>
    <w:p>
      <w:pPr>
        <w:pStyle w:val="TextBody"/>
        <w:spacing w:lineRule="auto" w:line="288" w:before="120" w:after="283"/>
        <w:ind w:left="0" w:right="0" w:firstLine="720"/>
        <w:rPr>
          <w:rFonts w:ascii="Arial;sans-serif" w:hAnsi="Arial;sans-serif"/>
          <w:b w:val="false"/>
          <w:color w:val="000000"/>
          <w:sz w:val="20"/>
        </w:rPr>
      </w:pPr>
      <w:r>
        <w:rPr>
          <w:rFonts w:ascii="Arial;sans-serif" w:hAnsi="Arial;sans-serif"/>
          <w:b w:val="false"/>
          <w:color w:val="000000"/>
          <w:sz w:val="20"/>
        </w:rPr>
        <w:t>The following table presents the adjustment to fair value recorded within the consolidated statements of operations for the three and nine months ended March 31, 2023 and 2022 for derivative instruments for which we did not elect hedge accounting and de-designated derivative financial instruments that did not qualify as hedging instruments.</w:t>
      </w:r>
    </w:p>
    <w:tbl>
      <w:tblPr>
        <w:tblW w:w="9920" w:type="dxa"/>
        <w:jc w:val="left"/>
        <w:tblInd w:w="0" w:type="dxa"/>
        <w:tblCellMar>
          <w:top w:w="28" w:type="dxa"/>
          <w:left w:w="28" w:type="dxa"/>
          <w:bottom w:w="28" w:type="dxa"/>
          <w:right w:w="28" w:type="dxa"/>
        </w:tblCellMar>
      </w:tblPr>
      <w:tblGrid>
        <w:gridCol w:w="597"/>
        <w:gridCol w:w="525"/>
        <w:gridCol w:w="528"/>
        <w:gridCol w:w="211"/>
        <w:gridCol w:w="69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696"/>
        <w:gridCol w:w="109"/>
        <w:gridCol w:w="426"/>
        <w:gridCol w:w="426"/>
        <w:gridCol w:w="603"/>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Amount of Gain (Loss) Recognized in Net Loss</w:t>
            </w:r>
          </w:p>
        </w:tc>
        <w:tc>
          <w:tcPr>
            <w:tcW w:w="1696"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1564" w:type="dxa"/>
            <w:gridSpan w:val="4"/>
            <w:tcBorders/>
            <w:shd w:fill="auto" w:val="clea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696"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4" w:type="dxa"/>
            <w:gridSpan w:val="4"/>
            <w:tcBorders/>
            <w:shd w:fill="auto" w:val="clea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net</w:t>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net</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Arial;sans-serif" w:hAnsi="Arial;sans-serif"/>
          <w:b/>
          <w:color w:val="000000"/>
          <w:sz w:val="20"/>
        </w:rPr>
      </w:pPr>
      <w:r>
        <w:rPr>
          <w:rFonts w:ascii="Arial;sans-serif" w:hAnsi="Arial;sans-serif"/>
          <w:b/>
          <w:color w:val="000000"/>
          <w:sz w:val="20"/>
        </w:rPr>
        <w:t>5. Accumulated Other Comprehensive Loss</w:t>
      </w:r>
    </w:p>
    <w:p>
      <w:pPr>
        <w:pStyle w:val="TextBody"/>
        <w:spacing w:lineRule="auto" w:line="288" w:before="220" w:after="283"/>
        <w:ind w:left="0" w:right="0" w:firstLine="720"/>
        <w:rPr/>
      </w:pPr>
      <w:r>
        <w:rPr>
          <w:rFonts w:ascii="Arial;sans-serif" w:hAnsi="Arial;sans-serif"/>
          <w:b w:val="false"/>
          <w:color w:val="000000"/>
          <w:sz w:val="20"/>
        </w:rPr>
        <w:t>The following table presents a roll forward of amounts recognized in accumulated other comprehensive income (loss) by component, net of tax of</w:t>
      </w:r>
      <w:r>
        <w:rPr>
          <w:color w:val="EE2724"/>
        </w:rPr>
        <w:t xml:space="preserve"> </w:t>
      </w:r>
      <w:r>
        <w:rPr>
          <w:rFonts w:ascii="Arial;sans-serif" w:hAnsi="Arial;sans-serif"/>
          <w:b w:val="false"/>
          <w:color w:val="000000"/>
          <w:sz w:val="20"/>
        </w:rPr>
        <w:t>$5,959 for the nine months ended March 31, 2023</w:t>
      </w:r>
      <w:r>
        <w:rPr>
          <w:rFonts w:ascii="Times New Roman;sans-serif" w:hAnsi="Times New Roman;sans-serif"/>
          <w:b w:val="false"/>
          <w:color w:val="000000"/>
          <w:sz w:val="20"/>
        </w:rPr>
        <w:t xml:space="preserve">: </w:t>
      </w:r>
    </w:p>
    <w:tbl>
      <w:tblPr>
        <w:tblW w:w="10205" w:type="dxa"/>
        <w:jc w:val="left"/>
        <w:tblInd w:w="0" w:type="dxa"/>
        <w:tblCellMar>
          <w:top w:w="28" w:type="dxa"/>
          <w:left w:w="28" w:type="dxa"/>
          <w:bottom w:w="28" w:type="dxa"/>
          <w:right w:w="28" w:type="dxa"/>
        </w:tblCellMar>
      </w:tblPr>
      <w:tblGrid>
        <w:gridCol w:w="1429"/>
        <w:gridCol w:w="949"/>
        <w:gridCol w:w="944"/>
        <w:gridCol w:w="289"/>
        <w:gridCol w:w="988"/>
        <w:gridCol w:w="149"/>
        <w:gridCol w:w="109"/>
        <w:gridCol w:w="109"/>
        <w:gridCol w:w="109"/>
        <w:gridCol w:w="109"/>
        <w:gridCol w:w="109"/>
        <w:gridCol w:w="393"/>
        <w:gridCol w:w="800"/>
        <w:gridCol w:w="203"/>
        <w:gridCol w:w="109"/>
        <w:gridCol w:w="109"/>
        <w:gridCol w:w="109"/>
        <w:gridCol w:w="334"/>
        <w:gridCol w:w="1225"/>
        <w:gridCol w:w="172"/>
        <w:gridCol w:w="109"/>
        <w:gridCol w:w="109"/>
        <w:gridCol w:w="109"/>
        <w:gridCol w:w="211"/>
        <w:gridCol w:w="759"/>
        <w:gridCol w:w="161"/>
      </w:tblGrid>
      <w:tr>
        <w:trPr/>
        <w:tc>
          <w:tcPr>
            <w:tcW w:w="142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3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Gains on cash flow hedges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Losses on pension benefit obligation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Translation adjustments, net of hedges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3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2022</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(47,128)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comprehensive income before reclassifications </w:t>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6,444 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loss</w:t>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(46,057)</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w:t>
      </w:r>
    </w:p>
    <w:p>
      <w:pPr>
        <w:pStyle w:val="TextBody"/>
        <w:spacing w:lineRule="auto" w:line="288" w:before="120" w:after="283"/>
        <w:ind w:left="0" w:right="0" w:hanging="270"/>
        <w:rPr>
          <w:rFonts w:ascii="Arial;sans-serif" w:hAnsi="Arial;sans-serif"/>
          <w:b w:val="false"/>
          <w:color w:val="000000"/>
          <w:sz w:val="16"/>
        </w:rPr>
      </w:pPr>
      <w:r>
        <w:rPr>
          <w:rFonts w:ascii="Arial;sans-serif" w:hAnsi="Arial;sans-serif"/>
          <w:b w:val="false"/>
          <w:color w:val="000000"/>
          <w:sz w:val="16"/>
        </w:rPr>
        <w:t>(1) Gains on cash flow hedges include our interest rate swap and cross-currency swap contracts designated in cash flow hedging relationships.</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(2) As of March 31, 2023 and June 30, 2022, the translation adjustment is inclusive of both the unrealized and realized effects of our net investment hedges. Gains on currency forward and swap contracts, net of tax, of $15,079 have been included in accumulated other comprehensive loss as of March 31, 2023 and June 30, 2022. Intercompany loan hedge gains of $39,463 and $56,743 have been included in accumulated other comprehensive loss as of March 31, 2023 and June 30, 2022, respectively.</w:t>
      </w:r>
    </w:p>
    <w:p>
      <w:pPr>
        <w:pStyle w:val="TextBody"/>
        <w:spacing w:before="0" w:after="0"/>
        <w:ind w:left="0" w:right="0" w:hanging="27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rPr>
          <w:rFonts w:ascii="Arial;sans-serif" w:hAnsi="Arial;sans-serif"/>
          <w:b/>
          <w:color w:val="000000"/>
          <w:sz w:val="20"/>
        </w:rPr>
      </w:pPr>
      <w:r>
        <w:rPr>
          <w:rFonts w:ascii="Arial;sans-serif" w:hAnsi="Arial;sans-serif"/>
          <w:b/>
          <w:color w:val="000000"/>
          <w:sz w:val="20"/>
        </w:rPr>
        <w:t>6. Goodwill</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The carrying amount of goodwill by reportable segment as of March 31, 2023 and June 30, 2022 was as follows: </w:t>
      </w:r>
    </w:p>
    <w:tbl>
      <w:tblPr>
        <w:tblW w:w="10205" w:type="dxa"/>
        <w:jc w:val="left"/>
        <w:tblInd w:w="0" w:type="dxa"/>
        <w:tblCellMar>
          <w:top w:w="28" w:type="dxa"/>
          <w:left w:w="28" w:type="dxa"/>
          <w:bottom w:w="28" w:type="dxa"/>
          <w:right w:w="28" w:type="dxa"/>
        </w:tblCellMar>
      </w:tblPr>
      <w:tblGrid>
        <w:gridCol w:w="1110"/>
        <w:gridCol w:w="893"/>
        <w:gridCol w:w="8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1"/>
        <w:gridCol w:w="986"/>
        <w:gridCol w:w="129"/>
        <w:gridCol w:w="109"/>
        <w:gridCol w:w="109"/>
        <w:gridCol w:w="109"/>
        <w:gridCol w:w="211"/>
        <w:gridCol w:w="826"/>
        <w:gridCol w:w="157"/>
      </w:tblGrid>
      <w:tr>
        <w:trPr/>
        <w:tc>
          <w:tcPr>
            <w:tcW w:w="1110"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All Other Businesses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8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766,600 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currency translation adjustments (2)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200,530 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787,291 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144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w:t>
      </w:r>
    </w:p>
    <w:p>
      <w:pPr>
        <w:pStyle w:val="TextBody"/>
        <w:spacing w:lineRule="auto" w:line="288" w:before="60" w:after="283"/>
        <w:ind w:left="0" w:right="0" w:hanging="270"/>
        <w:rPr>
          <w:rFonts w:ascii="Arial;sans-serif" w:hAnsi="Arial;sans-serif"/>
          <w:b w:val="false"/>
          <w:color w:val="000000"/>
          <w:sz w:val="16"/>
        </w:rPr>
      </w:pPr>
      <w:r>
        <w:rPr>
          <w:rFonts w:ascii="Arial;sans-serif" w:hAnsi="Arial;sans-serif"/>
          <w:b w:val="false"/>
          <w:color w:val="000000"/>
          <w:sz w:val="16"/>
        </w:rPr>
        <w:t>(1) During the third quarter of fiscal year 2023, we completed the purchase accounting for an immaterial acquisition that closed on December 12, 2022 resulting in the recognition of goodwill of $4,724. The consideration for this purchase included the effective settlement of the company's existing liabilities to a Cimpress business as well as cash consideration of $498.</w:t>
      </w:r>
    </w:p>
    <w:p>
      <w:pPr>
        <w:pStyle w:val="TextBody"/>
        <w:spacing w:lineRule="auto" w:line="288" w:before="60" w:after="283"/>
        <w:ind w:left="0" w:right="0" w:hanging="270"/>
        <w:rPr>
          <w:rFonts w:ascii="Arial;sans-serif" w:hAnsi="Arial;sans-serif"/>
          <w:b w:val="false"/>
          <w:color w:val="000000"/>
          <w:sz w:val="16"/>
        </w:rPr>
      </w:pPr>
      <w:r>
        <w:rPr>
          <w:rFonts w:ascii="Arial;sans-serif" w:hAnsi="Arial;sans-serif"/>
          <w:b w:val="false"/>
          <w:color w:val="000000"/>
          <w:sz w:val="16"/>
        </w:rPr>
        <w:t>(2) Related to goodwill held by subsidiaries whose functional currency is not the U.S. dollar.</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7. Other Balance Sheet Components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Accrued expenses included the following: </w:t>
      </w:r>
    </w:p>
    <w:tbl>
      <w:tblPr>
        <w:tblW w:w="6879" w:type="dxa"/>
        <w:jc w:val="left"/>
        <w:tblInd w:w="0" w:type="dxa"/>
        <w:tblCellMar>
          <w:top w:w="28" w:type="dxa"/>
          <w:left w:w="28" w:type="dxa"/>
          <w:bottom w:w="28" w:type="dxa"/>
          <w:right w:w="28" w:type="dxa"/>
        </w:tblCellMar>
      </w:tblPr>
      <w:tblGrid>
        <w:gridCol w:w="1525"/>
        <w:gridCol w:w="1344"/>
        <w:gridCol w:w="1346"/>
        <w:gridCol w:w="211"/>
        <w:gridCol w:w="826"/>
        <w:gridCol w:w="109"/>
        <w:gridCol w:w="109"/>
        <w:gridCol w:w="109"/>
        <w:gridCol w:w="109"/>
        <w:gridCol w:w="211"/>
        <w:gridCol w:w="826"/>
        <w:gridCol w:w="154"/>
      </w:tblGrid>
      <w:tr>
        <w:trPr/>
        <w:tc>
          <w:tcPr>
            <w:tcW w:w="1525"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EE2724"/>
              </w:rPr>
            </w:pPr>
            <w:r>
              <w:rPr>
                <w:color w:val="EE2724"/>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and indirect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 party manufacturing and digital content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payable (2)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compensation incentives (3)</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Shipping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Sales returns</w:t>
            </w:r>
            <w:r>
              <w:rPr>
                <w:color w:val="EE2724"/>
              </w:rPr>
              <w:t xml:space="preserve">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 xml:space="preserve">(1) During the third quarter of fiscal 2023, we executed against a plan to reduce costs and implement organizational changes to support expanded profitability, reduced leverage, and increased speed, focus, and accountability. The impact of these cost reductions occurred within the Vista business and Cimpress central teams. Refer to Note 13 for additional details. </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(2) The increase in interest payable as of March 31, 2023 is due to the interest on our 2026 Notes being payable semi-annually on June 15 and December 15 of each year. Refer to Note 8 for further detail.</w:t>
      </w:r>
    </w:p>
    <w:p>
      <w:pPr>
        <w:pStyle w:val="TextBody"/>
        <w:spacing w:lineRule="auto" w:line="288" w:before="60" w:after="283"/>
        <w:ind w:left="0" w:right="0" w:hanging="270"/>
        <w:rPr>
          <w:rFonts w:ascii="Arial;sans-serif" w:hAnsi="Arial;sans-serif"/>
          <w:b w:val="false"/>
          <w:color w:val="000000"/>
          <w:sz w:val="16"/>
        </w:rPr>
      </w:pPr>
      <w:r>
        <w:rPr>
          <w:rFonts w:ascii="Arial;sans-serif" w:hAnsi="Arial;sans-serif"/>
          <w:b w:val="false"/>
          <w:color w:val="000000"/>
          <w:sz w:val="16"/>
        </w:rPr>
        <w:t>(3) Includes cash-based employee long-term incentives, which are variable based on the performance of individual businesses and vest over four years. As the first potential payout will occur within one year, a portion of the balance is now classified as a current liability within accrued expenses.</w:t>
      </w:r>
    </w:p>
    <w:p>
      <w:pPr>
        <w:pStyle w:val="TextBody"/>
        <w:spacing w:lineRule="auto" w:line="288" w:before="100" w:after="283"/>
        <w:ind w:left="0" w:right="0" w:firstLine="720"/>
        <w:rPr>
          <w:rFonts w:ascii="Arial;sans-serif" w:hAnsi="Arial;sans-serif"/>
          <w:b w:val="false"/>
          <w:color w:val="000000"/>
          <w:sz w:val="20"/>
        </w:rPr>
      </w:pPr>
      <w:r>
        <w:rPr>
          <w:rFonts w:ascii="Arial;sans-serif" w:hAnsi="Arial;sans-serif"/>
          <w:b w:val="false"/>
          <w:color w:val="000000"/>
          <w:sz w:val="20"/>
        </w:rPr>
        <w:t>Other current liabilities included the following:</w:t>
      </w:r>
    </w:p>
    <w:tbl>
      <w:tblPr>
        <w:tblW w:w="6122" w:type="dxa"/>
        <w:jc w:val="left"/>
        <w:tblInd w:w="0" w:type="dxa"/>
        <w:tblCellMar>
          <w:top w:w="28" w:type="dxa"/>
          <w:left w:w="28" w:type="dxa"/>
          <w:bottom w:w="28" w:type="dxa"/>
          <w:right w:w="28" w:type="dxa"/>
        </w:tblCellMar>
      </w:tblPr>
      <w:tblGrid>
        <w:gridCol w:w="1315"/>
        <w:gridCol w:w="1155"/>
        <w:gridCol w:w="1159"/>
        <w:gridCol w:w="219"/>
        <w:gridCol w:w="748"/>
        <w:gridCol w:w="113"/>
        <w:gridCol w:w="109"/>
        <w:gridCol w:w="109"/>
        <w:gridCol w:w="109"/>
        <w:gridCol w:w="211"/>
        <w:gridCol w:w="721"/>
        <w:gridCol w:w="154"/>
      </w:tblGrid>
      <w:tr>
        <w:trPr/>
        <w:tc>
          <w:tcPr>
            <w:tcW w:w="131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derivative liabilities</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(1)</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liabilities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firstLine="720"/>
        <w:rPr>
          <w:rFonts w:ascii="Times New Roman;sans-serif" w:hAnsi="Times New Roman;sans-serif"/>
          <w:b w:val="false"/>
          <w:color w:val="000000"/>
          <w:sz w:val="12"/>
        </w:rPr>
      </w:pPr>
      <w:r>
        <w:rPr>
          <w:rFonts w:ascii="Times New Roman;sans-serif" w:hAnsi="Times New Roman;sans-serif"/>
          <w:b w:val="false"/>
          <w:color w:val="000000"/>
          <w:sz w:val="12"/>
        </w:rPr>
        <w:t>______________________</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(1) The decrease is due in part to the payment of an acquisition-related liability associated with our Depositphotos acquisition of $6,785 that occurred during the third quarter of fiscal 2023.</w:t>
      </w:r>
    </w:p>
    <w:p>
      <w:pPr>
        <w:pStyle w:val="TextBody"/>
        <w:spacing w:before="60" w:after="283"/>
        <w:ind w:left="0" w:right="0" w:hanging="270"/>
        <w:rPr/>
      </w:pPr>
      <w:r>
        <w:rPr/>
      </w:r>
    </w:p>
    <w:p>
      <w:pPr>
        <w:pStyle w:val="TextBody"/>
        <w:spacing w:lineRule="auto" w:line="288" w:before="60" w:after="60"/>
        <w:ind w:left="0" w:right="0" w:hanging="270"/>
        <w:rPr>
          <w:rFonts w:ascii="Arial;sans-serif" w:hAnsi="Arial;sans-serif"/>
          <w:b w:val="false"/>
          <w:color w:val="000000"/>
          <w:sz w:val="20"/>
        </w:rPr>
      </w:pPr>
      <w:r>
        <w:rPr>
          <w:rFonts w:ascii="Arial;sans-serif" w:hAnsi="Arial;sans-serif"/>
          <w:b w:val="false"/>
          <w:color w:val="000000"/>
          <w:sz w:val="20"/>
        </w:rPr>
        <w:t>Other liabilities included the following:</w:t>
      </w:r>
    </w:p>
    <w:tbl>
      <w:tblPr>
        <w:tblW w:w="6737" w:type="dxa"/>
        <w:jc w:val="center"/>
        <w:tblInd w:w="0" w:type="dxa"/>
        <w:tblCellMar>
          <w:top w:w="28" w:type="dxa"/>
          <w:left w:w="28" w:type="dxa"/>
          <w:bottom w:w="28" w:type="dxa"/>
          <w:right w:w="28" w:type="dxa"/>
        </w:tblCellMar>
      </w:tblPr>
      <w:tblGrid>
        <w:gridCol w:w="1538"/>
        <w:gridCol w:w="1351"/>
        <w:gridCol w:w="1355"/>
        <w:gridCol w:w="219"/>
        <w:gridCol w:w="748"/>
        <w:gridCol w:w="113"/>
        <w:gridCol w:w="109"/>
        <w:gridCol w:w="109"/>
        <w:gridCol w:w="109"/>
        <w:gridCol w:w="211"/>
        <w:gridCol w:w="721"/>
        <w:gridCol w:w="154"/>
      </w:tblGrid>
      <w:tr>
        <w:trPr/>
        <w:tc>
          <w:tcPr>
            <w:tcW w:w="1538"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derivative liabilities</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Mandatorily redeemable noncontrolling interest (1)</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compensation incentives</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24,359 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87,927 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12"/>
        </w:rPr>
      </w:pPr>
      <w:r>
        <w:rPr>
          <w:rFonts w:ascii="Times New Roman;sans-serif" w:hAnsi="Times New Roman;sans-serif"/>
          <w:b w:val="false"/>
          <w:color w:val="000000"/>
          <w:sz w:val="12"/>
        </w:rPr>
        <w:t>______________________</w:t>
      </w:r>
    </w:p>
    <w:p>
      <w:pPr>
        <w:pStyle w:val="TextBody"/>
        <w:spacing w:lineRule="auto" w:line="288" w:before="60" w:after="283"/>
        <w:rPr/>
      </w:pPr>
      <w:r>
        <w:rPr>
          <w:rFonts w:ascii="Arial;sans-serif" w:hAnsi="Arial;sans-serif"/>
          <w:b w:val="false"/>
          <w:color w:val="000000"/>
          <w:sz w:val="16"/>
        </w:rPr>
        <w:t>(1) During the second quarter of fiscal year 2023, we reclassified the noncontrolling interest for three businesses in the PrintBrothers reportable segment to other liabilities, due to the exercise of a put option for a portion of the minority equity interests that triggered a mandatory redemption feature for the remaining minority equity interest</w:t>
      </w:r>
      <w:r>
        <w:rPr>
          <w:rFonts w:ascii="Arial;sans-serif" w:hAnsi="Arial;sans-serif"/>
          <w:b w:val="false"/>
          <w:color w:val="000000"/>
          <w:sz w:val="20"/>
        </w:rPr>
        <w:t xml:space="preserve">. </w:t>
      </w:r>
      <w:r>
        <w:rPr>
          <w:rFonts w:ascii="Arial;sans-serif" w:hAnsi="Arial;sans-serif"/>
          <w:b w:val="false"/>
          <w:color w:val="000000"/>
          <w:sz w:val="16"/>
        </w:rPr>
        <w:t>Refer to Note 10 for additional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320" w:after="160"/>
        <w:rPr>
          <w:rFonts w:ascii="Arial;sans-serif" w:hAnsi="Arial;sans-serif"/>
          <w:b/>
          <w:color w:val="000000"/>
          <w:sz w:val="20"/>
        </w:rPr>
      </w:pPr>
      <w:r>
        <w:rPr>
          <w:rFonts w:ascii="Arial;sans-serif" w:hAnsi="Arial;sans-serif"/>
          <w:b/>
          <w:color w:val="000000"/>
          <w:sz w:val="20"/>
        </w:rPr>
        <w:t>8. Debt</w:t>
      </w:r>
    </w:p>
    <w:tbl>
      <w:tblPr>
        <w:tblW w:w="7283" w:type="dxa"/>
        <w:jc w:val="left"/>
        <w:tblInd w:w="0" w:type="dxa"/>
        <w:tblCellMar>
          <w:top w:w="28" w:type="dxa"/>
          <w:left w:w="28" w:type="dxa"/>
          <w:bottom w:w="28" w:type="dxa"/>
          <w:right w:w="28" w:type="dxa"/>
        </w:tblCellMar>
      </w:tblPr>
      <w:tblGrid>
        <w:gridCol w:w="1559"/>
        <w:gridCol w:w="1372"/>
        <w:gridCol w:w="1388"/>
        <w:gridCol w:w="211"/>
        <w:gridCol w:w="976"/>
        <w:gridCol w:w="109"/>
        <w:gridCol w:w="109"/>
        <w:gridCol w:w="109"/>
        <w:gridCol w:w="109"/>
        <w:gridCol w:w="211"/>
        <w:gridCol w:w="976"/>
        <w:gridCol w:w="154"/>
      </w:tblGrid>
      <w:tr>
        <w:trPr/>
        <w:tc>
          <w:tcPr>
            <w:tcW w:w="155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7.0% Senior Notes due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1,097,302 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and debt premiums (discounts)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short-term debt (1)</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1,675,562 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spacing w:lineRule="auto" w:line="288" w:before="60" w:after="283"/>
        <w:ind w:left="0" w:right="0" w:hanging="270"/>
        <w:rPr>
          <w:rFonts w:ascii="Arial;sans-serif" w:hAnsi="Arial;sans-serif"/>
          <w:b w:val="false"/>
          <w:color w:val="000000"/>
          <w:sz w:val="16"/>
        </w:rPr>
      </w:pPr>
      <w:r>
        <w:rPr>
          <w:rFonts w:ascii="Arial;sans-serif" w:hAnsi="Arial;sans-serif"/>
          <w:b w:val="false"/>
          <w:color w:val="000000"/>
          <w:sz w:val="16"/>
        </w:rPr>
        <w:t>(1) Balances as of March 31, 2023 and June 30, 2022 are inclusive of short-term debt issuance costs, debt premiums and discounts of $3,503 and $3,498, respectively.</w:t>
      </w:r>
    </w:p>
    <w:p>
      <w:pPr>
        <w:pStyle w:val="TextBody"/>
        <w:spacing w:lineRule="auto" w:line="288" w:before="240" w:after="283"/>
        <w:ind w:left="0" w:right="0" w:firstLine="720"/>
        <w:rPr>
          <w:rFonts w:ascii="Arial;sans-serif" w:hAnsi="Arial;sans-serif"/>
          <w:b w:val="false"/>
          <w:color w:val="000000"/>
          <w:sz w:val="20"/>
        </w:rPr>
      </w:pPr>
      <w:r>
        <w:rPr>
          <w:rFonts w:ascii="Arial;sans-serif" w:hAnsi="Arial;sans-serif"/>
          <w:b w:val="false"/>
          <w:color w:val="000000"/>
          <w:sz w:val="20"/>
        </w:rPr>
        <w:t>Our various debt arrangements described below contain customary representations, warranties and events of default. As of March 31, 2023, we were in compliance with all covenants in our debt contracts, including those under our amended and restated senior secured credit agreement ("Restated Credit Agreement") and the indenture governing our 2026 Notes (as defined below).</w:t>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Senior Secured Credit Facility</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On May 17, 2021, we entered into a Restated Credit Agreement consisting of the following:</w:t>
      </w:r>
    </w:p>
    <w:p>
      <w:pPr>
        <w:pStyle w:val="TextBody"/>
        <w:spacing w:lineRule="auto" w:line="268" w:before="60" w:after="60"/>
        <w:ind w:left="0" w:right="0" w:hanging="360"/>
        <w:rPr/>
      </w:pPr>
      <w:r>
        <w:rPr>
          <w:color w:val="000000"/>
        </w:rPr>
        <w:t>•</w:t>
      </w:r>
      <w:r>
        <w:rPr>
          <w:rFonts w:ascii="Arial;sans-serif" w:hAnsi="Arial;sans-serif"/>
          <w:b w:val="false"/>
          <w:color w:val="000000"/>
          <w:sz w:val="20"/>
        </w:rPr>
        <w:t xml:space="preserve">A senior secured Term Loan B with a maturity date of May 17, 2028 (the “Term Loan B”), consisting of: </w:t>
      </w:r>
    </w:p>
    <w:p>
      <w:pPr>
        <w:pStyle w:val="TextBody"/>
        <w:spacing w:lineRule="auto" w:line="268" w:before="60" w:after="60"/>
        <w:ind w:left="0" w:right="0" w:hanging="360"/>
        <w:rPr/>
      </w:pPr>
      <w:r>
        <w:rPr>
          <w:color w:val="000000"/>
        </w:rPr>
        <w:t>◦</w:t>
      </w:r>
      <w:r>
        <w:rPr>
          <w:rFonts w:ascii="Arial;sans-serif" w:hAnsi="Arial;sans-serif"/>
          <w:b w:val="false"/>
          <w:color w:val="000000"/>
          <w:sz w:val="20"/>
        </w:rPr>
        <w:t xml:space="preserve">a $795,000 tranche that bears interest at LIBOR (with a LIBOR floor of 0.50%) plus 3.50%, and </w:t>
      </w:r>
    </w:p>
    <w:p>
      <w:pPr>
        <w:pStyle w:val="TextBody"/>
        <w:spacing w:lineRule="auto" w:line="268" w:before="60" w:after="60"/>
        <w:ind w:left="0" w:right="0" w:hanging="360"/>
        <w:rPr/>
      </w:pPr>
      <w:r>
        <w:rPr>
          <w:color w:val="000000"/>
        </w:rPr>
        <w:t>◦</w:t>
      </w:r>
      <w:r>
        <w:rPr>
          <w:rFonts w:ascii="Arial;sans-serif" w:hAnsi="Arial;sans-serif"/>
          <w:b w:val="false"/>
          <w:color w:val="000000"/>
          <w:sz w:val="20"/>
        </w:rPr>
        <w:t xml:space="preserve">a €300,000 tranche that bears interest at EURIBOR (with a EURIBOR floor of 0%) plus 3.50%; and </w:t>
      </w:r>
    </w:p>
    <w:p>
      <w:pPr>
        <w:pStyle w:val="TextBody"/>
        <w:spacing w:lineRule="auto" w:line="268" w:before="60" w:after="240"/>
        <w:ind w:left="0" w:right="0" w:hanging="360"/>
        <w:rPr/>
      </w:pPr>
      <w:r>
        <w:rPr>
          <w:color w:val="000000"/>
        </w:rPr>
        <w:t>•</w:t>
      </w:r>
      <w:r>
        <w:rPr>
          <w:rFonts w:ascii="Arial;sans-serif" w:hAnsi="Arial;sans-serif"/>
          <w:b w:val="false"/>
          <w:color w:val="000000"/>
          <w:sz w:val="20"/>
        </w:rPr>
        <w:t>A $250,000 senior secured revolving credit facility with a maturity date of May 17, 2026 (the “Revolving Credit Facility”). Borrowings under the Revolving Credit Facility bear interest at LIBOR (with a LIBOR floor of 0%) plus 2.50% to 3.00% depending on the Company’s First Lien Leverage Ratio, a net leverage calculation, as defined in the Restated Credit Agreement.</w:t>
      </w:r>
    </w:p>
    <w:p>
      <w:pPr>
        <w:pStyle w:val="TextBody"/>
        <w:spacing w:lineRule="auto" w:line="268" w:before="60" w:after="240"/>
        <w:ind w:left="0" w:right="0" w:firstLine="720"/>
        <w:rPr>
          <w:rFonts w:ascii="Arial;sans-serif" w:hAnsi="Arial;sans-serif"/>
          <w:b w:val="false"/>
          <w:color w:val="000000"/>
          <w:sz w:val="20"/>
        </w:rPr>
      </w:pPr>
      <w:r>
        <w:rPr>
          <w:rFonts w:ascii="Arial;sans-serif" w:hAnsi="Arial;sans-serif"/>
          <w:b w:val="false"/>
          <w:color w:val="000000"/>
          <w:sz w:val="20"/>
        </w:rPr>
        <w:t>LIBOR is expected to sunset on June 30, 2023, and under the terms of our Restated Credit Agreement our benchmark rate will automatically transition to Term SOFR.</w:t>
      </w:r>
    </w:p>
    <w:p>
      <w:pPr>
        <w:pStyle w:val="TextBody"/>
        <w:spacing w:lineRule="auto" w:line="276" w:before="0" w:after="0"/>
        <w:ind w:left="0" w:right="0" w:firstLine="720"/>
        <w:rPr>
          <w:rFonts w:ascii="Arial;sans-serif" w:hAnsi="Arial;sans-serif"/>
          <w:b w:val="false"/>
          <w:color w:val="000000"/>
          <w:sz w:val="20"/>
        </w:rPr>
      </w:pPr>
      <w:r>
        <w:rPr>
          <w:rFonts w:ascii="Arial;sans-serif" w:hAnsi="Arial;sans-serif"/>
          <w:b w:val="false"/>
          <w:color w:val="000000"/>
          <w:sz w:val="20"/>
        </w:rPr>
        <w:t xml:space="preserve">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 </w:t>
      </w:r>
    </w:p>
    <w:p>
      <w:pPr>
        <w:pStyle w:val="TextBody"/>
        <w:spacing w:lineRule="auto" w:line="288" w:before="240" w:after="283"/>
        <w:ind w:left="0" w:right="0" w:firstLine="720"/>
        <w:rPr>
          <w:rFonts w:ascii="Arial;sans-serif" w:hAnsi="Arial;sans-serif"/>
          <w:b w:val="false"/>
          <w:color w:val="000000"/>
          <w:sz w:val="20"/>
        </w:rPr>
      </w:pPr>
      <w:r>
        <w:rPr>
          <w:rFonts w:ascii="Arial;sans-serif" w:hAnsi="Arial;sans-serif"/>
          <w:b w:val="false"/>
          <w:color w:val="000000"/>
          <w:sz w:val="20"/>
        </w:rPr>
        <w:t>As of March 31, 2023, we have borrowings under the Restated Credit Agreement of $1,102,509 consisting of the Term Loan B, which amortizes over the loan period, with a final maturity date of May 17, 2028. We have no outstanding borrowings under our Revolving Credit Facility as of March 31, 2023.</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As of March 31, 2023, the weighted-average interest rate on outstanding borrowings under the Restated Credit Agreement was 6.94%, inclusive of interest rate swap rates. We are also required to pay a commitment fee for our Revolving Credit Facility on unused balances of 0.35% to 0.45% depending on our First Lien Leverage Ratio. We have pledged the assets and/or share capital of a number of our subsidiaries as collateral for our debt as of March 31, 2023.</w:t>
      </w:r>
    </w:p>
    <w:p>
      <w:pPr>
        <w:pStyle w:val="TextBody"/>
        <w:spacing w:lineRule="auto" w:line="288" w:before="180" w:after="100"/>
        <w:rPr>
          <w:rFonts w:ascii="Arial;sans-serif" w:hAnsi="Arial;sans-serif"/>
          <w:b w:val="false"/>
          <w:i/>
          <w:color w:val="000000"/>
          <w:sz w:val="20"/>
        </w:rPr>
      </w:pPr>
      <w:r>
        <w:rPr>
          <w:rFonts w:ascii="Arial;sans-serif" w:hAnsi="Arial;sans-serif"/>
          <w:b w:val="false"/>
          <w:i/>
          <w:color w:val="000000"/>
          <w:sz w:val="20"/>
        </w:rPr>
        <w:t>Senior Unsecured Notes</w:t>
      </w:r>
    </w:p>
    <w:p>
      <w:pPr>
        <w:pStyle w:val="TextBody"/>
        <w:spacing w:lineRule="auto" w:line="288" w:before="240" w:after="283"/>
        <w:ind w:left="0" w:right="0" w:firstLine="720"/>
        <w:rPr>
          <w:rFonts w:ascii="Arial;sans-serif" w:hAnsi="Arial;sans-serif"/>
          <w:b w:val="false"/>
          <w:color w:val="000000"/>
          <w:sz w:val="20"/>
        </w:rPr>
      </w:pPr>
      <w:r>
        <w:rPr>
          <w:rFonts w:ascii="Arial;sans-serif" w:hAnsi="Arial;sans-serif"/>
          <w:b w:val="false"/>
          <w:color w:val="000000"/>
          <w:sz w:val="20"/>
        </w:rPr>
        <w:t>We have issued $600,000 in aggregate principal of 7.0% Senior Notes due 2026 (the "2026 Notes"), which are unsecured. We can redeem some or all of the 2026 Notes at the redemption prices specified in the indenture that governs the 2026 Notes, plus accrued and unpaid interest to, but not including, the redemption date. As of March 31, 2023, we have not redeemed any of the 2026 Notes.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Other Debt</w:t>
      </w:r>
    </w:p>
    <w:p>
      <w:pPr>
        <w:pStyle w:val="TextBody"/>
        <w:spacing w:lineRule="auto" w:line="288" w:before="220" w:after="180"/>
        <w:ind w:left="0" w:right="0" w:firstLine="720"/>
        <w:rPr/>
      </w:pPr>
      <w:r>
        <w:rPr>
          <w:rFonts w:ascii="Arial;sans-serif" w:hAnsi="Arial;sans-serif"/>
          <w:b w:val="false"/>
          <w:color w:val="000000"/>
          <w:sz w:val="20"/>
        </w:rPr>
        <w:t>Other debt consists primarily of term loans acquired through our various acquisitions or used to fund certain capital investments. As of March 31, 2023 and June 30, 2022, we had $7,678</w:t>
      </w:r>
      <w:r>
        <w:rPr>
          <w:color w:val="EE2724"/>
        </w:rPr>
        <w:t xml:space="preserve"> </w:t>
      </w:r>
      <w:r>
        <w:rPr>
          <w:rFonts w:ascii="Arial;sans-serif" w:hAnsi="Arial;sans-serif"/>
          <w:b w:val="false"/>
          <w:color w:val="000000"/>
          <w:sz w:val="20"/>
        </w:rPr>
        <w:t>and $8,063, respectively, outstanding for those obligations that are payable through March 2027.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00"/>
        <w:rPr>
          <w:rFonts w:ascii="Arial;sans-serif" w:hAnsi="Arial;sans-serif"/>
          <w:b/>
          <w:color w:val="000000"/>
          <w:sz w:val="20"/>
        </w:rPr>
      </w:pPr>
      <w:r>
        <w:rPr>
          <w:rFonts w:ascii="Arial;sans-serif" w:hAnsi="Arial;sans-serif"/>
          <w:b/>
          <w:color w:val="000000"/>
          <w:sz w:val="20"/>
        </w:rPr>
        <w:t>9. Income Taxes</w:t>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Our income tax expense was $8,475 and $143,969 for the three and nine months ended March 31, 2023, respectively, as compared to $29,529 and $56,208 for the three and nine months ended March 31, 2022, respectively. Tax expense decreased for the three months ended March 31, 2023 versus the prior comparable period due to the partial valuation allowance on Swiss deferred tax assets of $29,600 recorded during the three months ended March 31, 2022. Tax expense increased for the nine months ended March 31, 2023 versus the prior comparable period due to the full valuation allowance on Swiss deferred tax assets of $116,694 recorded during the second quarter of fiscal 2023 primarily related to Swiss tax reform benefits recognized in fiscal year 2020 and tax loss carryforwards. Management concluded that based on the current period results, that objective and verifiable negative evidence of recent losses in Switzerland outweighed more subjective positive evidence of anticipated future income. Excluding the effect of discrete tax adjustments, our estimated annual effective tax rate is lower for fiscal year 2023 as compared to fiscal year 2022 primarily due to a forecasted pre-tax loss. Our effective tax rate continues to be negatively impacted by losses in certain jurisdictions where we are unable to recognize a tax benefit in the current period.</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As of March 31, 2023 we had unrecognized tax benefits of $16,759, including accrued interest and penalties of $1,803. We recognize interest and, if applicable, penalties related to unrecognized tax benefits in the provision for income taxes. If recognized, $7,777 of unrecognized tax benefits would reduce our tax expense. It is reasonably possible that a reduction in unrecognized tax benefits may occur within the next twelve months in the range of $370 to $420 related to the lapse of applicable statutes of limitations. We believe we have appropriately provided for all tax uncertainties.</w:t>
      </w:r>
    </w:p>
    <w:p>
      <w:pPr>
        <w:pStyle w:val="TextBody"/>
        <w:spacing w:lineRule="auto" w:line="288" w:before="0" w:after="0"/>
        <w:rPr>
          <w:color w:val="EE2724"/>
        </w:rPr>
      </w:pPr>
      <w:r>
        <w:rPr>
          <w:color w:val="EE2724"/>
        </w:rPr>
        <w:t>    </w:t>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We conduct business in a number of tax jurisdictions and, as such, are required to file income tax returns in multiple jurisdictions globally. The years 2014 through 2022 remain open for examination by the U.S. Internal Revenue Service and the years 2015 through 2022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Arial;sans-serif" w:hAnsi="Arial;sans-serif"/>
          <w:b/>
          <w:color w:val="000000"/>
          <w:sz w:val="20"/>
        </w:rPr>
      </w:pPr>
      <w:r>
        <w:rPr>
          <w:rFonts w:ascii="Arial;sans-serif" w:hAnsi="Arial;sans-serif"/>
          <w:b/>
          <w:color w:val="000000"/>
          <w:sz w:val="20"/>
        </w:rPr>
        <w:t>10. Noncontrolling Interests</w:t>
      </w:r>
    </w:p>
    <w:p>
      <w:pPr>
        <w:pStyle w:val="TextBody"/>
        <w:spacing w:lineRule="auto" w:line="288" w:before="0" w:after="200"/>
        <w:rPr>
          <w:rFonts w:ascii="Arial;sans-serif" w:hAnsi="Arial;sans-serif"/>
          <w:b/>
          <w:i/>
          <w:color w:val="000000"/>
          <w:sz w:val="20"/>
        </w:rPr>
      </w:pPr>
      <w:r>
        <w:rPr>
          <w:rFonts w:ascii="Arial;sans-serif" w:hAnsi="Arial;sans-serif"/>
          <w:b/>
          <w:i/>
          <w:color w:val="000000"/>
          <w:sz w:val="20"/>
        </w:rPr>
        <w:t>Redeemable Noncontrolling Interests</w:t>
      </w:r>
    </w:p>
    <w:p>
      <w:pPr>
        <w:pStyle w:val="TextBody"/>
        <w:spacing w:lineRule="auto" w:line="288" w:before="0" w:after="200"/>
        <w:ind w:left="0" w:right="0" w:firstLine="720"/>
        <w:rPr>
          <w:rFonts w:ascii="Arial;sans-serif" w:hAnsi="Arial;sans-serif"/>
          <w:b w:val="false"/>
          <w:color w:val="000000"/>
          <w:sz w:val="20"/>
        </w:rPr>
      </w:pPr>
      <w:r>
        <w:rPr>
          <w:rFonts w:ascii="Arial;sans-serif" w:hAnsi="Arial;sans-serif"/>
          <w:b w:val="false"/>
          <w:color w:val="000000"/>
          <w:sz w:val="20"/>
        </w:rPr>
        <w:t>For some of our subsidiaries, we own a controlling equity stake, and a third party or key members of the business management team own a minority portion of the equity. The put options for several of our noncontrolling interests were exercised during the second quarter of fiscal year 2023 as summarized below. In addition to the noncontrolling interests described below, we also have several less significant minority interests that span multiple businesses and reportable segments.</w:t>
      </w:r>
    </w:p>
    <w:p>
      <w:pPr>
        <w:pStyle w:val="TextBody"/>
        <w:spacing w:lineRule="auto" w:line="288" w:before="0" w:after="200"/>
        <w:rPr>
          <w:rFonts w:ascii="Arial;sans-serif" w:hAnsi="Arial;sans-serif"/>
          <w:b w:val="false"/>
          <w:i/>
          <w:color w:val="000000"/>
          <w:sz w:val="20"/>
        </w:rPr>
      </w:pPr>
      <w:r>
        <w:rPr>
          <w:rFonts w:ascii="Arial;sans-serif" w:hAnsi="Arial;sans-serif"/>
          <w:b w:val="false"/>
          <w:i/>
          <w:color w:val="000000"/>
          <w:sz w:val="20"/>
        </w:rPr>
        <w:t>PrintBrothers</w:t>
      </w:r>
    </w:p>
    <w:p>
      <w:pPr>
        <w:pStyle w:val="TextBody"/>
        <w:spacing w:lineRule="auto" w:line="288" w:before="0" w:after="200"/>
        <w:ind w:left="0" w:right="0" w:firstLine="720"/>
        <w:rPr>
          <w:rFonts w:ascii="Arial;sans-serif" w:hAnsi="Arial;sans-serif"/>
          <w:b w:val="false"/>
          <w:color w:val="000000"/>
          <w:sz w:val="20"/>
        </w:rPr>
      </w:pPr>
      <w:r>
        <w:rPr>
          <w:rFonts w:ascii="Arial;sans-serif" w:hAnsi="Arial;sans-serif"/>
          <w:b w:val="false"/>
          <w:color w:val="000000"/>
          <w:sz w:val="20"/>
        </w:rPr>
        <w:t xml:space="preserve">Members of the PrintBrothers management team hold minority equity interests in several businesses within the reportable segment. During the second quarter of fiscal year 2023, put options were exercised by the minority interest holders for a portion of their equity interests that required us to purchase 10% to 11% in three of the respective businesses for a total of $90,841. The exercise of the put options triggered a mandatory redemption feature for the remaining minority equity interests, which requires the purchase of the remaining 1% equity interests on the third anniversary of the put option exercise, absent the earlier exercise of a call option on the first and second anniversaries by Cimpress. The remaining noncontrolling interests are mandatorily redeemable, which required the reclassification of the remaining equity interests to a liability, which has been presented in other liabilities within our consolidated balance sheet.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The following table presents the reconciliation of changes in our noncontrolling interests:</w:t>
      </w:r>
    </w:p>
    <w:tbl>
      <w:tblPr>
        <w:tblW w:w="9794" w:type="dxa"/>
        <w:jc w:val="left"/>
        <w:tblInd w:w="0" w:type="dxa"/>
        <w:tblCellMar>
          <w:top w:w="28" w:type="dxa"/>
          <w:left w:w="28" w:type="dxa"/>
          <w:bottom w:w="28" w:type="dxa"/>
          <w:right w:w="28" w:type="dxa"/>
        </w:tblCellMar>
      </w:tblPr>
      <w:tblGrid>
        <w:gridCol w:w="2089"/>
        <w:gridCol w:w="1836"/>
        <w:gridCol w:w="1850"/>
        <w:gridCol w:w="442"/>
        <w:gridCol w:w="1730"/>
        <w:gridCol w:w="228"/>
        <w:gridCol w:w="410"/>
        <w:gridCol w:w="908"/>
        <w:gridCol w:w="301"/>
      </w:tblGrid>
      <w:tr>
        <w:trPr/>
        <w:tc>
          <w:tcPr>
            <w:tcW w:w="2089" w:type="dxa"/>
            <w:tcBorders/>
            <w:shd w:fill="auto" w:val="clear"/>
            <w:vAlign w:val="center"/>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2022</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131,483 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noncontrolling interest (1)</w:t>
            </w:r>
          </w:p>
        </w:tc>
        <w:tc>
          <w:tcPr>
            <w:tcW w:w="2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2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to noncontrolling interests (2)</w:t>
            </w:r>
          </w:p>
        </w:tc>
        <w:tc>
          <w:tcPr>
            <w:tcW w:w="2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 (3)</w:t>
            </w:r>
          </w:p>
        </w:tc>
        <w:tc>
          <w:tcPr>
            <w:tcW w:w="2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(95,567)</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to redemption value (4)</w:t>
            </w:r>
          </w:p>
        </w:tc>
        <w:tc>
          <w:tcPr>
            <w:tcW w:w="2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(7,455)</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to mandatorily redeemable noncontrolling interest (5)</w:t>
            </w:r>
          </w:p>
        </w:tc>
        <w:tc>
          <w:tcPr>
            <w:tcW w:w="2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2400"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2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(4,766)</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440"/>
        <w:rPr>
          <w:rFonts w:ascii="Arial;sans-serif" w:hAnsi="Arial;sans-serif"/>
          <w:b w:val="false"/>
          <w:color w:val="000000"/>
          <w:sz w:val="16"/>
        </w:rPr>
      </w:pPr>
      <w:r>
        <w:rPr>
          <w:rFonts w:ascii="Arial;sans-serif" w:hAnsi="Arial;sans-serif"/>
          <w:b w:val="false"/>
          <w:color w:val="000000"/>
          <w:sz w:val="16"/>
        </w:rPr>
        <w:t>_________________</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(1) During the second quarter of fiscal year 2023, we acquired a majority equity interest in an immaterial business within our PrintBrothers reportable segment.</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(2) Distributions to noncontrolling interests include contractually required profit sharing payments made annually to the minority interest holders in one of the PrintBrothers businesses.</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(3) As discussed above, we purchased an additional 10% to 11% of the equity interests in three PrintBrothers businesses during the second quarter of fiscal year 2023, as well as the 1% minority interest in our BuildASign business.</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 xml:space="preserve">(4) Accretion of redeemable noncontrolling interests to redemption value recognized in retained earnings is the result of changes in the estimated redemption amount to the extent increases do not exceed the estimated fair value. </w:t>
      </w:r>
    </w:p>
    <w:p>
      <w:pPr>
        <w:pStyle w:val="TextBody"/>
        <w:spacing w:lineRule="auto" w:line="288" w:before="0" w:after="0"/>
        <w:ind w:left="0" w:right="0" w:hanging="270"/>
        <w:rPr>
          <w:rFonts w:ascii="Arial;sans-serif" w:hAnsi="Arial;sans-serif"/>
          <w:b w:val="false"/>
          <w:color w:val="000000"/>
          <w:sz w:val="16"/>
        </w:rPr>
      </w:pPr>
      <w:r>
        <w:rPr>
          <w:rFonts w:ascii="Arial;sans-serif" w:hAnsi="Arial;sans-serif"/>
          <w:b w:val="false"/>
          <w:color w:val="000000"/>
          <w:sz w:val="16"/>
        </w:rPr>
        <w:t>(5) During the second quarter of fiscal year 2023, the minority equity interest holders of three PrintBrothers businesses exercised a put option that triggered a mandatory redemption feature for the remaining minority equity interests. The remaining minority equity interests were reclassified to mandatorily redeemable noncontrolling interests, as part of other liabilities within the consolidated balance sheets. Refer above for additional information regarding the transaction and Note 7 for additional details about the reclassified liability balance.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11. Segment Information</w:t>
      </w:r>
    </w:p>
    <w:p>
      <w:pPr>
        <w:pStyle w:val="TextBody"/>
        <w:spacing w:lineRule="auto" w:line="288" w:before="220" w:after="220"/>
        <w:ind w:left="0" w:right="0" w:firstLine="720"/>
        <w:rPr>
          <w:rFonts w:ascii="Arial;sans-serif" w:hAnsi="Arial;sans-serif"/>
          <w:b w:val="false"/>
          <w:color w:val="000000"/>
          <w:sz w:val="20"/>
        </w:rPr>
      </w:pPr>
      <w:r>
        <w:rPr>
          <w:rFonts w:ascii="Arial;sans-serif" w:hAnsi="Arial;sans-serif"/>
          <w:b w:val="false"/>
          <w:color w:val="000000"/>
          <w:sz w:val="20"/>
        </w:rPr>
        <w:t xml:space="preserve">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w:t>
      </w:r>
    </w:p>
    <w:p>
      <w:pPr>
        <w:pStyle w:val="TextBody"/>
        <w:spacing w:lineRule="auto" w:line="288" w:before="220" w:after="220"/>
        <w:ind w:left="0" w:right="0" w:firstLine="720"/>
        <w:rPr>
          <w:rFonts w:ascii="Arial;sans-serif" w:hAnsi="Arial;sans-serif"/>
          <w:b w:val="false"/>
          <w:color w:val="000000"/>
          <w:sz w:val="20"/>
        </w:rPr>
      </w:pPr>
      <w:r>
        <w:rPr>
          <w:rFonts w:ascii="Arial;sans-serif" w:hAnsi="Arial;sans-serif"/>
          <w:b w:val="false"/>
          <w:color w:val="000000"/>
          <w:sz w:val="20"/>
        </w:rPr>
        <w:t xml:space="preserve">As of March 31, 2023, we have numerous operating segments under our management reporting structure which are reported in the following five reportable segments: </w:t>
      </w:r>
    </w:p>
    <w:p>
      <w:pPr>
        <w:pStyle w:val="TextBody"/>
        <w:spacing w:lineRule="auto" w:line="288" w:before="220" w:after="283"/>
        <w:ind w:left="0" w:right="0" w:hanging="360"/>
        <w:rPr/>
      </w:pPr>
      <w:r>
        <w:rPr>
          <w:color w:val="000000"/>
        </w:rPr>
        <w:t>•</w:t>
      </w:r>
      <w:r>
        <w:rPr>
          <w:rFonts w:ascii="Arial;sans-serif" w:hAnsi="Arial;sans-serif"/>
          <w:b w:val="false"/>
          <w:i/>
          <w:color w:val="000000"/>
          <w:sz w:val="20"/>
        </w:rPr>
        <w:t xml:space="preserve">Vista - </w:t>
      </w:r>
      <w:r>
        <w:rPr>
          <w:rFonts w:ascii="Arial;sans-serif" w:hAnsi="Arial;sans-serif"/>
          <w:b w:val="false"/>
          <w:color w:val="000000"/>
          <w:sz w:val="20"/>
        </w:rPr>
        <w:t>Vista is the parent brand of multiple offerings including VistaPrint, VistaCreate, 99designs by Vista, Vista Corporate Solutions, and Depositphotos, which together represent a full-service design, digital and print solution.</w:t>
      </w:r>
    </w:p>
    <w:p>
      <w:pPr>
        <w:pStyle w:val="TextBody"/>
        <w:spacing w:lineRule="auto" w:line="288" w:before="220" w:after="283"/>
        <w:ind w:left="0" w:right="0" w:hanging="360"/>
        <w:rPr/>
      </w:pPr>
      <w:r>
        <w:rPr>
          <w:color w:val="000000"/>
        </w:rPr>
        <w:t>•</w:t>
      </w:r>
      <w:r>
        <w:rPr>
          <w:rFonts w:ascii="Arial;sans-serif" w:hAnsi="Arial;sans-serif"/>
          <w:b w:val="false"/>
          <w:i/>
          <w:color w:val="000000"/>
          <w:sz w:val="20"/>
        </w:rPr>
        <w:t>PrintBrothers</w:t>
      </w:r>
      <w:r>
        <w:rPr>
          <w:color w:val="000000"/>
        </w:rPr>
        <w:t xml:space="preserve"> </w:t>
      </w:r>
      <w:r>
        <w:rPr>
          <w:rFonts w:ascii="Arial;sans-serif" w:hAnsi="Arial;sans-serif"/>
          <w:b w:val="false"/>
          <w:color w:val="000000"/>
          <w:sz w:val="20"/>
        </w:rPr>
        <w:t xml:space="preserve">- Includes the results of our druck.at, Printdeal, and WIRmachenDRUCK businesses. </w:t>
      </w:r>
    </w:p>
    <w:p>
      <w:pPr>
        <w:pStyle w:val="TextBody"/>
        <w:spacing w:lineRule="auto" w:line="288" w:before="220" w:after="283"/>
        <w:ind w:left="0" w:right="0" w:hanging="360"/>
        <w:rPr/>
      </w:pPr>
      <w:r>
        <w:rPr>
          <w:color w:val="000000"/>
        </w:rPr>
        <w:t>•</w:t>
      </w:r>
      <w:r>
        <w:rPr>
          <w:rFonts w:ascii="Arial;sans-serif" w:hAnsi="Arial;sans-serif"/>
          <w:b w:val="false"/>
          <w:i/>
          <w:color w:val="000000"/>
          <w:sz w:val="20"/>
        </w:rPr>
        <w:t xml:space="preserve">The Print Group </w:t>
      </w:r>
      <w:r>
        <w:rPr>
          <w:rFonts w:ascii="Arial;sans-serif" w:hAnsi="Arial;sans-serif"/>
          <w:b w:val="false"/>
          <w:color w:val="000000"/>
          <w:sz w:val="20"/>
        </w:rPr>
        <w:t>- Includes the results of our Easyflyer, Exaprint, Pixartprinting, and Tradeprint businesses.</w:t>
      </w:r>
    </w:p>
    <w:p>
      <w:pPr>
        <w:pStyle w:val="TextBody"/>
        <w:spacing w:lineRule="auto" w:line="288" w:before="220" w:after="283"/>
        <w:ind w:left="0" w:right="0" w:hanging="360"/>
        <w:rPr/>
      </w:pPr>
      <w:r>
        <w:rPr>
          <w:color w:val="000000"/>
        </w:rPr>
        <w:t>•</w:t>
      </w:r>
      <w:r>
        <w:rPr>
          <w:rFonts w:ascii="Arial;sans-serif" w:hAnsi="Arial;sans-serif"/>
          <w:b w:val="false"/>
          <w:i/>
          <w:color w:val="000000"/>
          <w:sz w:val="20"/>
        </w:rPr>
        <w:t>National Pen</w:t>
      </w:r>
      <w:r>
        <w:rPr>
          <w:color w:val="000000"/>
        </w:rPr>
        <w:t xml:space="preserve"> </w:t>
      </w:r>
      <w:r>
        <w:rPr>
          <w:rFonts w:ascii="Arial;sans-serif" w:hAnsi="Arial;sans-serif"/>
          <w:b w:val="false"/>
          <w:color w:val="000000"/>
          <w:sz w:val="20"/>
        </w:rPr>
        <w:t>- Includes the global operations of our National Pen business, which manufactures and markets custom writing instruments and promotional products, apparel and gifts.</w:t>
      </w:r>
    </w:p>
    <w:p>
      <w:pPr>
        <w:pStyle w:val="TextBody"/>
        <w:spacing w:lineRule="auto" w:line="288" w:before="220" w:after="60"/>
        <w:ind w:left="0" w:right="0" w:hanging="360"/>
        <w:rPr/>
      </w:pPr>
      <w:r>
        <w:rPr>
          <w:color w:val="000000"/>
        </w:rPr>
        <w:t>•</w:t>
      </w:r>
      <w:r>
        <w:rPr>
          <w:rFonts w:ascii="Arial;sans-serif" w:hAnsi="Arial;sans-serif"/>
          <w:b w:val="false"/>
          <w:i/>
          <w:color w:val="000000"/>
          <w:sz w:val="20"/>
        </w:rPr>
        <w:t xml:space="preserve">All Other Businesses </w:t>
      </w:r>
      <w:r>
        <w:rPr>
          <w:rFonts w:ascii="Arial;sans-serif" w:hAnsi="Arial;sans-serif"/>
          <w:b w:val="false"/>
          <w:color w:val="000000"/>
          <w:sz w:val="20"/>
        </w:rPr>
        <w:t xml:space="preserve">- Includes two businesses grouped together based on materiality, as well as our YSD business through its divestiture that was completed during the third quarter of fiscal 2023. </w:t>
      </w:r>
    </w:p>
    <w:p>
      <w:pPr>
        <w:pStyle w:val="TextBody"/>
        <w:spacing w:lineRule="auto" w:line="288" w:before="60" w:after="283"/>
        <w:ind w:left="0" w:right="0" w:hanging="360"/>
        <w:rPr/>
      </w:pPr>
      <w:r>
        <w:rPr>
          <w:color w:val="000000"/>
        </w:rPr>
        <w:t>◦</w:t>
      </w:r>
      <w:r>
        <w:rPr>
          <w:rFonts w:ascii="Arial;sans-serif" w:hAnsi="Arial;sans-serif"/>
          <w:b w:val="false"/>
          <w:color w:val="000000"/>
          <w:sz w:val="20"/>
        </w:rPr>
        <w:t>BuildASign, a larger and profitable business, is an internet-based provider of canvas-print wall décor, business signage and other large-format printed products.</w:t>
      </w:r>
    </w:p>
    <w:p>
      <w:pPr>
        <w:pStyle w:val="TextBody"/>
        <w:spacing w:lineRule="auto" w:line="288" w:before="60" w:after="283"/>
        <w:ind w:left="0" w:right="0" w:hanging="360"/>
        <w:rPr/>
      </w:pPr>
      <w:r>
        <w:rPr>
          <w:color w:val="000000"/>
        </w:rPr>
        <w:t>◦</w:t>
      </w:r>
      <w:r>
        <w:rPr>
          <w:rFonts w:ascii="Arial;sans-serif" w:hAnsi="Arial;sans-serif"/>
          <w:b w:val="false"/>
          <w:color w:val="000000"/>
          <w:sz w:val="20"/>
        </w:rPr>
        <w:t xml:space="preserve">Printi, a smaller business that we continue to manage at a relatively modest operating loss, is an online printing leader in Brazil, which offers a superior customer experience with transparent and attractive pricing, reliable service and quality.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color w:val="000000"/>
          <w:sz w:val="20"/>
        </w:rPr>
      </w:pPr>
      <w:r>
        <w:rPr>
          <w:rFonts w:ascii="Arial;sans-serif" w:hAnsi="Arial;sans-serif"/>
          <w:b w:val="false"/>
          <w:color w:val="000000"/>
          <w:sz w:val="20"/>
        </w:rPr>
        <w:t>consolidation, internal audit and legal. These costs also include certain unallocated share-based compensation costs.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The expense value of our PSU awards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pStyle w:val="TextBody"/>
        <w:spacing w:lineRule="auto" w:line="288" w:before="200" w:after="283"/>
        <w:ind w:left="0" w:right="0" w:firstLine="720"/>
        <w:rPr>
          <w:rFonts w:ascii="Arial;sans-serif" w:hAnsi="Arial;sans-serif"/>
          <w:b w:val="false"/>
          <w:color w:val="000000"/>
          <w:sz w:val="20"/>
        </w:rPr>
      </w:pPr>
      <w:r>
        <w:rPr>
          <w:rFonts w:ascii="Arial;sans-serif" w:hAnsi="Arial;sans-serif"/>
          <w:b w:val="false"/>
          <w:color w:val="000000"/>
          <w:sz w:val="20"/>
        </w:rPr>
        <w:t>During the fourth quarter of fiscal 2022, we revised our internal reporting to reallocate certain third-party technology costs that were previously held within our Central and corporate costs to our Vista business and reportable segment. These include certain third-party costs that are variable in nature and the cost variability is primarily driven by decisions or volumes in the Vista business. We revised our presentation of the prior period results to reflect our updated segment reporting, which decreased both Vista segment EBITDA and Central and corporate costs by $1,852 and $4,894 for the three and nine months ended March 31, 2022.</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tbl>
      <w:tblPr>
        <w:tblW w:w="8678" w:type="dxa"/>
        <w:jc w:val="center"/>
        <w:tblInd w:w="0" w:type="dxa"/>
        <w:tblCellMar>
          <w:top w:w="28" w:type="dxa"/>
          <w:left w:w="28" w:type="dxa"/>
          <w:bottom w:w="28" w:type="dxa"/>
          <w:right w:w="28" w:type="dxa"/>
        </w:tblCellMar>
      </w:tblPr>
      <w:tblGrid>
        <w:gridCol w:w="921"/>
        <w:gridCol w:w="809"/>
        <w:gridCol w:w="82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4"/>
      </w:tblGrid>
      <w:tr>
        <w:trPr/>
        <w:tc>
          <w:tcPr>
            <w:tcW w:w="921"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EE2724"/>
              </w:rPr>
            </w:pPr>
            <w:r>
              <w:rPr>
                <w:color w:val="EE2724"/>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shd w:fill="auto" w:val="clea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 (1)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spacing w:lineRule="auto" w:line="256" w:before="0" w:after="60"/>
        <w:ind w:left="0" w:right="0" w:hanging="270"/>
        <w:rPr>
          <w:rFonts w:ascii="Arial;sans-serif" w:hAnsi="Arial;sans-serif"/>
          <w:b w:val="false"/>
          <w:color w:val="000000"/>
          <w:sz w:val="16"/>
        </w:rPr>
      </w:pPr>
      <w:r>
        <w:rPr>
          <w:rFonts w:ascii="Arial;sans-serif" w:hAnsi="Arial;sans-serif"/>
          <w:b w:val="false"/>
          <w:color w:val="000000"/>
          <w:sz w:val="16"/>
        </w:rPr>
        <w:t>(1) Refer to the "Revenue by Geographic Region" tables below for detail of the inter-segment revenue within each respective segment.</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756"/>
        <w:gridCol w:w="583"/>
        <w:gridCol w:w="587"/>
        <w:gridCol w:w="211"/>
        <w:gridCol w:w="826"/>
        <w:gridCol w:w="109"/>
        <w:gridCol w:w="109"/>
        <w:gridCol w:w="109"/>
        <w:gridCol w:w="109"/>
        <w:gridCol w:w="211"/>
        <w:gridCol w:w="826"/>
        <w:gridCol w:w="109"/>
        <w:gridCol w:w="109"/>
        <w:gridCol w:w="109"/>
        <w:gridCol w:w="109"/>
        <w:gridCol w:w="218"/>
        <w:gridCol w:w="746"/>
        <w:gridCol w:w="112"/>
        <w:gridCol w:w="109"/>
        <w:gridCol w:w="109"/>
        <w:gridCol w:w="109"/>
        <w:gridCol w:w="211"/>
        <w:gridCol w:w="721"/>
        <w:gridCol w:w="109"/>
        <w:gridCol w:w="109"/>
        <w:gridCol w:w="109"/>
        <w:gridCol w:w="109"/>
        <w:gridCol w:w="211"/>
        <w:gridCol w:w="721"/>
        <w:gridCol w:w="109"/>
        <w:gridCol w:w="109"/>
        <w:gridCol w:w="109"/>
        <w:gridCol w:w="109"/>
        <w:gridCol w:w="211"/>
        <w:gridCol w:w="826"/>
        <w:gridCol w:w="157"/>
      </w:tblGrid>
      <w:tr>
        <w:trPr/>
        <w:tc>
          <w:tcPr>
            <w:tcW w:w="756"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2023</w:t>
            </w:r>
          </w:p>
        </w:tc>
      </w:tr>
      <w:tr>
        <w:trPr/>
        <w:tc>
          <w:tcPr>
            <w:tcW w:w="1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369,445 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334,246 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751,865 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83,096 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742,164 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586"/>
        <w:gridCol w:w="380"/>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58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Nine Months Ended March 31, 2023</w:t>
            </w:r>
          </w:p>
        </w:tc>
      </w:tr>
      <w:tr>
        <w:trPr/>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1,134,963 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1,032,382 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2,320,538 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2,290,781 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756"/>
        <w:gridCol w:w="583"/>
        <w:gridCol w:w="587"/>
        <w:gridCol w:w="211"/>
        <w:gridCol w:w="826"/>
        <w:gridCol w:w="109"/>
        <w:gridCol w:w="109"/>
        <w:gridCol w:w="109"/>
        <w:gridCol w:w="109"/>
        <w:gridCol w:w="211"/>
        <w:gridCol w:w="826"/>
        <w:gridCol w:w="109"/>
        <w:gridCol w:w="109"/>
        <w:gridCol w:w="109"/>
        <w:gridCol w:w="109"/>
        <w:gridCol w:w="218"/>
        <w:gridCol w:w="746"/>
        <w:gridCol w:w="112"/>
        <w:gridCol w:w="109"/>
        <w:gridCol w:w="109"/>
        <w:gridCol w:w="109"/>
        <w:gridCol w:w="211"/>
        <w:gridCol w:w="721"/>
        <w:gridCol w:w="109"/>
        <w:gridCol w:w="109"/>
        <w:gridCol w:w="109"/>
        <w:gridCol w:w="109"/>
        <w:gridCol w:w="211"/>
        <w:gridCol w:w="721"/>
        <w:gridCol w:w="109"/>
        <w:gridCol w:w="109"/>
        <w:gridCol w:w="109"/>
        <w:gridCol w:w="109"/>
        <w:gridCol w:w="211"/>
        <w:gridCol w:w="826"/>
        <w:gridCol w:w="157"/>
      </w:tblGrid>
      <w:tr>
        <w:trPr/>
        <w:tc>
          <w:tcPr>
            <w:tcW w:w="756"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 2022</w:t>
            </w:r>
          </w:p>
        </w:tc>
      </w:tr>
      <w:tr>
        <w:trPr/>
        <w:tc>
          <w:tcPr>
            <w:tcW w:w="1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322,281 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73,885 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293,250 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75,361 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665,266 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73,885 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657,412 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586"/>
        <w:gridCol w:w="380"/>
        <w:gridCol w:w="382"/>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58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Nine Months Ended March 31, 2022</w:t>
            </w:r>
          </w:p>
        </w:tc>
      </w:tr>
      <w:tr>
        <w:trPr/>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1,047,702 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978,110 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2,188,432 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2,164,727 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60" w:after="283"/>
        <w:ind w:left="0" w:right="0" w:firstLine="720"/>
        <w:rPr>
          <w:rFonts w:ascii="Arial;sans-serif" w:hAnsi="Arial;sans-serif"/>
          <w:b w:val="false"/>
          <w:color w:val="000000"/>
          <w:sz w:val="20"/>
        </w:rPr>
      </w:pPr>
      <w:r>
        <w:rPr>
          <w:rFonts w:ascii="Arial;sans-serif" w:hAnsi="Arial;sans-serif"/>
          <w:b w:val="false"/>
          <w:color w:val="000000"/>
          <w:sz w:val="20"/>
        </w:rPr>
        <w:t>The following table includes segment EBITDA by reportable segment, total (loss) income from operations and total (loss) income before income taxes:</w:t>
      </w:r>
    </w:p>
    <w:tbl>
      <w:tblPr>
        <w:tblW w:w="9442" w:type="dxa"/>
        <w:jc w:val="center"/>
        <w:tblInd w:w="0" w:type="dxa"/>
        <w:tblCellMar>
          <w:top w:w="28" w:type="dxa"/>
          <w:left w:w="28" w:type="dxa"/>
          <w:bottom w:w="28" w:type="dxa"/>
          <w:right w:w="28" w:type="dxa"/>
        </w:tblCellMar>
      </w:tblPr>
      <w:tblGrid>
        <w:gridCol w:w="1332"/>
        <w:gridCol w:w="1167"/>
        <w:gridCol w:w="1175"/>
        <w:gridCol w:w="211"/>
        <w:gridCol w:w="796"/>
        <w:gridCol w:w="109"/>
        <w:gridCol w:w="109"/>
        <w:gridCol w:w="109"/>
        <w:gridCol w:w="109"/>
        <w:gridCol w:w="211"/>
        <w:gridCol w:w="796"/>
        <w:gridCol w:w="109"/>
        <w:gridCol w:w="109"/>
        <w:gridCol w:w="109"/>
        <w:gridCol w:w="109"/>
        <w:gridCol w:w="211"/>
        <w:gridCol w:w="826"/>
        <w:gridCol w:w="109"/>
        <w:gridCol w:w="109"/>
        <w:gridCol w:w="109"/>
        <w:gridCol w:w="109"/>
        <w:gridCol w:w="211"/>
        <w:gridCol w:w="826"/>
        <w:gridCol w:w="109"/>
        <w:gridCol w:w="109"/>
        <w:gridCol w:w="154"/>
      </w:tblGrid>
      <w:tr>
        <w:trPr/>
        <w:tc>
          <w:tcPr>
            <w:tcW w:w="1332"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EE2724"/>
              </w:rPr>
            </w:pPr>
            <w:r>
              <w:rPr>
                <w:color w:val="EE2724"/>
              </w:rPr>
              <w:t> </w:t>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shd w:fill="auto" w:val="clea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EE2724"/>
              </w:rPr>
            </w:pPr>
            <w:r>
              <w:rPr>
                <w:color w:val="EE2724"/>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Certain impairments and other adjustments </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(loss) income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ind w:left="0" w:right="0" w:hanging="1440"/>
        <w:rPr/>
      </w:pPr>
      <w:r>
        <w:rPr/>
      </w:r>
    </w:p>
    <w:tbl>
      <w:tblPr>
        <w:tblW w:w="8618" w:type="dxa"/>
        <w:jc w:val="left"/>
        <w:tblInd w:w="0" w:type="dxa"/>
        <w:tblCellMar>
          <w:top w:w="28" w:type="dxa"/>
          <w:left w:w="28" w:type="dxa"/>
          <w:bottom w:w="28" w:type="dxa"/>
          <w:right w:w="28" w:type="dxa"/>
        </w:tblCellMar>
      </w:tblPr>
      <w:tblGrid>
        <w:gridCol w:w="1086"/>
        <w:gridCol w:w="956"/>
        <w:gridCol w:w="95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4"/>
      </w:tblGrid>
      <w:tr>
        <w:trPr/>
        <w:tc>
          <w:tcPr>
            <w:tcW w:w="108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EE2724"/>
              </w:rPr>
            </w:pPr>
            <w:r>
              <w:rPr>
                <w:color w:val="EE2724"/>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shd w:fill="auto" w:val="clea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EE2724"/>
              </w:rPr>
            </w:pPr>
            <w:r>
              <w:rPr>
                <w:color w:val="EE2724"/>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9517" w:type="dxa"/>
        <w:jc w:val="center"/>
        <w:tblInd w:w="0" w:type="dxa"/>
        <w:tblCellMar>
          <w:top w:w="28" w:type="dxa"/>
          <w:left w:w="28" w:type="dxa"/>
          <w:bottom w:w="28" w:type="dxa"/>
          <w:right w:w="28" w:type="dxa"/>
        </w:tblCellMar>
      </w:tblPr>
      <w:tblGrid>
        <w:gridCol w:w="1488"/>
        <w:gridCol w:w="1306"/>
        <w:gridCol w:w="13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488"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shd w:fill="auto" w:val="clea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purchases of property, plant and equipment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735"/>
        <w:gridCol w:w="1528"/>
        <w:gridCol w:w="15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6"/>
      </w:tblGrid>
      <w:tr>
        <w:trPr/>
        <w:tc>
          <w:tcPr>
            <w:tcW w:w="1735"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shd w:fill="auto" w:val="clear"/>
          </w:tcPr>
          <w:p>
            <w:pPr>
              <w:pStyle w:val="TableContents"/>
              <w:spacing w:before="0" w:after="283"/>
              <w:rPr>
                <w:sz w:val="4"/>
                <w:szCs w:val="4"/>
              </w:rPr>
            </w:pPr>
            <w:r>
              <w:rPr>
                <w:sz w:val="4"/>
                <w:szCs w:val="4"/>
              </w:rPr>
            </w:r>
          </w:p>
        </w:tc>
      </w:tr>
      <w:tr>
        <w:trPr/>
        <w:tc>
          <w:tcPr>
            <w:tcW w:w="4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capitalization of software and website development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rPr>
          <w:rFonts w:ascii="Arial;sans-serif" w:hAnsi="Arial;sans-serif"/>
          <w:b w:val="false"/>
          <w:color w:val="000000"/>
          <w:sz w:val="20"/>
        </w:rPr>
      </w:pPr>
      <w:r>
        <w:rPr>
          <w:rFonts w:ascii="Arial;sans-serif" w:hAnsi="Arial;sans-serif"/>
          <w:b w:val="false"/>
          <w:color w:val="000000"/>
          <w:sz w:val="20"/>
        </w:rPr>
        <w:t>The following table sets forth long-lived assets by geographic area:</w:t>
      </w:r>
    </w:p>
    <w:tbl>
      <w:tblPr>
        <w:tblW w:w="4539" w:type="dxa"/>
        <w:jc w:val="left"/>
        <w:tblInd w:w="0" w:type="dxa"/>
        <w:tblCellMar>
          <w:top w:w="28" w:type="dxa"/>
          <w:left w:w="28" w:type="dxa"/>
          <w:bottom w:w="28" w:type="dxa"/>
          <w:right w:w="28" w:type="dxa"/>
        </w:tblCellMar>
      </w:tblPr>
      <w:tblGrid>
        <w:gridCol w:w="679"/>
        <w:gridCol w:w="596"/>
        <w:gridCol w:w="600"/>
        <w:gridCol w:w="211"/>
        <w:gridCol w:w="826"/>
        <w:gridCol w:w="109"/>
        <w:gridCol w:w="109"/>
        <w:gridCol w:w="109"/>
        <w:gridCol w:w="109"/>
        <w:gridCol w:w="211"/>
        <w:gridCol w:w="826"/>
        <w:gridCol w:w="154"/>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EE2724"/>
              </w:rPr>
            </w:pPr>
            <w:r>
              <w:rPr>
                <w:color w:val="EE2724"/>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June 30, 2022</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Long-lived assets (1):</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EE2724"/>
              </w:rPr>
            </w:pPr>
            <w:r>
              <w:rPr>
                <w:color w:val="EE2724"/>
              </w:rPr>
              <w:t> </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Jamaica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 (3)</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___________________</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 xml:space="preserve">(1) Excludes goodwill of $787,291 and $766,600, intangible assets, net of $119,931 and $154,730, deferred tax assets of $10,093 and $113,088, and marketable securities, non-current of $6,466 and zero as of March 31, 2023 and June 30, 2022, respectively. </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 xml:space="preserve">(2) The decrease of the United States long-lived assets is primarily driven by the termination of our Waltham, MA lease in August 2022 that resulted in a reduction to the operating lease asset and related leasehold improvements. </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 xml:space="preserve">(3) The decrease in Japan's long-lived assets is due to the planned sale of the land and building, which resulted in the reclassification of the carrying value to prepaid expenses and other current assets because it meets held-for-sale criteria during the current quarter. Refer to Note 13 for additional details.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40" w:after="283"/>
        <w:rPr>
          <w:rFonts w:ascii="Arial;sans-serif" w:hAnsi="Arial;sans-serif"/>
          <w:b/>
          <w:color w:val="000000"/>
          <w:sz w:val="20"/>
        </w:rPr>
      </w:pPr>
      <w:r>
        <w:rPr>
          <w:rFonts w:ascii="Arial;sans-serif" w:hAnsi="Arial;sans-serif"/>
          <w:b/>
          <w:color w:val="000000"/>
          <w:sz w:val="20"/>
        </w:rPr>
        <w:t>12. Commitments and Contingencies</w:t>
      </w:r>
    </w:p>
    <w:p>
      <w:pPr>
        <w:pStyle w:val="TextBody"/>
        <w:spacing w:lineRule="auto" w:line="288" w:before="120" w:after="283"/>
        <w:rPr>
          <w:rFonts w:ascii="Arial;sans-serif" w:hAnsi="Arial;sans-serif"/>
          <w:b w:val="false"/>
          <w:i/>
          <w:color w:val="000000"/>
          <w:sz w:val="20"/>
        </w:rPr>
      </w:pPr>
      <w:r>
        <w:rPr>
          <w:rFonts w:ascii="Arial;sans-serif" w:hAnsi="Arial;sans-serif"/>
          <w:b w:val="false"/>
          <w:i/>
          <w:color w:val="000000"/>
          <w:sz w:val="20"/>
        </w:rPr>
        <w:t>Purchase Obligations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At March 31, 2023, we had unrecorded commitments under contract of $205,973, including third-party cloud services of $79,437; inventory, third-party fulfillment and digital service purchase commitments of $79,159; software of $16,870; advertising of $10,116; production and computer equipment purchases of $2,494; professional and consulting fees of $3,462, and other unrecorded purchase commitments of $14,435.</w:t>
      </w:r>
    </w:p>
    <w:p>
      <w:pPr>
        <w:pStyle w:val="TextBody"/>
        <w:spacing w:lineRule="auto" w:line="288" w:before="260" w:after="283"/>
        <w:rPr>
          <w:rFonts w:ascii="Arial;sans-serif" w:hAnsi="Arial;sans-serif"/>
          <w:b w:val="false"/>
          <w:i/>
          <w:color w:val="000000"/>
          <w:sz w:val="20"/>
        </w:rPr>
      </w:pPr>
      <w:r>
        <w:rPr>
          <w:rFonts w:ascii="Arial;sans-serif" w:hAnsi="Arial;sans-serif"/>
          <w:b w:val="false"/>
          <w:i/>
          <w:color w:val="000000"/>
          <w:sz w:val="20"/>
        </w:rPr>
        <w:t>Other Obligations</w:t>
      </w:r>
    </w:p>
    <w:p>
      <w:pPr>
        <w:pStyle w:val="TextBody"/>
        <w:spacing w:lineRule="auto" w:line="288" w:before="260" w:after="283"/>
        <w:ind w:left="0" w:right="0" w:firstLine="720"/>
        <w:rPr>
          <w:rFonts w:ascii="Arial;sans-serif" w:hAnsi="Arial;sans-serif"/>
          <w:b w:val="false"/>
          <w:color w:val="000000"/>
          <w:sz w:val="20"/>
        </w:rPr>
      </w:pPr>
      <w:r>
        <w:rPr>
          <w:rFonts w:ascii="Arial;sans-serif" w:hAnsi="Arial;sans-serif"/>
          <w:b w:val="false"/>
          <w:color w:val="000000"/>
          <w:sz w:val="20"/>
        </w:rPr>
        <w:t>In February 2023, we made a $6,785 deferred payment for our Depositphotos acquisition, resulting in no outstanding acquisition-related deferred liabilities as of March 31, 2023.</w:t>
      </w:r>
    </w:p>
    <w:p>
      <w:pPr>
        <w:pStyle w:val="TextBody"/>
        <w:spacing w:lineRule="auto" w:line="288" w:before="260" w:after="283"/>
        <w:rPr>
          <w:rFonts w:ascii="Arial;sans-serif" w:hAnsi="Arial;sans-serif"/>
          <w:b w:val="false"/>
          <w:i/>
          <w:color w:val="000000"/>
          <w:sz w:val="20"/>
        </w:rPr>
      </w:pPr>
      <w:r>
        <w:rPr>
          <w:rFonts w:ascii="Arial;sans-serif" w:hAnsi="Arial;sans-serif"/>
          <w:b w:val="false"/>
          <w:i/>
          <w:color w:val="000000"/>
          <w:sz w:val="20"/>
        </w:rPr>
        <w:t>Legal Proceedings</w:t>
      </w:r>
    </w:p>
    <w:p>
      <w:pPr>
        <w:pStyle w:val="TextBody"/>
        <w:spacing w:lineRule="auto" w:line="288" w:before="220" w:after="120"/>
        <w:ind w:left="0" w:right="0" w:firstLine="720"/>
        <w:rPr>
          <w:rFonts w:ascii="Arial;sans-serif" w:hAnsi="Arial;sans-serif"/>
          <w:b w:val="false"/>
          <w:color w:val="000000"/>
          <w:sz w:val="20"/>
        </w:rPr>
      </w:pPr>
      <w:r>
        <w:rPr>
          <w:rFonts w:ascii="Arial;sans-serif" w:hAnsi="Arial;sans-serif"/>
          <w:b w:val="false"/>
          <w:color w:val="000000"/>
          <w:sz w:val="20"/>
        </w:rPr>
        <w:t xml:space="preserve">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220" w:after="120"/>
        <w:rPr>
          <w:rFonts w:ascii="Arial;sans-serif" w:hAnsi="Arial;sans-serif"/>
          <w:b w:val="false"/>
          <w:color w:val="000000"/>
          <w:sz w:val="20"/>
        </w:rPr>
      </w:pPr>
      <w:r>
        <w:rPr>
          <w:rFonts w:ascii="Arial;sans-serif" w:hAnsi="Arial;sans-serif"/>
          <w:b w:val="false"/>
          <w:color w:val="000000"/>
          <w:sz w:val="20"/>
        </w:rPr>
        <w:t>or a potential range of loss is probable and reasonably estimable under the provisions of the authoritative guidance that addresses accounting for contingencies. We expense the costs relating to our legal proceedings as those costs are incurred.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13. Restructuring Charges</w:t>
      </w:r>
    </w:p>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 xml:space="preserve">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 xml:space="preserve">During the three and nine months ended March 31, 2023, we recognized restructuring charges of $30,115 and $43,142, respectively. The majority of these costs related to actions taken in our Vista business and central teams during March 2023 that were intended to reduce costs and support expanded profitability, reduced leverage, and increased speed, focus and accountability. For the three and nine months ended March 31, 2023, the previously described action combined with prior actions taken to prioritize our investments and exit the Japanese market resulted in restructuring charges in our Vista business of $20,406 and $29,128, and in our central and corporate costs of $9,075 and $9,330, respectively.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Most of these costs related to employee termination benefits, and, to a lesser extent, share-based compensation expense for the accelerated vesting of equity awards as well as third-party consulting costs. A portion of the restructuring charge included the impairment of assets from our exit of the Japanese market of $6,257. We expect additional restructuring charges in the fourth quarter of fiscal 2023 for termination benefits that included ongoing service requirements, but we do not expect those charges to be material.</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We also recognized restructuring charges in our National Pen business for the three and nine months ended March 31, 2023 in the amounts of $639 and $1,127, respectively, which included employee termination benefits for previously announced actions to exit the Japanese market and to migrate our European production operations from Ireland to the Czech Republic. Additionally, we recognized restructuring costs of $3,556 for the nine months ended March 31, 2023 in our All Other Businesses reportable segment for our previously announced exit from the Chinese market, which included employee termination benefits and the write-off of certain assets. We do not expect any additional charges for these restructuring actions.</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The following table summarizes the restructuring activity during the nine months ended March 31, 2023.</w:t>
      </w:r>
    </w:p>
    <w:tbl>
      <w:tblPr>
        <w:tblW w:w="9231" w:type="dxa"/>
        <w:jc w:val="left"/>
        <w:tblInd w:w="0" w:type="dxa"/>
        <w:tblCellMar>
          <w:top w:w="28" w:type="dxa"/>
          <w:left w:w="28" w:type="dxa"/>
          <w:bottom w:w="28" w:type="dxa"/>
          <w:right w:w="28" w:type="dxa"/>
        </w:tblCellMar>
      </w:tblPr>
      <w:tblGrid>
        <w:gridCol w:w="922"/>
        <w:gridCol w:w="811"/>
        <w:gridCol w:w="817"/>
        <w:gridCol w:w="434"/>
        <w:gridCol w:w="1486"/>
        <w:gridCol w:w="224"/>
        <w:gridCol w:w="109"/>
        <w:gridCol w:w="109"/>
        <w:gridCol w:w="109"/>
        <w:gridCol w:w="517"/>
        <w:gridCol w:w="997"/>
        <w:gridCol w:w="270"/>
        <w:gridCol w:w="109"/>
        <w:gridCol w:w="109"/>
        <w:gridCol w:w="109"/>
        <w:gridCol w:w="408"/>
        <w:gridCol w:w="1394"/>
        <w:gridCol w:w="297"/>
      </w:tblGrid>
      <w:tr>
        <w:trPr/>
        <w:tc>
          <w:tcPr>
            <w:tcW w:w="92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Severance and Related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Other Restructuring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Accrued restructuring liability</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2022</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32,187 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10,955 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1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(14,859)</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(14,859)</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charges (1)</w:t>
            </w:r>
          </w:p>
        </w:tc>
        <w:tc>
          <w:tcPr>
            <w:tcW w:w="1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(10,955)</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(13,096)</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28,728 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28,728 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40" w:after="100"/>
        <w:rPr>
          <w:rFonts w:ascii="Arial;sans-serif" w:hAnsi="Arial;sans-serif"/>
          <w:b w:val="false"/>
          <w:color w:val="000000"/>
          <w:sz w:val="16"/>
        </w:rPr>
      </w:pPr>
      <w:r>
        <w:rPr>
          <w:rFonts w:ascii="Arial;sans-serif" w:hAnsi="Arial;sans-serif"/>
          <w:b w:val="false"/>
          <w:color w:val="000000"/>
          <w:sz w:val="16"/>
        </w:rPr>
        <w:t>________________</w:t>
      </w:r>
    </w:p>
    <w:p>
      <w:pPr>
        <w:pStyle w:val="TextBody"/>
        <w:spacing w:lineRule="auto" w:line="288" w:before="60" w:after="283"/>
        <w:ind w:left="0" w:right="0" w:hanging="270"/>
        <w:rPr>
          <w:rFonts w:ascii="Arial;sans-serif" w:hAnsi="Arial;sans-serif"/>
          <w:b w:val="false"/>
          <w:color w:val="000000"/>
          <w:sz w:val="16"/>
        </w:rPr>
      </w:pPr>
      <w:r>
        <w:rPr>
          <w:rFonts w:ascii="Arial;sans-serif" w:hAnsi="Arial;sans-serif"/>
          <w:b w:val="false"/>
          <w:color w:val="000000"/>
          <w:sz w:val="16"/>
        </w:rPr>
        <w:t>(1) During the nine months ended March 31, 2023, non-cash restructuring charges primarily includes the loss recorded on assets for our Japan and China exits as described above, and share-based compensation expense upon modification to accelerate the vesting of share-based compensation awards for the actions described above.</w:t>
      </w:r>
    </w:p>
    <w:p>
      <w:pPr>
        <w:pStyle w:val="TextBody"/>
        <w:spacing w:before="60" w:after="283"/>
        <w:ind w:left="0" w:right="0" w:hanging="27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20" w:after="283"/>
        <w:rPr/>
      </w:pPr>
      <w:r>
        <w:rPr>
          <w:rFonts w:ascii="Arial;sans-serif" w:hAnsi="Arial;sans-serif"/>
          <w:b/>
          <w:color w:val="000000"/>
          <w:sz w:val="20"/>
        </w:rPr>
        <w:t xml:space="preserve">Item 2. </w:t>
      </w:r>
      <w:r>
        <w:rPr>
          <w:rFonts w:ascii="Arial;sans-serif" w:hAnsi="Arial;sans-serif"/>
          <w:b/>
          <w:i/>
          <w:color w:val="000000"/>
          <w:sz w:val="20"/>
        </w:rPr>
        <w:t>Management’s Discussion and Analysis of Financial Condition and Results of Operations</w:t>
      </w:r>
    </w:p>
    <w:p>
      <w:pPr>
        <w:pStyle w:val="TextBody"/>
        <w:spacing w:lineRule="auto" w:line="288" w:before="180" w:after="283"/>
        <w:ind w:left="0" w:right="0" w:firstLine="720"/>
        <w:rPr>
          <w:rFonts w:ascii="Arial;sans-serif" w:hAnsi="Arial;sans-serif"/>
          <w:b w:val="false"/>
          <w:i/>
          <w:color w:val="000000"/>
          <w:sz w:val="20"/>
        </w:rPr>
      </w:pPr>
      <w:r>
        <w:rPr>
          <w:rFonts w:ascii="Arial;sans-serif" w:hAnsi="Arial;sans-serif"/>
          <w:b w:val="false"/>
          <w:i/>
          <w:color w:val="000000"/>
          <w:sz w:val="20"/>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including profitability, cash flows, liquidity, and capital allocation; the expected effects of our cost reductions and recent restructuring, including future cost savings and restructuring charges; the expected impacts of our mass customization platform; the expected effects of mid- and upper-funnel advertising in Vista; sufficiency of our liquidity position; legal proceedings; and sufficiency of our tax reserves and expectation pf a reduction in unrecognized tax benefits.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inflation, and the lingering effects of the COVID-19 pandemic; the failure of our cost reductions to affect our financial results as expected; our inability to make the investments that we plan to make or the failure of those investments to achieve the results we expect; our failure to execute on the transformation of the Vista business; loss of key personnel or our inability to recruit talented personnel to drive performance of our businesses; costs and disruptions caused by acquisitions and minority investments; the failure of businesses we acquire or invest in to perform as expected; our failure to develop and deploy our mass customization platform or the failure of the platform to drive the efficiencies and competitive advantages we expect; unanticipated changes in our markets, customers, or businesses;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including the possibility of an economic downturn in some or all of our markets; and other factors described in this Report and the documents that we periodically file with the SEC.</w:t>
      </w:r>
    </w:p>
    <w:p>
      <w:pPr>
        <w:pStyle w:val="TextBody"/>
        <w:spacing w:lineRule="auto" w:line="288" w:before="180" w:after="283"/>
        <w:rPr>
          <w:rFonts w:ascii="Arial;sans-serif" w:hAnsi="Arial;sans-serif"/>
          <w:b/>
          <w:i/>
          <w:color w:val="000000"/>
          <w:sz w:val="20"/>
        </w:rPr>
      </w:pPr>
      <w:r>
        <w:rPr>
          <w:rFonts w:ascii="Arial;sans-serif" w:hAnsi="Arial;sans-serif"/>
          <w:b/>
          <w:i/>
          <w:color w:val="000000"/>
          <w:sz w:val="20"/>
        </w:rPr>
        <w:t>Executive Overview</w:t>
      </w:r>
    </w:p>
    <w:p>
      <w:pPr>
        <w:pStyle w:val="TextBody"/>
        <w:spacing w:lineRule="auto" w:line="288" w:before="200" w:after="283"/>
        <w:ind w:left="0" w:right="0" w:firstLine="720"/>
        <w:rPr>
          <w:rFonts w:ascii="Arial;sans-serif" w:hAnsi="Arial;sans-serif"/>
          <w:b w:val="false"/>
          <w:color w:val="000000"/>
          <w:sz w:val="20"/>
        </w:rPr>
      </w:pPr>
      <w:r>
        <w:rPr>
          <w:rFonts w:ascii="Arial;sans-serif" w:hAnsi="Arial;sans-serif"/>
          <w:b w:val="false"/>
          <w:color w:val="000000"/>
          <w:sz w:val="20"/>
        </w:rPr>
        <w:t>Cimpress is a strategically focused group of more than a dozen businesses that specialize in mass customization of printing and related products, via which we deliver large volumes of individually small-sized customized orders. Our products include a broad range of marketing materials, business cards, signage, promotional products, logo apparel, packaging, books and magazines, wall decor, photo merchandise, invitations and announcements, and other categories. Mass customization is a core element of the business model of each Cimpress business and is a competitive strategy which seeks to produce goods and services to meet individual customer needs with near mass production efficiency.</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As of March 31, 2023, we have numerous operating segments under our management reporting structure that are reported in the following five reportable segments: Vista, PrintBrothers, The Print Group, National Pen, and All Other Businesses. Refer to Note 11 in our accompanying consolidated financial statements for additional information relating to our reportable segments and our segment financial measures.</w:t>
      </w:r>
    </w:p>
    <w:p>
      <w:pPr>
        <w:pStyle w:val="TextBody"/>
        <w:spacing w:lineRule="auto" w:line="276" w:before="220" w:after="100"/>
        <w:ind w:left="0" w:right="0" w:firstLine="720"/>
        <w:rPr>
          <w:rFonts w:ascii="Arial;sans-serif" w:hAnsi="Arial;sans-serif"/>
          <w:b w:val="false"/>
          <w:color w:val="000000"/>
          <w:sz w:val="20"/>
        </w:rPr>
      </w:pPr>
      <w:r>
        <w:rPr>
          <w:rFonts w:ascii="Arial;sans-serif" w:hAnsi="Arial;sans-serif"/>
          <w:b w:val="false"/>
          <w:color w:val="000000"/>
          <w:sz w:val="20"/>
        </w:rPr>
        <w:t>We announced plans on March 23, 2023 to reduce costs within our Vista business and our central teams and implement organizational changes to support expanded profitability, reduced leverage and increased speed, focus, and accountability. These plans resulted in a restructuring charge of $30.1 million during the current quarter, with additional immaterial charges expected to be recognized during the fourth quarter of fiscal 2023. This restructuring action provided a small cost savings benefit during the current quarter due to the timing of the action, but we expect this action to deliver approximately $100 million of annualized pre-tax cost savings.</w:t>
      </w:r>
    </w:p>
    <w:p>
      <w:pPr>
        <w:pStyle w:val="TextBody"/>
        <w:spacing w:lineRule="auto" w:line="276" w:before="220" w:after="100"/>
        <w:rPr>
          <w:rFonts w:ascii="Arial;sans-serif" w:hAnsi="Arial;sans-serif"/>
          <w:b/>
          <w:i/>
          <w:color w:val="000000"/>
          <w:sz w:val="20"/>
        </w:rPr>
      </w:pPr>
      <w:r>
        <w:rPr>
          <w:rFonts w:ascii="Arial;sans-serif" w:hAnsi="Arial;sans-serif"/>
          <w:b/>
          <w:i/>
          <w:color w:val="000000"/>
          <w:sz w:val="20"/>
        </w:rPr>
        <w:t>Financial Summary</w:t>
      </w:r>
    </w:p>
    <w:p>
      <w:pPr>
        <w:pStyle w:val="TextBody"/>
        <w:spacing w:lineRule="auto" w:line="288" w:before="220" w:after="240"/>
        <w:ind w:left="0" w:right="0" w:firstLine="720"/>
        <w:rPr>
          <w:rFonts w:ascii="Arial;sans-serif" w:hAnsi="Arial;sans-serif"/>
          <w:b w:val="false"/>
          <w:color w:val="000000"/>
          <w:sz w:val="20"/>
        </w:rPr>
      </w:pPr>
      <w:r>
        <w:rPr>
          <w:rFonts w:ascii="Arial;sans-serif" w:hAnsi="Arial;sans-serif"/>
          <w:b w:val="false"/>
          <w:color w:val="000000"/>
          <w:sz w:val="20"/>
        </w:rPr>
        <w:t xml:space="preserve">The primary financial metric by which we set quarterly and annual budgets both for individual businesses and Cimpress wide is our adjusted free cash flow before cash interest expense;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220" w:after="240"/>
        <w:rPr>
          <w:rFonts w:ascii="Arial;sans-serif" w:hAnsi="Arial;sans-serif"/>
          <w:b w:val="false"/>
          <w:color w:val="000000"/>
          <w:sz w:val="20"/>
        </w:rPr>
      </w:pPr>
      <w:r>
        <w:rPr>
          <w:rFonts w:ascii="Arial;sans-serif" w:hAnsi="Arial;sans-serif"/>
          <w:b w:val="false"/>
          <w:color w:val="000000"/>
          <w:sz w:val="20"/>
        </w:rPr>
        <w:t>"Consolidated Results of Operations" and "Additional Non-GAAP Financial Measures" sections of Management's Discussion and Analysis. A summary of these key financial metrics for the three and nine months ended March 31, 2023 as compared to the three and nine months ended March 31, 2022 follows: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Third Quarter Fiscal Year 2023</w:t>
      </w:r>
    </w:p>
    <w:p>
      <w:pPr>
        <w:pStyle w:val="TextBody"/>
        <w:spacing w:lineRule="auto" w:line="288" w:before="120" w:after="120"/>
        <w:ind w:left="0" w:right="0" w:hanging="360"/>
        <w:rPr/>
      </w:pPr>
      <w:r>
        <w:rPr>
          <w:color w:val="000000"/>
        </w:rPr>
        <w:t>•</w:t>
      </w:r>
      <w:r>
        <w:rPr>
          <w:rFonts w:ascii="Arial;sans-serif" w:hAnsi="Arial;sans-serif"/>
          <w:b w:val="false"/>
          <w:color w:val="000000"/>
          <w:sz w:val="20"/>
        </w:rPr>
        <w:t>Revenue increased by 13% to $742.2 million.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Constant-currency revenue increased 16% when excluding the revenue of acquired companies for the first twelve months after acquisition (a non-GAAP financial measure).</w:t>
      </w:r>
    </w:p>
    <w:p>
      <w:pPr>
        <w:pStyle w:val="TextBody"/>
        <w:spacing w:lineRule="auto" w:line="288" w:before="120" w:after="283"/>
        <w:ind w:left="0" w:right="0" w:hanging="360"/>
        <w:rPr/>
      </w:pPr>
      <w:r>
        <w:rPr>
          <w:color w:val="000000"/>
        </w:rPr>
        <w:t>•</w:t>
      </w:r>
      <w:r>
        <w:rPr>
          <w:rFonts w:ascii="Arial;sans-serif" w:hAnsi="Arial;sans-serif"/>
          <w:b w:val="false"/>
          <w:color w:val="000000"/>
          <w:sz w:val="20"/>
        </w:rPr>
        <w:t>Operating income increased by $16.2 million to a loss of $12.2 million.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Adjusted EBITDA (a non-GAAP financial measure) increased by $35.5 million to $69.1 million.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Diluted net loss per share attributable to Cimpress plc increased to a loss of $1.88 from a loss of $2.75 in the comparative period.</w:t>
      </w:r>
    </w:p>
    <w:p>
      <w:pPr>
        <w:pStyle w:val="TextBody"/>
        <w:spacing w:lineRule="auto" w:line="288" w:before="220" w:after="240"/>
        <w:rPr>
          <w:rFonts w:ascii="Arial;sans-serif" w:hAnsi="Arial;sans-serif"/>
          <w:b w:val="false"/>
          <w:color w:val="000000"/>
          <w:sz w:val="20"/>
        </w:rPr>
      </w:pPr>
      <w:r>
        <w:rPr>
          <w:rFonts w:ascii="Arial;sans-serif" w:hAnsi="Arial;sans-serif"/>
          <w:b w:val="false"/>
          <w:color w:val="000000"/>
          <w:sz w:val="20"/>
        </w:rPr>
        <w:t>Year to Date Fiscal Year 2023</w:t>
      </w:r>
    </w:p>
    <w:p>
      <w:pPr>
        <w:pStyle w:val="TextBody"/>
        <w:spacing w:lineRule="auto" w:line="288" w:before="120" w:after="283"/>
        <w:ind w:left="0" w:right="0" w:hanging="360"/>
        <w:rPr/>
      </w:pPr>
      <w:r>
        <w:rPr>
          <w:color w:val="000000"/>
        </w:rPr>
        <w:t>•</w:t>
      </w:r>
      <w:r>
        <w:rPr>
          <w:rFonts w:ascii="Arial;sans-serif" w:hAnsi="Arial;sans-serif"/>
          <w:b w:val="false"/>
          <w:color w:val="000000"/>
          <w:sz w:val="20"/>
        </w:rPr>
        <w:t>Revenue increased by 6% to $2,290.8 million.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Constant-currency revenue increased by 12% and 11% when excluding the revenue of acquired companies for the first twelve months after acquisition (both non-GAAP financial measures).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Operating income decreased by $71.1 million to $3.4 million.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Adjusted EBITDA (a non-GAAP financial measure) decreased by $17.4 million to $225.9 million.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Diluted net loss per share attributable to Cimpress plc decreased to a loss of $8.19 from a loss of $0.91 in the comparative period.</w:t>
      </w:r>
    </w:p>
    <w:p>
      <w:pPr>
        <w:pStyle w:val="TextBody"/>
        <w:spacing w:lineRule="auto" w:line="288" w:before="120" w:after="283"/>
        <w:ind w:left="0" w:right="0" w:hanging="360"/>
        <w:rPr/>
      </w:pPr>
      <w:r>
        <w:rPr>
          <w:color w:val="000000"/>
        </w:rPr>
        <w:t>•</w:t>
      </w:r>
      <w:r>
        <w:rPr>
          <w:rFonts w:ascii="Arial;sans-serif" w:hAnsi="Arial;sans-serif"/>
          <w:b w:val="false"/>
          <w:color w:val="000000"/>
          <w:sz w:val="20"/>
        </w:rPr>
        <w:t>Cash provided by operating activities decreased by $63.2 million to $68.5 million.</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Adjusted free cash flow (a non-GAAP financial measure) decreased by $52.9 million to an outflow of $13.2 million.</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For the three months ended March 31, 2023, reported revenue growth accelerated, mainly in our Vista business as product mix shifted back toward faster-growing small business products and we are comparing to a weaker period in the prior-year quarter that included the migration of Vista's U.S. website onto the new technology platform. Our Vista business experienced growth in new customer count and new customer bookings across all major markets. Promotional products, apparel, and gifts (PPAG) was our fastest-growing product category, with business cards, marketing materials, packaging and labels, and signage all showing strong year-over-year growth as well. Revenue growth in most Cimpress businesses continued to benefit from year-over-year increases in pricing, which has been one tool used to mitigate inflationary cost pressures. Currency exchange fluctuations had a negative effect during the current quarter.</w:t>
      </w:r>
    </w:p>
    <w:p>
      <w:pPr>
        <w:pStyle w:val="TextBody"/>
        <w:spacing w:lineRule="auto" w:line="288" w:before="220" w:after="283"/>
        <w:ind w:left="0" w:right="0" w:firstLine="720"/>
        <w:rPr/>
      </w:pPr>
      <w:r>
        <w:rPr>
          <w:rFonts w:ascii="Arial;sans-serif" w:hAnsi="Arial;sans-serif"/>
          <w:b w:val="false"/>
          <w:color w:val="000000"/>
          <w:sz w:val="20"/>
        </w:rPr>
        <w:t>For the three months ended March 31, 2023, the increase</w:t>
      </w:r>
      <w:r>
        <w:rPr>
          <w:color w:val="EE2724"/>
        </w:rPr>
        <w:t xml:space="preserve"> </w:t>
      </w:r>
      <w:r>
        <w:rPr>
          <w:rFonts w:ascii="Arial;sans-serif" w:hAnsi="Arial;sans-serif"/>
          <w:b w:val="false"/>
          <w:color w:val="000000"/>
          <w:sz w:val="20"/>
        </w:rPr>
        <w:t>in operating income was primarily due to the incremental profit from the revenue growth described above. Gross profit growth benefited from higher volumes and the reduced net impact of cost inflation. We also realized cost efficiencies in advertising spend, and lower compensation and consulting-related operating expenses. These items were partially offset by an increase in restructuring charges primarily related to actions taken during the current quarter to reduce costs in the Vista business and in our central teams.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Adjusted EBITDA increased year over year for the three months ended March 31, 2023, primarily for the same reasons operating income increased. Adjusted EBITDA excludes restructuring charges, share-based compensation expense, certain impairments, and non-cash gains on the sale of assets, and includes the realized gains or losses on our currency derivatives intended to hedge adjusted EBITDA. The net year-over-year impact of currency on consolidated adjusted EBITDA was a benefit of approximately $1.6 million for the three months ended March 31, 2023.</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Diluted net loss per share attributable to Cimpress plc increased for the three months ended March 31, 2023 primarily due to the improved operating loss described above, as well as significantly lower income tax expense year over year. These improvements were partially offset by increased interest expense and year-over-</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color w:val="000000"/>
          <w:sz w:val="20"/>
        </w:rPr>
      </w:pPr>
      <w:r>
        <w:rPr>
          <w:rFonts w:ascii="Arial;sans-serif" w:hAnsi="Arial;sans-serif"/>
          <w:b w:val="false"/>
          <w:color w:val="000000"/>
          <w:sz w:val="20"/>
        </w:rPr>
        <w:t>year impact from the net effect of unrealized currency losses caused by exchange rate volatility that more than offset realized gains recognized in the current quarter.</w:t>
      </w:r>
    </w:p>
    <w:p>
      <w:pPr>
        <w:pStyle w:val="TextBody"/>
        <w:spacing w:lineRule="auto" w:line="288" w:before="220" w:after="283"/>
        <w:ind w:left="0" w:right="0" w:firstLine="720"/>
        <w:rPr>
          <w:rFonts w:ascii="Arial;sans-serif" w:hAnsi="Arial;sans-serif"/>
          <w:b w:val="false"/>
          <w:color w:val="000000"/>
          <w:sz w:val="20"/>
          <w:highlight w:val="white"/>
        </w:rPr>
      </w:pPr>
      <w:r>
        <w:rPr>
          <w:rFonts w:ascii="Arial;sans-serif" w:hAnsi="Arial;sans-serif"/>
          <w:b w:val="false"/>
          <w:color w:val="000000"/>
          <w:sz w:val="20"/>
          <w:highlight w:val="white"/>
        </w:rPr>
        <w:t>During the nine months ended March 31, 2023, cash from operations decreased $63.2 million year over year due primarily to less favorable working capital inflows of $22.0 million, largely driven by less favorable benefits from accounts payable due in part to timing, as well as negative working capital impacts from higher inventory levels that were intended to mitigate supply chain issues. Cash from operations was also negatively impacted year over year by higher cash interest costs and restructuring payments due to actions taken to reduce costs over the past year.</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Adjusted free cash flow decreased year over year by $52.9 million for the nine months ended March 31, 2023, due to the operating cash flow decrease described above, partially offset by lower capitalized software and capitalized expenditures.</w:t>
      </w:r>
    </w:p>
    <w:p>
      <w:pPr>
        <w:pStyle w:val="TextBody"/>
        <w:spacing w:lineRule="auto" w:line="288" w:before="220" w:after="100"/>
        <w:rPr>
          <w:rFonts w:ascii="Arial;sans-serif" w:hAnsi="Arial;sans-serif"/>
          <w:b/>
          <w:color w:val="000000"/>
          <w:sz w:val="20"/>
        </w:rPr>
      </w:pPr>
      <w:r>
        <w:rPr>
          <w:rFonts w:ascii="Arial;sans-serif" w:hAnsi="Arial;sans-serif"/>
          <w:b/>
          <w:color w:val="000000"/>
          <w:sz w:val="20"/>
        </w:rPr>
        <w:t>Consolidated Results of Operations</w:t>
      </w:r>
    </w:p>
    <w:p>
      <w:pPr>
        <w:pStyle w:val="TextBody"/>
        <w:spacing w:lineRule="auto" w:line="288" w:before="220" w:after="100"/>
        <w:rPr>
          <w:rFonts w:ascii="Arial;sans-serif" w:hAnsi="Arial;sans-serif"/>
          <w:b/>
          <w:i/>
          <w:color w:val="000000"/>
          <w:sz w:val="20"/>
        </w:rPr>
      </w:pPr>
      <w:r>
        <w:rPr>
          <w:rFonts w:ascii="Arial;sans-serif" w:hAnsi="Arial;sans-serif"/>
          <w:b/>
          <w:i/>
          <w:color w:val="000000"/>
          <w:sz w:val="20"/>
        </w:rPr>
        <w:t>Consolidated Revenue</w:t>
      </w:r>
    </w:p>
    <w:p>
      <w:pPr>
        <w:pStyle w:val="TextBody"/>
        <w:spacing w:lineRule="auto" w:line="288" w:before="140" w:after="283"/>
        <w:ind w:left="0" w:right="0" w:firstLine="720"/>
        <w:rPr>
          <w:rFonts w:ascii="Arial;sans-serif" w:hAnsi="Arial;sans-serif"/>
          <w:b w:val="false"/>
          <w:color w:val="000000"/>
          <w:sz w:val="20"/>
        </w:rPr>
      </w:pPr>
      <w:r>
        <w:rPr>
          <w:rFonts w:ascii="Arial;sans-serif" w:hAnsi="Arial;sans-serif"/>
          <w:b w:val="false"/>
          <w:color w:val="000000"/>
          <w:sz w:val="20"/>
        </w:rPr>
        <w:t>Our businesses generate revenue primarily from the sale and shipment of customized products. We also generate revenue, to a much lesser extent (and primarily in our Vista business), from digital services, graphic design services, website design and hosting, and email marketing services, as well as a small percentage of revenue from order referral fees and other third-party offerings. For additional discussion relating to segment revenue results, refer to the "Reportable Segment Results" section included below.</w:t>
      </w:r>
    </w:p>
    <w:p>
      <w:pPr>
        <w:pStyle w:val="TextBody"/>
        <w:spacing w:lineRule="auto" w:line="288" w:before="140" w:after="283"/>
        <w:ind w:left="0" w:right="0" w:firstLine="720"/>
        <w:rPr>
          <w:rFonts w:ascii="Arial;sans-serif" w:hAnsi="Arial;sans-serif"/>
          <w:b w:val="false"/>
          <w:color w:val="000000"/>
          <w:sz w:val="20"/>
        </w:rPr>
      </w:pPr>
      <w:r>
        <w:rPr>
          <w:rFonts w:ascii="Arial;sans-serif" w:hAnsi="Arial;sans-serif"/>
          <w:b w:val="false"/>
          <w:color w:val="000000"/>
          <w:sz w:val="20"/>
        </w:rPr>
        <w:t>Total revenue and revenue growth by reportable segment for the three and nine months ended March 31, 2023 and 2022 are shown in the following table:</w:t>
      </w:r>
    </w:p>
    <w:tbl>
      <w:tblPr>
        <w:tblW w:w="10205" w:type="dxa"/>
        <w:jc w:val="left"/>
        <w:tblInd w:w="0" w:type="dxa"/>
        <w:tblCellMar>
          <w:top w:w="28" w:type="dxa"/>
          <w:left w:w="28" w:type="dxa"/>
          <w:bottom w:w="28" w:type="dxa"/>
          <w:right w:w="28" w:type="dxa"/>
        </w:tblCellMar>
      </w:tblPr>
      <w:tblGrid>
        <w:gridCol w:w="519"/>
        <w:gridCol w:w="408"/>
        <w:gridCol w:w="411"/>
        <w:gridCol w:w="211"/>
        <w:gridCol w:w="826"/>
        <w:gridCol w:w="109"/>
        <w:gridCol w:w="109"/>
        <w:gridCol w:w="109"/>
        <w:gridCol w:w="109"/>
        <w:gridCol w:w="211"/>
        <w:gridCol w:w="826"/>
        <w:gridCol w:w="109"/>
        <w:gridCol w:w="109"/>
        <w:gridCol w:w="109"/>
        <w:gridCol w:w="109"/>
        <w:gridCol w:w="205"/>
        <w:gridCol w:w="205"/>
        <w:gridCol w:w="206"/>
        <w:gridCol w:w="109"/>
        <w:gridCol w:w="109"/>
        <w:gridCol w:w="109"/>
        <w:gridCol w:w="325"/>
        <w:gridCol w:w="325"/>
        <w:gridCol w:w="329"/>
        <w:gridCol w:w="109"/>
        <w:gridCol w:w="109"/>
        <w:gridCol w:w="109"/>
        <w:gridCol w:w="262"/>
        <w:gridCol w:w="262"/>
        <w:gridCol w:w="267"/>
        <w:gridCol w:w="109"/>
        <w:gridCol w:w="109"/>
        <w:gridCol w:w="109"/>
        <w:gridCol w:w="359"/>
        <w:gridCol w:w="359"/>
        <w:gridCol w:w="360"/>
        <w:gridCol w:w="109"/>
        <w:gridCol w:w="109"/>
        <w:gridCol w:w="109"/>
        <w:gridCol w:w="488"/>
        <w:gridCol w:w="270"/>
        <w:gridCol w:w="391"/>
      </w:tblGrid>
      <w:tr>
        <w:trPr/>
        <w:tc>
          <w:tcPr>
            <w:tcW w:w="51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Revenue Growth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Excluding Acquisitions/Divestitures (2)</w:t>
            </w:r>
          </w:p>
        </w:tc>
      </w:tr>
      <w:tr>
        <w:trPr/>
        <w:tc>
          <w:tcPr>
            <w:tcW w:w="1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1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r>
      <w:tr>
        <w:trPr/>
        <w:tc>
          <w:tcPr>
            <w:tcW w:w="1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r>
      <w:tr>
        <w:trPr/>
        <w:tc>
          <w:tcPr>
            <w:tcW w:w="1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r>
      <w:tr>
        <w:trPr/>
        <w:tc>
          <w:tcPr>
            <w:tcW w:w="1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3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bl>
    <w:tbl>
      <w:tblPr>
        <w:tblW w:w="10205" w:type="dxa"/>
        <w:jc w:val="left"/>
        <w:tblInd w:w="0" w:type="dxa"/>
        <w:tblCellMar>
          <w:top w:w="28" w:type="dxa"/>
          <w:left w:w="28" w:type="dxa"/>
          <w:bottom w:w="28" w:type="dxa"/>
          <w:right w:w="28" w:type="dxa"/>
        </w:tblCellMar>
      </w:tblPr>
      <w:tblGrid>
        <w:gridCol w:w="501"/>
        <w:gridCol w:w="389"/>
        <w:gridCol w:w="392"/>
        <w:gridCol w:w="211"/>
        <w:gridCol w:w="976"/>
        <w:gridCol w:w="109"/>
        <w:gridCol w:w="109"/>
        <w:gridCol w:w="109"/>
        <w:gridCol w:w="109"/>
        <w:gridCol w:w="211"/>
        <w:gridCol w:w="976"/>
        <w:gridCol w:w="109"/>
        <w:gridCol w:w="109"/>
        <w:gridCol w:w="109"/>
        <w:gridCol w:w="109"/>
        <w:gridCol w:w="205"/>
        <w:gridCol w:w="205"/>
        <w:gridCol w:w="206"/>
        <w:gridCol w:w="109"/>
        <w:gridCol w:w="109"/>
        <w:gridCol w:w="109"/>
        <w:gridCol w:w="312"/>
        <w:gridCol w:w="312"/>
        <w:gridCol w:w="316"/>
        <w:gridCol w:w="109"/>
        <w:gridCol w:w="109"/>
        <w:gridCol w:w="109"/>
        <w:gridCol w:w="251"/>
        <w:gridCol w:w="251"/>
        <w:gridCol w:w="255"/>
        <w:gridCol w:w="109"/>
        <w:gridCol w:w="109"/>
        <w:gridCol w:w="109"/>
        <w:gridCol w:w="332"/>
        <w:gridCol w:w="332"/>
        <w:gridCol w:w="333"/>
        <w:gridCol w:w="109"/>
        <w:gridCol w:w="109"/>
        <w:gridCol w:w="109"/>
        <w:gridCol w:w="471"/>
        <w:gridCol w:w="240"/>
        <w:gridCol w:w="348"/>
      </w:tblGrid>
      <w:tr>
        <w:trPr/>
        <w:tc>
          <w:tcPr>
            <w:tcW w:w="501"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1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Revenue Growth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Excluding Acquisitions/Divestitures (2)</w:t>
            </w:r>
          </w:p>
        </w:tc>
      </w:tr>
      <w:tr>
        <w:trPr/>
        <w:tc>
          <w:tcPr>
            <w:tcW w:w="1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1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r>
      <w:tr>
        <w:trPr/>
        <w:tc>
          <w:tcPr>
            <w:tcW w:w="1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r>
      <w:tr>
        <w:trPr/>
        <w:tc>
          <w:tcPr>
            <w:tcW w:w="1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1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r>
        <w:trPr/>
        <w:tc>
          <w:tcPr>
            <w:tcW w:w="1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r>
    </w:tbl>
    <w:p>
      <w:pPr>
        <w:pStyle w:val="TextBody"/>
        <w:spacing w:lineRule="auto" w:line="288" w:before="140" w:after="283"/>
        <w:rPr>
          <w:rFonts w:ascii="Arial;sans-serif" w:hAnsi="Arial;sans-serif"/>
          <w:b w:val="false"/>
          <w:color w:val="000000"/>
          <w:sz w:val="16"/>
        </w:rPr>
      </w:pPr>
      <w:r>
        <w:rPr>
          <w:rFonts w:ascii="Arial;sans-serif" w:hAnsi="Arial;sans-serif"/>
          <w:b w:val="false"/>
          <w:color w:val="000000"/>
          <w:sz w:val="16"/>
        </w:rPr>
        <w:t>_________________</w:t>
      </w:r>
    </w:p>
    <w:p>
      <w:pPr>
        <w:pStyle w:val="TextBody"/>
        <w:spacing w:lineRule="auto" w:line="288" w:before="40" w:after="283"/>
        <w:ind w:left="0" w:right="0" w:hanging="270"/>
        <w:rPr>
          <w:rFonts w:ascii="Arial;sans-serif" w:hAnsi="Arial;sans-serif"/>
          <w:b w:val="false"/>
          <w:color w:val="000000"/>
          <w:sz w:val="16"/>
        </w:rPr>
      </w:pPr>
      <w:r>
        <w:rPr>
          <w:rFonts w:ascii="Arial;sans-serif" w:hAnsi="Arial;sans-serif"/>
          <w:b w:val="false"/>
          <w:color w:val="000000"/>
          <w:sz w:val="16"/>
        </w:rPr>
        <w:t>(1) 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40" w:after="283"/>
        <w:ind w:left="0" w:right="0" w:hanging="270"/>
        <w:rPr>
          <w:rFonts w:ascii="Arial;sans-serif" w:hAnsi="Arial;sans-serif"/>
          <w:b w:val="false"/>
          <w:color w:val="000000"/>
          <w:sz w:val="16"/>
        </w:rPr>
      </w:pPr>
      <w:r>
        <w:rPr>
          <w:rFonts w:ascii="Arial;sans-serif" w:hAnsi="Arial;sans-serif"/>
          <w:b w:val="false"/>
          <w:color w:val="000000"/>
          <w:sz w:val="16"/>
        </w:rPr>
        <w:t>(2) 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pStyle w:val="TextBody"/>
        <w:spacing w:lineRule="auto" w:line="288" w:before="40" w:after="100"/>
        <w:rPr>
          <w:rFonts w:ascii="Arial;sans-serif" w:hAnsi="Arial;sans-serif"/>
          <w:b w:val="false"/>
          <w:color w:val="000000"/>
          <w:sz w:val="16"/>
        </w:rPr>
      </w:pPr>
      <w:r>
        <w:rPr>
          <w:rFonts w:ascii="Arial;sans-serif" w:hAnsi="Arial;sans-serif"/>
          <w:b w:val="false"/>
          <w:color w:val="000000"/>
          <w:sz w:val="16"/>
        </w:rPr>
        <w:t xml:space="preserve">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 </w:t>
      </w:r>
    </w:p>
    <w:p>
      <w:pPr>
        <w:pStyle w:val="TextBody"/>
        <w:spacing w:lineRule="auto" w:line="288" w:before="220" w:after="100"/>
        <w:rPr>
          <w:rFonts w:ascii="Arial;sans-serif" w:hAnsi="Arial;sans-serif"/>
          <w:b/>
          <w:i/>
          <w:color w:val="000000"/>
          <w:sz w:val="20"/>
        </w:rPr>
      </w:pPr>
      <w:r>
        <w:rPr>
          <w:rFonts w:ascii="Arial;sans-serif" w:hAnsi="Arial;sans-serif"/>
          <w:b/>
          <w:i/>
          <w:color w:val="000000"/>
          <w:sz w:val="20"/>
        </w:rPr>
        <w:t>Consolidated Cost of Revenue</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 xml:space="preserve">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 </w:t>
      </w:r>
    </w:p>
    <w:tbl>
      <w:tblPr>
        <w:tblW w:w="8260" w:type="dxa"/>
        <w:jc w:val="center"/>
        <w:tblInd w:w="0" w:type="dxa"/>
        <w:tblCellMar>
          <w:top w:w="28" w:type="dxa"/>
          <w:left w:w="28" w:type="dxa"/>
          <w:bottom w:w="28" w:type="dxa"/>
          <w:right w:w="28" w:type="dxa"/>
        </w:tblCellMar>
      </w:tblPr>
      <w:tblGrid>
        <w:gridCol w:w="537"/>
        <w:gridCol w:w="473"/>
        <w:gridCol w:w="474"/>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976"/>
        <w:gridCol w:w="271"/>
        <w:gridCol w:w="109"/>
        <w:gridCol w:w="154"/>
      </w:tblGrid>
      <w:tr>
        <w:trPr/>
        <w:tc>
          <w:tcPr>
            <w:tcW w:w="537"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i/>
                <w:color w:val="000000"/>
                <w:sz w:val="18"/>
              </w:rPr>
              <w:t>In thousands</w:t>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shd w:fill="auto" w:val="clea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347,452 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1,228,036 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1,110,378 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Arial;sans-serif" w:hAnsi="Arial;sans-serif"/>
          <w:b w:val="false"/>
          <w:color w:val="000000"/>
          <w:sz w:val="20"/>
        </w:rPr>
      </w:pPr>
      <w:r>
        <w:rPr>
          <w:rFonts w:ascii="Arial;sans-serif" w:hAnsi="Arial;sans-serif"/>
          <w:b w:val="false"/>
          <w:color w:val="000000"/>
          <w:sz w:val="20"/>
        </w:rPr>
        <w:t xml:space="preserve">For the three and nine months ended March 31, 2023, cost of revenue increased by $47.5 million and $117.7 million, respectively, as compared to the prior year periods, primarily due to the continued effects of global supply chain challenges that resulted in increased costs for product substrates like paper, production materials like aluminum plates, freight and shipping charges, and energy costs, as well as additional variable cost increases driven by the constant-currency revenue growth described above. Although input costs were higher year over year during the third quarter of fiscal 2023, we started to see some easing across many product substrates, and we began to pass the anniversary of input cost increases, so the year-over-year impact lessened. Compensation costs were also higher due to the combination of a more competitive labor market and the inflationary environment in many jurisdictions where we operate. </w:t>
      </w:r>
    </w:p>
    <w:p>
      <w:pPr>
        <w:pStyle w:val="TextBody"/>
        <w:spacing w:lineRule="auto" w:line="288" w:before="120" w:after="283"/>
        <w:ind w:left="0" w:right="0" w:firstLine="720"/>
        <w:rPr>
          <w:rFonts w:ascii="Arial;sans-serif" w:hAnsi="Arial;sans-serif"/>
          <w:b w:val="false"/>
          <w:color w:val="000000"/>
          <w:sz w:val="20"/>
        </w:rPr>
      </w:pPr>
      <w:r>
        <w:rPr>
          <w:rFonts w:ascii="Arial;sans-serif" w:hAnsi="Arial;sans-serif"/>
          <w:b w:val="false"/>
          <w:color w:val="000000"/>
          <w:sz w:val="20"/>
        </w:rPr>
        <w:t>The overall impact of increased costs, net of pricing increases and manufacturing efficiencies, was minimal in the current quarter, though still a negative year-over-year impact for the nine months ended March 31, 2023.</w:t>
      </w:r>
    </w:p>
    <w:p>
      <w:pPr>
        <w:pStyle w:val="TextBody"/>
        <w:spacing w:lineRule="auto" w:line="288" w:before="220" w:after="283"/>
        <w:rPr>
          <w:rFonts w:ascii="Arial;sans-serif" w:hAnsi="Arial;sans-serif"/>
          <w:b/>
          <w:i/>
          <w:color w:val="000000"/>
          <w:sz w:val="20"/>
        </w:rPr>
      </w:pPr>
      <w:r>
        <w:rPr>
          <w:rFonts w:ascii="Arial;sans-serif" w:hAnsi="Arial;sans-serif"/>
          <w:b/>
          <w:i/>
          <w:color w:val="000000"/>
          <w:sz w:val="20"/>
        </w:rPr>
        <w:t>Consolidated Operating Expenses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The following table summarizes our comparative operating expenses for the following periods:</w:t>
      </w:r>
    </w:p>
    <w:tbl>
      <w:tblPr>
        <w:tblW w:w="10205" w:type="dxa"/>
        <w:jc w:val="center"/>
        <w:tblInd w:w="0" w:type="dxa"/>
        <w:tblCellMar>
          <w:top w:w="28" w:type="dxa"/>
          <w:left w:w="28" w:type="dxa"/>
          <w:bottom w:w="28" w:type="dxa"/>
          <w:right w:w="28" w:type="dxa"/>
        </w:tblCellMar>
      </w:tblPr>
      <w:tblGrid>
        <w:gridCol w:w="672"/>
        <w:gridCol w:w="501"/>
        <w:gridCol w:w="503"/>
        <w:gridCol w:w="211"/>
        <w:gridCol w:w="826"/>
        <w:gridCol w:w="271"/>
        <w:gridCol w:w="109"/>
        <w:gridCol w:w="109"/>
        <w:gridCol w:w="109"/>
        <w:gridCol w:w="211"/>
        <w:gridCol w:w="826"/>
        <w:gridCol w:w="271"/>
        <w:gridCol w:w="109"/>
        <w:gridCol w:w="109"/>
        <w:gridCol w:w="109"/>
        <w:gridCol w:w="174"/>
        <w:gridCol w:w="161"/>
        <w:gridCol w:w="162"/>
        <w:gridCol w:w="109"/>
        <w:gridCol w:w="109"/>
        <w:gridCol w:w="109"/>
        <w:gridCol w:w="211"/>
        <w:gridCol w:w="826"/>
        <w:gridCol w:w="271"/>
        <w:gridCol w:w="109"/>
        <w:gridCol w:w="109"/>
        <w:gridCol w:w="109"/>
        <w:gridCol w:w="211"/>
        <w:gridCol w:w="826"/>
        <w:gridCol w:w="271"/>
        <w:gridCol w:w="109"/>
        <w:gridCol w:w="109"/>
        <w:gridCol w:w="109"/>
        <w:gridCol w:w="109"/>
        <w:gridCol w:w="109"/>
        <w:gridCol w:w="329"/>
        <w:gridCol w:w="188"/>
        <w:gridCol w:w="162"/>
        <w:gridCol w:w="109"/>
        <w:gridCol w:w="159"/>
      </w:tblGrid>
      <w:tr>
        <w:trPr/>
        <w:tc>
          <w:tcPr>
            <w:tcW w:w="672"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In thousands</w:t>
            </w:r>
            <w:r>
              <w:rPr>
                <w:color w:val="000000"/>
              </w:rPr>
              <w:t> </w:t>
            </w:r>
          </w:p>
        </w:tc>
        <w:tc>
          <w:tcPr>
            <w:tcW w:w="3270"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4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9" w:type="dxa"/>
            <w:gridSpan w:val="3"/>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Technology and development expense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11.5 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Marketing and selling expense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194,618 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577,931 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29.6 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General and administrative expense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156,441 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Restructuring expense (2)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(1,162)%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(1) As a result of the March 2023 cost reduction action described above, we expect to realize cost savings in future periods. The cost savings benefit during the current period was not material.</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(2) Refer to Note 13 in our accompanying consolidated financial statements for additional details relating to restructuring expense.</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220" w:after="100"/>
        <w:rPr>
          <w:rFonts w:ascii="Arial;sans-serif" w:hAnsi="Arial;sans-serif"/>
          <w:b w:val="false"/>
          <w:i/>
          <w:color w:val="000000"/>
          <w:sz w:val="20"/>
        </w:rPr>
      </w:pPr>
      <w:r>
        <w:rPr>
          <w:rFonts w:ascii="Arial;sans-serif" w:hAnsi="Arial;sans-serif"/>
          <w:b w:val="false"/>
          <w:i/>
          <w:color w:val="000000"/>
          <w:sz w:val="20"/>
        </w:rPr>
        <w:t>Technology and development expense</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pStyle w:val="TextBody"/>
        <w:spacing w:lineRule="auto" w:line="256" w:before="180" w:after="283"/>
        <w:ind w:left="0" w:right="0" w:firstLine="720"/>
        <w:rPr>
          <w:rFonts w:ascii="Arial;sans-serif" w:hAnsi="Arial;sans-serif"/>
          <w:b w:val="false"/>
          <w:color w:val="000000"/>
          <w:sz w:val="20"/>
        </w:rPr>
      </w:pPr>
      <w:r>
        <w:rPr>
          <w:rFonts w:ascii="Arial;sans-serif" w:hAnsi="Arial;sans-serif"/>
          <w:b w:val="false"/>
          <w:color w:val="000000"/>
          <w:sz w:val="20"/>
        </w:rPr>
        <w:t>Technology and development expenses increased by $3.0 million and $17.7 million for the three and nine months ended March 31, 2023, respectively, as compared to the prior-year periods. This increase is primarily driven by increased volume-related third-party technology costs due in part to higher customer demand. In addition, compensation costs increased year-over-year by $0.5 million and $4.4 million for the three and nine months ended March 31, 2023, respectively, due to increases from our inflation-adjusted annual merit cycle and market adjustments. Other operating costs increased due to higher travel and training costs. These increases were partially offset by cost savings resulting from recent restructuring actions that reduced headcount.</w:t>
      </w:r>
    </w:p>
    <w:p>
      <w:pPr>
        <w:pStyle w:val="TextBody"/>
        <w:spacing w:lineRule="auto" w:line="288" w:before="220" w:after="100"/>
        <w:rPr>
          <w:rFonts w:ascii="Arial;sans-serif" w:hAnsi="Arial;sans-serif"/>
          <w:b w:val="false"/>
          <w:i/>
          <w:color w:val="000000"/>
          <w:sz w:val="20"/>
        </w:rPr>
      </w:pPr>
      <w:r>
        <w:rPr>
          <w:rFonts w:ascii="Arial;sans-serif" w:hAnsi="Arial;sans-serif"/>
          <w:b w:val="false"/>
          <w:i/>
          <w:color w:val="000000"/>
          <w:sz w:val="20"/>
        </w:rPr>
        <w:t>Marketing and selling expense</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For the three and nine months ended March 31, 2023, marketing and selling expenses decreased by $7.4 million and increased by $15.4 million, respectively, as compared to the prior-year periods. The decrease for the three months ended March 31, 2023 was primarily driven by lower costs in our Vista business of $11.7 million, due in part to lower advertising spend. These decreases were partially offset by increased advertising spend collectively across all our other businesses of $4.9 million.</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The increased spend for the nine months ended March 31, 2023 was due to higher advertising spend of $26.6 million across Cimpress (including increases in mid- and upper-funnel spend, partially offset by lower performance advertising in Vista during the first half of the current fiscal year), partially offset by lower compensation costs in Vista year over year.</w:t>
      </w:r>
    </w:p>
    <w:p>
      <w:pPr>
        <w:pStyle w:val="TextBody"/>
        <w:spacing w:lineRule="auto" w:line="288" w:before="220" w:after="100"/>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 xml:space="preserve">For the three and nine months ended March 31, 2023, general and administrative expenses increased by $1.7 million and $12.3 million, respectively, as compared to the prior-year periods. Compensation costs increased year over year from higher headcount and the impacts of our inflation-adjusted annual merit cycle. Other cost increases included higher travel and training costs and consulting spend. </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For the nine months ended March 31, 2023, we recognized an additional $2.2 million of expense related to the termination of one of our leased office locations as we continue to optimize our office footprint with many of our team members operating under a remote-first model. These increases were partially offset by lower share-based compensation expense due to forfeitures from our recent restructuring actions, as well as favorability due to different timing of expense from our granting of RSUs and options for most employees during the current year, as compared to PSUs in prior years.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220" w:after="100"/>
        <w:rPr>
          <w:rFonts w:ascii="Arial;sans-serif" w:hAnsi="Arial;sans-serif"/>
          <w:b w:val="false"/>
          <w:i/>
          <w:color w:val="000000"/>
          <w:sz w:val="20"/>
        </w:rPr>
      </w:pPr>
      <w:r>
        <w:rPr>
          <w:rFonts w:ascii="Arial;sans-serif" w:hAnsi="Arial;sans-serif"/>
          <w:b w:val="false"/>
          <w:i/>
          <w:color w:val="000000"/>
          <w:sz w:val="20"/>
        </w:rPr>
        <w:t xml:space="preserve">Restructuring expense </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w:t>
      </w:r>
    </w:p>
    <w:p>
      <w:pPr>
        <w:pStyle w:val="TextBody"/>
        <w:spacing w:lineRule="auto" w:line="288" w:before="220" w:after="100"/>
        <w:ind w:left="0" w:right="0" w:firstLine="720"/>
        <w:rPr>
          <w:rFonts w:ascii="Arial;sans-serif" w:hAnsi="Arial;sans-serif"/>
          <w:b w:val="false"/>
          <w:color w:val="000000"/>
          <w:sz w:val="20"/>
        </w:rPr>
      </w:pPr>
      <w:r>
        <w:rPr>
          <w:rFonts w:ascii="Arial;sans-serif" w:hAnsi="Arial;sans-serif"/>
          <w:b w:val="false"/>
          <w:color w:val="000000"/>
          <w:sz w:val="20"/>
        </w:rPr>
        <w:t>For the three and nine months ended March 31, 2023, restructuring expenses increased by $26.7 million and $39.7 million, respectively, as compared to the prior-year periods. This increase is largely driven by $29.5 million of costs recognized in the current quarter related to the previously described action taken in our Vista business and central teams during March 2023 that were intended to reduce costs and support expanded profitability, reduced leverage, and increased speed, focus and accountability. The remaining increase relates to other actions announced earlier in the year to prioritize our investments and exit the Japanese and Chinese markets. Refer to Note 13 in the accompanying consolidated financial statements for additional details.</w:t>
      </w:r>
    </w:p>
    <w:p>
      <w:pPr>
        <w:pStyle w:val="TextBody"/>
        <w:spacing w:lineRule="auto" w:line="288" w:before="220" w:after="100"/>
        <w:rPr>
          <w:rFonts w:ascii="Arial;sans-serif" w:hAnsi="Arial;sans-serif"/>
          <w:b/>
          <w:i/>
          <w:color w:val="000000"/>
          <w:sz w:val="20"/>
        </w:rPr>
      </w:pPr>
      <w:r>
        <w:rPr>
          <w:rFonts w:ascii="Arial;sans-serif" w:hAnsi="Arial;sans-serif"/>
          <w:b/>
          <w:i/>
          <w:color w:val="000000"/>
          <w:sz w:val="20"/>
        </w:rPr>
        <w:t>Other Consolidated Results</w:t>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Other income, net</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Other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The following table summarizes the components of other income, net: </w:t>
      </w:r>
    </w:p>
    <w:tbl>
      <w:tblPr>
        <w:tblW w:w="10205" w:type="dxa"/>
        <w:jc w:val="center"/>
        <w:tblInd w:w="0" w:type="dxa"/>
        <w:tblCellMar>
          <w:top w:w="28" w:type="dxa"/>
          <w:left w:w="28" w:type="dxa"/>
          <w:bottom w:w="28" w:type="dxa"/>
          <w:right w:w="28" w:type="dxa"/>
        </w:tblCellMar>
      </w:tblPr>
      <w:tblGrid>
        <w:gridCol w:w="1812"/>
        <w:gridCol w:w="1511"/>
        <w:gridCol w:w="1515"/>
        <w:gridCol w:w="211"/>
        <w:gridCol w:w="678"/>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6"/>
      </w:tblGrid>
      <w:tr>
        <w:trPr/>
        <w:tc>
          <w:tcPr>
            <w:tcW w:w="1812"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3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In thousands</w:t>
            </w:r>
            <w:r>
              <w:rPr>
                <w:color w:val="000000"/>
              </w:rPr>
              <w:t> </w:t>
            </w:r>
          </w:p>
        </w:tc>
        <w:tc>
          <w:tcPr>
            <w:tcW w:w="269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shd w:fill="auto" w:val="clear"/>
          </w:tcPr>
          <w:p>
            <w:pPr>
              <w:pStyle w:val="TableContents"/>
              <w:spacing w:before="0" w:after="283"/>
              <w:rPr>
                <w:sz w:val="4"/>
                <w:szCs w:val="4"/>
              </w:rPr>
            </w:pPr>
            <w:r>
              <w:rPr>
                <w:sz w:val="4"/>
                <w:szCs w:val="4"/>
              </w:rPr>
            </w:r>
          </w:p>
        </w:tc>
      </w:tr>
      <w:tr>
        <w:trPr/>
        <w:tc>
          <w:tcPr>
            <w:tcW w:w="4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(Losses) gains on derivatives not designated as hedging instruments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Currency-related gains (losses), net</w:t>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(losses) gains</w:t>
            </w:r>
          </w:p>
        </w:tc>
        <w:tc>
          <w:tcPr>
            <w:tcW w:w="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Arial;sans-serif" w:hAnsi="Arial;sans-serif"/>
          <w:b w:val="false"/>
          <w:color w:val="000000"/>
          <w:sz w:val="20"/>
        </w:rPr>
      </w:pPr>
      <w:r>
        <w:rPr>
          <w:rFonts w:ascii="Arial;sans-serif" w:hAnsi="Arial;sans-serif"/>
          <w:b w:val="false"/>
          <w:color w:val="000000"/>
          <w:sz w:val="20"/>
        </w:rPr>
        <w:t xml:space="preserve">The decrease in other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We experienced currency-related net gains due to currency exchange rate volatility on our non-functional currency intercompany relationships, which we may alter from time to time. The impact of certain cross-currency swap contracts designated as cash flow hedges is included in our currency-related gains, net, offsetting the impact of certain non-functional currency intercompany relationships.</w:t>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Interest expense, net primarily consists of interest paid on outstanding debt balances, amortization of debt issuance costs, debt discounts, interest related to finance lease obligations and realized gains (losses) on effective interest rate swap contracts and certain cross-currency swap contracts. In addition, accretion adjustments related to our mandatorily redeemable noncontrolling interests are recognized in interest expense, net. Refer to Note 7 in the accompanying consolidated financial statements for additional details.</w:t>
      </w:r>
    </w:p>
    <w:p>
      <w:pPr>
        <w:pStyle w:val="TextBody"/>
        <w:spacing w:lineRule="auto" w:line="288" w:before="220" w:after="283"/>
        <w:ind w:left="0" w:right="0" w:firstLine="720"/>
        <w:rPr/>
      </w:pPr>
      <w:r>
        <w:rPr>
          <w:rFonts w:ascii="Arial;sans-serif" w:hAnsi="Arial;sans-serif"/>
          <w:b w:val="false"/>
          <w:color w:val="000000"/>
          <w:sz w:val="20"/>
        </w:rPr>
        <w:t>Interest expense, net increased by $6.3 million and $8.6 million during the three and nine months ended March 31, 2023, respectively, as compared to the prior-year periods, primarily due to a higher weighted-average interest rate (net of interest rate swaps) driving the majority of the interest expense increases, partially offset by an increase in interest income earned on our cash and marketable securities of $2.2 million and $5.8 million, respectively. In addition, we recognized accretion adjustments of $1.2 million and $3.3 million</w:t>
      </w:r>
      <w:r>
        <w:rPr>
          <w:color w:val="EE2724"/>
        </w:rPr>
        <w:t xml:space="preserve"> </w:t>
      </w:r>
      <w:r>
        <w:rPr>
          <w:rFonts w:ascii="Arial;sans-serif" w:hAnsi="Arial;sans-serif"/>
          <w:b w:val="false"/>
          <w:color w:val="000000"/>
          <w:sz w:val="20"/>
        </w:rPr>
        <w:t xml:space="preserve">during the three and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color w:val="000000"/>
          <w:sz w:val="20"/>
        </w:rPr>
      </w:pPr>
      <w:r>
        <w:rPr>
          <w:rFonts w:ascii="Arial;sans-serif" w:hAnsi="Arial;sans-serif"/>
          <w:b w:val="false"/>
          <w:color w:val="000000"/>
          <w:sz w:val="20"/>
        </w:rPr>
        <w:t>nine months ended March 31, 2023, respectively, for our mandatorily redeemable noncontrolling interests, which did not occur in the prior periods.</w:t>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Income tax expense</w:t>
      </w:r>
    </w:p>
    <w:tbl>
      <w:tblPr>
        <w:tblW w:w="7811" w:type="dxa"/>
        <w:jc w:val="center"/>
        <w:tblInd w:w="0" w:type="dxa"/>
        <w:tblCellMar>
          <w:top w:w="28" w:type="dxa"/>
          <w:left w:w="28" w:type="dxa"/>
          <w:bottom w:w="28" w:type="dxa"/>
          <w:right w:w="28" w:type="dxa"/>
        </w:tblCellMar>
      </w:tblPr>
      <w:tblGrid>
        <w:gridCol w:w="635"/>
        <w:gridCol w:w="559"/>
        <w:gridCol w:w="561"/>
        <w:gridCol w:w="211"/>
        <w:gridCol w:w="616"/>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271"/>
        <w:gridCol w:w="109"/>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In thousands</w:t>
            </w:r>
            <w:r>
              <w:rPr>
                <w:color w:val="FF0000"/>
              </w:rPr>
              <w:t> </w:t>
            </w:r>
          </w:p>
        </w:tc>
        <w:tc>
          <w:tcPr>
            <w:tcW w:w="26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3" w:type="dxa"/>
            <w:gridSpan w:val="2"/>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FF0000"/>
              </w:rPr>
            </w:pPr>
            <w:r>
              <w:rPr>
                <w:color w:val="FF0000"/>
              </w:rPr>
              <w:t> </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(20.5)</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(73.2)</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(208.3)</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149.9 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 xml:space="preserve">Tax expense decreased for the three months ended March 31, 2023 versus the prior comparable period due to the partial valuation allowance on Swiss deferred tax assets of $29.6 million recorded during the three months ended March 31, 2022. Tax expense increased for the nine months ended March 31, 2023 versus the prior comparable period due to the full valuation allowance on Swiss deferred tax assets of $116.7 million recorded during the nine months ended March 31, 2023. </w:t>
      </w:r>
    </w:p>
    <w:p>
      <w:pPr>
        <w:pStyle w:val="TextBody"/>
        <w:spacing w:before="0" w:after="0"/>
        <w:ind w:left="0" w:right="0" w:firstLine="720"/>
        <w:rPr/>
      </w:pPr>
      <w:r>
        <w:rPr/>
      </w:r>
    </w:p>
    <w:p>
      <w:pPr>
        <w:pStyle w:val="TextBody"/>
        <w:spacing w:lineRule="auto" w:line="288" w:before="0" w:after="0"/>
        <w:ind w:left="0" w:right="0" w:firstLine="720"/>
        <w:rPr>
          <w:rFonts w:ascii="Arial;sans-serif" w:hAnsi="Arial;sans-serif"/>
          <w:b w:val="false"/>
          <w:color w:val="000000"/>
          <w:sz w:val="20"/>
        </w:rPr>
      </w:pPr>
      <w:r>
        <w:rPr>
          <w:rFonts w:ascii="Arial;sans-serif" w:hAnsi="Arial;sans-serif"/>
          <w:b w:val="false"/>
          <w:color w:val="000000"/>
          <w:sz w:val="20"/>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discussion.</w:t>
      </w: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Reportable Segment Results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Our segment financial performance is measured based on segment EBITDA, which is defined as operating income plus depreciation and amortization; plus proceeds from insurance; plus share-based compensation expense related to investment consideration; plus earn-out related charges; plus certain impairments; plus restructuring related charges; less gain on purchase or sale of subsidiaries.</w:t>
      </w:r>
    </w:p>
    <w:p>
      <w:pPr>
        <w:pStyle w:val="TextBody"/>
        <w:spacing w:lineRule="auto" w:line="288" w:before="220" w:after="283"/>
        <w:rPr>
          <w:rFonts w:ascii="Arial;sans-serif" w:hAnsi="Arial;sans-serif"/>
          <w:b/>
          <w:i/>
          <w:color w:val="000000"/>
          <w:sz w:val="20"/>
        </w:rPr>
      </w:pPr>
      <w:r>
        <w:rPr>
          <w:rFonts w:ascii="Arial;sans-serif" w:hAnsi="Arial;sans-serif"/>
          <w:b/>
          <w:i/>
          <w:color w:val="000000"/>
          <w:sz w:val="20"/>
        </w:rPr>
        <w:t>Vista</w:t>
      </w:r>
    </w:p>
    <w:p>
      <w:pPr>
        <w:pStyle w:val="TextBody"/>
        <w:spacing w:lineRule="auto" w:line="288" w:before="200" w:after="283"/>
        <w:ind w:left="0" w:right="0" w:firstLine="720"/>
        <w:rPr>
          <w:rFonts w:ascii="Arial;sans-serif" w:hAnsi="Arial;sans-serif"/>
          <w:b w:val="false"/>
          <w:color w:val="000000"/>
          <w:sz w:val="20"/>
        </w:rPr>
      </w:pPr>
      <w:r>
        <w:rPr>
          <w:rFonts w:ascii="Arial;sans-serif" w:hAnsi="Arial;sans-serif"/>
          <w:b w:val="false"/>
          <w:color w:val="000000"/>
          <w:sz w:val="20"/>
        </w:rPr>
        <w:t>During the fourth quarter of fiscal year 2022, we revised our internal reporting to reallocate certain third-party technology costs that were previously held within our Central and corporate costs to our Vista business and reportable segment. These include certain third-party costs that are variable in nature and the cost variability is primarily driven by decisions or volumes in the Vista business. We revised our presentation of all prior periods presented to reflect our updated segment reporting, which decreased both Vista segment EBITDA and Central and corporate costs by $1.9 million and $4.9 million, respectively, for the three and nine months ended March 31, 2023.</w:t>
      </w:r>
    </w:p>
    <w:tbl>
      <w:tblPr>
        <w:tblW w:w="10205" w:type="dxa"/>
        <w:jc w:val="left"/>
        <w:tblInd w:w="0" w:type="dxa"/>
        <w:tblCellMar>
          <w:top w:w="28" w:type="dxa"/>
          <w:left w:w="28" w:type="dxa"/>
          <w:bottom w:w="28" w:type="dxa"/>
          <w:right w:w="28" w:type="dxa"/>
        </w:tblCellMar>
      </w:tblPr>
      <w:tblGrid>
        <w:gridCol w:w="465"/>
        <w:gridCol w:w="409"/>
        <w:gridCol w:w="410"/>
        <w:gridCol w:w="211"/>
        <w:gridCol w:w="826"/>
        <w:gridCol w:w="271"/>
        <w:gridCol w:w="109"/>
        <w:gridCol w:w="109"/>
        <w:gridCol w:w="109"/>
        <w:gridCol w:w="211"/>
        <w:gridCol w:w="826"/>
        <w:gridCol w:w="271"/>
        <w:gridCol w:w="109"/>
        <w:gridCol w:w="109"/>
        <w:gridCol w:w="109"/>
        <w:gridCol w:w="219"/>
        <w:gridCol w:w="210"/>
        <w:gridCol w:w="211"/>
        <w:gridCol w:w="109"/>
        <w:gridCol w:w="109"/>
        <w:gridCol w:w="109"/>
        <w:gridCol w:w="211"/>
        <w:gridCol w:w="976"/>
        <w:gridCol w:w="271"/>
        <w:gridCol w:w="109"/>
        <w:gridCol w:w="109"/>
        <w:gridCol w:w="109"/>
        <w:gridCol w:w="211"/>
        <w:gridCol w:w="976"/>
        <w:gridCol w:w="271"/>
        <w:gridCol w:w="109"/>
        <w:gridCol w:w="109"/>
        <w:gridCol w:w="109"/>
        <w:gridCol w:w="109"/>
        <w:gridCol w:w="109"/>
        <w:gridCol w:w="210"/>
        <w:gridCol w:w="210"/>
        <w:gridCol w:w="211"/>
        <w:gridCol w:w="109"/>
        <w:gridCol w:w="156"/>
      </w:tblGrid>
      <w:tr>
        <w:trPr/>
        <w:tc>
          <w:tcPr>
            <w:tcW w:w="465"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In thousands</w:t>
            </w:r>
            <w:r>
              <w:rPr>
                <w:color w:val="000000"/>
              </w:rPr>
              <w:t> </w:t>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349,216 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1,203,747 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1,146,810 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270"/>
        <w:rPr/>
      </w:pPr>
      <w:r>
        <w:rPr/>
      </w:r>
    </w:p>
    <w:p>
      <w:pPr>
        <w:pStyle w:val="TextBody"/>
        <w:spacing w:lineRule="auto" w:line="288" w:before="120" w:after="283"/>
        <w:rPr>
          <w:rFonts w:ascii="Arial;sans-serif" w:hAnsi="Arial;sans-serif"/>
          <w:b w:val="false"/>
          <w:i/>
          <w:color w:val="000000"/>
          <w:sz w:val="20"/>
        </w:rPr>
      </w:pPr>
      <w:r>
        <w:rPr>
          <w:rFonts w:ascii="Arial;sans-serif" w:hAnsi="Arial;sans-serif"/>
          <w:b w:val="false"/>
          <w:i/>
          <w:color w:val="000000"/>
          <w:sz w:val="20"/>
        </w:rPr>
        <w:t>Segment Revenue</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Vista's reported revenue growth for the three and nine months ended March 31, 2023 was negatively affected by a currency impact of 2% and 4%, respectively. Vista's organic constant-currency revenue growth was 16% and 8%, respectively, for the three and nine months ended March 31, 2023. Constant-currency revenue growth was driven by new customer count and new customer bookings growth across all major markets, as well as increased repeat customer bookings. From a product perspective, the strongest growth was in the promotional products, apparel and gifts (PPAG) category, as well as business cards, marketing materials, packaging and signage. For the three and nine months ended March 31, 2023, holiday cards and invitations and announcements declined, particularly in the U.S. market, which had a more pronounced impact during our seasonally significant second quarter. For the three and nine months ended March 31, 2023, revenue growth was negatively impacted year over year by a decline in face mask sales of $1.7 million and $10.2 million, respectively, as well as lower revenue year over year of $2.1 million and $5.4 million, respectively, due to our planned exit from the Japanese market.</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For the three months ended March 31, 2023, segment EBITDA increased by $34.9 million, through a combination of factors including revenue growth described above. Gross margins were flat year over year as inflationary cost pressures began to lessen and further price increases were implemented. In addition, advertising spend decreased $4.1 million year over year, as a result of increased efficiency and a reduction in spend in non-core categories. We also continue to test a higher mix of mid- and upper-funnel advertising spend compared to lower-funnel spend, which we believe should help us improve awareness and consideration with customers and prospects with less reliance on paid search advertising. We delivered some operating expense efficiencies this quarter, although the cost reduction implemented and announced in March did not materially benefit the quarter.</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For the nine months ended March 31, 2023, segment EBITDA decreased by $36.9 million, due in part to cost inflation that had a larger net impact on our results during the first half of fiscal 2023. Product mix weighed on Vista's gross margins during the first half of fiscal year 2023, when we experienced the fastest growth in product categories like PPAG that have lower gross margins although higher average order values. Changes in currency exchange rates had a negative impact during the nine months ended March 31, 2023. Vista's advertising expense increased by $19.4 million year over year, driven by higher mid- and upper funnel advertising spend, mainly during the first half of fiscal 2023. Operating expenses also increased $3.0 million due to increased growth investments made last year, which we've fully lapped during the current quarter and were starting to be offset by cost reductions implemented in March 2023.</w:t>
      </w:r>
    </w:p>
    <w:p>
      <w:pPr>
        <w:pStyle w:val="TextBody"/>
        <w:spacing w:lineRule="auto" w:line="288" w:before="220" w:after="283"/>
        <w:rPr>
          <w:rFonts w:ascii="Arial;sans-serif" w:hAnsi="Arial;sans-serif"/>
          <w:b/>
          <w:i/>
          <w:color w:val="000000"/>
          <w:sz w:val="20"/>
        </w:rPr>
      </w:pPr>
      <w:r>
        <w:rPr>
          <w:rFonts w:ascii="Arial;sans-serif" w:hAnsi="Arial;sans-serif"/>
          <w:b/>
          <w:i/>
          <w:color w:val="000000"/>
          <w:sz w:val="20"/>
        </w:rPr>
        <w:t>PrintBrothers</w:t>
      </w:r>
    </w:p>
    <w:tbl>
      <w:tblPr>
        <w:tblW w:w="10205" w:type="dxa"/>
        <w:jc w:val="center"/>
        <w:tblInd w:w="0" w:type="dxa"/>
        <w:tblCellMar>
          <w:top w:w="28" w:type="dxa"/>
          <w:left w:w="28" w:type="dxa"/>
          <w:bottom w:w="28" w:type="dxa"/>
          <w:right w:w="28" w:type="dxa"/>
        </w:tblCellMar>
      </w:tblPr>
      <w:tblGrid>
        <w:gridCol w:w="498"/>
        <w:gridCol w:w="439"/>
        <w:gridCol w:w="440"/>
        <w:gridCol w:w="211"/>
        <w:gridCol w:w="826"/>
        <w:gridCol w:w="271"/>
        <w:gridCol w:w="109"/>
        <w:gridCol w:w="109"/>
        <w:gridCol w:w="109"/>
        <w:gridCol w:w="211"/>
        <w:gridCol w:w="826"/>
        <w:gridCol w:w="271"/>
        <w:gridCol w:w="109"/>
        <w:gridCol w:w="109"/>
        <w:gridCol w:w="109"/>
        <w:gridCol w:w="245"/>
        <w:gridCol w:w="245"/>
        <w:gridCol w:w="247"/>
        <w:gridCol w:w="109"/>
        <w:gridCol w:w="109"/>
        <w:gridCol w:w="109"/>
        <w:gridCol w:w="211"/>
        <w:gridCol w:w="826"/>
        <w:gridCol w:w="271"/>
        <w:gridCol w:w="109"/>
        <w:gridCol w:w="109"/>
        <w:gridCol w:w="109"/>
        <w:gridCol w:w="211"/>
        <w:gridCol w:w="826"/>
        <w:gridCol w:w="271"/>
        <w:gridCol w:w="109"/>
        <w:gridCol w:w="109"/>
        <w:gridCol w:w="109"/>
        <w:gridCol w:w="109"/>
        <w:gridCol w:w="109"/>
        <w:gridCol w:w="245"/>
        <w:gridCol w:w="245"/>
        <w:gridCol w:w="247"/>
        <w:gridCol w:w="109"/>
        <w:gridCol w:w="160"/>
      </w:tblGrid>
      <w:tr>
        <w:trPr/>
        <w:tc>
          <w:tcPr>
            <w:tcW w:w="49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i/>
                <w:color w:val="000000"/>
                <w:sz w:val="18"/>
              </w:rPr>
              <w:t>In thousands</w:t>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00"/>
        <w:rPr>
          <w:rFonts w:ascii="Arial;sans-serif" w:hAnsi="Arial;sans-serif"/>
          <w:b w:val="false"/>
          <w:i/>
          <w:color w:val="000000"/>
          <w:sz w:val="20"/>
        </w:rPr>
      </w:pPr>
      <w:r>
        <w:rPr>
          <w:rFonts w:ascii="Arial;sans-serif" w:hAnsi="Arial;sans-serif"/>
          <w:b w:val="false"/>
          <w:i/>
          <w:color w:val="000000"/>
          <w:sz w:val="20"/>
        </w:rPr>
        <w:t>Segment Revenue</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PrintBrothers' reported revenue growth for the three and nine months ended March 31, 2023 was negatively affected by currency impacts of 5% and 12%, respectively. When excluding the benefit from a small recent acquisition, organic constant-currency revenue growth was 22% and 21%, respectively. This strong performance was driven by growth in order volumes and price increases implemented to address inflationary cost increases. </w:t>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Despite a challenging supply chain and inflationary environment, PrintBrothers' segment EBITDA for the three and nine months ended March 31, 2023 grew year over year, driven by the constant-currency revenue growth described above, as well as profit contribution from a business acquired in the last twelve months. Currency exchange fluctuations negatively impacted segment EBITDA year over year by $0.5 million and $4.4 million, for the three and nine months ended March 31, 2023, respectively. We continue to focus on key areas within these businesses to exploit scale advantages and improve their cost competitiveness. These businesses also continue to adopt technologies that are part of our mass customization platform, which we believe will further improve customer value and the efficiency of each business over the long term. </w:t>
      </w:r>
    </w:p>
    <w:p>
      <w:pPr>
        <w:pStyle w:val="TextBody"/>
        <w:spacing w:lineRule="auto" w:line="288" w:before="220" w:after="283"/>
        <w:rPr>
          <w:rFonts w:ascii="Arial;sans-serif" w:hAnsi="Arial;sans-serif"/>
          <w:b/>
          <w:i/>
          <w:color w:val="000000"/>
          <w:sz w:val="20"/>
        </w:rPr>
      </w:pPr>
      <w:r>
        <w:rPr>
          <w:rFonts w:ascii="Arial;sans-serif" w:hAnsi="Arial;sans-serif"/>
          <w:b/>
          <w:i/>
          <w:color w:val="000000"/>
          <w:sz w:val="20"/>
        </w:rPr>
        <w:t>The Print Group</w:t>
      </w:r>
    </w:p>
    <w:tbl>
      <w:tblPr>
        <w:tblW w:w="10205" w:type="dxa"/>
        <w:jc w:val="center"/>
        <w:tblInd w:w="0" w:type="dxa"/>
        <w:tblCellMar>
          <w:top w:w="28" w:type="dxa"/>
          <w:left w:w="28" w:type="dxa"/>
          <w:bottom w:w="28" w:type="dxa"/>
          <w:right w:w="28" w:type="dxa"/>
        </w:tblCellMar>
      </w:tblPr>
      <w:tblGrid>
        <w:gridCol w:w="527"/>
        <w:gridCol w:w="464"/>
        <w:gridCol w:w="465"/>
        <w:gridCol w:w="211"/>
        <w:gridCol w:w="721"/>
        <w:gridCol w:w="271"/>
        <w:gridCol w:w="109"/>
        <w:gridCol w:w="109"/>
        <w:gridCol w:w="109"/>
        <w:gridCol w:w="211"/>
        <w:gridCol w:w="721"/>
        <w:gridCol w:w="271"/>
        <w:gridCol w:w="109"/>
        <w:gridCol w:w="109"/>
        <w:gridCol w:w="109"/>
        <w:gridCol w:w="267"/>
        <w:gridCol w:w="267"/>
        <w:gridCol w:w="269"/>
        <w:gridCol w:w="109"/>
        <w:gridCol w:w="109"/>
        <w:gridCol w:w="109"/>
        <w:gridCol w:w="211"/>
        <w:gridCol w:w="826"/>
        <w:gridCol w:w="271"/>
        <w:gridCol w:w="109"/>
        <w:gridCol w:w="109"/>
        <w:gridCol w:w="109"/>
        <w:gridCol w:w="211"/>
        <w:gridCol w:w="826"/>
        <w:gridCol w:w="271"/>
        <w:gridCol w:w="109"/>
        <w:gridCol w:w="109"/>
        <w:gridCol w:w="109"/>
        <w:gridCol w:w="109"/>
        <w:gridCol w:w="109"/>
        <w:gridCol w:w="267"/>
        <w:gridCol w:w="267"/>
        <w:gridCol w:w="269"/>
        <w:gridCol w:w="109"/>
        <w:gridCol w:w="159"/>
      </w:tblGrid>
      <w:tr>
        <w:trPr/>
        <w:tc>
          <w:tcPr>
            <w:tcW w:w="52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i/>
                <w:color w:val="000000"/>
                <w:sz w:val="18"/>
              </w:rPr>
              <w:t>In thousands</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39,490 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120" w:after="283"/>
        <w:rPr>
          <w:rFonts w:ascii="Arial;sans-serif" w:hAnsi="Arial;sans-serif"/>
          <w:b w:val="false"/>
          <w:i/>
          <w:color w:val="000000"/>
          <w:sz w:val="20"/>
        </w:rPr>
      </w:pPr>
      <w:r>
        <w:rPr>
          <w:rFonts w:ascii="Arial;sans-serif" w:hAnsi="Arial;sans-serif"/>
          <w:b w:val="false"/>
          <w:i/>
          <w:color w:val="000000"/>
          <w:sz w:val="20"/>
        </w:rPr>
        <w:t>Segment Revenue</w:t>
      </w:r>
    </w:p>
    <w:p>
      <w:pPr>
        <w:pStyle w:val="TextBody"/>
        <w:spacing w:lineRule="auto" w:line="288" w:before="220" w:after="283"/>
        <w:ind w:left="0" w:right="0" w:firstLine="720"/>
        <w:rPr/>
      </w:pPr>
      <w:r>
        <w:rPr>
          <w:rFonts w:ascii="Arial;sans-serif" w:hAnsi="Arial;sans-serif"/>
          <w:b w:val="false"/>
          <w:color w:val="000000"/>
          <w:sz w:val="20"/>
        </w:rPr>
        <w:t>The Print Group's reported revenue for the three and nine months ended March 31, 2023 was negatively affected by a currency impact of 6% and 11%, respectively, resulting in an increase to revenue on a constant-currency basis of</w:t>
      </w:r>
      <w:r>
        <w:rPr>
          <w:color w:val="000000"/>
        </w:rPr>
        <w:t xml:space="preserve"> </w:t>
      </w:r>
      <w:r>
        <w:rPr>
          <w:rFonts w:ascii="Arial;sans-serif" w:hAnsi="Arial;sans-serif"/>
          <w:b w:val="false"/>
          <w:color w:val="000000"/>
          <w:sz w:val="20"/>
        </w:rPr>
        <w:t>19% and</w:t>
      </w:r>
      <w:r>
        <w:rPr>
          <w:color w:val="000000"/>
        </w:rPr>
        <w:t xml:space="preserve"> </w:t>
      </w:r>
      <w:r>
        <w:rPr>
          <w:rFonts w:ascii="Arial;sans-serif" w:hAnsi="Arial;sans-serif"/>
          <w:b w:val="false"/>
          <w:color w:val="000000"/>
          <w:sz w:val="20"/>
        </w:rPr>
        <w:t>17%, respectively. Constant-currency revenue growth was largely driven by price increases that have been implemented over the past year to address inflationary cost increases, as well as volume growth and increased order fulfillment for other Cimpress businesses.</w:t>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The increase in The Print Group's segment EBITDA during the three months ended March 31, 2023, as compared to the prior year, was driven by the revenue growth described above, as well as gross margin improvements due to lower shipping costs and benefits from a higher mix of insourced order production. The decrease in The Print Group's segment EBITDA during the nine months ended March 31, 2023 as compared to the prior year was largely due to higher input costs that are impacted by supply chain disruptions and higher shipping and energy costs, which had a larger impact during the first half of fiscal 2023. For the three and nine months ended March 31, 2023, currency exchange fluctuations negatively impacted segment EBITDA year over year by $0.6 million and $4.4 million, respectively.</w:t>
      </w:r>
    </w:p>
    <w:p>
      <w:pPr>
        <w:pStyle w:val="TextBody"/>
        <w:spacing w:lineRule="auto" w:line="288" w:before="220" w:after="283"/>
        <w:rPr>
          <w:rFonts w:ascii="Arial;sans-serif" w:hAnsi="Arial;sans-serif"/>
          <w:b/>
          <w:i/>
          <w:color w:val="000000"/>
          <w:sz w:val="20"/>
        </w:rPr>
      </w:pPr>
      <w:r>
        <w:rPr>
          <w:rFonts w:ascii="Arial;sans-serif" w:hAnsi="Arial;sans-serif"/>
          <w:b/>
          <w:i/>
          <w:color w:val="000000"/>
          <w:sz w:val="20"/>
        </w:rPr>
        <w:t>National Pen</w:t>
      </w:r>
    </w:p>
    <w:tbl>
      <w:tblPr>
        <w:tblW w:w="10205" w:type="dxa"/>
        <w:jc w:val="center"/>
        <w:tblInd w:w="0" w:type="dxa"/>
        <w:tblCellMar>
          <w:top w:w="28" w:type="dxa"/>
          <w:left w:w="28" w:type="dxa"/>
          <w:bottom w:w="28" w:type="dxa"/>
          <w:right w:w="28" w:type="dxa"/>
        </w:tblCellMar>
      </w:tblPr>
      <w:tblGrid>
        <w:gridCol w:w="523"/>
        <w:gridCol w:w="461"/>
        <w:gridCol w:w="463"/>
        <w:gridCol w:w="211"/>
        <w:gridCol w:w="721"/>
        <w:gridCol w:w="271"/>
        <w:gridCol w:w="109"/>
        <w:gridCol w:w="109"/>
        <w:gridCol w:w="109"/>
        <w:gridCol w:w="211"/>
        <w:gridCol w:w="721"/>
        <w:gridCol w:w="271"/>
        <w:gridCol w:w="109"/>
        <w:gridCol w:w="109"/>
        <w:gridCol w:w="109"/>
        <w:gridCol w:w="289"/>
        <w:gridCol w:w="265"/>
        <w:gridCol w:w="266"/>
        <w:gridCol w:w="109"/>
        <w:gridCol w:w="109"/>
        <w:gridCol w:w="109"/>
        <w:gridCol w:w="211"/>
        <w:gridCol w:w="826"/>
        <w:gridCol w:w="271"/>
        <w:gridCol w:w="109"/>
        <w:gridCol w:w="109"/>
        <w:gridCol w:w="109"/>
        <w:gridCol w:w="211"/>
        <w:gridCol w:w="826"/>
        <w:gridCol w:w="271"/>
        <w:gridCol w:w="109"/>
        <w:gridCol w:w="109"/>
        <w:gridCol w:w="109"/>
        <w:gridCol w:w="109"/>
        <w:gridCol w:w="109"/>
        <w:gridCol w:w="265"/>
        <w:gridCol w:w="265"/>
        <w:gridCol w:w="266"/>
        <w:gridCol w:w="109"/>
        <w:gridCol w:w="158"/>
      </w:tblGrid>
      <w:tr>
        <w:trPr/>
        <w:tc>
          <w:tcPr>
            <w:tcW w:w="523"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Arial;sans-serif" w:hAnsi="Arial;sans-serif"/>
          <w:b w:val="false"/>
          <w:i/>
          <w:color w:val="000000"/>
          <w:sz w:val="20"/>
        </w:rPr>
        <w:t>Segment</w:t>
      </w:r>
      <w:r>
        <w:rPr>
          <w:color w:val="000000"/>
        </w:rPr>
        <w:t xml:space="preserve"> </w:t>
      </w:r>
      <w:r>
        <w:rPr>
          <w:rFonts w:ascii="Arial;sans-serif" w:hAnsi="Arial;sans-serif"/>
          <w:b w:val="false"/>
          <w:i/>
          <w:color w:val="000000"/>
          <w:sz w:val="20"/>
        </w:rPr>
        <w:t>Revenue</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For the three and nine months ended March 31, 2023, National Pen's revenue growth was negatively affected by currency impacts of 3% and 6%, respectively, resulting in constant-currency revenue growth of 15% and 12%, respectively. Constant-currency revenue growth was driven by price increases that have been implemented over the past year to address inflationary cost increases, as well as volume growth in new product categories that include bags and drinkware. Year-over-year revenue growth was negatively impacted by our planned exit from the Japanese market by approximately $2.6 million and $9.9 million for the three and nine months ended March 31, 2023, respectively, as well as the decline in face mask sales by approximately $1.2 million and $8.5 million, respectively.</w:t>
      </w:r>
    </w:p>
    <w:p>
      <w:pPr>
        <w:pStyle w:val="TextBody"/>
        <w:spacing w:lineRule="auto" w:line="288" w:before="220" w:after="220"/>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spacing w:lineRule="auto" w:line="288" w:before="0" w:after="160"/>
        <w:ind w:left="0" w:right="0" w:firstLine="720"/>
        <w:rPr>
          <w:rFonts w:ascii="Arial;sans-serif" w:hAnsi="Arial;sans-serif"/>
          <w:b w:val="false"/>
          <w:color w:val="000000"/>
          <w:sz w:val="20"/>
        </w:rPr>
      </w:pPr>
      <w:r>
        <w:rPr>
          <w:rFonts w:ascii="Arial;sans-serif" w:hAnsi="Arial;sans-serif"/>
          <w:b w:val="false"/>
          <w:color w:val="000000"/>
          <w:sz w:val="20"/>
        </w:rPr>
        <w:t>The decrease in National Pen's segment EBITDA for the three and nine months ended March 31, 2023 was driven by negative currency impacts of $1.1 million and $6.5 million, respectively. During the third quarter of fiscal 2023, segment EBITDA was negatively impacted by contribution margin compression due to increased ad spend across direct mail and web channels, as well as unfavorable product mix shifts to newer product introductions. In addition, operating expenses increased due to higher tech spend and customer service costs driven by higher sales volumes. For the nine months ended March 31, 2023, segment EBITDA benefited from lower advertising spend during the first half of the year, as well as less pronounced impacts from product mix shifts during that same period.</w:t>
      </w:r>
    </w:p>
    <w:p>
      <w:pPr>
        <w:pStyle w:val="TextBody"/>
        <w:spacing w:lineRule="auto" w:line="288" w:before="0" w:after="0"/>
        <w:rPr>
          <w:rFonts w:ascii="Arial;sans-serif" w:hAnsi="Arial;sans-serif"/>
          <w:b/>
          <w:i/>
          <w:color w:val="000000"/>
          <w:sz w:val="20"/>
        </w:rPr>
      </w:pPr>
      <w:r>
        <w:rPr>
          <w:rFonts w:ascii="Arial;sans-serif" w:hAnsi="Arial;sans-serif"/>
          <w:b/>
          <w:i/>
          <w:color w:val="000000"/>
          <w:sz w:val="20"/>
        </w:rPr>
        <w:t>All Other Businesses</w:t>
      </w:r>
    </w:p>
    <w:tbl>
      <w:tblPr>
        <w:tblW w:w="10205" w:type="dxa"/>
        <w:jc w:val="center"/>
        <w:tblInd w:w="0" w:type="dxa"/>
        <w:tblCellMar>
          <w:top w:w="28" w:type="dxa"/>
          <w:left w:w="28" w:type="dxa"/>
          <w:bottom w:w="28" w:type="dxa"/>
          <w:right w:w="28" w:type="dxa"/>
        </w:tblCellMar>
      </w:tblPr>
      <w:tblGrid>
        <w:gridCol w:w="533"/>
        <w:gridCol w:w="470"/>
        <w:gridCol w:w="471"/>
        <w:gridCol w:w="211"/>
        <w:gridCol w:w="721"/>
        <w:gridCol w:w="271"/>
        <w:gridCol w:w="109"/>
        <w:gridCol w:w="109"/>
        <w:gridCol w:w="109"/>
        <w:gridCol w:w="211"/>
        <w:gridCol w:w="721"/>
        <w:gridCol w:w="271"/>
        <w:gridCol w:w="109"/>
        <w:gridCol w:w="109"/>
        <w:gridCol w:w="109"/>
        <w:gridCol w:w="264"/>
        <w:gridCol w:w="264"/>
        <w:gridCol w:w="266"/>
        <w:gridCol w:w="109"/>
        <w:gridCol w:w="109"/>
        <w:gridCol w:w="109"/>
        <w:gridCol w:w="211"/>
        <w:gridCol w:w="826"/>
        <w:gridCol w:w="271"/>
        <w:gridCol w:w="109"/>
        <w:gridCol w:w="109"/>
        <w:gridCol w:w="109"/>
        <w:gridCol w:w="211"/>
        <w:gridCol w:w="826"/>
        <w:gridCol w:w="271"/>
        <w:gridCol w:w="109"/>
        <w:gridCol w:w="109"/>
        <w:gridCol w:w="109"/>
        <w:gridCol w:w="109"/>
        <w:gridCol w:w="109"/>
        <w:gridCol w:w="264"/>
        <w:gridCol w:w="264"/>
        <w:gridCol w:w="266"/>
        <w:gridCol w:w="109"/>
        <w:gridCol w:w="159"/>
      </w:tblGrid>
      <w:tr>
        <w:trPr/>
        <w:tc>
          <w:tcPr>
            <w:tcW w:w="53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i/>
                <w:color w:val="000000"/>
                <w:sz w:val="18"/>
              </w:rPr>
              <w:t>In thousands</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1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Reported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5,036 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6,044 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This segment consists of BuildASign, which is a larger and profitable business, and Printi, an early-stage business that we have managed at a relatively modest operating loss as previously described and planned. This segment also included results from our recently divested YSD business that was completed during the third quarter of fiscal 2023.</w:t>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Segment Revenue</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All Other Businesses' constant-currency revenue growth was 1% and 4% during the three and nine months ended March 31, 2023, respectively. BuildASign generates the majority of revenue in this segment, and for the three months ended March 31, 2023 revenue was flat year over year and grew for the nine months ended March 31, 2023, with mixed performance by product line. Printi delivered solid revenue growth across product lines and channels due to price increases implemented over the past year.</w:t>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The decrease in segment EBITDA for the three and nine months ended March 31, 2023 as compared to the prior comparative periods, was primarily due to lower gross margins driven by higher input costs that had a larger impact on BuildASign's home decor products, including increased labor and marketing costs.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During the fourth quarter of fiscal year 2022, we decided to divest our small, loss-making business in China (YSD), which is reported as part of this segment. Our loss was lower this quarter due to the decreased operating expenses as we prepared to divest the business, which was completed in early January 2023. </w:t>
      </w: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Central and Corporate Costs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Board of Directors, CEO, and the teams managing corporate activities, such as treasury, tax, capital allocation, financial consolidation, internal audit and legal. These costs also include certain unallocated share-based compensation costs.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During the fourth quarter of fiscal year 2022, we revised our internal reporting to reallocate certain third-party technology costs that were previously held within our Central and corporate costs to our Vista business. We have revised our presentation of all prior periods presented to reflect our revised segment reporting. Refer to Note 11 in our accompanying consolidated financial statements for additional details.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Central and corporate costs decreased by $1.6 million and $2.1 million during the three and nine months ended March 31, 2023, respectively, as compared to the prior periods, driven by favorability from unallocated share-based compensation due to changes in the mix of equity instruments and forfeitures from recent cost reduction actions. These decreases were partially offset by compensation increases as a result of our inflation-adjusted annual merit cycle and volume-related technology costs.</w:t>
      </w: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Liquidity and Capital Resources</w:t>
      </w:r>
    </w:p>
    <w:p>
      <w:pPr>
        <w:pStyle w:val="TextBody"/>
        <w:spacing w:lineRule="auto" w:line="288" w:before="220" w:after="283"/>
        <w:rPr>
          <w:rFonts w:ascii="Arial;sans-serif" w:hAnsi="Arial;sans-serif"/>
          <w:b/>
          <w:i/>
          <w:color w:val="000000"/>
          <w:sz w:val="20"/>
        </w:rPr>
      </w:pPr>
      <w:r>
        <w:rPr>
          <w:rFonts w:ascii="Arial;sans-serif" w:hAnsi="Arial;sans-serif"/>
          <w:b/>
          <w:i/>
          <w:color w:val="000000"/>
          <w:sz w:val="20"/>
        </w:rPr>
        <w:t>Consolidated Statements of Cash Flows Data</w:t>
      </w:r>
    </w:p>
    <w:tbl>
      <w:tblPr>
        <w:tblW w:w="7412" w:type="dxa"/>
        <w:jc w:val="left"/>
        <w:tblInd w:w="0" w:type="dxa"/>
        <w:tblCellMar>
          <w:top w:w="28" w:type="dxa"/>
          <w:left w:w="28" w:type="dxa"/>
          <w:bottom w:w="28" w:type="dxa"/>
          <w:right w:w="28" w:type="dxa"/>
        </w:tblCellMar>
      </w:tblPr>
      <w:tblGrid>
        <w:gridCol w:w="1237"/>
        <w:gridCol w:w="1090"/>
        <w:gridCol w:w="1093"/>
        <w:gridCol w:w="109"/>
        <w:gridCol w:w="109"/>
        <w:gridCol w:w="176"/>
        <w:gridCol w:w="176"/>
        <w:gridCol w:w="342"/>
        <w:gridCol w:w="1168"/>
        <w:gridCol w:w="176"/>
        <w:gridCol w:w="109"/>
        <w:gridCol w:w="109"/>
        <w:gridCol w:w="109"/>
        <w:gridCol w:w="211"/>
        <w:gridCol w:w="826"/>
        <w:gridCol w:w="109"/>
        <w:gridCol w:w="109"/>
        <w:gridCol w:w="154"/>
      </w:tblGrid>
      <w:tr>
        <w:trPr/>
        <w:tc>
          <w:tcPr>
            <w:tcW w:w="1237"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i/>
                <w:color w:val="000000"/>
                <w:sz w:val="18"/>
              </w:rPr>
              <w:t>In thousands</w:t>
            </w: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736" w:type="dxa"/>
            <w:gridSpan w:val="8"/>
            <w:tcBorders/>
            <w:shd w:fill="auto" w:val="clea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(108,351)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(125,766)</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Arial;sans-serif" w:hAnsi="Arial;sans-serif"/>
          <w:b w:val="false"/>
          <w:color w:val="000000"/>
          <w:sz w:val="20"/>
        </w:rPr>
      </w:pPr>
      <w:r>
        <w:rPr>
          <w:rFonts w:ascii="Arial;sans-serif" w:hAnsi="Arial;sans-serif"/>
          <w:b w:val="false"/>
          <w:color w:val="000000"/>
          <w:sz w:val="20"/>
        </w:rPr>
        <w:t xml:space="preserve">The cash flows during the nine months ended March 31, 2023 related primarily to the following items: </w:t>
      </w:r>
    </w:p>
    <w:p>
      <w:pPr>
        <w:pStyle w:val="TextBody"/>
        <w:spacing w:lineRule="auto" w:line="288" w:before="180" w:after="283"/>
        <w:rPr/>
      </w:pPr>
      <w:r>
        <w:rPr>
          <w:rFonts w:ascii="Arial;sans-serif" w:hAnsi="Arial;sans-serif"/>
          <w:b w:val="false"/>
          <w:i/>
          <w:color w:val="000000"/>
          <w:sz w:val="20"/>
        </w:rPr>
        <w:t>Cash inflows:</w:t>
      </w:r>
      <w:r>
        <w:rPr>
          <w:color w:val="EE2724"/>
        </w:rPr>
        <w:t xml:space="preserve"> </w:t>
      </w:r>
    </w:p>
    <w:p>
      <w:pPr>
        <w:pStyle w:val="TextBody"/>
        <w:spacing w:lineRule="auto" w:line="288" w:before="220" w:after="283"/>
        <w:ind w:left="0" w:right="0" w:hanging="360"/>
        <w:rPr/>
      </w:pPr>
      <w:r>
        <w:rPr>
          <w:color w:val="000000"/>
        </w:rPr>
        <w:t>•</w:t>
      </w:r>
      <w:r>
        <w:rPr>
          <w:rFonts w:ascii="Arial;sans-serif" w:hAnsi="Arial;sans-serif"/>
          <w:b w:val="false"/>
          <w:color w:val="000000"/>
          <w:sz w:val="20"/>
        </w:rPr>
        <w:t>Adjustments for non-cash items of $309.7 million primarily related to adjustments for depreciation and amortization of $121.6 million, deferred taxes of $116.0 million, share-based compensation costs of $31.4 million, and unrealized currency-related losses of $25.5 million.</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i/>
          <w:color w:val="000000"/>
          <w:sz w:val="20"/>
        </w:rPr>
      </w:pPr>
      <w:r>
        <w:rPr>
          <w:rFonts w:ascii="Arial;sans-serif" w:hAnsi="Arial;sans-serif"/>
          <w:b w:val="false"/>
          <w:i/>
          <w:color w:val="000000"/>
          <w:sz w:val="20"/>
        </w:rPr>
        <w:t>Cash outflows:</w:t>
      </w:r>
    </w:p>
    <w:p>
      <w:pPr>
        <w:pStyle w:val="TextBody"/>
        <w:spacing w:lineRule="auto" w:line="288" w:before="220" w:after="283"/>
        <w:ind w:left="0" w:right="0" w:hanging="360"/>
        <w:rPr/>
      </w:pPr>
      <w:r>
        <w:rPr>
          <w:color w:val="000000"/>
        </w:rPr>
        <w:t>•</w:t>
      </w:r>
      <w:r>
        <w:rPr>
          <w:rFonts w:ascii="Arial;sans-serif" w:hAnsi="Arial;sans-serif"/>
          <w:b w:val="false"/>
          <w:color w:val="000000"/>
          <w:sz w:val="20"/>
        </w:rPr>
        <w:t>Net loss of $213.1 million</w:t>
      </w:r>
    </w:p>
    <w:p>
      <w:pPr>
        <w:pStyle w:val="TextBody"/>
        <w:spacing w:lineRule="auto" w:line="288" w:before="220" w:after="283"/>
        <w:ind w:left="0" w:right="0" w:hanging="360"/>
        <w:rPr/>
      </w:pPr>
      <w:r>
        <w:rPr>
          <w:color w:val="000000"/>
        </w:rPr>
        <w:t>•</w:t>
      </w:r>
      <w:r>
        <w:rPr>
          <w:rFonts w:ascii="Arial;sans-serif" w:hAnsi="Arial;sans-serif"/>
          <w:b w:val="false"/>
          <w:color w:val="000000"/>
          <w:sz w:val="20"/>
        </w:rPr>
        <w:t>Exercise of PrintBrothers' and BuildASign minority equity interest holders' put options for $95.6 million; refer to Note 10 in the accompanying consolidated financial statements for additional details</w:t>
      </w:r>
    </w:p>
    <w:p>
      <w:pPr>
        <w:pStyle w:val="TextBody"/>
        <w:spacing w:lineRule="auto" w:line="288" w:before="220" w:after="283"/>
        <w:ind w:left="0" w:right="0" w:hanging="360"/>
        <w:rPr/>
      </w:pPr>
      <w:r>
        <w:rPr>
          <w:color w:val="000000"/>
        </w:rPr>
        <w:t>•</w:t>
      </w:r>
      <w:r>
        <w:rPr>
          <w:rFonts w:ascii="Arial;sans-serif" w:hAnsi="Arial;sans-serif"/>
          <w:b w:val="false"/>
          <w:color w:val="000000"/>
          <w:sz w:val="20"/>
        </w:rPr>
        <w:t>Total net working capital impacts of $28.1 million were a use of cash, primarily due to timing impacts from unfavorable changes to accounts payable, partially offset by an inflow from accrued expenses driven by an increase in restructuring-related accruals of $15.3 million. Refer to Note 13 in the accompanying consolidated financial statements for additional details.</w:t>
      </w:r>
    </w:p>
    <w:p>
      <w:pPr>
        <w:pStyle w:val="TextBody"/>
        <w:spacing w:lineRule="auto" w:line="288" w:before="220" w:after="283"/>
        <w:ind w:left="0" w:right="0" w:hanging="360"/>
        <w:rPr/>
      </w:pPr>
      <w:r>
        <w:rPr>
          <w:color w:val="000000"/>
        </w:rPr>
        <w:t>•</w:t>
      </w:r>
      <w:r>
        <w:rPr>
          <w:rFonts w:ascii="Arial;sans-serif" w:hAnsi="Arial;sans-serif"/>
          <w:b w:val="false"/>
          <w:color w:val="000000"/>
          <w:sz w:val="20"/>
        </w:rPr>
        <w:t xml:space="preserve">Internal and external costs of $44.2 million for software and website development that we have capitalized </w:t>
      </w:r>
    </w:p>
    <w:p>
      <w:pPr>
        <w:pStyle w:val="TextBody"/>
        <w:spacing w:lineRule="auto" w:line="288" w:before="220" w:after="283"/>
        <w:ind w:left="0" w:right="0" w:hanging="360"/>
        <w:rPr/>
      </w:pPr>
      <w:r>
        <w:rPr>
          <w:color w:val="000000"/>
        </w:rPr>
        <w:t>•</w:t>
      </w:r>
      <w:r>
        <w:rPr>
          <w:rFonts w:ascii="Arial;sans-serif" w:hAnsi="Arial;sans-serif"/>
          <w:b w:val="false"/>
          <w:color w:val="000000"/>
          <w:sz w:val="20"/>
        </w:rPr>
        <w:t>Capital expenditures of $37.5 million of which the majority related to the purchase of manufacturing and automation equipment for our production facilities</w:t>
      </w:r>
    </w:p>
    <w:p>
      <w:pPr>
        <w:pStyle w:val="TextBody"/>
        <w:spacing w:lineRule="auto" w:line="288" w:before="220" w:after="283"/>
        <w:ind w:left="0" w:right="0" w:hanging="360"/>
        <w:rPr/>
      </w:pPr>
      <w:r>
        <w:rPr>
          <w:color w:val="000000"/>
        </w:rPr>
        <w:t>•</w:t>
      </w:r>
      <w:r>
        <w:rPr>
          <w:rFonts w:ascii="Arial;sans-serif" w:hAnsi="Arial;sans-serif"/>
          <w:b w:val="false"/>
          <w:color w:val="000000"/>
          <w:sz w:val="20"/>
        </w:rPr>
        <w:t>Purchase of held-to-maturity securities for $23.9 million, net of maturities</w:t>
      </w:r>
    </w:p>
    <w:p>
      <w:pPr>
        <w:pStyle w:val="TextBody"/>
        <w:spacing w:lineRule="auto" w:line="288" w:before="220" w:after="283"/>
        <w:ind w:left="0" w:right="0" w:hanging="360"/>
        <w:rPr/>
      </w:pPr>
      <w:r>
        <w:rPr>
          <w:color w:val="000000"/>
        </w:rPr>
        <w:t>•</w:t>
      </w:r>
      <w:r>
        <w:rPr>
          <w:rFonts w:ascii="Arial;sans-serif" w:hAnsi="Arial;sans-serif"/>
          <w:b w:val="false"/>
          <w:color w:val="000000"/>
          <w:sz w:val="20"/>
        </w:rPr>
        <w:t>Repayments of debt, net of proceeds from debt, for $9.7 million</w:t>
      </w:r>
    </w:p>
    <w:p>
      <w:pPr>
        <w:pStyle w:val="TextBody"/>
        <w:spacing w:lineRule="auto" w:line="288" w:before="220" w:after="283"/>
        <w:ind w:left="0" w:right="0" w:hanging="360"/>
        <w:rPr/>
      </w:pPr>
      <w:r>
        <w:rPr>
          <w:color w:val="000000"/>
        </w:rPr>
        <w:t>•</w:t>
      </w:r>
      <w:r>
        <w:rPr>
          <w:rFonts w:ascii="Arial;sans-serif" w:hAnsi="Arial;sans-serif"/>
          <w:b w:val="false"/>
          <w:color w:val="000000"/>
          <w:sz w:val="20"/>
        </w:rPr>
        <w:t>Payments for finance lease arrangements of $6.0 million</w:t>
      </w:r>
    </w:p>
    <w:p>
      <w:pPr>
        <w:pStyle w:val="TextBody"/>
        <w:spacing w:lineRule="auto" w:line="288" w:before="220" w:after="283"/>
        <w:ind w:left="0" w:right="0" w:hanging="360"/>
        <w:rPr/>
      </w:pPr>
      <w:r>
        <w:rPr>
          <w:color w:val="000000"/>
        </w:rPr>
        <w:t>•</w:t>
      </w:r>
      <w:r>
        <w:rPr>
          <w:rFonts w:ascii="Arial;sans-serif" w:hAnsi="Arial;sans-serif"/>
          <w:b w:val="false"/>
          <w:color w:val="000000"/>
          <w:sz w:val="20"/>
        </w:rPr>
        <w:t>Payment of withholding taxes in connection with share awards of $3.8 million</w:t>
      </w:r>
    </w:p>
    <w:p>
      <w:pPr>
        <w:pStyle w:val="TextBody"/>
        <w:spacing w:lineRule="auto" w:line="288" w:before="220" w:after="283"/>
        <w:ind w:left="0" w:right="0" w:hanging="360"/>
        <w:rPr/>
      </w:pPr>
      <w:r>
        <w:rPr>
          <w:color w:val="000000"/>
        </w:rPr>
        <w:t>•</w:t>
      </w:r>
      <w:r>
        <w:rPr>
          <w:rFonts w:ascii="Arial;sans-serif" w:hAnsi="Arial;sans-serif"/>
          <w:b w:val="false"/>
          <w:color w:val="000000"/>
          <w:sz w:val="20"/>
        </w:rPr>
        <w:t>$3.7 million of distributions to noncontrolling interest holders</w:t>
      </w:r>
    </w:p>
    <w:p>
      <w:pPr>
        <w:pStyle w:val="TextBody"/>
        <w:spacing w:lineRule="auto" w:line="288" w:before="220" w:after="283"/>
        <w:ind w:left="0" w:right="0" w:firstLine="720"/>
        <w:rPr/>
      </w:pPr>
      <w:r>
        <w:rPr>
          <w:rFonts w:ascii="Arial;sans-serif" w:hAnsi="Arial;sans-serif"/>
          <w:b w:val="false"/>
          <w:i/>
          <w:color w:val="000000"/>
          <w:sz w:val="20"/>
        </w:rPr>
        <w:t xml:space="preserve">Additional Liquidity and Capital Resources Information. </w:t>
      </w:r>
      <w:r>
        <w:rPr>
          <w:rFonts w:ascii="Arial;sans-serif" w:hAnsi="Arial;sans-serif"/>
          <w:b w:val="false"/>
          <w:color w:val="000000"/>
          <w:sz w:val="20"/>
        </w:rPr>
        <w:t>At March 31, 2023, we had $115.0 million of cash and cash equivalents, $74.8 million of marketable securities and $1,710.2 million of debt, excluding debt issuance costs and debt premiums and discounts. During the nine months ended March 31, 2023, we financed our operations and strategic investments through internally generated cash flows from operations and cash on hand. We expect to finance our future operations through our cash, investments, operating cash flow and borrowings under our debt arrangements.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In light of our recently implemented cost savings measures and our expectation of continued profitability expansion and cash flow generation, we expect our liquidity to increase in the fourth quarter of fiscal year 2023 and in fiscal year 2024. We have historically used excess cash and cash equivalents for organic investments, share repurchases, acquisitions and equity investments, and debt reduction. We remain committed to reducing our net leverage through a combination of increased profits and lower net debt in line with the detailed plan we outlined in our investor update on March 24, 2023. Therefore, through fiscal year 2024 we expect capital allocation beyond current levels of organic investment to favor net debt reduction, which could include repurchases of our 7.0% Senior Notes due 2026. </w:t>
      </w:r>
    </w:p>
    <w:p>
      <w:pPr>
        <w:pStyle w:val="TextBody"/>
        <w:spacing w:lineRule="auto" w:line="288" w:before="220" w:after="283"/>
        <w:ind w:left="0" w:right="0" w:firstLine="720"/>
        <w:rPr/>
      </w:pPr>
      <w:r>
        <w:rPr>
          <w:rFonts w:ascii="Arial;sans-serif" w:hAnsi="Arial;sans-serif"/>
          <w:b w:val="false"/>
          <w:i/>
          <w:color w:val="000000"/>
          <w:sz w:val="20"/>
        </w:rPr>
        <w:t xml:space="preserve">Indefinitely Reinvested Earnings. </w:t>
      </w:r>
      <w:r>
        <w:rPr>
          <w:rFonts w:ascii="Arial;sans-serif" w:hAnsi="Arial;sans-serif"/>
          <w:b w:val="false"/>
          <w:color w:val="000000"/>
          <w:sz w:val="20"/>
        </w:rPr>
        <w:t>As of March 31, 2023, a portion of our cash and cash equivalents were held by our subsidiaries, and undistributed earnings of our subsidiaries that are considered to be indefinitely reinvested were $53.7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Contractual Obligations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Contractual obligations at March 31, 2023 are as follows:</w:t>
      </w:r>
    </w:p>
    <w:tbl>
      <w:tblPr>
        <w:tblW w:w="10205" w:type="dxa"/>
        <w:jc w:val="center"/>
        <w:tblInd w:w="0" w:type="dxa"/>
        <w:tblCellMar>
          <w:top w:w="28" w:type="dxa"/>
          <w:left w:w="28" w:type="dxa"/>
          <w:bottom w:w="28" w:type="dxa"/>
          <w:right w:w="28" w:type="dxa"/>
        </w:tblCellMar>
      </w:tblPr>
      <w:tblGrid>
        <w:gridCol w:w="1081"/>
        <w:gridCol w:w="869"/>
        <w:gridCol w:w="871"/>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5"/>
      </w:tblGrid>
      <w:tr>
        <w:trPr/>
        <w:tc>
          <w:tcPr>
            <w:tcW w:w="108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8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738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Payments Due by Period</w:t>
            </w:r>
          </w:p>
        </w:tc>
      </w:tr>
      <w:tr>
        <w:trPr/>
        <w:tc>
          <w:tcPr>
            <w:tcW w:w="28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Less</w:t>
              <w:br/>
              <w:t>than 1</w:t>
              <w:br/>
              <w:t>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1-3</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3-5</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More</w:t>
              <w:br/>
              <w:t>than 5</w:t>
              <w:br/>
              <w:t>years</w:t>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net of subleases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commitments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unsecured notes and interest payments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 and interest payments (2)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1,056,395 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 net of subleases (1)</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28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1,089,862 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___________________</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(1) Operating and finance lease payments above include only amounts which are fixed under lease agreements. Our leases may also incur variable expenses which are not reflected in the contractual obligations above.</w:t>
      </w:r>
    </w:p>
    <w:p>
      <w:pPr>
        <w:pStyle w:val="TextBody"/>
        <w:spacing w:lineRule="auto" w:line="288" w:before="60" w:after="283"/>
        <w:ind w:left="0" w:right="0" w:hanging="270"/>
        <w:rPr>
          <w:rFonts w:ascii="Arial;sans-serif" w:hAnsi="Arial;sans-serif"/>
          <w:b w:val="false"/>
          <w:color w:val="000000"/>
          <w:sz w:val="16"/>
        </w:rPr>
      </w:pPr>
      <w:r>
        <w:rPr>
          <w:rFonts w:ascii="Arial;sans-serif" w:hAnsi="Arial;sans-serif"/>
          <w:b w:val="false"/>
          <w:color w:val="000000"/>
          <w:sz w:val="16"/>
        </w:rPr>
        <w:t xml:space="preserve">(2) Senior secured credit facility and interest payments include the effects of interest rate swaps, whether they are expected to be payments or receipts of cash. </w:t>
      </w:r>
    </w:p>
    <w:p>
      <w:pPr>
        <w:pStyle w:val="TextBody"/>
        <w:spacing w:lineRule="auto" w:line="288" w:before="100" w:after="283"/>
        <w:ind w:left="0" w:right="0" w:hanging="270"/>
        <w:rPr>
          <w:rFonts w:ascii="Arial;sans-serif" w:hAnsi="Arial;sans-serif"/>
          <w:b w:val="false"/>
          <w:color w:val="000000"/>
          <w:sz w:val="16"/>
        </w:rPr>
      </w:pPr>
      <w:r>
        <w:rPr>
          <w:rFonts w:ascii="Arial;sans-serif" w:hAnsi="Arial;sans-serif"/>
          <w:b w:val="false"/>
          <w:color w:val="000000"/>
          <w:sz w:val="16"/>
        </w:rPr>
        <w:t>(3) 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$9.6 million as of March 31, 2023 have been excluded from the contractual obligations table above. See Note 9 in our accompanying consolidated financial statements for further information on uncertain tax positions.</w:t>
      </w:r>
    </w:p>
    <w:p>
      <w:pPr>
        <w:pStyle w:val="TextBody"/>
        <w:spacing w:lineRule="auto" w:line="288" w:before="220" w:after="283"/>
        <w:ind w:left="0" w:right="0" w:firstLine="720"/>
        <w:rPr/>
      </w:pPr>
      <w:r>
        <w:rPr>
          <w:rFonts w:ascii="Arial;sans-serif" w:hAnsi="Arial;sans-serif"/>
          <w:b w:val="false"/>
          <w:i/>
          <w:color w:val="000000"/>
          <w:sz w:val="20"/>
        </w:rPr>
        <w:t>Operating Leases</w:t>
      </w:r>
      <w:r>
        <w:rPr>
          <w:rFonts w:ascii="Arial;sans-serif" w:hAnsi="Arial;sans-serif"/>
          <w:b w:val="false"/>
          <w:color w:val="000000"/>
          <w:sz w:val="20"/>
        </w:rPr>
        <w:t>. We rent manufacturing facilities and office space under operating leases expiring on various dates through 2037. The terms of certain lease agreements require security deposits in the form of bank guarantees and letters of credit, with $1.5 million in the aggregate outstanding as of March 31, 2023</w:t>
      </w:r>
      <w:r>
        <w:rPr>
          <w:rFonts w:ascii="Arial;sans-serif" w:hAnsi="Arial;sans-serif"/>
          <w:b w:val="false"/>
          <w:color w:val="EE2724"/>
          <w:sz w:val="20"/>
        </w:rPr>
        <w:t>.</w:t>
      </w:r>
    </w:p>
    <w:p>
      <w:pPr>
        <w:pStyle w:val="TextBody"/>
        <w:spacing w:lineRule="auto" w:line="288" w:before="220" w:after="283"/>
        <w:ind w:left="0" w:right="0" w:firstLine="720"/>
        <w:rPr/>
      </w:pPr>
      <w:r>
        <w:rPr>
          <w:rFonts w:ascii="Arial;sans-serif" w:hAnsi="Arial;sans-serif"/>
          <w:b w:val="false"/>
          <w:i/>
          <w:color w:val="000000"/>
          <w:sz w:val="20"/>
        </w:rPr>
        <w:t>Purchase Commitments.</w:t>
      </w:r>
      <w:r>
        <w:rPr>
          <w:color w:val="000000"/>
        </w:rPr>
        <w:t> </w:t>
      </w:r>
      <w:r>
        <w:rPr>
          <w:rFonts w:ascii="Arial;sans-serif" w:hAnsi="Arial;sans-serif"/>
          <w:b w:val="false"/>
          <w:color w:val="000000"/>
          <w:sz w:val="20"/>
        </w:rPr>
        <w:t>At March 31, 2023, we had unrecorded commitments under contract of $206.0 million. Purchase commitments consisted of third-party cloud services of $79.4 million; inventory, third-party fulfillment and digital service purchase commitments of $79.2 million; software of $16.9 million; advertising of $10.1 million; production and computer equipment purchases of $2.5 million; commitments for professional and consulting fees of $3.5 million; and other unrecorded purchase commitments of $14.4 million.</w:t>
      </w:r>
    </w:p>
    <w:p>
      <w:pPr>
        <w:pStyle w:val="TextBody"/>
        <w:spacing w:lineRule="auto" w:line="288" w:before="220" w:after="283"/>
        <w:ind w:left="0" w:right="0" w:firstLine="720"/>
        <w:rPr/>
      </w:pPr>
      <w:r>
        <w:rPr>
          <w:rFonts w:ascii="Arial;sans-serif" w:hAnsi="Arial;sans-serif"/>
          <w:b w:val="false"/>
          <w:i/>
          <w:color w:val="000000"/>
          <w:sz w:val="20"/>
        </w:rPr>
        <w:t>Senior Secured Credit Facility and Interest Payments.</w:t>
      </w:r>
      <w:r>
        <w:rPr>
          <w:color w:val="000000"/>
        </w:rPr>
        <w:t xml:space="preserve"> </w:t>
      </w:r>
      <w:r>
        <w:rPr>
          <w:rFonts w:ascii="Arial;sans-serif" w:hAnsi="Arial;sans-serif"/>
          <w:b w:val="false"/>
          <w:color w:val="000000"/>
          <w:sz w:val="20"/>
        </w:rPr>
        <w:t>As of March 31, 2023, we have borrowings under our Restated Credit Agreement of $1,102.5 million consisting of the Term Loan B, which amortizes over the loan period, with a final maturity date of May 17, 2028. Our $250.0 million Revolving Credit Facility under our Restated Credit Agreement has $244.0 million unused as of March 31, 2023.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May 17, 2026. Interest payable included in the above table is based on the interest rate as of March 31, 2023 and assumes all LIBOR-based revolving loan amounts outstanding will not be paid until maturity but that the term loan amortization payments will be made according to our defined schedule.</w:t>
      </w:r>
    </w:p>
    <w:p>
      <w:pPr>
        <w:pStyle w:val="TextBody"/>
        <w:spacing w:lineRule="auto" w:line="288" w:before="220" w:after="283"/>
        <w:ind w:left="0" w:right="0" w:firstLine="720"/>
        <w:rPr/>
      </w:pPr>
      <w:r>
        <w:rPr>
          <w:rFonts w:ascii="Arial;sans-serif" w:hAnsi="Arial;sans-serif"/>
          <w:b w:val="false"/>
          <w:i/>
          <w:color w:val="000000"/>
          <w:sz w:val="20"/>
        </w:rPr>
        <w:t xml:space="preserve">Senior Unsecured Notes and Interest Payments. </w:t>
      </w:r>
      <w:r>
        <w:rPr>
          <w:rFonts w:ascii="Arial;sans-serif" w:hAnsi="Arial;sans-serif"/>
          <w:b w:val="false"/>
          <w:color w:val="000000"/>
          <w:sz w:val="20"/>
        </w:rPr>
        <w:t xml:space="preserve">Our $600.0 million of 2026 Notes bear interest at a rate of 7.0% per annum and mature on June 15, 2026. Interest on the notes is payable semi-annually on June 15 and December 15 of each year. </w:t>
      </w:r>
    </w:p>
    <w:p>
      <w:pPr>
        <w:pStyle w:val="TextBody"/>
        <w:spacing w:lineRule="auto" w:line="288" w:before="220" w:after="283"/>
        <w:ind w:left="0" w:right="0" w:firstLine="720"/>
        <w:rPr/>
      </w:pPr>
      <w:r>
        <w:rPr>
          <w:rFonts w:ascii="Arial;sans-serif" w:hAnsi="Arial;sans-serif"/>
          <w:b w:val="false"/>
          <w:i/>
          <w:color w:val="000000"/>
          <w:sz w:val="20"/>
        </w:rPr>
        <w:t>Debt Covenants.</w:t>
      </w:r>
      <w:r>
        <w:rPr>
          <w:color w:val="000000"/>
        </w:rPr>
        <w:t xml:space="preserve"> </w:t>
      </w:r>
      <w:r>
        <w:rPr>
          <w:rFonts w:ascii="Arial;sans-serif" w:hAnsi="Arial;sans-serif"/>
          <w:b w:val="false"/>
          <w:color w:val="000000"/>
          <w:sz w:val="20"/>
        </w:rPr>
        <w:t>The Restated Credit Agreement and the indenture that governs our 7.0% Senior Notes due 2026 contain covenants that restrict or limit certain activities and transactions by Cimpress and our subsidiaries. As of March 31, 2023, we were in compliance with all covenants under our Restated Credit Agreement and the indenture governing our 2026 Notes. Refer to Note 8 in our accompanying consolidated financial statements for additional information.</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220" w:after="283"/>
        <w:ind w:left="0" w:right="0" w:firstLine="720"/>
        <w:rPr/>
      </w:pPr>
      <w:r>
        <w:rPr>
          <w:rFonts w:ascii="Arial;sans-serif" w:hAnsi="Arial;sans-serif"/>
          <w:b w:val="false"/>
          <w:i/>
          <w:color w:val="000000"/>
          <w:sz w:val="20"/>
        </w:rPr>
        <w:t>Other Debt.</w:t>
      </w:r>
      <w:r>
        <w:rPr>
          <w:color w:val="000000"/>
        </w:rPr>
        <w:t xml:space="preserve"> </w:t>
      </w:r>
      <w:r>
        <w:rPr>
          <w:rFonts w:ascii="Arial;sans-serif" w:hAnsi="Arial;sans-serif"/>
          <w:b w:val="false"/>
          <w:color w:val="000000"/>
          <w:sz w:val="20"/>
        </w:rPr>
        <w:t>In addition, we have other debt which consists primarily of term loans acquired through our various acquisitions or used to fund certain capital investments. As of March 31, 2023, we had $7.7 million outstanding for those obligations that have repayments due on various dates through March 2027.</w:t>
      </w:r>
    </w:p>
    <w:p>
      <w:pPr>
        <w:pStyle w:val="TextBody"/>
        <w:spacing w:lineRule="auto" w:line="288" w:before="220" w:after="283"/>
        <w:ind w:left="0" w:right="0" w:firstLine="720"/>
        <w:rPr/>
      </w:pPr>
      <w:r>
        <w:rPr>
          <w:rFonts w:ascii="Arial;sans-serif" w:hAnsi="Arial;sans-serif"/>
          <w:b w:val="false"/>
          <w:i/>
          <w:color w:val="000000"/>
          <w:sz w:val="20"/>
        </w:rPr>
        <w:t>Finance Leases.</w:t>
      </w:r>
      <w:r>
        <w:rPr>
          <w:color w:val="000000"/>
        </w:rPr>
        <w:t xml:space="preserve"> </w:t>
      </w:r>
      <w:r>
        <w:rPr>
          <w:rFonts w:ascii="Arial;sans-serif" w:hAnsi="Arial;sans-serif"/>
          <w:b w:val="false"/>
          <w:color w:val="000000"/>
          <w:sz w:val="20"/>
        </w:rPr>
        <w:t>We lease certain machinery and plant equipment under finance lease agreements that expire at various dates through 2028. The aggregate carrying value of the leased equipment under finance leases included in property, plant and equipment, net in our consolidated balance sheet at March 31, 2023 is $28.8 million, net of accumulated depreciation of $36.9 million. The present value of lease installments not yet due included in other current liabilities and other liabilities in our consolidated balance sheet at March 31, 2023 amounts to $37.1 million.</w:t>
      </w:r>
    </w:p>
    <w:p>
      <w:pPr>
        <w:pStyle w:val="TextBody"/>
        <w:spacing w:lineRule="auto" w:line="288" w:before="220" w:after="120"/>
        <w:ind w:left="0" w:right="0" w:firstLine="720"/>
        <w:rPr/>
      </w:pPr>
      <w:r>
        <w:rPr>
          <w:rFonts w:ascii="Arial;sans-serif" w:hAnsi="Arial;sans-serif"/>
          <w:b w:val="false"/>
          <w:i/>
          <w:color w:val="000000"/>
          <w:sz w:val="20"/>
        </w:rPr>
        <w:t>Other Obligations.</w:t>
      </w:r>
      <w:r>
        <w:rPr>
          <w:color w:val="000000"/>
        </w:rPr>
        <w:t xml:space="preserve"> </w:t>
      </w:r>
      <w:r>
        <w:rPr>
          <w:rFonts w:ascii="Arial;sans-serif" w:hAnsi="Arial;sans-serif"/>
          <w:b w:val="false"/>
          <w:color w:val="000000"/>
          <w:sz w:val="20"/>
        </w:rPr>
        <w:t>In February 2023, we made a $6.8 million deferred payment for our Depositphotos acquisition, resulting in no outstanding acquisition-related deferred liabilities as of March 31, 2023.</w:t>
      </w:r>
    </w:p>
    <w:p>
      <w:pPr>
        <w:pStyle w:val="TextBody"/>
        <w:spacing w:lineRule="auto" w:line="288" w:before="220" w:after="283"/>
        <w:rPr>
          <w:rFonts w:ascii="Arial;sans-serif" w:hAnsi="Arial;sans-serif"/>
          <w:b/>
          <w:color w:val="000000"/>
          <w:sz w:val="20"/>
        </w:rPr>
      </w:pPr>
      <w:r>
        <w:rPr>
          <w:rFonts w:ascii="Arial;sans-serif" w:hAnsi="Arial;sans-serif"/>
          <w:b/>
          <w:color w:val="000000"/>
          <w:sz w:val="20"/>
        </w:rPr>
        <w:t xml:space="preserve">Additional Non-GAAP Financial Measures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plus earn-out related charges plus certain impairments plus restructuring related charges plus realized gains or losses on currency derivatives less gain on purchase or sale of subsidiaries.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Adjusted free cash flow is the primary financial metric by which we set quarterly and annual budgets both for individual businesses and Cimpress-wide. 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 xml:space="preserve">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The table below sets forth operating income and adjusted EBITDA for the three and nine months ended March 31, 2023 and 2022:</w:t>
      </w:r>
    </w:p>
    <w:tbl>
      <w:tblPr>
        <w:tblW w:w="10205" w:type="dxa"/>
        <w:jc w:val="center"/>
        <w:tblInd w:w="0" w:type="dxa"/>
        <w:tblCellMar>
          <w:top w:w="28" w:type="dxa"/>
          <w:left w:w="28" w:type="dxa"/>
          <w:bottom w:w="28" w:type="dxa"/>
          <w:right w:w="28" w:type="dxa"/>
        </w:tblCellMar>
      </w:tblPr>
      <w:tblGrid>
        <w:gridCol w:w="1920"/>
        <w:gridCol w:w="1288"/>
        <w:gridCol w:w="1291"/>
        <w:gridCol w:w="211"/>
        <w:gridCol w:w="764"/>
        <w:gridCol w:w="109"/>
        <w:gridCol w:w="109"/>
        <w:gridCol w:w="109"/>
        <w:gridCol w:w="109"/>
        <w:gridCol w:w="211"/>
        <w:gridCol w:w="764"/>
        <w:gridCol w:w="109"/>
        <w:gridCol w:w="109"/>
        <w:gridCol w:w="109"/>
        <w:gridCol w:w="109"/>
        <w:gridCol w:w="211"/>
        <w:gridCol w:w="826"/>
        <w:gridCol w:w="109"/>
        <w:gridCol w:w="109"/>
        <w:gridCol w:w="109"/>
        <w:gridCol w:w="109"/>
        <w:gridCol w:w="211"/>
        <w:gridCol w:w="826"/>
        <w:gridCol w:w="109"/>
        <w:gridCol w:w="109"/>
        <w:gridCol w:w="156"/>
      </w:tblGrid>
      <w:tr>
        <w:trPr/>
        <w:tc>
          <w:tcPr>
            <w:tcW w:w="1920"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49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March 31,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265" w:type="dxa"/>
            <w:gridSpan w:val="2"/>
            <w:tcBorders/>
            <w:shd w:fill="auto" w:val="clea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operating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Exclude expense (benefit) impact of:</w:t>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Certain impairments and other adjustments</w:t>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gains (losses) on currency derivatives not included in operating (loss) income (1)</w:t>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440"/>
        <w:rPr>
          <w:rFonts w:ascii="Arial;sans-serif" w:hAnsi="Arial;sans-serif"/>
          <w:b w:val="false"/>
          <w:color w:val="000000"/>
          <w:sz w:val="16"/>
        </w:rPr>
      </w:pPr>
      <w:r>
        <w:rPr>
          <w:rFonts w:ascii="Arial;sans-serif" w:hAnsi="Arial;sans-serif"/>
          <w:b w:val="false"/>
          <w:color w:val="000000"/>
          <w:sz w:val="16"/>
        </w:rPr>
        <w:t>_________________</w:t>
      </w:r>
    </w:p>
    <w:p>
      <w:pPr>
        <w:pStyle w:val="TextBody"/>
        <w:spacing w:lineRule="auto" w:line="288" w:before="60" w:after="283"/>
        <w:ind w:left="0" w:right="0" w:hanging="270"/>
        <w:rPr>
          <w:rFonts w:ascii="Arial;sans-serif" w:hAnsi="Arial;sans-serif"/>
          <w:b w:val="false"/>
          <w:color w:val="000000"/>
          <w:sz w:val="16"/>
        </w:rPr>
      </w:pPr>
      <w:r>
        <w:rPr>
          <w:rFonts w:ascii="Arial;sans-serif" w:hAnsi="Arial;sans-serif"/>
          <w:b w:val="false"/>
          <w:color w:val="000000"/>
          <w:sz w:val="16"/>
        </w:rPr>
        <w:t>(1) These realized gains (losses) include only the impacts of certain currency derivative contracts that are intended to hedge our exposure to foreign currencies for which we do not apply hedge accounting. See Note 4 in our accompanying consolidated financial statements for further information.</w:t>
      </w:r>
    </w:p>
    <w:p>
      <w:pPr>
        <w:pStyle w:val="TextBody"/>
        <w:spacing w:before="60" w:after="283"/>
        <w:ind w:left="0" w:right="0" w:hanging="270"/>
        <w:rPr/>
      </w:pPr>
      <w:r>
        <w:rPr/>
      </w:r>
    </w:p>
    <w:p>
      <w:pPr>
        <w:pStyle w:val="TextBody"/>
        <w:spacing w:lineRule="auto" w:line="288" w:before="60" w:after="283"/>
        <w:ind w:left="0" w:right="0" w:firstLine="720"/>
        <w:rPr>
          <w:rFonts w:ascii="Arial;sans-serif" w:hAnsi="Arial;sans-serif"/>
          <w:b w:val="false"/>
          <w:color w:val="000000"/>
          <w:sz w:val="20"/>
        </w:rPr>
      </w:pPr>
      <w:r>
        <w:rPr>
          <w:rFonts w:ascii="Arial;sans-serif" w:hAnsi="Arial;sans-serif"/>
          <w:b w:val="false"/>
          <w:color w:val="000000"/>
          <w:sz w:val="20"/>
        </w:rPr>
        <w:t>The table below sets forth net cash provided by operating activities and adjusted free cash flow for the nine months ended March 31, 2023 and 2022:</w:t>
      </w:r>
    </w:p>
    <w:tbl>
      <w:tblPr>
        <w:tblW w:w="8775" w:type="dxa"/>
        <w:jc w:val="left"/>
        <w:tblInd w:w="0" w:type="dxa"/>
        <w:tblCellMar>
          <w:top w:w="28" w:type="dxa"/>
          <w:left w:w="28" w:type="dxa"/>
          <w:bottom w:w="28" w:type="dxa"/>
          <w:right w:w="28" w:type="dxa"/>
        </w:tblCellMar>
      </w:tblPr>
      <w:tblGrid>
        <w:gridCol w:w="1729"/>
        <w:gridCol w:w="1525"/>
        <w:gridCol w:w="1530"/>
        <w:gridCol w:w="109"/>
        <w:gridCol w:w="109"/>
        <w:gridCol w:w="166"/>
        <w:gridCol w:w="166"/>
        <w:gridCol w:w="322"/>
        <w:gridCol w:w="1217"/>
        <w:gridCol w:w="166"/>
        <w:gridCol w:w="109"/>
        <w:gridCol w:w="109"/>
        <w:gridCol w:w="109"/>
        <w:gridCol w:w="211"/>
        <w:gridCol w:w="826"/>
        <w:gridCol w:w="109"/>
        <w:gridCol w:w="109"/>
        <w:gridCol w:w="154"/>
      </w:tblGrid>
      <w:tr>
        <w:trPr/>
        <w:tc>
          <w:tcPr>
            <w:tcW w:w="1729"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Nine Months Ended March 31, </w:t>
            </w:r>
          </w:p>
        </w:tc>
        <w:tc>
          <w:tcPr>
            <w:tcW w:w="1736" w:type="dxa"/>
            <w:gridSpan w:val="8"/>
            <w:tcBorders/>
            <w:shd w:fill="auto" w:val="clea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(37,486)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free cash flow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(13,193)</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000000"/>
          <w:sz w:val="20"/>
        </w:rPr>
        <w:t xml:space="preserve">Item 3. </w:t>
      </w:r>
      <w:r>
        <w:rPr>
          <w:rFonts w:ascii="Arial;sans-serif" w:hAnsi="Arial;sans-serif"/>
          <w:b/>
          <w:i/>
          <w:color w:val="000000"/>
          <w:sz w:val="20"/>
        </w:rPr>
        <w:t>Quantitative and Qualitative Disclosures About Market Risk</w:t>
      </w:r>
    </w:p>
    <w:p>
      <w:pPr>
        <w:pStyle w:val="TextBody"/>
        <w:spacing w:lineRule="auto" w:line="288" w:before="220" w:after="283"/>
        <w:ind w:left="0" w:right="0" w:firstLine="720"/>
        <w:rPr/>
      </w:pPr>
      <w:r>
        <w:rPr>
          <w:rFonts w:ascii="Arial;sans-serif" w:hAnsi="Arial;sans-serif"/>
          <w:b w:val="false"/>
          <w:i/>
          <w:color w:val="000000"/>
          <w:sz w:val="20"/>
        </w:rPr>
        <w:t>Interest Rate Risk.</w:t>
      </w:r>
      <w:r>
        <w:rPr>
          <w:color w:val="000000"/>
        </w:rPr>
        <w:t> </w:t>
      </w:r>
      <w:r>
        <w:rPr>
          <w:rFonts w:ascii="Arial;sans-serif" w:hAnsi="Arial;sans-serif"/>
          <w:b w:val="false"/>
          <w:color w:val="000000"/>
          <w:sz w:val="20"/>
        </w:rPr>
        <w:t xml:space="preserve">Our exposure to interest rate risk relates primarily to our cash, cash equivalents and debt. </w:t>
      </w:r>
    </w:p>
    <w:p>
      <w:pPr>
        <w:pStyle w:val="TextBody"/>
        <w:spacing w:lineRule="auto" w:line="288" w:before="220" w:after="283"/>
        <w:ind w:left="0" w:right="0" w:firstLine="720"/>
        <w:rPr>
          <w:rFonts w:ascii="Arial;sans-serif" w:hAnsi="Arial;sans-serif"/>
          <w:b w:val="false"/>
          <w:color w:val="000000"/>
          <w:sz w:val="20"/>
        </w:rPr>
      </w:pPr>
      <w:r>
        <w:rPr>
          <w:rFonts w:ascii="Arial;sans-serif" w:hAnsi="Arial;sans-serif"/>
          <w:b w:val="false"/>
          <w:color w:val="000000"/>
          <w:sz w:val="20"/>
        </w:rPr>
        <w:t>As of March 31, 2023,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pStyle w:val="TextBody"/>
        <w:spacing w:lineRule="auto" w:line="288" w:before="220" w:after="283"/>
        <w:ind w:left="0" w:right="0" w:firstLine="720"/>
        <w:rPr/>
      </w:pPr>
      <w:r>
        <w:rPr>
          <w:rFonts w:ascii="Arial;sans-serif" w:hAnsi="Arial;sans-serif"/>
          <w:b w:val="false"/>
          <w:color w:val="000000"/>
          <w:sz w:val="20"/>
        </w:rPr>
        <w:t>As of March 31, 2023, we had</w:t>
      </w:r>
      <w:r>
        <w:rPr>
          <w:color w:val="FF0000"/>
        </w:rPr>
        <w:t xml:space="preserve"> </w:t>
      </w:r>
      <w:r>
        <w:rPr>
          <w:rFonts w:ascii="Arial;sans-serif" w:hAnsi="Arial;sans-serif"/>
          <w:b w:val="false"/>
          <w:color w:val="000000"/>
          <w:sz w:val="20"/>
        </w:rPr>
        <w:t>$1,103 million of variable-rate debt.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March 31, 2023, a hypothetical 100 basis point increase in rates, inclusive of the impact of our outstanding interest rate swaps that are accruing interest as of March 31, 2023, would result in a $7.7 million impact to interest expense over the next 12 months.</w:t>
      </w:r>
    </w:p>
    <w:p>
      <w:pPr>
        <w:pStyle w:val="TextBody"/>
        <w:spacing w:lineRule="auto" w:line="288" w:before="220" w:after="283"/>
        <w:ind w:left="0" w:right="0" w:firstLine="720"/>
        <w:rPr/>
      </w:pPr>
      <w:r>
        <w:rPr>
          <w:rFonts w:ascii="Arial;sans-serif" w:hAnsi="Arial;sans-serif"/>
          <w:b w:val="false"/>
          <w:i/>
          <w:color w:val="000000"/>
          <w:sz w:val="20"/>
        </w:rPr>
        <w:t>Currency Exchange Rate Risk.</w:t>
      </w:r>
      <w:r>
        <w:rPr>
          <w:color w:val="000000"/>
        </w:rPr>
        <w:t> </w:t>
      </w:r>
      <w:r>
        <w:rPr>
          <w:rFonts w:ascii="Arial;sans-serif" w:hAnsi="Arial;sans-serif"/>
          <w:b w:val="false"/>
          <w:color w:val="000000"/>
          <w:sz w:val="20"/>
        </w:rPr>
        <w:t>We conduct business in multiple currencies through our worldwide operations but report our financial 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pStyle w:val="TextBody"/>
        <w:spacing w:lineRule="auto" w:line="288" w:before="220" w:after="283"/>
        <w:ind w:left="0" w:right="0" w:hanging="360"/>
        <w:rPr/>
      </w:pPr>
      <w:r>
        <w:rPr>
          <w:color w:val="000000"/>
        </w:rPr>
        <w:t>•</w:t>
      </w:r>
      <w:r>
        <w:rPr>
          <w:rFonts w:ascii="Arial;sans-serif" w:hAnsi="Arial;sans-serif"/>
          <w:b w:val="false"/>
          <w:i/>
          <w:color w:val="000000"/>
          <w:sz w:val="20"/>
        </w:rPr>
        <w:t>Translation of our non-U.S. dollar revenues and expenses:</w:t>
      </w:r>
      <w:r>
        <w:rPr>
          <w:color w:val="000000"/>
        </w:rPr>
        <w:t xml:space="preserve"> </w:t>
      </w:r>
      <w:r>
        <w:rPr>
          <w:rFonts w:ascii="Arial;sans-serif" w:hAnsi="Arial;sans-serif"/>
          <w:b w:val="false"/>
          <w:color w:val="000000"/>
          <w:sz w:val="20"/>
        </w:rPr>
        <w:t xml:space="preserve">Revenue and related expenses generated in currencies other than the U.S. dollar could result in higher or lower net loss when, upon consolidation, those transactions are translated to U.S. dollars. When the value or timing of revenue and expenses in a given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20" w:after="283"/>
        <w:rPr>
          <w:rFonts w:ascii="Arial;sans-serif" w:hAnsi="Arial;sans-serif"/>
          <w:b w:val="false"/>
          <w:color w:val="000000"/>
          <w:sz w:val="20"/>
        </w:rPr>
      </w:pPr>
      <w:r>
        <w:rPr>
          <w:rFonts w:ascii="Arial;sans-serif" w:hAnsi="Arial;sans-serif"/>
          <w:b w:val="false"/>
          <w:color w:val="000000"/>
          <w:sz w:val="20"/>
        </w:rPr>
        <w:t>currency are materially different, we may be exposed to significant impacts on our net loss and non-GAAP financial metrics, such as adjusted EBITDA.</w:t>
      </w:r>
    </w:p>
    <w:p>
      <w:pPr>
        <w:pStyle w:val="TextBody"/>
        <w:spacing w:lineRule="auto" w:line="288" w:before="220" w:after="283"/>
        <w:rPr>
          <w:rFonts w:ascii="Arial;sans-serif" w:hAnsi="Arial;sans-serif"/>
          <w:b w:val="false"/>
          <w:color w:val="000000"/>
          <w:sz w:val="20"/>
        </w:rPr>
      </w:pPr>
      <w:r>
        <w:rPr>
          <w:rFonts w:ascii="Arial;sans-serif" w:hAnsi="Arial;sans-serif"/>
          <w:b w:val="false"/>
          <w:color w:val="000000"/>
          <w:sz w:val="20"/>
        </w:rPr>
        <w:t xml:space="preserve">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 </w:t>
      </w:r>
    </w:p>
    <w:p>
      <w:pPr>
        <w:pStyle w:val="TextBody"/>
        <w:spacing w:lineRule="auto" w:line="288" w:before="220" w:after="283"/>
        <w:rPr>
          <w:rFonts w:ascii="Arial;sans-serif" w:hAnsi="Arial;sans-serif"/>
          <w:b w:val="false"/>
          <w:color w:val="000000"/>
          <w:sz w:val="20"/>
        </w:rPr>
      </w:pPr>
      <w:r>
        <w:rPr>
          <w:rFonts w:ascii="Arial;sans-serif" w:hAnsi="Arial;sans-serif"/>
          <w:b w:val="false"/>
          <w:color w:val="000000"/>
          <w:sz w:val="20"/>
        </w:rPr>
        <w:t xml:space="preserve">In addition, we elect to execute currency derivatives contracts that do not qualify for hedge accounting. As a result, we may experience volatility in our consolidated statements of operations due to (i) the impact of unrealized gains and losses reported in other income, net, on the mark-to-market of outstanding contracts and (ii) realized gains and losses recognized in other income, net, whereas the offsetting economic gains and losses are reported in the line item of the underlying activity, for example, revenue. </w:t>
      </w:r>
    </w:p>
    <w:p>
      <w:pPr>
        <w:pStyle w:val="TextBody"/>
        <w:spacing w:lineRule="auto" w:line="288" w:before="220" w:after="283"/>
        <w:ind w:left="0" w:right="0" w:hanging="360"/>
        <w:rPr/>
      </w:pPr>
      <w:r>
        <w:rPr>
          <w:color w:val="000000"/>
        </w:rPr>
        <w:t>•</w:t>
      </w:r>
      <w:r>
        <w:rPr>
          <w:rFonts w:ascii="Arial;sans-serif" w:hAnsi="Arial;sans-serif"/>
          <w:b w:val="false"/>
          <w:i/>
          <w:color w:val="000000"/>
          <w:sz w:val="20"/>
        </w:rPr>
        <w:t>Translation of our non-U.S. dollar assets and liabilities</w:t>
      </w:r>
      <w:r>
        <w:rPr>
          <w:rFonts w:ascii="Arial;sans-serif" w:hAnsi="Arial;sans-serif"/>
          <w:b w:val="false"/>
          <w:color w:val="000000"/>
          <w:sz w:val="20"/>
        </w:rPr>
        <w:t xml:space="preserve">: Each of our subsidiaries translates its assets and liabilities to U.S. dollars at 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 </w:t>
      </w:r>
    </w:p>
    <w:p>
      <w:pPr>
        <w:pStyle w:val="TextBody"/>
        <w:spacing w:lineRule="auto" w:line="288" w:before="220" w:after="240"/>
        <w:ind w:left="0" w:right="0" w:hanging="360"/>
        <w:rPr/>
      </w:pPr>
      <w:r>
        <w:rPr>
          <w:color w:val="000000"/>
        </w:rPr>
        <w:t>•</w:t>
      </w:r>
      <w:r>
        <w:rPr>
          <w:rFonts w:ascii="Arial;sans-serif" w:hAnsi="Arial;sans-serif"/>
          <w:b w:val="false"/>
          <w:i/>
          <w:color w:val="000000"/>
          <w:sz w:val="20"/>
        </w:rPr>
        <w:t>Remeasurement of monetary assets and liabilities:</w:t>
      </w:r>
      <w:r>
        <w:rPr>
          <w:color w:val="000000"/>
        </w:rPr>
        <w:t xml:space="preserve"> </w:t>
      </w:r>
      <w:r>
        <w:rPr>
          <w:rFonts w:ascii="Arial;sans-serif" w:hAnsi="Arial;sans-serif"/>
          <w:b w:val="false"/>
          <w:color w:val="000000"/>
          <w:sz w:val="20"/>
        </w:rPr>
        <w:t xml:space="preserve">Transaction gains and losses generated from remeasurement of monetary assets and liabilities denominated in currencies other than the functional currency of a subsidiary are included in other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net. We expect these impacts may be volatile in the future, although our largest intercompany loans do not have a U.S. dollar cash impact for the consolidated 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cross-currency swaps designated as cash flow hedges. A hypothetical decrease in exchange rates of 10% against the functional currency of our subsidiaries would have resulted in a change of $12.0 million and $24.8 million on our (loss) income before income taxes for the three and nine months ended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Arial;sans-serif" w:hAnsi="Arial;sans-serif"/>
          <w:b/>
          <w:color w:val="000000"/>
          <w:sz w:val="20"/>
        </w:rPr>
        <w:t xml:space="preserve">Item 4. </w:t>
      </w:r>
      <w:r>
        <w:rPr>
          <w:rFonts w:ascii="Arial;sans-serif" w:hAnsi="Arial;sans-serif"/>
          <w:b/>
          <w:i/>
          <w:color w:val="000000"/>
          <w:sz w:val="20"/>
        </w:rPr>
        <w:t>Controls and Procedures</w:t>
      </w:r>
    </w:p>
    <w:p>
      <w:pPr>
        <w:pStyle w:val="TextBody"/>
        <w:spacing w:lineRule="auto" w:line="288" w:before="140" w:after="283"/>
        <w:rPr>
          <w:rFonts w:ascii="Arial;sans-serif" w:hAnsi="Arial;sans-serif"/>
          <w:b/>
          <w:color w:val="000000"/>
          <w:sz w:val="20"/>
        </w:rPr>
      </w:pPr>
      <w:r>
        <w:rPr>
          <w:rFonts w:ascii="Arial;sans-serif" w:hAnsi="Arial;sans-serif"/>
          <w:b/>
          <w:color w:val="000000"/>
          <w:sz w:val="20"/>
        </w:rPr>
        <w:t>Disclosure Controls and Procedures</w:t>
      </w:r>
    </w:p>
    <w:p>
      <w:pPr>
        <w:pStyle w:val="TextBody"/>
        <w:spacing w:lineRule="auto" w:line="288" w:before="100" w:after="200"/>
        <w:ind w:left="0" w:right="0" w:firstLine="720"/>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March 31, 2023.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chief financial officer concluded that, as of such date, our disclosure controls and procedures were effective at the reasonable assurance level.</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100" w:after="100"/>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lineRule="auto" w:line="288" w:before="100" w:after="40"/>
        <w:ind w:left="0" w:right="0" w:firstLine="720"/>
        <w:rPr>
          <w:rFonts w:ascii="Arial;sans-serif" w:hAnsi="Arial;sans-serif"/>
          <w:b w:val="false"/>
          <w:color w:val="000000"/>
          <w:sz w:val="20"/>
        </w:rPr>
      </w:pPr>
      <w:r>
        <w:rPr>
          <w:rFonts w:ascii="Arial;sans-serif" w:hAnsi="Arial;sans-serif"/>
          <w:b w:val="false"/>
          <w:color w:val="000000"/>
          <w:sz w:val="20"/>
        </w:rPr>
        <w:t>There were no significant changes in our internal control over financial reporting (as defined in Rules 13a-15(f) and 15d-15(f) under the Exchange Act) during the three months ended March 31, 2023 that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120" w:after="283"/>
        <w:jc w:val="center"/>
        <w:rPr>
          <w:rFonts w:ascii="Arial;sans-serif" w:hAnsi="Arial;sans-serif"/>
          <w:b/>
          <w:color w:val="000000"/>
          <w:sz w:val="24"/>
        </w:rPr>
      </w:pPr>
      <w:r>
        <w:rPr>
          <w:rFonts w:ascii="Arial;sans-serif" w:hAnsi="Arial;sans-serif"/>
          <w:b/>
          <w:color w:val="000000"/>
          <w:sz w:val="24"/>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Arial;sans-serif" w:hAnsi="Arial;sans-serif"/>
          <w:b/>
          <w:color w:val="000000"/>
          <w:sz w:val="20"/>
        </w:rPr>
        <w:t xml:space="preserve">Item 6. </w:t>
      </w:r>
      <w:r>
        <w:rPr>
          <w:rFonts w:ascii="Arial;sans-serif" w:hAnsi="Arial;sans-serif"/>
          <w:b/>
          <w:i/>
          <w:color w:val="000000"/>
          <w:sz w:val="20"/>
        </w:rPr>
        <w:t>Exhibits and Financial Statement Schedules</w:t>
      </w:r>
    </w:p>
    <w:tbl>
      <w:tblPr>
        <w:tblW w:w="10205" w:type="dxa"/>
        <w:jc w:val="left"/>
        <w:tblInd w:w="0" w:type="dxa"/>
        <w:tblCellMar>
          <w:top w:w="28" w:type="dxa"/>
          <w:left w:w="28" w:type="dxa"/>
          <w:bottom w:w="28" w:type="dxa"/>
          <w:right w:w="28" w:type="dxa"/>
        </w:tblCellMar>
      </w:tblPr>
      <w:tblGrid>
        <w:gridCol w:w="290"/>
        <w:gridCol w:w="254"/>
        <w:gridCol w:w="255"/>
        <w:gridCol w:w="109"/>
        <w:gridCol w:w="109"/>
        <w:gridCol w:w="109"/>
        <w:gridCol w:w="3005"/>
        <w:gridCol w:w="2834"/>
        <w:gridCol w:w="2864"/>
        <w:gridCol w:w="109"/>
        <w:gridCol w:w="109"/>
        <w:gridCol w:w="158"/>
      </w:tblGrid>
      <w:tr>
        <w:trPr/>
        <w:tc>
          <w:tcPr>
            <w:tcW w:w="29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5" w:type="dxa"/>
            <w:tcBorders/>
            <w:shd w:fill="auto" w:val="clear"/>
            <w:vAlign w:val="center"/>
          </w:tcPr>
          <w:p>
            <w:pPr>
              <w:pStyle w:val="TableContents"/>
              <w:spacing w:before="0" w:after="283"/>
              <w:rPr>
                <w:sz w:val="4"/>
                <w:szCs w:val="4"/>
              </w:rPr>
            </w:pPr>
            <w:r>
              <w:rPr>
                <w:sz w:val="4"/>
                <w:szCs w:val="4"/>
              </w:rPr>
            </w:r>
          </w:p>
        </w:tc>
        <w:tc>
          <w:tcPr>
            <w:tcW w:w="2834"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Arial;sans-serif" w:hAnsi="Arial;sans-serif"/>
                  <w:b w:val="false"/>
                  <w:color w:val="0000FF"/>
                  <w:sz w:val="18"/>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Second Amended and Restated Executive Retention Agreement between Cimpress plc and Robert Keane dated February 20, 2023 is incorporated by reference to our Current Report on Form 8-K filed with the SEC on February 23, 2023</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Arial;sans-serif" w:hAnsi="Arial;sans-serif"/>
                  <w:b w:val="false"/>
                  <w:color w:val="0000FF"/>
                  <w:sz w:val="18"/>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Form of Amended and Restated Executive Retention Agreement between Cimpress plc and each of Sean Quinn and Maarten Wensveen is incorporated by reference to our Current Report on Form 8-K filed with the SEC on February 23, 2023</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Arial;sans-serif" w:hAnsi="Arial;sans-serif"/>
                  <w:b w:val="false"/>
                  <w:color w:val="0000FF"/>
                  <w:sz w:val="18"/>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Retention Agreement between Cimpress plc and Florian Baumgartner dated February 1, 2023 is incorporated by reference to our Current Report on Form 8-K filed with the SEC on February 23, 2023</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04baumgartneremployment.htm">
              <w:r>
                <w:rPr>
                  <w:rStyle w:val="InternetLink"/>
                  <w:rFonts w:ascii="Arial;sans-serif" w:hAnsi="Arial;sans-serif"/>
                  <w:b w:val="false"/>
                  <w:color w:val="0000FF"/>
                  <w:sz w:val="18"/>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Employment Agreement between Cimpress Deutschland GmbH and Florian Baumgartner dated July 10, 2019</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05baumgartneramendmentt.htm">
              <w:r>
                <w:rPr>
                  <w:rStyle w:val="InternetLink"/>
                  <w:rFonts w:ascii="Arial;sans-serif" w:hAnsi="Arial;sans-serif"/>
                  <w:b w:val="false"/>
                  <w:color w:val="0000FF"/>
                  <w:sz w:val="18"/>
                  <w:u w:val="single"/>
                </w:rPr>
                <w:t>10.5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Amendment to Employment Agreement between Cimpress Deutschland GmbH and Florian Baumgartner dated January 1, 2021</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133123.htm">
              <w:r>
                <w:rPr>
                  <w:rStyle w:val="InternetLink"/>
                  <w:rFonts w:ascii="Arial;sans-serif" w:hAnsi="Arial;sans-serif"/>
                  <w:b w:val="false"/>
                  <w:color w:val="0000FF"/>
                  <w:sz w:val="18"/>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Section 302 of the Sarbanes-Oxley Act of 2002, Rule 13a-14(a)/15d-14(a), by Chief Executive Officer</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233123.htm">
              <w:r>
                <w:rPr>
                  <w:rStyle w:val="InternetLink"/>
                  <w:rFonts w:ascii="Arial;sans-serif" w:hAnsi="Arial;sans-serif"/>
                  <w:b w:val="false"/>
                  <w:color w:val="0000FF"/>
                  <w:sz w:val="18"/>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Section 302 of the Sarbanes-Oxley Act of 2002, Rule 13a-14(a)/15d-14(a), by Chief Financial Officer</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133123.htm">
              <w:r>
                <w:rPr>
                  <w:rStyle w:val="InternetLink"/>
                  <w:rFonts w:ascii="Arial;sans-serif" w:hAnsi="Arial;sans-serif"/>
                  <w:b w:val="false"/>
                  <w:color w:val="0000FF"/>
                  <w:sz w:val="18"/>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18 U.S.C. Section 1350, as adopted pursuant to Section 906 of the Sarbanes-Oxley Act of 2002, by Chief Executive Officer and Chief Financial Officer</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140" w:after="283"/>
        <w:ind w:left="0" w:right="0" w:firstLine="720"/>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260" w:after="283"/>
        <w:rPr/>
      </w:pPr>
      <w:r>
        <w:rPr>
          <w:rFonts w:ascii="Arial;sans-serif" w:hAnsi="Arial;sans-serif"/>
          <w:b w:val="false"/>
          <w:color w:val="000000"/>
          <w:sz w:val="20"/>
        </w:rPr>
        <w:t>April 27, 2023</w:t>
      </w:r>
      <w:r>
        <w:rPr>
          <w:color w:val="EE2724"/>
        </w:rPr>
        <w:t> </w:t>
      </w:r>
      <w:r>
        <w:rPr>
          <w:color w:val="000000"/>
        </w:rPr>
        <w:t>                        </w:t>
      </w:r>
      <w:r>
        <w:rPr>
          <w:rFonts w:ascii="Arial;sans-serif" w:hAnsi="Arial;sans-serif"/>
          <w:b w:val="false"/>
          <w:color w:val="000000"/>
          <w:sz w:val="20"/>
        </w:rPr>
        <w:t>Cimpress plc                                                    </w:t>
      </w:r>
    </w:p>
    <w:tbl>
      <w:tblPr>
        <w:tblW w:w="4435" w:type="dxa"/>
        <w:jc w:val="center"/>
        <w:tblInd w:w="0" w:type="dxa"/>
        <w:tblCellMar>
          <w:top w:w="28" w:type="dxa"/>
          <w:left w:w="28" w:type="dxa"/>
          <w:bottom w:w="28" w:type="dxa"/>
          <w:right w:w="28" w:type="dxa"/>
        </w:tblCellMar>
      </w:tblPr>
      <w:tblGrid>
        <w:gridCol w:w="124"/>
        <w:gridCol w:w="109"/>
        <w:gridCol w:w="109"/>
        <w:gridCol w:w="154"/>
        <w:gridCol w:w="154"/>
        <w:gridCol w:w="156"/>
        <w:gridCol w:w="1059"/>
        <w:gridCol w:w="1059"/>
        <w:gridCol w:w="15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Sean E. Quinn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before="1" w:after="283"/>
        <w:rPr/>
      </w:pPr>
      <w:r>
        <w:rPr/>
      </w:r>
    </w:p>
    <w:p>
      <w:pPr>
        <w:pStyle w:val="TextBody"/>
        <w:spacing w:lineRule="auto" w:line="412" w:before="95" w:after="283"/>
        <w:ind w:left="0" w:right="0" w:hanging="1"/>
        <w:jc w:val="both"/>
        <w:rPr/>
      </w:pPr>
      <w:r>
        <w:rPr>
          <w:rFonts w:ascii="Arial;sans-serif" w:hAnsi="Arial;sans-serif"/>
          <w:b/>
          <w:color w:val="161616"/>
          <w:sz w:val="18"/>
        </w:rPr>
        <w:t xml:space="preserve">THIS </w:t>
      </w:r>
      <w:r>
        <w:rPr>
          <w:rFonts w:ascii="Arial;sans-serif" w:hAnsi="Arial;sans-serif"/>
          <w:b/>
          <w:color w:val="282828"/>
          <w:sz w:val="18"/>
        </w:rPr>
        <w:t xml:space="preserve">EMPLOYMENT </w:t>
      </w:r>
      <w:r>
        <w:rPr>
          <w:rFonts w:ascii="Arial;sans-serif" w:hAnsi="Arial;sans-serif"/>
          <w:b/>
          <w:color w:val="161616"/>
          <w:sz w:val="18"/>
        </w:rPr>
        <w:t xml:space="preserve">AGREEMENT </w:t>
      </w:r>
      <w:r>
        <w:rPr>
          <w:rFonts w:ascii="Arial;sans-serif" w:hAnsi="Arial;sans-serif"/>
          <w:b w:val="false"/>
          <w:color w:val="161616"/>
          <w:sz w:val="18"/>
        </w:rPr>
        <w:t xml:space="preserve">is entered by and between </w:t>
      </w:r>
      <w:r>
        <w:rPr>
          <w:rFonts w:ascii="Arial;sans-serif" w:hAnsi="Arial;sans-serif"/>
          <w:b/>
          <w:color w:val="161616"/>
          <w:sz w:val="18"/>
        </w:rPr>
        <w:t xml:space="preserve">Cimpress Deutschland GmbH </w:t>
      </w:r>
      <w:r>
        <w:rPr>
          <w:rFonts w:ascii="Arial;sans-serif" w:hAnsi="Arial;sans-serif"/>
          <w:b w:val="false"/>
          <w:color w:val="161616"/>
          <w:sz w:val="18"/>
        </w:rPr>
        <w:t>incorporated and registered in Germany with company number HRB 115906 B whose registered office is at Salzufer 6, 10587 Berlin ("</w:t>
      </w:r>
      <w:r>
        <w:rPr>
          <w:rFonts w:ascii="Arial;sans-serif" w:hAnsi="Arial;sans-serif"/>
          <w:b w:val="false"/>
          <w:color w:val="161616"/>
          <w:sz w:val="18"/>
          <w:u w:val="single"/>
        </w:rPr>
        <w:t>Company''</w:t>
      </w:r>
      <w:r>
        <w:rPr>
          <w:rFonts w:ascii="Arial;sans-serif" w:hAnsi="Arial;sans-serif"/>
          <w:b w:val="false"/>
          <w:color w:val="161616"/>
          <w:sz w:val="18"/>
        </w:rPr>
        <w:t>) and Florian Baumgartner domiciled in Germany ("</w:t>
      </w:r>
      <w:r>
        <w:rPr>
          <w:rFonts w:ascii="Arial;sans-serif" w:hAnsi="Arial;sans-serif"/>
          <w:b w:val="false"/>
          <w:color w:val="161616"/>
          <w:sz w:val="18"/>
          <w:u w:val="single"/>
        </w:rPr>
        <w:t>Employee</w:t>
      </w:r>
      <w:r>
        <w:rPr>
          <w:rFonts w:ascii="Arial;sans-serif" w:hAnsi="Arial;sans-serif"/>
          <w:b w:val="false"/>
          <w:color w:val="161616"/>
          <w:sz w:val="18"/>
        </w:rPr>
        <w:t xml:space="preserve">"), </w:t>
      </w:r>
      <w:r>
        <w:rPr>
          <w:rFonts w:ascii="Arial;sans-serif" w:hAnsi="Arial;sans-serif"/>
          <w:b w:val="false"/>
          <w:color w:val="282828"/>
          <w:sz w:val="18"/>
        </w:rPr>
        <w:t xml:space="preserve">and </w:t>
      </w:r>
      <w:r>
        <w:rPr>
          <w:rFonts w:ascii="Arial;sans-serif" w:hAnsi="Arial;sans-serif"/>
          <w:b w:val="false"/>
          <w:color w:val="161616"/>
          <w:sz w:val="18"/>
        </w:rPr>
        <w:t>dated as of the last signature of the Parties below.</w:t>
      </w:r>
    </w:p>
    <w:p>
      <w:pPr>
        <w:pStyle w:val="TextBody"/>
        <w:spacing w:before="4" w:after="283"/>
        <w:rPr/>
      </w:pPr>
      <w:r>
        <w:rPr/>
      </w:r>
    </w:p>
    <w:p>
      <w:pPr>
        <w:pStyle w:val="TextBody"/>
        <w:spacing w:lineRule="auto" w:line="412" w:before="0" w:after="0"/>
        <w:ind w:left="0" w:right="0" w:hanging="450"/>
        <w:jc w:val="both"/>
        <w:rPr/>
      </w:pPr>
      <w:r>
        <w:rPr>
          <w:rFonts w:ascii="Arial;sans-serif" w:hAnsi="Arial;sans-serif"/>
          <w:b w:val="false"/>
          <w:color w:val="161616"/>
          <w:sz w:val="18"/>
        </w:rPr>
        <w:t>1.</w:t>
      </w:r>
      <w:r>
        <w:rPr>
          <w:rFonts w:ascii="Arial;sans-serif" w:hAnsi="Arial;sans-serif"/>
          <w:b/>
          <w:color w:val="161616"/>
          <w:sz w:val="18"/>
        </w:rPr>
        <w:t>Title; Duties</w:t>
      </w:r>
      <w:r>
        <w:rPr>
          <w:rFonts w:ascii="Arial;sans-serif" w:hAnsi="Arial;sans-serif"/>
          <w:b w:val="false"/>
          <w:color w:val="161616"/>
          <w:sz w:val="18"/>
        </w:rPr>
        <w:t>. Employee shall initially serve Company as Executive Vice President and President, International, of Vistaprint, a business unit of Cimpress N.V., reporting to Vistaprint's Chief Executive Officer. This role shall consist of oversight of and responsibility for all of Vistaprint's lines of business (LOBs) other than those in North America, including Germany, France, UK, "rest of Europe", Australia-New Zealand, Japan and India. The leaders of those LOBs shall report to Employee and, in turn, be responsible for strategy, structure, budgets, people, financial outcomes and customer satisfaction of their respective LOBs.</w:t>
      </w:r>
    </w:p>
    <w:p>
      <w:pPr>
        <w:pStyle w:val="TextBody"/>
        <w:spacing w:before="1" w:after="283"/>
        <w:ind w:left="0" w:right="0" w:hanging="450"/>
        <w:rPr/>
      </w:pPr>
      <w:r>
        <w:rPr/>
      </w:r>
    </w:p>
    <w:p>
      <w:pPr>
        <w:pStyle w:val="TextBody"/>
        <w:spacing w:lineRule="auto" w:line="412" w:before="1" w:after="283"/>
        <w:jc w:val="both"/>
        <w:rPr>
          <w:rFonts w:ascii="Arial;sans-serif" w:hAnsi="Arial;sans-serif"/>
          <w:b w:val="false"/>
          <w:color w:val="161616"/>
          <w:sz w:val="18"/>
        </w:rPr>
      </w:pPr>
      <w:r>
        <w:rPr>
          <w:rFonts w:ascii="Arial;sans-serif" w:hAnsi="Arial;sans-serif"/>
          <w:b w:val="false"/>
          <w:color w:val="161616"/>
          <w:sz w:val="18"/>
        </w:rPr>
        <w:t>Company reserves the right to assign, temporarily or permanently, different tasks and functions of an equal nature to Employee which are compatible with Employee's qualifications and experience.</w:t>
      </w:r>
    </w:p>
    <w:p>
      <w:pPr>
        <w:pStyle w:val="TextBody"/>
        <w:spacing w:before="6" w:after="283"/>
        <w:ind w:left="0" w:right="0" w:hanging="450"/>
        <w:rPr/>
      </w:pPr>
      <w:r>
        <w:rPr/>
      </w:r>
    </w:p>
    <w:p>
      <w:pPr>
        <w:pStyle w:val="TextBody"/>
        <w:spacing w:lineRule="auto" w:line="240" w:before="1" w:after="283"/>
        <w:ind w:left="0" w:right="0" w:hanging="450"/>
        <w:jc w:val="both"/>
        <w:rPr>
          <w:rFonts w:ascii="Arial;sans-serif" w:hAnsi="Arial;sans-serif"/>
          <w:b/>
          <w:color w:val="161616"/>
          <w:sz w:val="18"/>
        </w:rPr>
      </w:pPr>
      <w:r>
        <w:rPr>
          <w:rFonts w:ascii="Arial;sans-serif" w:hAnsi="Arial;sans-serif"/>
          <w:b/>
          <w:color w:val="161616"/>
          <w:sz w:val="18"/>
        </w:rPr>
        <w:t>2.Salary and Bonus.</w:t>
      </w:r>
    </w:p>
    <w:p>
      <w:pPr>
        <w:pStyle w:val="TextBody"/>
        <w:spacing w:before="11" w:after="283"/>
        <w:ind w:left="0" w:right="0" w:hanging="450"/>
        <w:rPr/>
      </w:pPr>
      <w:r>
        <w:rPr/>
      </w:r>
    </w:p>
    <w:p>
      <w:pPr>
        <w:pStyle w:val="TextBody"/>
        <w:spacing w:lineRule="auto" w:line="412" w:before="0" w:after="0"/>
        <w:ind w:left="0" w:right="0" w:hanging="450"/>
        <w:jc w:val="both"/>
        <w:rPr/>
      </w:pPr>
      <w:r>
        <w:rPr>
          <w:rFonts w:ascii="Arial;sans-serif" w:hAnsi="Arial;sans-serif"/>
          <w:b w:val="false"/>
          <w:color w:val="161616"/>
          <w:sz w:val="18"/>
        </w:rPr>
        <w:t>2.1</w:t>
      </w:r>
      <w:r>
        <w:rPr>
          <w:rFonts w:ascii="Arial;sans-serif" w:hAnsi="Arial;sans-serif"/>
          <w:b/>
          <w:color w:val="161616"/>
          <w:sz w:val="18"/>
        </w:rPr>
        <w:t xml:space="preserve">Base salary. </w:t>
      </w:r>
      <w:r>
        <w:rPr>
          <w:rFonts w:ascii="Arial;sans-serif" w:hAnsi="Arial;sans-serif"/>
          <w:b w:val="false"/>
          <w:color w:val="161616"/>
          <w:sz w:val="18"/>
        </w:rPr>
        <w:t xml:space="preserve">Employee's initial base </w:t>
      </w:r>
      <w:r>
        <w:rPr>
          <w:rFonts w:ascii="Arial;sans-serif" w:hAnsi="Arial;sans-serif"/>
          <w:b w:val="false"/>
          <w:color w:val="282828"/>
          <w:sz w:val="18"/>
        </w:rPr>
        <w:t xml:space="preserve">salary </w:t>
      </w:r>
      <w:r>
        <w:rPr>
          <w:rFonts w:ascii="Arial;sans-serif" w:hAnsi="Arial;sans-serif"/>
          <w:b w:val="false"/>
          <w:color w:val="161616"/>
          <w:sz w:val="18"/>
        </w:rPr>
        <w:t>shall be EUR 500.000 gross per annum, which will be paid in monthly amounts of EUR 41.666.67. Employee's salary shall accrue from day to day and be payable in arrears in accordance with established monthly payroll practices.</w:t>
      </w:r>
    </w:p>
    <w:p>
      <w:pPr>
        <w:pStyle w:val="TextBody"/>
        <w:spacing w:lineRule="auto" w:line="405" w:before="107" w:after="283"/>
        <w:ind w:left="0" w:right="0" w:hanging="450"/>
        <w:jc w:val="both"/>
        <w:rPr/>
      </w:pPr>
      <w:r>
        <w:rPr>
          <w:rFonts w:ascii="Arial;sans-serif" w:hAnsi="Arial;sans-serif"/>
          <w:b w:val="false"/>
          <w:color w:val="161616"/>
          <w:sz w:val="18"/>
        </w:rPr>
        <w:t>2.2</w:t>
      </w:r>
      <w:r>
        <w:rPr>
          <w:rFonts w:ascii="Arial;sans-serif" w:hAnsi="Arial;sans-serif"/>
          <w:b/>
          <w:color w:val="161616"/>
          <w:sz w:val="18"/>
        </w:rPr>
        <w:t>Annual Bonus</w:t>
      </w:r>
      <w:r>
        <w:rPr>
          <w:rFonts w:ascii="Arial;sans-serif" w:hAnsi="Arial;sans-serif"/>
          <w:b/>
          <w:color w:val="494949"/>
          <w:sz w:val="18"/>
        </w:rPr>
        <w:t xml:space="preserve">. </w:t>
      </w:r>
      <w:r>
        <w:rPr>
          <w:rFonts w:ascii="Arial;sans-serif" w:hAnsi="Arial;sans-serif"/>
          <w:b w:val="false"/>
          <w:color w:val="161616"/>
          <w:sz w:val="18"/>
        </w:rPr>
        <w:t xml:space="preserve">Employee is initially eligible to participate in an annual bonus plan in the target amount of EUR 100.000 gross per annum, as further detailed in and subject to the terms and conditions set forth in </w:t>
      </w:r>
      <w:r>
        <w:rPr>
          <w:rFonts w:ascii="Arial;sans-serif" w:hAnsi="Arial;sans-serif"/>
          <w:b/>
          <w:color w:val="161616"/>
          <w:sz w:val="18"/>
        </w:rPr>
        <w:t xml:space="preserve">Exhibit 1 </w:t>
      </w:r>
      <w:r>
        <w:rPr>
          <w:rFonts w:ascii="Arial;sans-serif" w:hAnsi="Arial;sans-serif"/>
          <w:b w:val="false"/>
          <w:color w:val="161616"/>
          <w:sz w:val="18"/>
        </w:rPr>
        <w:t>to this Agreement.</w:t>
      </w:r>
    </w:p>
    <w:p>
      <w:pPr>
        <w:pStyle w:val="TextBody"/>
        <w:spacing w:lineRule="auto" w:line="412" w:before="117" w:after="283"/>
        <w:ind w:left="0" w:right="0" w:hanging="450"/>
        <w:jc w:val="both"/>
        <w:rPr/>
      </w:pPr>
      <w:r>
        <w:rPr>
          <w:rFonts w:ascii="Arial;sans-serif" w:hAnsi="Arial;sans-serif"/>
          <w:b w:val="false"/>
          <w:color w:val="161616"/>
          <w:sz w:val="18"/>
        </w:rPr>
        <w:t>2.3</w:t>
      </w:r>
      <w:r>
        <w:rPr>
          <w:rFonts w:ascii="Arial;sans-serif" w:hAnsi="Arial;sans-serif"/>
          <w:b/>
          <w:color w:val="161616"/>
          <w:sz w:val="18"/>
        </w:rPr>
        <w:t xml:space="preserve">Sign-on bonus. </w:t>
      </w:r>
      <w:r>
        <w:rPr>
          <w:rFonts w:ascii="Arial;sans-serif" w:hAnsi="Arial;sans-serif"/>
          <w:b w:val="false"/>
          <w:color w:val="161616"/>
          <w:sz w:val="18"/>
        </w:rPr>
        <w:t xml:space="preserve">Employee is eligible to a sign on bonus in </w:t>
      </w:r>
      <w:r>
        <w:rPr>
          <w:rFonts w:ascii="Arial;sans-serif" w:hAnsi="Arial;sans-serif"/>
          <w:b w:val="false"/>
          <w:color w:val="282828"/>
          <w:sz w:val="18"/>
        </w:rPr>
        <w:t xml:space="preserve">the </w:t>
      </w:r>
      <w:r>
        <w:rPr>
          <w:rFonts w:ascii="Arial;sans-serif" w:hAnsi="Arial;sans-serif"/>
          <w:b w:val="false"/>
          <w:color w:val="161616"/>
          <w:sz w:val="18"/>
        </w:rPr>
        <w:t xml:space="preserve">amount of EUR 135,000 gross. Company </w:t>
      </w:r>
      <w:r>
        <w:rPr>
          <w:rFonts w:ascii="Arial;sans-serif" w:hAnsi="Arial;sans-serif"/>
          <w:b w:val="false"/>
          <w:color w:val="282828"/>
          <w:sz w:val="18"/>
        </w:rPr>
        <w:t xml:space="preserve">shall </w:t>
      </w:r>
      <w:r>
        <w:rPr>
          <w:rFonts w:ascii="Arial;sans-serif" w:hAnsi="Arial;sans-serif"/>
          <w:b w:val="false"/>
          <w:color w:val="161616"/>
          <w:sz w:val="18"/>
        </w:rPr>
        <w:t>pay such sign on bonus in two equal instalments, with the first instalment payable as part of Company's first regular payroll run following the Commencement Date and the second instalment payable, subject to Employee's continuing employment with Company in good standing, as part of Company's first regular payroll run following Employee's completion of four (4) full months of employment.</w:t>
      </w:r>
    </w:p>
    <w:p>
      <w:pPr>
        <w:pStyle w:val="TextBody"/>
        <w:spacing w:before="1" w:after="283"/>
        <w:ind w:left="0" w:right="0" w:hanging="450"/>
        <w:rPr/>
      </w:pPr>
      <w:r>
        <w:rPr/>
      </w:r>
    </w:p>
    <w:p>
      <w:pPr>
        <w:pStyle w:val="TextBody"/>
        <w:spacing w:lineRule="auto" w:line="412"/>
        <w:ind w:left="0" w:right="0" w:hanging="450"/>
        <w:jc w:val="both"/>
        <w:rPr/>
      </w:pPr>
      <w:r>
        <w:rPr>
          <w:rFonts w:ascii="Arial;sans-serif" w:hAnsi="Arial;sans-serif"/>
          <w:b w:val="false"/>
          <w:color w:val="161616"/>
          <w:sz w:val="18"/>
        </w:rPr>
        <w:t>2.4</w:t>
      </w:r>
      <w:r>
        <w:rPr>
          <w:rFonts w:ascii="Arial;sans-serif" w:hAnsi="Arial;sans-serif"/>
          <w:b/>
          <w:color w:val="161616"/>
          <w:sz w:val="18"/>
        </w:rPr>
        <w:t xml:space="preserve">Cash Retention Bonus. </w:t>
      </w:r>
      <w:r>
        <w:rPr>
          <w:rFonts w:ascii="Arial;sans-serif" w:hAnsi="Arial;sans-serif"/>
          <w:b w:val="false"/>
          <w:color w:val="161616"/>
          <w:sz w:val="18"/>
        </w:rPr>
        <w:t xml:space="preserve">Subject to vesting that is based on Employee's continuing employment with Company in good standing, Employee is eligible to earn and be paid a cash retention bonus which totals USD $800,000 gross over a four-year period. Vesting shall occur in 25% (i.e, USD $200,000) instalments on each of the first four anniversaries of Employee's Commencement Date, as defined </w:t>
      </w:r>
      <w:r>
        <w:rPr>
          <w:rFonts w:ascii="Arial;sans-serif" w:hAnsi="Arial;sans-serif"/>
          <w:b w:val="false"/>
          <w:color w:val="282828"/>
          <w:sz w:val="18"/>
        </w:rPr>
        <w:t xml:space="preserve">in </w:t>
      </w:r>
      <w:r>
        <w:rPr>
          <w:rFonts w:ascii="Arial;sans-serif" w:hAnsi="Arial;sans-serif"/>
          <w:b w:val="false"/>
          <w:color w:val="161616"/>
          <w:sz w:val="18"/>
        </w:rPr>
        <w:t xml:space="preserve">Section 7.1 below. If a cash retention bonus instalment becomes earned and payable, Company will pay the cash retention bonus instalment to Employee, less all applicable taxes and withholdings, as part of the next feasible payroll cycle following the respective instalment vesting date. If Employee's employment with Company </w:t>
      </w:r>
      <w:r>
        <w:rPr>
          <w:rFonts w:ascii="Arial;sans-serif" w:hAnsi="Arial;sans-serif"/>
          <w:b w:val="false"/>
          <w:color w:val="282828"/>
          <w:sz w:val="18"/>
        </w:rPr>
        <w:t xml:space="preserve">ceases </w:t>
      </w:r>
      <w:r>
        <w:rPr>
          <w:rFonts w:ascii="Arial;sans-serif" w:hAnsi="Arial;sans-serif"/>
          <w:b w:val="false"/>
          <w:color w:val="161616"/>
          <w:sz w:val="18"/>
        </w:rPr>
        <w:t xml:space="preserve">for any reason before an instalment vesting date, Employee will not have earned all or any portion of the </w:t>
      </w:r>
      <w:r>
        <w:rPr>
          <w:rFonts w:ascii="Arial;sans-serif" w:hAnsi="Arial;sans-serif"/>
          <w:b w:val="false"/>
          <w:color w:val="282828"/>
          <w:sz w:val="18"/>
        </w:rPr>
        <w:t xml:space="preserve">instalment </w:t>
      </w:r>
      <w:r>
        <w:rPr>
          <w:rFonts w:ascii="Arial;sans-serif" w:hAnsi="Arial;sans-serif"/>
          <w:b w:val="false"/>
          <w:color w:val="161616"/>
          <w:sz w:val="18"/>
        </w:rPr>
        <w:t>amount associated with such vesting date and Employee will not be entitled to any pro-rated or otherwise partial payment of the instalment that would have become earned and payable had Employee's employment continued in good standing through such instalment vesting date.</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86435"/>
                <wp:effectExtent l="0" t="0" r="0" b="0"/>
                <wp:wrapNone/>
                <wp:docPr id="48" name="Frame48"/>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1 -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1 -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405" w:before="111" w:after="283"/>
        <w:ind w:left="0" w:right="0" w:hanging="450"/>
        <w:jc w:val="both"/>
        <w:rPr/>
      </w:pPr>
      <w:r>
        <w:rPr>
          <w:rFonts w:ascii="Arial;sans-serif" w:hAnsi="Arial;sans-serif"/>
          <w:b w:val="false"/>
          <w:color w:val="000000"/>
          <w:sz w:val="18"/>
        </w:rPr>
        <w:t>2.5</w:t>
      </w:r>
      <w:r>
        <w:rPr>
          <w:rFonts w:ascii="Arial;sans-serif" w:hAnsi="Arial;sans-serif"/>
          <w:b/>
          <w:color w:val="161616"/>
          <w:sz w:val="18"/>
        </w:rPr>
        <w:t xml:space="preserve">PSUs. </w:t>
      </w:r>
      <w:r>
        <w:rPr>
          <w:rFonts w:ascii="Arial;sans-serif" w:hAnsi="Arial;sans-serif"/>
          <w:b w:val="false"/>
          <w:color w:val="161616"/>
          <w:sz w:val="18"/>
        </w:rPr>
        <w:t>Employee will be eligible to participate in the Cimpress N.V.'s 2016 Performance Equity Plan, as amended (the "</w:t>
      </w:r>
      <w:r>
        <w:rPr>
          <w:rFonts w:ascii="Arial;sans-serif" w:hAnsi="Arial;sans-serif"/>
          <w:b w:val="false"/>
          <w:color w:val="161616"/>
          <w:sz w:val="18"/>
          <w:u w:val="single"/>
        </w:rPr>
        <w:t>Plan</w:t>
      </w:r>
      <w:r>
        <w:rPr>
          <w:rFonts w:ascii="Arial;sans-serif" w:hAnsi="Arial;sans-serif"/>
          <w:b w:val="false"/>
          <w:color w:val="161616"/>
          <w:sz w:val="18"/>
        </w:rPr>
        <w:t>") of performance share units ("</w:t>
      </w:r>
      <w:r>
        <w:rPr>
          <w:rFonts w:ascii="Arial;sans-serif" w:hAnsi="Arial;sans-serif"/>
          <w:b w:val="false"/>
          <w:color w:val="161616"/>
          <w:sz w:val="18"/>
          <w:u w:val="single"/>
        </w:rPr>
        <w:t>PSUs</w:t>
      </w:r>
      <w:r>
        <w:rPr>
          <w:rFonts w:ascii="Arial;sans-serif" w:hAnsi="Arial;sans-serif"/>
          <w:b w:val="false"/>
          <w:color w:val="161616"/>
          <w:sz w:val="18"/>
        </w:rPr>
        <w:t>") having a value of USD</w:t>
      </w:r>
      <w:r>
        <w:rPr>
          <w:color w:val="000000"/>
        </w:rPr>
        <w:t xml:space="preserve"> </w:t>
      </w:r>
      <w:r>
        <w:rPr>
          <w:rFonts w:ascii="Arial;sans-serif" w:hAnsi="Arial;sans-serif"/>
          <w:b w:val="false"/>
          <w:color w:val="1A1A1A"/>
          <w:sz w:val="18"/>
        </w:rPr>
        <w:t>$1,200,000. Each PSU represents a right to receive between 0 and 2,5 Cimpress N.V. ordinary shares upon the satisfaction of both service-based vesting over four years and performance conditions relating to the compound annual growth rate ("</w:t>
      </w:r>
      <w:r>
        <w:rPr>
          <w:rFonts w:ascii="Arial;sans-serif" w:hAnsi="Arial;sans-serif"/>
          <w:b w:val="false"/>
          <w:color w:val="1A1A1A"/>
          <w:sz w:val="18"/>
          <w:u w:val="single"/>
        </w:rPr>
        <w:t>CAGR</w:t>
      </w:r>
      <w:r>
        <w:rPr>
          <w:color w:val="1A1A1A"/>
        </w:rPr>
        <w:t>”</w:t>
      </w:r>
      <w:r>
        <w:rPr>
          <w:rFonts w:ascii="Arial;sans-serif" w:hAnsi="Arial;sans-serif"/>
          <w:b w:val="false"/>
          <w:color w:val="1A1A1A"/>
          <w:sz w:val="18"/>
        </w:rPr>
        <w:t>) of the three-year moving average (“</w:t>
      </w:r>
      <w:r>
        <w:rPr>
          <w:rFonts w:ascii="Arial;sans-serif" w:hAnsi="Arial;sans-serif"/>
          <w:b w:val="false"/>
          <w:color w:val="1A1A1A"/>
          <w:sz w:val="18"/>
          <w:u w:val="single"/>
        </w:rPr>
        <w:t>3YMA</w:t>
      </w:r>
      <w:r>
        <w:rPr>
          <w:color w:val="1A1A1A"/>
        </w:rPr>
        <w:t>”</w:t>
      </w:r>
      <w:r>
        <w:rPr>
          <w:rFonts w:ascii="Arial;sans-serif" w:hAnsi="Arial;sans-serif"/>
          <w:b w:val="false"/>
          <w:color w:val="1A1A1A"/>
          <w:sz w:val="18"/>
        </w:rPr>
        <w:t>) of the daily closing share price of Cimpress N.V.'s ordinary shares. Performance conditions shall be measured each year between the fourth and eighth year until the first year in which the performance condition is achieved. The minimum 3YMA CAGR shall be 9% for measurement dates from the fourth to seventh year and shall be 7% for the eighth year.</w:t>
      </w:r>
    </w:p>
    <w:p>
      <w:pPr>
        <w:pStyle w:val="TextBody"/>
        <w:spacing w:lineRule="auto" w:line="410" w:before="98" w:after="283"/>
        <w:ind w:left="0" w:right="0" w:firstLine="4"/>
        <w:jc w:val="both"/>
        <w:rPr/>
      </w:pPr>
      <w:r>
        <w:rPr>
          <w:rFonts w:ascii="Arial;sans-serif" w:hAnsi="Arial;sans-serif"/>
          <w:b w:val="false"/>
          <w:color w:val="1A1A1A"/>
          <w:sz w:val="18"/>
        </w:rPr>
        <w:t>While this paragraph is a general description of such PSU award, the PSU award will</w:t>
      </w:r>
      <w:r>
        <w:rPr>
          <w:color w:val="1A1A1A"/>
        </w:rPr>
        <w:t xml:space="preserve"> </w:t>
      </w:r>
      <w:r>
        <w:rPr>
          <w:rFonts w:ascii="Arial;sans-serif" w:hAnsi="Arial;sans-serif"/>
          <w:b w:val="false"/>
          <w:color w:val="1A1A1A"/>
          <w:sz w:val="18"/>
        </w:rPr>
        <w:t>at all times be subject to all terms, vesting schedules, performance conditions, limitations, restrictions, and termination provisions set forth in the Plan and in the separate PSU agreement that Executive will sign or accept electronically to evidence the award of such PSUs.</w:t>
      </w:r>
    </w:p>
    <w:p>
      <w:pPr>
        <w:pStyle w:val="TextBody"/>
        <w:spacing w:lineRule="auto" w:line="410" w:before="28" w:after="283"/>
        <w:ind w:left="0" w:right="0" w:hanging="450"/>
        <w:jc w:val="both"/>
        <w:rPr/>
      </w:pPr>
      <w:r>
        <w:rPr>
          <w:rFonts w:ascii="Arial;sans-serif" w:hAnsi="Arial;sans-serif"/>
          <w:b w:val="false"/>
          <w:color w:val="1A1A1A"/>
          <w:sz w:val="18"/>
        </w:rPr>
        <w:t>2.6</w:t>
      </w:r>
      <w:r>
        <w:rPr>
          <w:rFonts w:ascii="Arial;sans-serif" w:hAnsi="Arial;sans-serif"/>
          <w:b/>
          <w:color w:val="1A1A1A"/>
          <w:sz w:val="18"/>
        </w:rPr>
        <w:t xml:space="preserve">Future LTI. </w:t>
      </w:r>
      <w:r>
        <w:rPr>
          <w:rFonts w:ascii="Arial;sans-serif" w:hAnsi="Arial;sans-serif"/>
          <w:b w:val="false"/>
          <w:color w:val="1A1A1A"/>
          <w:sz w:val="18"/>
        </w:rPr>
        <w:t>Employee will be eligible to receive annual long-term incentive (“</w:t>
      </w:r>
      <w:r>
        <w:rPr>
          <w:rFonts w:ascii="Arial;sans-serif" w:hAnsi="Arial;sans-serif"/>
          <w:b w:val="false"/>
          <w:color w:val="1A1A1A"/>
          <w:sz w:val="18"/>
          <w:u w:val="single"/>
        </w:rPr>
        <w:t>LTI</w:t>
      </w:r>
      <w:r>
        <w:rPr>
          <w:color w:val="1A1A1A"/>
        </w:rPr>
        <w:t>”</w:t>
      </w:r>
      <w:r>
        <w:rPr>
          <w:rFonts w:ascii="Arial;sans-serif" w:hAnsi="Arial;sans-serif"/>
          <w:b w:val="false"/>
          <w:color w:val="1A1A1A"/>
          <w:sz w:val="18"/>
        </w:rPr>
        <w:t>) awards commencing with vesting that starts on Vistaprint's 2021 fiscal year (which for avoidance of doubt starts on 1 July 2020). The LTI vehicle or vehicles underlying such awards will be determined by the Board of Directors or responsible officers of Cimpress N.V., and may include (i) PSUs, (ii) a newly-designed Cimpress-wide LTI compensation program and/or a newly-designed Vistaprint specific LTI compensation program that has economic incentive (upside &amp; downside) characteristics that are broadly similar to PSUs, or(iii) a combination of the two.</w:t>
      </w:r>
    </w:p>
    <w:p>
      <w:pPr>
        <w:pStyle w:val="TextBody"/>
        <w:spacing w:lineRule="auto" w:line="412" w:before="117" w:after="283"/>
        <w:jc w:val="both"/>
        <w:rPr>
          <w:rFonts w:ascii="Arial;sans-serif" w:hAnsi="Arial;sans-serif"/>
          <w:b w:val="false"/>
          <w:color w:val="1A1A1A"/>
          <w:sz w:val="18"/>
        </w:rPr>
      </w:pPr>
      <w:r>
        <w:rPr>
          <w:rFonts w:ascii="Arial;sans-serif" w:hAnsi="Arial;sans-serif"/>
          <w:b w:val="false"/>
          <w:color w:val="1A1A1A"/>
          <w:sz w:val="18"/>
        </w:rPr>
        <w:t>Company currently anticipates that such annual LTI awards to Employee will have an annual value of approximately USD $1.4 million, but the decision to grant such awards to Employee and the amount of any such awards will be determined by Cimpress N.V. in its sole discretion, based on factors including Employee's performance, Employee's employment status, and future changes in Cimpress N.V.'s LTI compensation philosophy, practices and programs, among others.</w:t>
      </w:r>
    </w:p>
    <w:p>
      <w:pPr>
        <w:pStyle w:val="TextBody"/>
        <w:spacing w:lineRule="auto" w:line="405" w:before="101" w:after="283"/>
        <w:ind w:left="0" w:right="0" w:hanging="450"/>
        <w:jc w:val="both"/>
        <w:rPr>
          <w:rFonts w:ascii="Arial;sans-serif" w:hAnsi="Arial;sans-serif"/>
          <w:b w:val="false"/>
          <w:color w:val="1A1A1A"/>
          <w:sz w:val="18"/>
        </w:rPr>
      </w:pPr>
      <w:r>
        <w:rPr>
          <w:rFonts w:ascii="Arial;sans-serif" w:hAnsi="Arial;sans-serif"/>
          <w:b w:val="false"/>
          <w:color w:val="1A1A1A"/>
          <w:sz w:val="18"/>
        </w:rPr>
        <w:t>2.7Company shall pay all compensation owed to Employee under this Agreement subject to all applicable taxes and withholdings.</w:t>
      </w:r>
    </w:p>
    <w:p>
      <w:pPr>
        <w:pStyle w:val="TextBody"/>
        <w:spacing w:lineRule="auto" w:line="412" w:before="112" w:after="283"/>
        <w:ind w:left="0" w:right="0" w:hanging="450"/>
        <w:jc w:val="both"/>
        <w:rPr/>
      </w:pPr>
      <w:r>
        <w:rPr>
          <w:rFonts w:ascii="Arial;sans-serif" w:hAnsi="Arial;sans-serif"/>
          <w:b w:val="false"/>
          <w:color w:val="1A1A1A"/>
          <w:sz w:val="18"/>
        </w:rPr>
        <w:t>2.8Employee agrees to receive all his payslips in a non-alterable electronic format via either his personal vistaprint.com email address or his personal email address and the internet connection of his choice</w:t>
      </w:r>
      <w:r>
        <w:rPr>
          <w:rFonts w:ascii="Arial;sans-serif" w:hAnsi="Arial;sans-serif"/>
          <w:b w:val="false"/>
          <w:color w:val="545454"/>
          <w:sz w:val="18"/>
        </w:rPr>
        <w:t xml:space="preserve">. </w:t>
      </w:r>
      <w:r>
        <w:rPr>
          <w:rFonts w:ascii="Arial;sans-serif" w:hAnsi="Arial;sans-serif"/>
          <w:b w:val="false"/>
          <w:color w:val="1A1A1A"/>
          <w:sz w:val="18"/>
        </w:rPr>
        <w:t xml:space="preserve">Employee shall notify this personal email address to the HR contact within 5 days as from the start date of </w:t>
      </w:r>
      <w:r>
        <w:rPr>
          <w:rFonts w:ascii="Arial;sans-serif" w:hAnsi="Arial;sans-serif"/>
          <w:b w:val="false"/>
          <w:color w:val="363636"/>
          <w:sz w:val="18"/>
        </w:rPr>
        <w:t xml:space="preserve">employment. </w:t>
      </w:r>
      <w:r>
        <w:rPr>
          <w:rFonts w:ascii="Arial;sans-serif" w:hAnsi="Arial;sans-serif"/>
          <w:b w:val="false"/>
          <w:color w:val="1A1A1A"/>
          <w:sz w:val="18"/>
        </w:rPr>
        <w:t>Employee shall also be obliged to maintain an account with a German bank/savings bank and to notify Company of the account data in question.</w:t>
      </w:r>
    </w:p>
    <w:p>
      <w:pPr>
        <w:pStyle w:val="TextBody"/>
        <w:spacing w:lineRule="auto" w:line="408" w:before="105" w:after="283"/>
        <w:ind w:left="0" w:right="0" w:hanging="450"/>
        <w:jc w:val="both"/>
        <w:rPr/>
      </w:pPr>
      <w:r>
        <w:rPr>
          <w:rFonts w:ascii="Arial;sans-serif" w:hAnsi="Arial;sans-serif"/>
          <w:b w:val="false"/>
          <w:color w:val="1A1A1A"/>
          <w:sz w:val="18"/>
        </w:rPr>
        <w:t xml:space="preserve">2.9Company may deduct from the salary, or any other sums owed to Employee, any money owed to Company and/or any Group Company by Employee </w:t>
      </w:r>
      <w:r>
        <w:rPr>
          <w:rFonts w:ascii="Arial;sans-serif" w:hAnsi="Arial;sans-serif"/>
          <w:b w:val="false"/>
          <w:color w:val="363636"/>
          <w:sz w:val="18"/>
        </w:rPr>
        <w:t xml:space="preserve">In </w:t>
      </w:r>
      <w:r>
        <w:rPr>
          <w:rFonts w:ascii="Arial;sans-serif" w:hAnsi="Arial;sans-serif"/>
          <w:b w:val="false"/>
          <w:color w:val="1A1A1A"/>
          <w:sz w:val="18"/>
        </w:rPr>
        <w:t>compliance with the regulations regarding the exemption from attachment of earned income pursuant to Sections 850 seq. Code of Civil Procedure Act. For purposes of this Agreement, a "</w:t>
      </w:r>
      <w:r>
        <w:rPr>
          <w:rFonts w:ascii="Arial;sans-serif" w:hAnsi="Arial;sans-serif"/>
          <w:b w:val="false"/>
          <w:color w:val="1A1A1A"/>
          <w:sz w:val="18"/>
          <w:u w:val="single"/>
        </w:rPr>
        <w:t>Group Company</w:t>
      </w:r>
      <w:r>
        <w:rPr>
          <w:rFonts w:ascii="Arial;sans-serif" w:hAnsi="Arial;sans-serif"/>
          <w:b w:val="false"/>
          <w:color w:val="1A1A1A"/>
          <w:sz w:val="18"/>
        </w:rPr>
        <w:t xml:space="preserve">" is any entity that is now or hereafter directly, or indirectly through one or more intermediaries, controls, is controlled by, or is under common control with, Company (where, for these purposes, "control" and its correlates mean the possession, directly or indirectly, of the power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86435"/>
                <wp:effectExtent l="0" t="0" r="0" b="0"/>
                <wp:wrapNone/>
                <wp:docPr id="49" name="Frame49"/>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2 -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2 -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408" w:before="105" w:after="283"/>
        <w:jc w:val="both"/>
        <w:rPr>
          <w:rFonts w:ascii="Arial;sans-serif" w:hAnsi="Arial;sans-serif"/>
          <w:b w:val="false"/>
          <w:color w:val="1A1A1A"/>
          <w:sz w:val="18"/>
        </w:rPr>
      </w:pPr>
      <w:r>
        <w:rPr>
          <w:rFonts w:ascii="Arial;sans-serif" w:hAnsi="Arial;sans-serif"/>
          <w:b w:val="false"/>
          <w:color w:val="1A1A1A"/>
          <w:sz w:val="18"/>
        </w:rPr>
        <w:t>to direct or cause the direction of the management and policies of an entity, whether through the ownership of voting securities, by contract or otherwise).</w:t>
      </w:r>
    </w:p>
    <w:p>
      <w:pPr>
        <w:pStyle w:val="TextBody"/>
        <w:spacing w:before="0" w:after="0"/>
        <w:ind w:left="0" w:right="0" w:hanging="450"/>
        <w:rPr/>
      </w:pPr>
      <w:r>
        <w:rPr/>
      </w:r>
    </w:p>
    <w:p>
      <w:pPr>
        <w:pStyle w:val="TextBody"/>
        <w:spacing w:lineRule="auto" w:line="240" w:before="105" w:after="283"/>
        <w:ind w:left="0" w:right="0" w:hanging="450"/>
        <w:jc w:val="both"/>
        <w:rPr>
          <w:rFonts w:ascii="Arial;sans-serif" w:hAnsi="Arial;sans-serif"/>
          <w:b/>
          <w:color w:val="1A1A1A"/>
          <w:sz w:val="18"/>
        </w:rPr>
      </w:pPr>
      <w:r>
        <w:rPr>
          <w:rFonts w:ascii="Arial;sans-serif" w:hAnsi="Arial;sans-serif"/>
          <w:b/>
          <w:color w:val="1A1A1A"/>
          <w:sz w:val="18"/>
        </w:rPr>
        <w:t>3.Holidays.</w:t>
      </w:r>
    </w:p>
    <w:p>
      <w:pPr>
        <w:pStyle w:val="TextBody"/>
        <w:spacing w:lineRule="auto" w:line="405" w:before="101" w:after="283"/>
        <w:ind w:left="0" w:right="0" w:hanging="450"/>
        <w:jc w:val="both"/>
        <w:rPr/>
      </w:pPr>
      <w:r>
        <w:rPr>
          <w:rFonts w:ascii="Arial;sans-serif" w:hAnsi="Arial;sans-serif"/>
          <w:b w:val="false"/>
          <w:color w:val="1A1A1A"/>
          <w:sz w:val="18"/>
        </w:rPr>
        <w:t>3.1Employee is entitled to the statutory minimum leave of 20 working days per calendar year on the basis of a five-day working week. Company also grants Employee a holiday entitlement of five</w:t>
      </w:r>
      <w:r>
        <w:rPr>
          <w:color w:val="000000"/>
        </w:rPr>
        <w:t xml:space="preserve"> </w:t>
      </w:r>
      <w:r>
        <w:rPr>
          <w:rFonts w:ascii="Arial;sans-serif" w:hAnsi="Arial;sans-serif"/>
          <w:b/>
          <w:color w:val="1A1A1A"/>
          <w:sz w:val="18"/>
        </w:rPr>
        <w:t>additional</w:t>
      </w:r>
      <w:r>
        <w:rPr>
          <w:color w:val="1A1A1A"/>
        </w:rPr>
        <w:t xml:space="preserve"> </w:t>
      </w:r>
      <w:r>
        <w:rPr>
          <w:rFonts w:ascii="Arial;sans-serif" w:hAnsi="Arial;sans-serif"/>
          <w:b w:val="false"/>
          <w:color w:val="1A1A1A"/>
          <w:sz w:val="18"/>
        </w:rPr>
        <w:t>working days per calendar year on the basis of a five-day working week ("</w:t>
      </w:r>
      <w:r>
        <w:rPr>
          <w:rFonts w:ascii="Arial;sans-serif" w:hAnsi="Arial;sans-serif"/>
          <w:b w:val="false"/>
          <w:color w:val="1A1A1A"/>
          <w:sz w:val="18"/>
          <w:u w:val="single"/>
        </w:rPr>
        <w:t>Additional Holiday</w:t>
      </w:r>
      <w:r>
        <w:rPr>
          <w:rFonts w:ascii="Arial;sans-serif" w:hAnsi="Arial;sans-serif"/>
          <w:b w:val="false"/>
          <w:color w:val="1A1A1A"/>
          <w:sz w:val="18"/>
        </w:rPr>
        <w:t>"). Company's annual leave year runs between 1 January and 31 December.</w:t>
      </w:r>
    </w:p>
    <w:p>
      <w:pPr>
        <w:pStyle w:val="TextBody"/>
        <w:spacing w:lineRule="auto" w:line="415" w:before="114" w:after="283"/>
        <w:ind w:left="0" w:right="0" w:hanging="450"/>
        <w:jc w:val="both"/>
        <w:rPr/>
      </w:pPr>
      <w:r>
        <w:rPr>
          <w:rFonts w:ascii="Arial;sans-serif" w:hAnsi="Arial;sans-serif"/>
          <w:b w:val="false"/>
          <w:color w:val="161616"/>
          <w:sz w:val="18"/>
        </w:rPr>
        <w:t>3.2Employee shall obtain his supervisor's prior approval before taking holiday days and Company's business interests shall be taking into due account</w:t>
      </w:r>
      <w:r>
        <w:rPr>
          <w:rFonts w:ascii="Arial;sans-serif" w:hAnsi="Arial;sans-serif"/>
          <w:b w:val="false"/>
          <w:color w:val="484848"/>
          <w:sz w:val="18"/>
        </w:rPr>
        <w:t>.</w:t>
      </w:r>
    </w:p>
    <w:p>
      <w:pPr>
        <w:pStyle w:val="TextBody"/>
        <w:spacing w:lineRule="auto" w:line="415" w:before="105" w:after="283"/>
        <w:ind w:left="0" w:right="0" w:hanging="450"/>
        <w:jc w:val="both"/>
        <w:rPr/>
      </w:pPr>
      <w:r>
        <w:rPr>
          <w:rFonts w:ascii="Arial;sans-serif" w:hAnsi="Arial;sans-serif"/>
          <w:b w:val="false"/>
          <w:color w:val="161616"/>
          <w:sz w:val="18"/>
        </w:rPr>
        <w:t>3.3If the employment relationship starts or terminates during the calendar year, the Additional Holiday is only granted on a pro-rata basis for each full month of employment. Compensation upon termination of this Agreement is excluded for the Additional Holiday</w:t>
      </w:r>
      <w:r>
        <w:rPr>
          <w:rFonts w:ascii="Arial;sans-serif" w:hAnsi="Arial;sans-serif"/>
          <w:b w:val="false"/>
          <w:color w:val="484848"/>
          <w:sz w:val="18"/>
        </w:rPr>
        <w:t>.</w:t>
      </w:r>
    </w:p>
    <w:p>
      <w:pPr>
        <w:pStyle w:val="TextBody"/>
        <w:spacing w:lineRule="auto" w:line="415" w:before="106" w:after="283"/>
        <w:ind w:left="0" w:right="0" w:hanging="450"/>
        <w:jc w:val="both"/>
        <w:rPr>
          <w:rFonts w:ascii="Arial;sans-serif" w:hAnsi="Arial;sans-serif"/>
          <w:b w:val="false"/>
          <w:color w:val="161616"/>
          <w:sz w:val="18"/>
        </w:rPr>
      </w:pPr>
      <w:r>
        <w:rPr>
          <w:rFonts w:ascii="Arial;sans-serif" w:hAnsi="Arial;sans-serif"/>
          <w:b w:val="false"/>
          <w:color w:val="161616"/>
          <w:sz w:val="18"/>
        </w:rPr>
        <w:t>3.4The Additional Holiday must be taken during the current calendar year. Transfer to the next calendar year is only permitted if urgent operational reasons or reasons specific to the individual justify this. With effect of March 31 of the following year (transfer period), the Additional Holiday forfeits without compensation.</w:t>
      </w:r>
    </w:p>
    <w:p>
      <w:pPr>
        <w:pStyle w:val="TextBody"/>
        <w:spacing w:lineRule="auto" w:line="422" w:before="101" w:after="283"/>
        <w:ind w:left="0" w:right="0" w:hanging="450"/>
        <w:jc w:val="both"/>
        <w:rPr>
          <w:rFonts w:ascii="Arial;sans-serif" w:hAnsi="Arial;sans-serif"/>
          <w:b w:val="false"/>
          <w:color w:val="161616"/>
          <w:sz w:val="18"/>
        </w:rPr>
      </w:pPr>
      <w:r>
        <w:rPr>
          <w:rFonts w:ascii="Arial;sans-serif" w:hAnsi="Arial;sans-serif"/>
          <w:b w:val="false"/>
          <w:color w:val="161616"/>
          <w:sz w:val="18"/>
        </w:rPr>
        <w:t>3.5The first purpose of granting vacation leave during a calendar year is to satisfy the statutory minimum vacation entitlement.</w:t>
      </w:r>
    </w:p>
    <w:p>
      <w:pPr>
        <w:pStyle w:val="TextBody"/>
        <w:spacing w:before="2" w:after="283"/>
        <w:ind w:left="0" w:right="0" w:hanging="450"/>
        <w:rPr/>
      </w:pPr>
      <w:r>
        <w:rPr/>
      </w:r>
    </w:p>
    <w:p>
      <w:pPr>
        <w:pStyle w:val="TextBody"/>
        <w:spacing w:lineRule="auto" w:line="412" w:before="0" w:after="0"/>
        <w:ind w:left="0" w:right="0" w:hanging="450"/>
        <w:jc w:val="both"/>
        <w:rPr/>
      </w:pPr>
      <w:r>
        <w:rPr>
          <w:rFonts w:ascii="Arial;sans-serif" w:hAnsi="Arial;sans-serif"/>
          <w:b/>
          <w:color w:val="161616"/>
          <w:sz w:val="18"/>
        </w:rPr>
        <w:t>4.Time Commitment.</w:t>
      </w:r>
      <w:r>
        <w:rPr>
          <w:rFonts w:ascii="Arial;sans-serif" w:hAnsi="Arial;sans-serif"/>
          <w:b w:val="false"/>
          <w:color w:val="AFAFAF"/>
          <w:sz w:val="18"/>
        </w:rPr>
        <w:t xml:space="preserve">· </w:t>
      </w:r>
      <w:r>
        <w:rPr>
          <w:rFonts w:ascii="Arial;sans-serif" w:hAnsi="Arial;sans-serif"/>
          <w:b w:val="false"/>
          <w:color w:val="161616"/>
          <w:sz w:val="18"/>
        </w:rPr>
        <w:t>Employee's normal working hours shall be 40 hours per week on Mondays to Fridays and such additional hours as are necessary for the proper performance of his duties or if requested by Company up to the maximum daily/weekly hours permitted under the mandatory statutory laws on working hours. The remuneration set out in Section 2 shall settle the entire work including any overtime work pursuant to this Section 4</w:t>
      </w:r>
      <w:r>
        <w:rPr>
          <w:rFonts w:ascii="Arial;sans-serif" w:hAnsi="Arial;sans-serif"/>
          <w:b w:val="false"/>
          <w:color w:val="484848"/>
          <w:sz w:val="18"/>
        </w:rPr>
        <w:t>.</w:t>
      </w:r>
    </w:p>
    <w:p>
      <w:pPr>
        <w:pStyle w:val="TextBody"/>
        <w:spacing w:before="0" w:after="0"/>
        <w:ind w:left="0" w:right="0" w:hanging="450"/>
        <w:rPr/>
      </w:pPr>
      <w:r>
        <w:rPr/>
      </w:r>
    </w:p>
    <w:p>
      <w:pPr>
        <w:pStyle w:val="TextBody"/>
        <w:spacing w:lineRule="auto" w:line="412" w:before="1" w:after="283"/>
        <w:ind w:left="0" w:right="0" w:hanging="450"/>
        <w:jc w:val="both"/>
        <w:rPr/>
      </w:pPr>
      <w:r>
        <w:rPr>
          <w:rFonts w:ascii="Arial;sans-serif" w:hAnsi="Arial;sans-serif"/>
          <w:b/>
          <w:color w:val="161616"/>
          <w:sz w:val="18"/>
        </w:rPr>
        <w:t xml:space="preserve">5.Place of Work. </w:t>
      </w:r>
      <w:r>
        <w:rPr>
          <w:rFonts w:ascii="Arial;sans-serif" w:hAnsi="Arial;sans-serif"/>
          <w:b w:val="false"/>
          <w:color w:val="161616"/>
          <w:sz w:val="18"/>
        </w:rPr>
        <w:t>Employee's normal place of work is Munich. Company shall be responsible for and bear all costs and expenses relating to procuring and maintaining office space and related furnishings and equipment for Employee's use in Munich during the term of this Agreement. Company also reserves the right to transfer Employee to another place of work within the Federal Republic</w:t>
      </w:r>
      <w:r>
        <w:rPr>
          <w:rFonts w:ascii="Arial;sans-serif" w:hAnsi="Arial;sans-serif"/>
          <w:b w:val="false"/>
          <w:color w:val="484848"/>
          <w:sz w:val="18"/>
        </w:rPr>
        <w:t>·</w:t>
      </w:r>
      <w:r>
        <w:rPr>
          <w:rFonts w:ascii="Arial;sans-serif" w:hAnsi="Arial;sans-serif"/>
          <w:b w:val="false"/>
          <w:color w:val="161616"/>
          <w:sz w:val="18"/>
        </w:rPr>
        <w:t>of Germany temporarily or permanently</w:t>
      </w:r>
      <w:r>
        <w:rPr>
          <w:rFonts w:ascii="Arial;sans-serif" w:hAnsi="Arial;sans-serif"/>
          <w:b w:val="false"/>
          <w:color w:val="484848"/>
          <w:sz w:val="18"/>
        </w:rPr>
        <w:t>.</w:t>
      </w:r>
    </w:p>
    <w:p>
      <w:pPr>
        <w:pStyle w:val="TextBody"/>
        <w:spacing w:before="5" w:after="283"/>
        <w:ind w:left="0" w:right="0" w:hanging="450"/>
        <w:rPr/>
      </w:pPr>
      <w:r>
        <w:rPr/>
      </w:r>
    </w:p>
    <w:p>
      <w:pPr>
        <w:pStyle w:val="TextBody"/>
        <w:spacing w:lineRule="auto" w:line="240" w:before="0" w:after="0"/>
        <w:ind w:left="0" w:right="0" w:hanging="450"/>
        <w:jc w:val="both"/>
        <w:rPr>
          <w:rFonts w:ascii="Arial;sans-serif" w:hAnsi="Arial;sans-serif"/>
          <w:b/>
          <w:color w:val="161616"/>
          <w:sz w:val="18"/>
        </w:rPr>
      </w:pPr>
      <w:r>
        <w:rPr>
          <w:rFonts w:ascii="Arial;sans-serif" w:hAnsi="Arial;sans-serif"/>
          <w:b/>
          <w:color w:val="161616"/>
          <w:sz w:val="18"/>
        </w:rPr>
        <w:t>6.Business Travel.</w:t>
      </w:r>
    </w:p>
    <w:p>
      <w:pPr>
        <w:pStyle w:val="TextBody"/>
        <w:spacing w:lineRule="auto" w:line="405" w:before="101" w:after="283"/>
        <w:ind w:left="0" w:right="0" w:hanging="450"/>
        <w:jc w:val="both"/>
        <w:rPr>
          <w:rFonts w:ascii="Arial;sans-serif" w:hAnsi="Arial;sans-serif"/>
          <w:b w:val="false"/>
          <w:color w:val="161616"/>
          <w:sz w:val="18"/>
        </w:rPr>
      </w:pPr>
      <w:r>
        <w:rPr>
          <w:rFonts w:ascii="Arial;sans-serif" w:hAnsi="Arial;sans-serif"/>
          <w:b w:val="false"/>
          <w:color w:val="161616"/>
          <w:sz w:val="18"/>
        </w:rPr>
        <w:t>6.1During this Agreement, Employee shall be required to frequently go on business travel within the Federal Republic of Germany and abroad. The number, the duration in question and the destination of the business trips shall be based on Company's requirements.</w:t>
      </w:r>
    </w:p>
    <w:p>
      <w:pPr>
        <w:pStyle w:val="TextBody"/>
        <w:spacing w:lineRule="auto" w:line="412" w:before="0" w:after="0"/>
        <w:ind w:left="0" w:right="0" w:hanging="450"/>
        <w:jc w:val="both"/>
        <w:rPr/>
      </w:pPr>
      <w:r>
        <w:rPr>
          <w:rFonts w:ascii="Arial;sans-serif" w:hAnsi="Arial;sans-serif"/>
          <w:b w:val="false"/>
          <w:color w:val="161616"/>
          <w:sz w:val="18"/>
        </w:rPr>
        <w:t>6.2Notwithstanding the provision set out in Section 5, the operational circumstances can also necessitate a temporary activity lasting up to 4 weeks with a branch at another location or with another company or with a customer or supplier, as the case may be, which can be reasonably expected of Employee</w:t>
      </w:r>
      <w:r>
        <w:rPr>
          <w:rFonts w:ascii="Arial;sans-serif" w:hAnsi="Arial;sans-serif"/>
          <w:b w:val="false"/>
          <w:color w:val="484848"/>
          <w:sz w:val="18"/>
        </w:rPr>
        <w:t>.</w:t>
      </w:r>
    </w:p>
    <w:p>
      <w:pPr>
        <w:pStyle w:val="TextBody"/>
        <w:spacing w:lineRule="auto" w:line="412"/>
        <w:ind w:left="0" w:right="0" w:hanging="450"/>
        <w:jc w:val="both"/>
        <w:rPr/>
      </w:pPr>
      <w:r>
        <w:rPr>
          <w:rFonts w:ascii="Arial;sans-serif" w:hAnsi="Arial;sans-serif"/>
          <w:b w:val="false"/>
          <w:color w:val="161616"/>
          <w:sz w:val="18"/>
        </w:rPr>
        <w:t xml:space="preserve">6.3Employee's business travel shall be conducted according to the travel and expense guidelines of Company as amended from time to time by Company; </w:t>
      </w:r>
      <w:r>
        <w:rPr>
          <w:rFonts w:ascii="Arial;sans-serif" w:hAnsi="Arial;sans-serif"/>
          <w:b w:val="false"/>
          <w:color w:val="161616"/>
          <w:sz w:val="18"/>
          <w:u w:val="single"/>
        </w:rPr>
        <w:t>provided</w:t>
      </w:r>
      <w:r>
        <w:rPr>
          <w:rFonts w:ascii="Arial;sans-serif" w:hAnsi="Arial;sans-serif"/>
          <w:b w:val="false"/>
          <w:color w:val="161616"/>
          <w:sz w:val="18"/>
        </w:rPr>
        <w:t xml:space="preserve">, </w:t>
      </w:r>
      <w:r>
        <w:rPr>
          <w:rFonts w:ascii="Arial;sans-serif" w:hAnsi="Arial;sans-serif"/>
          <w:b w:val="false"/>
          <w:color w:val="161616"/>
          <w:sz w:val="18"/>
          <w:u w:val="single"/>
        </w:rPr>
        <w:t>however</w:t>
      </w:r>
      <w:r>
        <w:rPr>
          <w:rFonts w:ascii="Arial;sans-serif" w:hAnsi="Arial;sans-serif"/>
          <w:b w:val="false"/>
          <w:color w:val="161616"/>
          <w:sz w:val="18"/>
        </w:rPr>
        <w:t>, notwithstanding such guidelines, Employee shall be permitted to book airline travel at business class fares for flights of 6 hours or more in duration</w:t>
      </w:r>
      <w:r>
        <w:rPr>
          <w:rFonts w:ascii="Arial;sans-serif" w:hAnsi="Arial;sans-serif"/>
          <w:b w:val="false"/>
          <w:color w:val="484848"/>
          <w:sz w:val="18"/>
        </w:rPr>
        <w:t>.</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86435"/>
                <wp:effectExtent l="0" t="0" r="0" b="0"/>
                <wp:wrapNone/>
                <wp:docPr id="50" name="Frame50"/>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3 -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3 -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412" w:before="0" w:after="0"/>
        <w:ind w:left="0" w:right="0" w:hanging="446"/>
        <w:jc w:val="both"/>
        <w:rPr>
          <w:rFonts w:ascii="Arial;sans-serif" w:hAnsi="Arial;sans-serif"/>
          <w:b w:val="false"/>
          <w:color w:val="161616"/>
          <w:sz w:val="18"/>
        </w:rPr>
      </w:pPr>
      <w:r>
        <w:rPr>
          <w:rFonts w:ascii="Arial;sans-serif" w:hAnsi="Arial;sans-serif"/>
          <w:b w:val="false"/>
          <w:color w:val="161616"/>
          <w:sz w:val="18"/>
        </w:rPr>
        <w:t>6.4The claim to reimbursement of travel expenses shall expire if it is not presented to Company in writing or electronically and reimbursement is not applied for within three months of the end of the business trip.</w:t>
      </w:r>
    </w:p>
    <w:p>
      <w:pPr>
        <w:pStyle w:val="TextBody"/>
        <w:spacing w:before="0" w:after="0"/>
        <w:ind w:left="0" w:right="0" w:hanging="450"/>
        <w:rPr/>
      </w:pPr>
      <w:r>
        <w:rPr/>
      </w:r>
    </w:p>
    <w:p>
      <w:pPr>
        <w:pStyle w:val="TextBody"/>
        <w:spacing w:lineRule="auto" w:line="240" w:before="0" w:after="0"/>
        <w:ind w:left="0" w:right="0" w:hanging="450"/>
        <w:jc w:val="both"/>
        <w:rPr>
          <w:rFonts w:ascii="Arial;sans-serif" w:hAnsi="Arial;sans-serif"/>
          <w:b/>
          <w:color w:val="1C1C1C"/>
          <w:sz w:val="18"/>
        </w:rPr>
      </w:pPr>
      <w:r>
        <w:rPr>
          <w:rFonts w:ascii="Arial;sans-serif" w:hAnsi="Arial;sans-serif"/>
          <w:b/>
          <w:color w:val="1C1C1C"/>
          <w:sz w:val="18"/>
        </w:rPr>
        <w:t>7.Term of Employment</w:t>
      </w:r>
    </w:p>
    <w:p>
      <w:pPr>
        <w:pStyle w:val="TextBody"/>
        <w:spacing w:before="11" w:after="283"/>
        <w:ind w:left="0" w:right="0" w:hanging="450"/>
        <w:rPr/>
      </w:pPr>
      <w:r>
        <w:rPr/>
      </w:r>
    </w:p>
    <w:p>
      <w:pPr>
        <w:pStyle w:val="TextBody"/>
        <w:spacing w:lineRule="auto" w:line="388" w:before="0" w:after="0"/>
        <w:ind w:left="0" w:right="0" w:hanging="450"/>
        <w:jc w:val="both"/>
        <w:rPr/>
      </w:pPr>
      <w:r>
        <w:rPr>
          <w:rFonts w:ascii="Arial;sans-serif" w:hAnsi="Arial;sans-serif"/>
          <w:b w:val="false"/>
          <w:color w:val="1C1C1C"/>
          <w:sz w:val="18"/>
        </w:rPr>
        <w:t>7.1</w:t>
      </w:r>
      <w:r>
        <w:rPr>
          <w:rFonts w:ascii="Arial;sans-serif" w:hAnsi="Arial;sans-serif"/>
          <w:b/>
          <w:color w:val="1C1C1C"/>
          <w:sz w:val="18"/>
        </w:rPr>
        <w:t xml:space="preserve">Commencement Date. </w:t>
      </w:r>
      <w:r>
        <w:rPr>
          <w:rFonts w:ascii="Arial;sans-serif" w:hAnsi="Arial;sans-serif"/>
          <w:b w:val="false"/>
          <w:color w:val="1C1C1C"/>
          <w:sz w:val="18"/>
        </w:rPr>
        <w:t>This Agreement shall commence on 1 November 2019 (the "</w:t>
      </w:r>
      <w:r>
        <w:rPr>
          <w:rFonts w:ascii="Arial;sans-serif" w:hAnsi="Arial;sans-serif"/>
          <w:b w:val="false"/>
          <w:color w:val="1C1C1C"/>
          <w:sz w:val="18"/>
          <w:u w:val="single"/>
        </w:rPr>
        <w:t>Commencement Date</w:t>
      </w:r>
      <w:r>
        <w:rPr>
          <w:rFonts w:ascii="Arial;sans-serif" w:hAnsi="Arial;sans-serif"/>
          <w:b w:val="false"/>
          <w:color w:val="1C1C1C"/>
          <w:sz w:val="18"/>
        </w:rPr>
        <w:t xml:space="preserve">"); </w:t>
      </w:r>
      <w:r>
        <w:rPr>
          <w:rFonts w:ascii="Arial;sans-serif" w:hAnsi="Arial;sans-serif"/>
          <w:b w:val="false"/>
          <w:color w:val="1C1C1C"/>
          <w:sz w:val="18"/>
          <w:u w:val="single"/>
        </w:rPr>
        <w:t>provided</w:t>
      </w:r>
      <w:r>
        <w:rPr>
          <w:rFonts w:ascii="Arial;sans-serif" w:hAnsi="Arial;sans-serif"/>
          <w:b w:val="false"/>
          <w:color w:val="1C1C1C"/>
          <w:sz w:val="18"/>
        </w:rPr>
        <w:t xml:space="preserve">, </w:t>
      </w:r>
      <w:r>
        <w:rPr>
          <w:rFonts w:ascii="Arial;sans-serif" w:hAnsi="Arial;sans-serif"/>
          <w:b w:val="false"/>
          <w:color w:val="1C1C1C"/>
          <w:sz w:val="18"/>
          <w:u w:val="single"/>
        </w:rPr>
        <w:t>however</w:t>
      </w:r>
      <w:r>
        <w:rPr>
          <w:rFonts w:ascii="Arial;sans-serif" w:hAnsi="Arial;sans-serif"/>
          <w:b w:val="false"/>
          <w:color w:val="1C1C1C"/>
          <w:sz w:val="18"/>
        </w:rPr>
        <w:t>, if Employee is able to start employment with Company at an earlier date and Employee and Company mutually agree on an early start date in writing. then such earlier start date shall constitute the "Commencement Date" hereunder.</w:t>
      </w:r>
    </w:p>
    <w:p>
      <w:pPr>
        <w:pStyle w:val="TextBody"/>
        <w:spacing w:lineRule="auto" w:line="386" w:before="108" w:after="283"/>
        <w:ind w:left="0" w:right="0" w:hanging="450"/>
        <w:jc w:val="both"/>
        <w:rPr/>
      </w:pPr>
      <w:r>
        <w:rPr>
          <w:rFonts w:ascii="Arial;sans-serif" w:hAnsi="Arial;sans-serif"/>
          <w:b w:val="false"/>
          <w:color w:val="1C1C1C"/>
          <w:sz w:val="18"/>
        </w:rPr>
        <w:t>7.2</w:t>
      </w:r>
      <w:r>
        <w:rPr>
          <w:rFonts w:ascii="Arial;sans-serif" w:hAnsi="Arial;sans-serif"/>
          <w:b/>
          <w:color w:val="1C1C1C"/>
          <w:sz w:val="18"/>
        </w:rPr>
        <w:t xml:space="preserve">Probationary Period. </w:t>
      </w:r>
      <w:r>
        <w:rPr>
          <w:rFonts w:ascii="Arial;sans-serif" w:hAnsi="Arial;sans-serif"/>
          <w:b w:val="false"/>
          <w:color w:val="1C1C1C"/>
          <w:sz w:val="18"/>
        </w:rPr>
        <w:t xml:space="preserve">This Agreement is subject to a probationary period of six months during which either Party can terminate this Agreement upon giving to the other two weeks' notice in writing. If Company terminates Employee's employment by letter of notice to Employee issued during the probation period, Company shall pay Employee a one-time severance payment in a gross amount equal to EUR 300.000 gross; </w:t>
      </w:r>
      <w:r>
        <w:rPr>
          <w:rFonts w:ascii="Arial;sans-serif" w:hAnsi="Arial;sans-serif"/>
          <w:b w:val="false"/>
          <w:color w:val="1C1C1C"/>
          <w:sz w:val="18"/>
          <w:u w:val="single"/>
        </w:rPr>
        <w:t>provided</w:t>
      </w:r>
      <w:r>
        <w:rPr>
          <w:rFonts w:ascii="Arial;sans-serif" w:hAnsi="Arial;sans-serif"/>
          <w:b w:val="false"/>
          <w:color w:val="1C1C1C"/>
          <w:sz w:val="18"/>
        </w:rPr>
        <w:t xml:space="preserve">, </w:t>
      </w:r>
      <w:r>
        <w:rPr>
          <w:rFonts w:ascii="Arial;sans-serif" w:hAnsi="Arial;sans-serif"/>
          <w:b w:val="false"/>
          <w:color w:val="1C1C1C"/>
          <w:sz w:val="18"/>
          <w:u w:val="single"/>
        </w:rPr>
        <w:t>however</w:t>
      </w:r>
      <w:r>
        <w:rPr>
          <w:rFonts w:ascii="Arial;sans-serif" w:hAnsi="Arial;sans-serif"/>
          <w:b w:val="false"/>
          <w:color w:val="1C1C1C"/>
          <w:sz w:val="18"/>
        </w:rPr>
        <w:t xml:space="preserve">, that Company shall not be obligated to make such severance payment if Company terminates Employee's employment during the probationary period on grounds that constitute Cause as defined in </w:t>
      </w:r>
      <w:r>
        <w:rPr>
          <w:rFonts w:ascii="Arial;sans-serif" w:hAnsi="Arial;sans-serif"/>
          <w:b/>
          <w:color w:val="1C1C1C"/>
          <w:sz w:val="18"/>
        </w:rPr>
        <w:t xml:space="preserve">Exhibit 2 </w:t>
      </w:r>
      <w:r>
        <w:rPr>
          <w:rFonts w:ascii="Arial;sans-serif" w:hAnsi="Arial;sans-serif"/>
          <w:b w:val="false"/>
          <w:color w:val="1C1C1C"/>
          <w:sz w:val="18"/>
        </w:rPr>
        <w:t>to this Agreement.</w:t>
      </w:r>
    </w:p>
    <w:p>
      <w:pPr>
        <w:pStyle w:val="TextBody"/>
        <w:spacing w:lineRule="auto" w:line="386" w:before="106" w:after="283"/>
        <w:ind w:left="0" w:right="0" w:hanging="450"/>
        <w:jc w:val="both"/>
        <w:rPr/>
      </w:pPr>
      <w:r>
        <w:rPr>
          <w:rFonts w:ascii="Arial;sans-serif" w:hAnsi="Arial;sans-serif"/>
          <w:b w:val="false"/>
          <w:color w:val="1C1C1C"/>
          <w:sz w:val="18"/>
        </w:rPr>
        <w:t>7.3</w:t>
      </w:r>
      <w:r>
        <w:rPr>
          <w:rFonts w:ascii="Arial;sans-serif" w:hAnsi="Arial;sans-serif"/>
          <w:b/>
          <w:color w:val="1C1C1C"/>
          <w:sz w:val="18"/>
        </w:rPr>
        <w:t xml:space="preserve">Notice. </w:t>
      </w:r>
      <w:r>
        <w:rPr>
          <w:rFonts w:ascii="Arial;sans-serif" w:hAnsi="Arial;sans-serif"/>
          <w:b w:val="false"/>
          <w:color w:val="1C1C1C"/>
          <w:sz w:val="18"/>
        </w:rPr>
        <w:t>After the probationary period, the employment relationship may be terminated by written notice by either party, subject to a notice period of three (3) months to the end of the calendar month. Any statutory or other prolongation of the notice period which applies for Company shall also apply if Employee gives notice of termination, The employment relationship shall automatically terminate without a notice being required by the end of the month in which the Employee reaches the age limit of the statutory pension insurance. The right to terminate this Agreement for cause and without notice remains unaffected for both parties.</w:t>
      </w:r>
    </w:p>
    <w:p>
      <w:pPr>
        <w:pStyle w:val="TextBody"/>
        <w:spacing w:lineRule="auto" w:line="384" w:before="108" w:after="283"/>
        <w:ind w:left="0" w:right="0" w:hanging="450"/>
        <w:jc w:val="both"/>
        <w:rPr/>
      </w:pPr>
      <w:r>
        <w:rPr>
          <w:rFonts w:ascii="Arial;sans-serif" w:hAnsi="Arial;sans-serif"/>
          <w:b w:val="false"/>
          <w:color w:val="1C1C1C"/>
          <w:sz w:val="18"/>
        </w:rPr>
        <w:t>7.4Neither Company nor Employee shall be entitled to terminate the employment relationship prior to Commencement Date</w:t>
      </w:r>
      <w:r>
        <w:rPr>
          <w:rFonts w:ascii="Arial;sans-serif" w:hAnsi="Arial;sans-serif"/>
          <w:b w:val="false"/>
          <w:color w:val="5E5E5E"/>
          <w:sz w:val="18"/>
        </w:rPr>
        <w:t>.</w:t>
      </w:r>
    </w:p>
    <w:p>
      <w:pPr>
        <w:pStyle w:val="TextBody"/>
        <w:spacing w:lineRule="auto" w:line="384" w:before="110" w:after="283"/>
        <w:ind w:left="0" w:right="0" w:hanging="450"/>
        <w:jc w:val="both"/>
        <w:rPr>
          <w:rFonts w:ascii="Arial;sans-serif" w:hAnsi="Arial;sans-serif"/>
          <w:b w:val="false"/>
          <w:color w:val="1C1C1C"/>
          <w:sz w:val="18"/>
        </w:rPr>
      </w:pPr>
      <w:r>
        <w:rPr>
          <w:rFonts w:ascii="Arial;sans-serif" w:hAnsi="Arial;sans-serif"/>
          <w:b w:val="false"/>
          <w:color w:val="1C1C1C"/>
          <w:sz w:val="18"/>
        </w:rPr>
        <w:t>7.5No employment with a previous employer counts towards Employee's period of continuous employment with Company.</w:t>
      </w:r>
    </w:p>
    <w:p>
      <w:pPr>
        <w:pStyle w:val="TextBody"/>
        <w:spacing w:before="5" w:after="283"/>
        <w:ind w:left="0" w:right="0" w:hanging="450"/>
        <w:rPr/>
      </w:pPr>
      <w:r>
        <w:rPr/>
      </w:r>
    </w:p>
    <w:p>
      <w:pPr>
        <w:pStyle w:val="TextBody"/>
        <w:spacing w:lineRule="auto" w:line="240" w:before="1" w:after="283"/>
        <w:ind w:left="0" w:right="0" w:hanging="450"/>
        <w:jc w:val="both"/>
        <w:rPr>
          <w:rFonts w:ascii="Arial;sans-serif" w:hAnsi="Arial;sans-serif"/>
          <w:b/>
          <w:color w:val="1C1C1C"/>
          <w:sz w:val="18"/>
        </w:rPr>
      </w:pPr>
      <w:r>
        <w:rPr>
          <w:rFonts w:ascii="Arial;sans-serif" w:hAnsi="Arial;sans-serif"/>
          <w:b/>
          <w:color w:val="1C1C1C"/>
          <w:sz w:val="18"/>
        </w:rPr>
        <w:t>8.Duties</w:t>
      </w:r>
    </w:p>
    <w:p>
      <w:pPr>
        <w:pStyle w:val="TextBody"/>
        <w:spacing w:before="11" w:after="283"/>
        <w:ind w:left="0" w:right="0" w:hanging="450"/>
        <w:rPr/>
      </w:pPr>
      <w:r>
        <w:rPr/>
      </w:r>
    </w:p>
    <w:p>
      <w:pPr>
        <w:pStyle w:val="TextBody"/>
        <w:spacing w:lineRule="auto" w:line="384" w:before="0" w:after="0"/>
        <w:ind w:left="0" w:right="0" w:hanging="450"/>
        <w:jc w:val="both"/>
        <w:rPr>
          <w:rFonts w:ascii="Arial;sans-serif" w:hAnsi="Arial;sans-serif"/>
          <w:b w:val="false"/>
          <w:color w:val="1C1C1C"/>
          <w:sz w:val="18"/>
        </w:rPr>
      </w:pPr>
      <w:r>
        <w:rPr>
          <w:rFonts w:ascii="Arial;sans-serif" w:hAnsi="Arial;sans-serif"/>
          <w:b w:val="false"/>
          <w:color w:val="1C1C1C"/>
          <w:sz w:val="18"/>
        </w:rPr>
        <w:t>8.1As condition precedent to the effectiveness of this Agreement, Employee agrees with and has signed and dated the provisions set forth in all Exhibits as well as the Non-Competition and Non Solicitation Agreement and the Invention and Non-Disclosure Agreement attached hereto.</w:t>
      </w:r>
    </w:p>
    <w:p>
      <w:pPr>
        <w:pStyle w:val="TextBody"/>
        <w:spacing w:lineRule="auto" w:line="384" w:before="109" w:after="283"/>
        <w:ind w:left="0" w:right="0" w:hanging="450"/>
        <w:jc w:val="both"/>
        <w:rPr>
          <w:rFonts w:ascii="Arial;sans-serif" w:hAnsi="Arial;sans-serif"/>
          <w:b w:val="false"/>
          <w:color w:val="1C1C1C"/>
          <w:sz w:val="18"/>
        </w:rPr>
      </w:pPr>
      <w:r>
        <w:rPr>
          <w:rFonts w:ascii="Arial;sans-serif" w:hAnsi="Arial;sans-serif"/>
          <w:b w:val="false"/>
          <w:color w:val="1C1C1C"/>
          <w:sz w:val="18"/>
        </w:rPr>
        <w:t>8.2Unless prevented by incapacity, Employee shall devote the whole of his work time, attention and abilities to the business of Company and Group Company.</w:t>
      </w:r>
    </w:p>
    <w:p>
      <w:pPr>
        <w:pStyle w:val="TextBody"/>
        <w:spacing w:lineRule="auto" w:line="384" w:before="115" w:after="283"/>
        <w:ind w:left="0" w:right="0" w:hanging="450"/>
        <w:jc w:val="both"/>
        <w:rPr>
          <w:rFonts w:ascii="Arial;sans-serif" w:hAnsi="Arial;sans-serif"/>
          <w:b w:val="false"/>
          <w:color w:val="1C1C1C"/>
          <w:sz w:val="18"/>
        </w:rPr>
      </w:pPr>
      <w:r>
        <w:rPr>
          <w:rFonts w:ascii="Arial;sans-serif" w:hAnsi="Arial;sans-serif"/>
          <w:b w:val="false"/>
          <w:color w:val="1C1C1C"/>
          <w:sz w:val="18"/>
        </w:rPr>
        <w:t>8.3Employee shall strictly comply with and adhere to all regular and applicable rules of the Company and Group Company, including but not limited to the global compliance policies such as the Business Code of Conduct, Gifts, entertainment and anti-bribery, Harassment and Insider Trading policies as well as the Acceptable Use Policy regarding the use of Company's network, software, e-mail and internet. These policies shall be applicable during the term of this Agreement as well as after termination to the extent that said policies have post-contractual effect.</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86435"/>
                <wp:effectExtent l="0" t="0" r="0" b="0"/>
                <wp:wrapNone/>
                <wp:docPr id="51" name="Frame51"/>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4 -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4 -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376" w:before="112" w:after="283"/>
        <w:ind w:left="0" w:right="0" w:hanging="450"/>
        <w:jc w:val="both"/>
        <w:rPr>
          <w:rFonts w:ascii="Arial;sans-serif" w:hAnsi="Arial;sans-serif"/>
          <w:b w:val="false"/>
          <w:color w:val="1C1C1C"/>
          <w:sz w:val="18"/>
        </w:rPr>
      </w:pPr>
      <w:r>
        <w:rPr>
          <w:rFonts w:ascii="Arial;sans-serif" w:hAnsi="Arial;sans-serif"/>
          <w:b w:val="false"/>
          <w:color w:val="1C1C1C"/>
          <w:sz w:val="18"/>
        </w:rPr>
        <w:t>8.4Any changes in personal data (for instance, name, marital status, address, tax class, tax allowances) are to be notified to Company without delay.</w:t>
      </w:r>
    </w:p>
    <w:p>
      <w:pPr>
        <w:pStyle w:val="TextBody"/>
        <w:spacing w:before="7" w:after="283"/>
        <w:ind w:left="0" w:right="0" w:hanging="450"/>
        <w:rPr/>
      </w:pPr>
      <w:r>
        <w:rPr/>
      </w:r>
    </w:p>
    <w:p>
      <w:pPr>
        <w:pStyle w:val="TextBody"/>
        <w:spacing w:lineRule="auto" w:line="386" w:before="0" w:after="0"/>
        <w:ind w:left="0" w:right="0" w:hanging="450"/>
        <w:jc w:val="both"/>
        <w:rPr/>
      </w:pPr>
      <w:r>
        <w:rPr>
          <w:rFonts w:ascii="Arial;sans-serif" w:hAnsi="Arial;sans-serif"/>
          <w:b/>
          <w:color w:val="161616"/>
          <w:sz w:val="18"/>
        </w:rPr>
        <w:t xml:space="preserve">9.Incapacity. </w:t>
      </w:r>
      <w:r>
        <w:rPr>
          <w:rFonts w:ascii="Arial;sans-serif" w:hAnsi="Arial;sans-serif"/>
          <w:b w:val="false"/>
          <w:color w:val="161616"/>
          <w:sz w:val="18"/>
        </w:rPr>
        <w:t>Subject to Employee's compliance with the relevant requirements, Employee shall receive statutory sick pay due in accordance with applicable legislation under the German Continuation of Remuneration Act (Entgeltfortzahlungsgesetz).</w:t>
      </w:r>
    </w:p>
    <w:p>
      <w:pPr>
        <w:pStyle w:val="TextBody"/>
        <w:spacing w:before="3" w:after="283"/>
        <w:ind w:left="0" w:right="0" w:hanging="450"/>
        <w:rPr/>
      </w:pPr>
      <w:r>
        <w:rPr/>
      </w:r>
    </w:p>
    <w:p>
      <w:pPr>
        <w:pStyle w:val="TextBody"/>
        <w:spacing w:lineRule="auto" w:line="388" w:before="1" w:after="283"/>
        <w:ind w:left="0" w:right="0" w:hanging="450"/>
        <w:jc w:val="both"/>
        <w:rPr/>
      </w:pPr>
      <w:r>
        <w:rPr>
          <w:rFonts w:ascii="Arial;sans-serif" w:hAnsi="Arial;sans-serif"/>
          <w:b/>
          <w:color w:val="161616"/>
          <w:sz w:val="18"/>
        </w:rPr>
        <w:t>10.Garden Leave.</w:t>
      </w:r>
      <w:r>
        <w:rPr>
          <w:color w:val="161616"/>
        </w:rPr>
        <w:t xml:space="preserve"> </w:t>
      </w:r>
      <w:r>
        <w:rPr>
          <w:rFonts w:ascii="Arial;sans-serif" w:hAnsi="Arial;sans-serif"/>
          <w:b w:val="false"/>
          <w:color w:val="161616"/>
          <w:sz w:val="18"/>
        </w:rPr>
        <w:t>Following service of notice to terminate this Agreement by either Party, or if Employee purports to terminate the Agreement in breach of contract, Company may by written notice, in case of existence of interest warranting protection, to place Employee on garden leave with pay and continuous benefits, for the whole or part of the remainder of the Agreement. Company may exclude Employee from any premises of Company or any Group Company and Company may require Employee not to contact or deal with (or attempt to contact or deal with) any officer, employee, consultant, client, customer, supplier, agent, distributor, shareholder, adviser or other business contact of Company or any Group Company, excluding contacts which are of private nature. Employee's duty not to compete pursuant to section 60 of the German Commercial Code remains unaffected during garden leave.</w:t>
      </w:r>
    </w:p>
    <w:p>
      <w:pPr>
        <w:pStyle w:val="TextBody"/>
        <w:spacing w:before="2" w:after="283"/>
        <w:ind w:left="0" w:right="0" w:hanging="450"/>
        <w:rPr/>
      </w:pPr>
      <w:r>
        <w:rPr/>
      </w:r>
    </w:p>
    <w:p>
      <w:pPr>
        <w:pStyle w:val="TextBody"/>
        <w:spacing w:lineRule="auto" w:line="240" w:before="0" w:after="0"/>
        <w:ind w:left="0" w:right="0" w:hanging="450"/>
        <w:jc w:val="both"/>
        <w:rPr>
          <w:rFonts w:ascii="Arial;sans-serif" w:hAnsi="Arial;sans-serif"/>
          <w:b/>
          <w:color w:val="161616"/>
          <w:sz w:val="18"/>
        </w:rPr>
      </w:pPr>
      <w:r>
        <w:rPr>
          <w:rFonts w:ascii="Arial;sans-serif" w:hAnsi="Arial;sans-serif"/>
          <w:b/>
          <w:color w:val="161616"/>
          <w:sz w:val="18"/>
        </w:rPr>
        <w:t>11.Obligations on termination.</w:t>
      </w:r>
    </w:p>
    <w:p>
      <w:pPr>
        <w:pStyle w:val="TextBody"/>
        <w:spacing w:before="5" w:after="283"/>
        <w:ind w:left="0" w:right="0" w:hanging="450"/>
        <w:rPr/>
      </w:pPr>
      <w:r>
        <w:rPr/>
      </w:r>
    </w:p>
    <w:p>
      <w:pPr>
        <w:pStyle w:val="TextBody"/>
        <w:spacing w:lineRule="auto" w:line="240" w:before="0" w:after="0"/>
        <w:ind w:left="0" w:right="0" w:hanging="450"/>
        <w:jc w:val="both"/>
        <w:rPr>
          <w:rFonts w:ascii="Arial;sans-serif" w:hAnsi="Arial;sans-serif"/>
          <w:b w:val="false"/>
          <w:color w:val="161616"/>
          <w:sz w:val="18"/>
        </w:rPr>
      </w:pPr>
      <w:r>
        <w:rPr>
          <w:rFonts w:ascii="Arial;sans-serif" w:hAnsi="Arial;sans-serif"/>
          <w:b w:val="false"/>
          <w:color w:val="161616"/>
          <w:sz w:val="18"/>
        </w:rPr>
        <w:t>11.1On termination of this Agreement for any reason Employee shall:</w:t>
      </w:r>
    </w:p>
    <w:p>
      <w:pPr>
        <w:pStyle w:val="TextBody"/>
        <w:spacing w:before="0" w:after="0"/>
        <w:ind w:left="0" w:right="0" w:hanging="450"/>
        <w:rPr/>
      </w:pPr>
      <w:r>
        <w:rPr/>
      </w:r>
    </w:p>
    <w:p>
      <w:pPr>
        <w:pStyle w:val="TextBody"/>
        <w:spacing w:lineRule="auto" w:line="386" w:before="0" w:after="0"/>
        <w:ind w:left="0" w:right="0" w:hanging="450"/>
        <w:jc w:val="both"/>
        <w:rPr>
          <w:rFonts w:ascii="Arial;sans-serif" w:hAnsi="Arial;sans-serif"/>
          <w:b w:val="false"/>
          <w:color w:val="161616"/>
          <w:sz w:val="18"/>
        </w:rPr>
      </w:pPr>
      <w:r>
        <w:rPr>
          <w:rFonts w:ascii="Arial;sans-serif" w:hAnsi="Arial;sans-serif"/>
          <w:b w:val="false"/>
          <w:color w:val="161616"/>
          <w:sz w:val="18"/>
        </w:rPr>
        <w:t>(a)immediately deliver to Company all books, materials, files, documents, records, correspondence, papers and information, and copies thereof, on whatever media and wherever located, relating to the business or affairs of Company and any Group Company or its business contacts, any keys, credit card, equipment (including, but not limited to, computer hardware, software and printers, wireless handheld devices, cellular phones, pagers, etc.) and any other property of Company and any Group Company including any car provided to the Employee (if any), which is in his possession or under his control;</w:t>
      </w:r>
    </w:p>
    <w:p>
      <w:pPr>
        <w:pStyle w:val="TextBody"/>
        <w:spacing w:lineRule="auto" w:line="386" w:before="8" w:after="283"/>
        <w:ind w:left="0" w:right="0" w:hanging="450"/>
        <w:jc w:val="both"/>
        <w:rPr>
          <w:rFonts w:ascii="Arial;sans-serif" w:hAnsi="Arial;sans-serif"/>
          <w:b w:val="false"/>
          <w:color w:val="161616"/>
          <w:sz w:val="18"/>
        </w:rPr>
      </w:pPr>
      <w:r>
        <w:rPr>
          <w:rFonts w:ascii="Arial;sans-serif" w:hAnsi="Arial;sans-serif"/>
          <w:b w:val="false"/>
          <w:color w:val="161616"/>
          <w:sz w:val="18"/>
        </w:rPr>
        <w:t>(b)immediately deliver to Company all Vistaprint building badges and any similar identification, and any other Vistaprint-owned or Vistaprint-leased property in his possession or control leaving intact all electronic Vistaprint documents, records and files, including but not limited to those that he developed or helped to develop during his employment with Vistaprint;</w:t>
      </w:r>
    </w:p>
    <w:p>
      <w:pPr>
        <w:pStyle w:val="TextBody"/>
        <w:spacing w:lineRule="auto" w:line="384" w:before="0" w:after="0"/>
        <w:ind w:left="0" w:right="0" w:hanging="450"/>
        <w:jc w:val="both"/>
        <w:rPr>
          <w:rFonts w:ascii="Arial;sans-serif" w:hAnsi="Arial;sans-serif"/>
          <w:b w:val="false"/>
          <w:color w:val="161616"/>
          <w:sz w:val="18"/>
        </w:rPr>
      </w:pPr>
      <w:r>
        <w:rPr>
          <w:rFonts w:ascii="Arial;sans-serif" w:hAnsi="Arial;sans-serif"/>
          <w:b w:val="false"/>
          <w:color w:val="161616"/>
          <w:sz w:val="18"/>
        </w:rPr>
        <w:t>(c)have cancelled all accounts for his benefit, if any, in Vistaprint's name, including but not limited to, credit cards, telephone charge cards, cellular phone and/or pager accounts and computer accounts;</w:t>
      </w:r>
    </w:p>
    <w:p>
      <w:pPr>
        <w:pStyle w:val="TextBody"/>
        <w:spacing w:lineRule="auto" w:line="386" w:before="0" w:after="0"/>
        <w:ind w:left="0" w:right="0" w:hanging="450"/>
        <w:jc w:val="both"/>
        <w:rPr/>
      </w:pPr>
      <w:r>
        <w:rPr>
          <w:rFonts w:ascii="Arial;sans-serif" w:hAnsi="Arial;sans-serif"/>
          <w:b w:val="false"/>
          <w:color w:val="161616"/>
          <w:sz w:val="18"/>
        </w:rPr>
        <w:t xml:space="preserve">(d)have transferred to Vistaprint all rights in and control over (including all logins, passwords and the like) any and all accounts, social media accounts, subscriptions and/or registrations, electronic or otherwise, that he opened and/or maintained in his own name, but on behalf of or for the benefit of Vistaprint, during the course of his employment and not to access or do anything that may directly or indirectly </w:t>
      </w:r>
      <w:r>
        <w:rPr>
          <w:rFonts w:ascii="Arial;sans-serif" w:hAnsi="Arial;sans-serif"/>
          <w:b w:val="false"/>
          <w:color w:val="333333"/>
          <w:sz w:val="18"/>
        </w:rPr>
        <w:t xml:space="preserve">inhibit </w:t>
      </w:r>
      <w:r>
        <w:rPr>
          <w:rFonts w:ascii="Arial;sans-serif" w:hAnsi="Arial;sans-serif"/>
          <w:b w:val="false"/>
          <w:color w:val="161616"/>
          <w:sz w:val="18"/>
        </w:rPr>
        <w:t>or prevent Vistaprint from accessing any and all of these accounts, social media accounts, subscriptions and/or registrations;</w:t>
      </w:r>
    </w:p>
    <w:p>
      <w:pPr>
        <w:pStyle w:val="TextBody"/>
        <w:spacing w:lineRule="auto" w:line="386"/>
        <w:ind w:left="0" w:right="0" w:hanging="450"/>
        <w:jc w:val="both"/>
        <w:rPr>
          <w:rFonts w:ascii="Arial;sans-serif" w:hAnsi="Arial;sans-serif"/>
          <w:b w:val="false"/>
          <w:color w:val="161616"/>
          <w:sz w:val="18"/>
        </w:rPr>
      </w:pPr>
      <w:r>
        <w:rPr>
          <w:rFonts w:ascii="Arial;sans-serif" w:hAnsi="Arial;sans-serif"/>
          <w:b w:val="false"/>
          <w:color w:val="161616"/>
          <w:sz w:val="18"/>
        </w:rPr>
        <w:t>(e)after complying with (b) above (if applicable) irretrievably delete any information relating to the business of Vistaprint stored on any personal magnetic or optical disk or personal memory or device and all matter derived from such sources which is in his possession or under his control; and</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86435"/>
                <wp:effectExtent l="0" t="0" r="0" b="0"/>
                <wp:wrapNone/>
                <wp:docPr id="52" name="Frame52"/>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5 -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5 -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384" w:before="0" w:after="0"/>
        <w:ind w:left="0" w:right="0" w:hanging="450"/>
        <w:jc w:val="both"/>
        <w:rPr>
          <w:rFonts w:ascii="Arial;sans-serif" w:hAnsi="Arial;sans-serif"/>
          <w:b w:val="false"/>
          <w:color w:val="161616"/>
          <w:sz w:val="18"/>
        </w:rPr>
      </w:pPr>
      <w:r>
        <w:rPr>
          <w:rFonts w:ascii="Arial;sans-serif" w:hAnsi="Arial;sans-serif"/>
          <w:b w:val="false"/>
          <w:color w:val="161616"/>
          <w:sz w:val="18"/>
        </w:rPr>
        <w:t>(f)provide a signed statement that he has complied fully with his obligations under this Section 11 together with such reasonable evidence of compliance as Company may request.</w:t>
      </w:r>
    </w:p>
    <w:p>
      <w:pPr>
        <w:pStyle w:val="TextBody"/>
        <w:spacing w:lineRule="auto" w:line="412" w:before="101" w:after="283"/>
        <w:ind w:left="0" w:right="0" w:hanging="450"/>
        <w:jc w:val="both"/>
        <w:rPr>
          <w:rFonts w:ascii="Arial;sans-serif" w:hAnsi="Arial;sans-serif"/>
          <w:b w:val="false"/>
          <w:color w:val="1A1A1A"/>
          <w:sz w:val="18"/>
        </w:rPr>
      </w:pPr>
      <w:r>
        <w:rPr>
          <w:rFonts w:ascii="Arial;sans-serif" w:hAnsi="Arial;sans-serif"/>
          <w:b w:val="false"/>
          <w:color w:val="1A1A1A"/>
          <w:sz w:val="18"/>
        </w:rPr>
        <w:t>11.2In the event that any transfers referred to in Section 11.1(f) above have not been fully effected as of the last day of his employment with Company, Employee shall execute, after termination date, such instruments and other documents and take such other steps as Company may reasonably request from time to time in order to complete the transfer of any such accounts, subscriptions and/or registrations.</w:t>
      </w:r>
    </w:p>
    <w:p>
      <w:pPr>
        <w:pStyle w:val="TextBody"/>
        <w:spacing w:before="4" w:after="283"/>
        <w:ind w:left="0" w:right="0" w:hanging="450"/>
        <w:rPr/>
      </w:pPr>
      <w:r>
        <w:rPr/>
      </w:r>
    </w:p>
    <w:p>
      <w:pPr>
        <w:pStyle w:val="TextBody"/>
        <w:spacing w:lineRule="auto" w:line="408" w:before="0" w:after="0"/>
        <w:ind w:left="0" w:right="0" w:hanging="450"/>
        <w:jc w:val="both"/>
        <w:rPr/>
      </w:pPr>
      <w:r>
        <w:rPr>
          <w:rFonts w:ascii="Arial;sans-serif" w:hAnsi="Arial;sans-serif"/>
          <w:b/>
          <w:color w:val="1A1A1A"/>
          <w:sz w:val="18"/>
        </w:rPr>
        <w:t>12.Disciplinary and grievance procedures.</w:t>
      </w:r>
      <w:r>
        <w:rPr>
          <w:color w:val="1A1A1A"/>
        </w:rPr>
        <w:t xml:space="preserve"> </w:t>
      </w:r>
      <w:r>
        <w:rPr>
          <w:rFonts w:ascii="Arial;sans-serif" w:hAnsi="Arial;sans-serif"/>
          <w:b w:val="false"/>
          <w:color w:val="1A1A1A"/>
          <w:sz w:val="18"/>
        </w:rPr>
        <w:t>Company may suspend Employee with pay from any or all of his duties during any period in which Company is investigating any disciplinary matter involving Employee or while any disciplinary procedure against Employee is outstanding. During any period of suspension, Company may require Employee not to contact or deal with (or attempt to contact or deal with) any officer, employee, consultant, client, customer, supplier, agent, distributor, shareholder, adviser or other business contact of Company or any Group Company, excluding contacts which are of private nature. Employee's duty not to compete pursuant to section 60 of the German Commercial Code remains unaffected during periods of suspension.</w:t>
      </w:r>
    </w:p>
    <w:p>
      <w:pPr>
        <w:pStyle w:val="TextBody"/>
        <w:spacing w:before="3" w:after="283"/>
        <w:ind w:left="0" w:right="0" w:hanging="450"/>
        <w:rPr/>
      </w:pPr>
      <w:r>
        <w:rPr/>
      </w:r>
    </w:p>
    <w:p>
      <w:pPr>
        <w:pStyle w:val="TextBody"/>
        <w:spacing w:lineRule="auto" w:line="412" w:before="0" w:after="0"/>
        <w:ind w:left="0" w:right="0" w:hanging="450"/>
        <w:jc w:val="both"/>
        <w:rPr/>
      </w:pPr>
      <w:r>
        <w:rPr>
          <w:rFonts w:ascii="Arial;sans-serif" w:hAnsi="Arial;sans-serif"/>
          <w:b/>
          <w:color w:val="1A1A1A"/>
          <w:sz w:val="18"/>
        </w:rPr>
        <w:t>13.Side activities.</w:t>
      </w:r>
      <w:r>
        <w:rPr>
          <w:color w:val="1A1A1A"/>
        </w:rPr>
        <w:t xml:space="preserve"> </w:t>
      </w:r>
      <w:r>
        <w:rPr>
          <w:rFonts w:ascii="Arial;sans-serif" w:hAnsi="Arial;sans-serif"/>
          <w:b w:val="false"/>
          <w:color w:val="1A1A1A"/>
          <w:sz w:val="18"/>
        </w:rPr>
        <w:t>During the employment relationship all other activities for remuneration as well as activities that normally entitle Employee to remuneration, including any part-time work or self employed work, are prohibited unless permitted below or Company otherwise has explicitly given its prior consent by declaration in textual form. Company will grant such consent if its business interests are not affected by the other activities of Employee. Company may grant such consent upon conditions or for a fixed term as well as revocable including the possible reasons for revocation. Employee shall apply for such consent by declaration in textual form and provide all necessary data regarding the activities, in particular nature, place and duration, in due time before the beginning of the other activities. Employee is expressly permitted to continue his existing activities as general manager of an investment GmbH provided that such activities do not impair Employee's ability to satisfy his time commitment obligations set forth in Section 4 above</w:t>
      </w:r>
      <w:r>
        <w:rPr>
          <w:rFonts w:ascii="Arial;sans-serif" w:hAnsi="Arial;sans-serif"/>
          <w:b w:val="false"/>
          <w:color w:val="525252"/>
          <w:sz w:val="18"/>
        </w:rPr>
        <w:t>.</w:t>
      </w:r>
    </w:p>
    <w:p>
      <w:pPr>
        <w:pStyle w:val="TextBody"/>
        <w:spacing w:before="7" w:after="283"/>
        <w:ind w:left="0" w:right="0" w:hanging="450"/>
        <w:rPr/>
      </w:pPr>
      <w:r>
        <w:rPr/>
      </w:r>
    </w:p>
    <w:p>
      <w:pPr>
        <w:pStyle w:val="TextBody"/>
        <w:spacing w:lineRule="auto" w:line="408" w:before="0" w:after="0"/>
        <w:ind w:left="0" w:right="0" w:hanging="450"/>
        <w:jc w:val="both"/>
        <w:rPr/>
      </w:pPr>
      <w:r>
        <w:rPr>
          <w:rFonts w:ascii="Arial;sans-serif" w:hAnsi="Arial;sans-serif"/>
          <w:b/>
          <w:color w:val="1A1A1A"/>
          <w:sz w:val="18"/>
        </w:rPr>
        <w:t>14.Forfeiture.</w:t>
      </w:r>
      <w:r>
        <w:rPr>
          <w:color w:val="1A1A1A"/>
        </w:rPr>
        <w:t xml:space="preserve"> </w:t>
      </w:r>
      <w:r>
        <w:rPr>
          <w:rFonts w:ascii="Arial;sans-serif" w:hAnsi="Arial;sans-serif"/>
          <w:b w:val="false"/>
          <w:color w:val="1A1A1A"/>
          <w:sz w:val="18"/>
        </w:rPr>
        <w:t>Claims of Employee and of Company stemming from the employment relationship and claims connected with the employment relationship shall forfeit if they are not claimed in textual form against the other contractual party within three months after their due date. This shall not apply to those claims for liability for intentional or grossly negligent behaviour and in case of a culpable damage to life, body or health, as well as for claims which must not be waived by contractual agreement, such as claims for payment of the statutory minimum wage.</w:t>
      </w:r>
    </w:p>
    <w:p>
      <w:pPr>
        <w:pStyle w:val="TextBody"/>
        <w:spacing w:before="10" w:after="283"/>
        <w:ind w:left="0" w:right="0" w:hanging="450"/>
        <w:rPr/>
      </w:pPr>
      <w:r>
        <w:rPr/>
      </w:r>
    </w:p>
    <w:p>
      <w:pPr>
        <w:pStyle w:val="TextBody"/>
        <w:spacing w:lineRule="auto" w:line="240" w:before="0" w:after="0"/>
        <w:ind w:left="0" w:right="0" w:hanging="450"/>
        <w:jc w:val="both"/>
        <w:rPr>
          <w:rFonts w:ascii="Arial;sans-serif" w:hAnsi="Arial;sans-serif"/>
          <w:b/>
          <w:color w:val="1A1A1A"/>
          <w:sz w:val="18"/>
        </w:rPr>
      </w:pPr>
      <w:r>
        <w:rPr>
          <w:rFonts w:ascii="Arial;sans-serif" w:hAnsi="Arial;sans-serif"/>
          <w:b/>
          <w:color w:val="1A1A1A"/>
          <w:sz w:val="18"/>
        </w:rPr>
        <w:t>15.Entire agreement</w:t>
      </w:r>
    </w:p>
    <w:p>
      <w:pPr>
        <w:pStyle w:val="TextBody"/>
        <w:spacing w:before="9" w:after="283"/>
        <w:ind w:left="0" w:right="0" w:hanging="450"/>
        <w:rPr/>
      </w:pPr>
      <w:r>
        <w:rPr/>
      </w:r>
    </w:p>
    <w:p>
      <w:pPr>
        <w:pStyle w:val="TextBody"/>
        <w:spacing w:lineRule="auto" w:line="408"/>
        <w:ind w:left="0" w:right="0" w:hanging="450"/>
        <w:jc w:val="both"/>
        <w:rPr/>
      </w:pPr>
      <w:r>
        <w:rPr>
          <w:rFonts w:ascii="Arial;sans-serif" w:hAnsi="Arial;sans-serif"/>
          <w:b w:val="false"/>
          <w:color w:val="1A1A1A"/>
          <w:sz w:val="18"/>
        </w:rPr>
        <w:t xml:space="preserve">15.1This Agreement and any document referred to </w:t>
      </w:r>
      <w:r>
        <w:rPr>
          <w:rFonts w:ascii="Arial;sans-serif" w:hAnsi="Arial;sans-serif"/>
          <w:b w:val="false"/>
          <w:color w:val="3D3D3D"/>
          <w:sz w:val="18"/>
        </w:rPr>
        <w:t xml:space="preserve">in </w:t>
      </w:r>
      <w:r>
        <w:rPr>
          <w:rFonts w:ascii="Arial;sans-serif" w:hAnsi="Arial;sans-serif"/>
          <w:b w:val="false"/>
          <w:color w:val="1A1A1A"/>
          <w:sz w:val="18"/>
        </w:rPr>
        <w:t>Section 8</w:t>
      </w:r>
      <w:r>
        <w:rPr>
          <w:rFonts w:ascii="Arial;sans-serif" w:hAnsi="Arial;sans-serif"/>
          <w:b w:val="false"/>
          <w:color w:val="525252"/>
          <w:sz w:val="18"/>
        </w:rPr>
        <w:t>.</w:t>
      </w:r>
      <w:r>
        <w:rPr>
          <w:rFonts w:ascii="Arial;sans-serif" w:hAnsi="Arial;sans-serif"/>
          <w:b w:val="false"/>
          <w:color w:val="1A1A1A"/>
          <w:sz w:val="18"/>
        </w:rPr>
        <w:t xml:space="preserve">1 constitutes the whole agreement between the parties and supersedes all previous discussions, correspondence, negotiations, arrangements, understandings and agreements between them. Each party acknowledges that in entering into this Agreement it has not relied on and shall have no remedy in respect of any undertaking, promise, assurance, statement, representation, warranty or understanding (whether in writing or not) of any person (whether party to this Agreement or not) relating to Employee's employment under this Agreement which is not expressly set out in this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86435"/>
                <wp:effectExtent l="0" t="0" r="0" b="0"/>
                <wp:wrapNone/>
                <wp:docPr id="53" name="Frame53"/>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6 -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6 -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408" w:before="0" w:after="0"/>
        <w:jc w:val="both"/>
        <w:rPr>
          <w:rFonts w:ascii="Arial;sans-serif" w:hAnsi="Arial;sans-serif"/>
          <w:b w:val="false"/>
          <w:color w:val="1A1A1A"/>
          <w:sz w:val="18"/>
        </w:rPr>
      </w:pPr>
      <w:r>
        <w:rPr>
          <w:rFonts w:ascii="Arial;sans-serif" w:hAnsi="Arial;sans-serif"/>
          <w:b w:val="false"/>
          <w:color w:val="1A1A1A"/>
          <w:sz w:val="18"/>
        </w:rPr>
        <w:t>Agreement or any documents referred to in it. The schedule to this Agreement form part of (and are incorporated into) this Agreement.</w:t>
      </w:r>
    </w:p>
    <w:p>
      <w:pPr>
        <w:pStyle w:val="TextBody"/>
        <w:spacing w:before="10" w:after="283"/>
        <w:ind w:left="0" w:right="0" w:hanging="450"/>
        <w:rPr/>
      </w:pPr>
      <w:r>
        <w:rPr/>
      </w:r>
    </w:p>
    <w:p>
      <w:pPr>
        <w:pStyle w:val="TextBody"/>
        <w:spacing w:lineRule="auto" w:line="240" w:before="0" w:after="0"/>
        <w:ind w:left="0" w:right="0" w:hanging="450"/>
        <w:jc w:val="both"/>
        <w:rPr>
          <w:rFonts w:ascii="Arial;sans-serif" w:hAnsi="Arial;sans-serif"/>
          <w:b/>
          <w:color w:val="181818"/>
          <w:sz w:val="18"/>
        </w:rPr>
      </w:pPr>
      <w:r>
        <w:rPr>
          <w:rFonts w:ascii="Arial;sans-serif" w:hAnsi="Arial;sans-serif"/>
          <w:b/>
          <w:color w:val="181818"/>
          <w:sz w:val="18"/>
        </w:rPr>
        <w:t>16.Miscellaneous</w:t>
      </w:r>
    </w:p>
    <w:p>
      <w:pPr>
        <w:pStyle w:val="TextBody"/>
        <w:spacing w:before="2" w:after="283"/>
        <w:ind w:left="0" w:right="0" w:hanging="450"/>
        <w:rPr/>
      </w:pPr>
      <w:r>
        <w:rPr/>
      </w:r>
    </w:p>
    <w:p>
      <w:pPr>
        <w:pStyle w:val="TextBody"/>
        <w:spacing w:lineRule="auto" w:line="405" w:before="0" w:after="0"/>
        <w:ind w:left="0" w:right="0" w:hanging="450"/>
        <w:jc w:val="both"/>
        <w:rPr/>
      </w:pPr>
      <w:r>
        <w:rPr>
          <w:rFonts w:ascii="Arial;sans-serif" w:hAnsi="Arial;sans-serif"/>
          <w:b w:val="false"/>
          <w:color w:val="181818"/>
          <w:sz w:val="18"/>
        </w:rPr>
        <w:t>16.1</w:t>
      </w:r>
      <w:r>
        <w:rPr>
          <w:rFonts w:ascii="Arial;sans-serif" w:hAnsi="Arial;sans-serif"/>
          <w:b/>
          <w:color w:val="181818"/>
          <w:sz w:val="18"/>
        </w:rPr>
        <w:t xml:space="preserve">Counterparts. </w:t>
      </w:r>
      <w:r>
        <w:rPr>
          <w:rFonts w:ascii="Arial;sans-serif" w:hAnsi="Arial;sans-serif"/>
          <w:b w:val="false"/>
          <w:color w:val="181818"/>
          <w:sz w:val="18"/>
        </w:rPr>
        <w:t xml:space="preserve">This Agreement may be executed in any number of counterparts, each of which, when executed, shall be </w:t>
      </w:r>
      <w:r>
        <w:rPr>
          <w:rFonts w:ascii="Arial;sans-serif" w:hAnsi="Arial;sans-serif"/>
          <w:b w:val="false"/>
          <w:color w:val="2B2B2B"/>
          <w:sz w:val="18"/>
        </w:rPr>
        <w:t xml:space="preserve">an </w:t>
      </w:r>
      <w:r>
        <w:rPr>
          <w:rFonts w:ascii="Arial;sans-serif" w:hAnsi="Arial;sans-serif"/>
          <w:b w:val="false"/>
          <w:color w:val="181818"/>
          <w:sz w:val="18"/>
        </w:rPr>
        <w:t>original, and all the counterparts together shall constitute one and the same instrument.</w:t>
      </w:r>
    </w:p>
    <w:p>
      <w:pPr>
        <w:pStyle w:val="TextBody"/>
        <w:spacing w:lineRule="auto" w:line="240" w:before="106" w:after="283"/>
        <w:ind w:left="0" w:right="0" w:hanging="450"/>
        <w:jc w:val="both"/>
        <w:rPr/>
      </w:pPr>
      <w:r>
        <w:rPr>
          <w:rFonts w:ascii="Arial;sans-serif" w:hAnsi="Arial;sans-serif"/>
          <w:b w:val="false"/>
          <w:color w:val="181818"/>
          <w:sz w:val="18"/>
        </w:rPr>
        <w:t>16.2</w:t>
      </w:r>
      <w:r>
        <w:rPr>
          <w:rFonts w:ascii="Arial;sans-serif" w:hAnsi="Arial;sans-serif"/>
          <w:b/>
          <w:color w:val="181818"/>
          <w:sz w:val="18"/>
        </w:rPr>
        <w:t xml:space="preserve">Third party rights. </w:t>
      </w:r>
      <w:r>
        <w:rPr>
          <w:rFonts w:ascii="Arial;sans-serif" w:hAnsi="Arial;sans-serif"/>
          <w:b w:val="false"/>
          <w:color w:val="181818"/>
          <w:sz w:val="18"/>
        </w:rPr>
        <w:t xml:space="preserve">No person other than a party to this Agreement may enforce </w:t>
      </w:r>
      <w:r>
        <w:rPr>
          <w:rFonts w:ascii="Arial;sans-serif" w:hAnsi="Arial;sans-serif"/>
          <w:b w:val="false"/>
          <w:color w:val="2B2B2B"/>
          <w:sz w:val="18"/>
        </w:rPr>
        <w:t xml:space="preserve">any </w:t>
      </w:r>
      <w:r>
        <w:rPr>
          <w:rFonts w:ascii="Arial;sans-serif" w:hAnsi="Arial;sans-serif"/>
          <w:b w:val="false"/>
          <w:color w:val="181818"/>
          <w:sz w:val="18"/>
        </w:rPr>
        <w:t>of its terms.</w:t>
      </w:r>
    </w:p>
    <w:p>
      <w:pPr>
        <w:pStyle w:val="TextBody"/>
        <w:spacing w:before="0" w:after="0"/>
        <w:ind w:left="0" w:right="0" w:hanging="450"/>
        <w:rPr/>
      </w:pPr>
      <w:r>
        <w:rPr/>
      </w:r>
    </w:p>
    <w:p>
      <w:pPr>
        <w:pStyle w:val="TextBody"/>
        <w:spacing w:lineRule="auto" w:line="412" w:before="0" w:after="0"/>
        <w:ind w:left="0" w:right="0" w:hanging="450"/>
        <w:jc w:val="both"/>
        <w:rPr/>
      </w:pPr>
      <w:r>
        <w:rPr>
          <w:rFonts w:ascii="Arial;sans-serif" w:hAnsi="Arial;sans-serif"/>
          <w:b w:val="false"/>
          <w:color w:val="181818"/>
          <w:sz w:val="18"/>
        </w:rPr>
        <w:t>16.3</w:t>
      </w:r>
      <w:r>
        <w:rPr>
          <w:rFonts w:ascii="Arial;sans-serif" w:hAnsi="Arial;sans-serif"/>
          <w:b/>
          <w:color w:val="181818"/>
          <w:sz w:val="18"/>
        </w:rPr>
        <w:t xml:space="preserve">Governing law and jurisdiction. </w:t>
      </w:r>
      <w:r>
        <w:rPr>
          <w:rFonts w:ascii="Arial;sans-serif" w:hAnsi="Arial;sans-serif"/>
          <w:b w:val="false"/>
          <w:color w:val="181818"/>
          <w:sz w:val="18"/>
        </w:rPr>
        <w:t>This Agreement and any dispute or claim</w:t>
      </w:r>
      <w:r>
        <w:rPr>
          <w:color w:val="CACACA"/>
        </w:rPr>
        <w:t xml:space="preserve"> </w:t>
      </w:r>
      <w:r>
        <w:rPr>
          <w:rFonts w:ascii="Arial;sans-serif" w:hAnsi="Arial;sans-serif"/>
          <w:b w:val="false"/>
          <w:color w:val="181818"/>
          <w:sz w:val="18"/>
        </w:rPr>
        <w:t xml:space="preserve">arising out of or in connection with it or its subject matter or formation (including non-contractual disputes or claims) shall be governed by and construed in accordance with the law of the Federal Republic of Germany The parties irrevocably agree that the courts of Federal Republic of Germany shall have exclusive jurisdiction to settle any dispute or claim that arises out of or in connection with this Agreement or its </w:t>
      </w:r>
      <w:r>
        <w:rPr>
          <w:rFonts w:ascii="Arial;sans-serif" w:hAnsi="Arial;sans-serif"/>
          <w:b w:val="false"/>
          <w:color w:val="2B2B2B"/>
          <w:sz w:val="18"/>
        </w:rPr>
        <w:t xml:space="preserve">subject </w:t>
      </w:r>
      <w:r>
        <w:rPr>
          <w:rFonts w:ascii="Arial;sans-serif" w:hAnsi="Arial;sans-serif"/>
          <w:b w:val="false"/>
          <w:color w:val="181818"/>
          <w:sz w:val="18"/>
        </w:rPr>
        <w:t>matter or formation (including non-contractual disputes or claims).</w:t>
      </w:r>
    </w:p>
    <w:p>
      <w:pPr>
        <w:pStyle w:val="TextBody"/>
        <w:spacing w:lineRule="auto" w:line="408" w:before="96" w:after="283"/>
        <w:ind w:left="0" w:right="0" w:hanging="450"/>
        <w:jc w:val="both"/>
        <w:rPr/>
      </w:pPr>
      <w:r>
        <w:rPr>
          <w:rFonts w:ascii="Arial;sans-serif" w:hAnsi="Arial;sans-serif"/>
          <w:b w:val="false"/>
          <w:color w:val="181818"/>
          <w:sz w:val="18"/>
        </w:rPr>
        <w:t>16.4</w:t>
      </w:r>
      <w:r>
        <w:rPr>
          <w:rFonts w:ascii="Arial;sans-serif" w:hAnsi="Arial;sans-serif"/>
          <w:b/>
          <w:color w:val="181818"/>
          <w:sz w:val="18"/>
        </w:rPr>
        <w:t xml:space="preserve">Written Form. </w:t>
      </w:r>
      <w:r>
        <w:rPr>
          <w:rFonts w:ascii="Arial;sans-serif" w:hAnsi="Arial;sans-serif"/>
          <w:b w:val="false"/>
          <w:color w:val="181818"/>
          <w:sz w:val="18"/>
        </w:rPr>
        <w:t>Amendments or additions to this contract of employment require the written form to be valid unless they are based on an individual agreement between the parties. This also applies to the abolition of the written form requirement. This means that claims on the basis of existing company practice cannot arise.</w:t>
      </w:r>
    </w:p>
    <w:p>
      <w:pPr>
        <w:pStyle w:val="TextBody"/>
        <w:spacing w:lineRule="auto" w:line="408" w:before="98" w:after="283"/>
        <w:ind w:left="0" w:right="0" w:hanging="450"/>
        <w:jc w:val="both"/>
        <w:rPr/>
      </w:pPr>
      <w:r>
        <w:rPr>
          <w:rFonts w:ascii="Arial;sans-serif" w:hAnsi="Arial;sans-serif"/>
          <w:b w:val="false"/>
          <w:color w:val="181818"/>
          <w:sz w:val="18"/>
        </w:rPr>
        <w:t>16.5</w:t>
      </w:r>
      <w:r>
        <w:rPr>
          <w:rFonts w:ascii="Arial;sans-serif" w:hAnsi="Arial;sans-serif"/>
          <w:b/>
          <w:color w:val="181818"/>
          <w:sz w:val="18"/>
        </w:rPr>
        <w:t xml:space="preserve">Salvatory Clause. </w:t>
      </w:r>
      <w:r>
        <w:rPr>
          <w:rFonts w:ascii="Arial;sans-serif" w:hAnsi="Arial;sans-serif"/>
          <w:b w:val="false"/>
          <w:color w:val="181818"/>
          <w:sz w:val="18"/>
        </w:rPr>
        <w:t>Should individual provisions of this employment contract be or become invalid or impracticable in whole or in part, this shall not affect the validity of the remaining provisions. In lieu of the ineffective provision, a provision will apply that, in permissible manner, comes closest to the original intention. The same applies to regulatory gaps.</w:t>
      </w:r>
    </w:p>
    <w:p>
      <w:pPr>
        <w:pStyle w:val="TextBody"/>
        <w:spacing w:before="0" w:after="0"/>
        <w:ind w:left="0" w:right="0" w:hanging="450"/>
        <w:rPr/>
      </w:pPr>
      <w:r>
        <w:rPr/>
      </w:r>
    </w:p>
    <w:p>
      <w:pPr>
        <w:pStyle w:val="TextBody"/>
        <w:spacing w:before="8" w:after="283"/>
        <w:jc w:val="both"/>
        <w:rPr/>
      </w:pPr>
      <w:r>
        <w:rPr/>
      </w:r>
    </w:p>
    <w:p>
      <w:pPr>
        <w:pStyle w:val="TextBody"/>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86435"/>
                <wp:effectExtent l="0" t="0" r="0" b="0"/>
                <wp:wrapNone/>
                <wp:docPr id="54" name="Frame54"/>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7 -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7 -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240" w:before="0" w:after="0"/>
        <w:jc w:val="both"/>
        <w:rPr/>
      </w:pPr>
      <w:r>
        <w:rPr>
          <w:rFonts w:ascii="Arial;sans-serif" w:hAnsi="Arial;sans-serif"/>
          <w:b w:val="false"/>
          <w:color w:val="181818"/>
          <w:sz w:val="18"/>
        </w:rPr>
        <w:t>This Agreement has been entered into on the last date stated below</w:t>
      </w:r>
      <w:r>
        <w:rPr>
          <w:rFonts w:ascii="Arial;sans-serif" w:hAnsi="Arial;sans-serif"/>
          <w:b w:val="false"/>
          <w:color w:val="464646"/>
          <w:sz w:val="18"/>
        </w:rPr>
        <w:t>.</w:t>
      </w:r>
    </w:p>
    <w:p>
      <w:pPr>
        <w:pStyle w:val="TextBody"/>
        <w:spacing w:before="0" w:after="0"/>
        <w:jc w:val="both"/>
        <w:rPr/>
      </w:pPr>
      <w:r>
        <w:rPr/>
      </w:r>
    </w:p>
    <w:p>
      <w:pPr>
        <w:pStyle w:val="TextBody"/>
        <w:spacing w:before="0" w:after="0"/>
        <w:jc w:val="both"/>
        <w:rPr/>
      </w:pPr>
      <w:r>
        <w:rPr/>
      </w:r>
    </w:p>
    <w:tbl>
      <w:tblPr>
        <w:tblW w:w="6719" w:type="dxa"/>
        <w:jc w:val="left"/>
        <w:tblInd w:w="0" w:type="dxa"/>
        <w:tblCellMar>
          <w:top w:w="28" w:type="dxa"/>
          <w:left w:w="28" w:type="dxa"/>
          <w:bottom w:w="28" w:type="dxa"/>
          <w:right w:w="28" w:type="dxa"/>
        </w:tblCellMar>
      </w:tblPr>
      <w:tblGrid>
        <w:gridCol w:w="1507"/>
        <w:gridCol w:w="1328"/>
        <w:gridCol w:w="1335"/>
        <w:gridCol w:w="746"/>
        <w:gridCol w:w="746"/>
        <w:gridCol w:w="1057"/>
      </w:tblGrid>
      <w:tr>
        <w:trPr/>
        <w:tc>
          <w:tcPr>
            <w:tcW w:w="1507"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Signed by Sean Quinn</w:t>
            </w:r>
          </w:p>
        </w:tc>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u w:val="single"/>
              </w:rPr>
            </w:pPr>
            <w:r>
              <w:rPr>
                <w:rFonts w:ascii="Arial;sans-serif" w:hAnsi="Arial;sans-serif"/>
                <w:b w:val="false"/>
                <w:color w:val="000000"/>
                <w:sz w:val="18"/>
                <w:u w:val="single"/>
              </w:rPr>
              <w:t>/s/Sean Quinn</w:t>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for and on behalf of Cimpress Deutschland GmbH</w:t>
            </w:r>
          </w:p>
        </w:tc>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Director/Authorized Signatory</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Date: 8 July 2019</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Signed by Florian Baumgartner</w:t>
            </w:r>
          </w:p>
        </w:tc>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u w:val="single"/>
              </w:rPr>
            </w:pPr>
            <w:r>
              <w:rPr>
                <w:rFonts w:ascii="Arial;sans-serif" w:hAnsi="Arial;sans-serif"/>
                <w:b w:val="false"/>
                <w:color w:val="000000"/>
                <w:sz w:val="18"/>
                <w:u w:val="single"/>
              </w:rPr>
              <w:t>/s/Florian Baumgartner</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18"/>
              </w:rPr>
            </w:pPr>
            <w:r>
              <w:rPr>
                <w:rFonts w:ascii="Arial;sans-serif" w:hAnsi="Arial;sans-serif"/>
                <w:b w:val="false"/>
                <w:color w:val="000000"/>
                <w:sz w:val="18"/>
              </w:rPr>
              <w:t>Date: 10 July 2019</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TextBody"/>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86435"/>
                <wp:effectExtent l="0" t="0" r="0" b="0"/>
                <wp:wrapNone/>
                <wp:docPr id="55" name="Frame55"/>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8 -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8 -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240" w:before="0" w:after="0"/>
        <w:jc w:val="center"/>
        <w:rPr>
          <w:rFonts w:ascii="Arial;sans-serif" w:hAnsi="Arial;sans-serif"/>
          <w:b/>
          <w:color w:val="1A1A1A"/>
          <w:sz w:val="18"/>
        </w:rPr>
      </w:pPr>
      <w:r>
        <w:rPr>
          <w:rFonts w:ascii="Arial;sans-serif" w:hAnsi="Arial;sans-serif"/>
          <w:b/>
          <w:color w:val="1A1A1A"/>
          <w:sz w:val="18"/>
        </w:rPr>
        <w:t>EXHIBIT 1</w:t>
      </w:r>
    </w:p>
    <w:p>
      <w:pPr>
        <w:pStyle w:val="TextBody"/>
        <w:spacing w:lineRule="auto" w:line="240" w:before="107" w:after="283"/>
        <w:jc w:val="center"/>
        <w:rPr>
          <w:rFonts w:ascii="Arial;sans-serif" w:hAnsi="Arial;sans-serif"/>
          <w:b/>
          <w:color w:val="1A1A1A"/>
          <w:sz w:val="18"/>
        </w:rPr>
      </w:pPr>
      <w:r>
        <w:rPr>
          <w:rFonts w:ascii="Arial;sans-serif" w:hAnsi="Arial;sans-serif"/>
          <w:b/>
          <w:color w:val="1A1A1A"/>
          <w:sz w:val="18"/>
        </w:rPr>
        <w:t>ANNUAL BONUS</w:t>
      </w:r>
    </w:p>
    <w:p>
      <w:pPr>
        <w:pStyle w:val="TextBody"/>
        <w:spacing w:before="3" w:after="283"/>
        <w:rPr/>
      </w:pPr>
      <w:r>
        <w:rPr/>
      </w:r>
    </w:p>
    <w:p>
      <w:pPr>
        <w:pStyle w:val="TextBody"/>
        <w:spacing w:lineRule="auto" w:line="408" w:before="0" w:after="0"/>
        <w:jc w:val="both"/>
        <w:rPr/>
      </w:pPr>
      <w:r>
        <w:rPr>
          <w:rFonts w:ascii="Arial;sans-serif" w:hAnsi="Arial;sans-serif"/>
          <w:b w:val="false"/>
          <w:color w:val="1A1A1A"/>
          <w:sz w:val="18"/>
        </w:rPr>
        <w:t>Employee is initially eligible to participate in an annual bonus plan in the target amount of EUR 100.000 gross per annum. Except as set forth below, the actual bonus payout amount (as a percentage of the target amount) will determined based on achievement against performance metrics established for the given fiscal year in advance by Cimpress N.V. and/or Vistaprint's Chief Executive Officer, and any bonus pay-out due to Employee shall be paid through Company's regular payroll within a reasonable time following the close of Vistaprint's fiscal year</w:t>
      </w:r>
      <w:r>
        <w:rPr>
          <w:rFonts w:ascii="Arial;sans-serif" w:hAnsi="Arial;sans-serif"/>
          <w:b w:val="false"/>
          <w:color w:val="4F4F4F"/>
          <w:sz w:val="18"/>
        </w:rPr>
        <w:t>.</w:t>
      </w:r>
    </w:p>
    <w:p>
      <w:pPr>
        <w:pStyle w:val="TextBody"/>
        <w:spacing w:lineRule="auto" w:line="412" w:before="113" w:after="283"/>
        <w:ind w:left="0" w:right="0" w:hanging="360"/>
        <w:jc w:val="both"/>
        <w:rPr/>
      </w:pPr>
      <w:r>
        <w:rPr>
          <w:color w:val="1A1A1A"/>
        </w:rPr>
        <w:t>•</w:t>
      </w:r>
      <w:r>
        <w:rPr>
          <w:rFonts w:ascii="Arial;sans-serif" w:hAnsi="Arial;sans-serif"/>
          <w:b w:val="false"/>
          <w:color w:val="1A1A1A"/>
          <w:sz w:val="18"/>
        </w:rPr>
        <w:t xml:space="preserve">For Vistaprint's 2020 fiscal year (which ends 30 June 2020), (i) </w:t>
      </w:r>
      <w:r>
        <w:rPr>
          <w:rFonts w:ascii="Arial;sans-serif" w:hAnsi="Arial;sans-serif"/>
          <w:b w:val="false"/>
          <w:color w:val="2D2B2B"/>
          <w:sz w:val="18"/>
        </w:rPr>
        <w:t xml:space="preserve">the </w:t>
      </w:r>
      <w:r>
        <w:rPr>
          <w:rFonts w:ascii="Arial;sans-serif" w:hAnsi="Arial;sans-serif"/>
          <w:b w:val="false"/>
          <w:color w:val="1A1A1A"/>
          <w:sz w:val="18"/>
        </w:rPr>
        <w:t xml:space="preserve">bonus target amount will be prorated based on Employee's start date; (ii) the bonus payout amount will be fixed at 100% of the target amount; and (iii) payout will be made through Company's regular payroll runs and paid in equal monthly </w:t>
      </w:r>
      <w:r>
        <w:rPr>
          <w:rFonts w:ascii="Arial;sans-serif" w:hAnsi="Arial;sans-serif"/>
          <w:b w:val="false"/>
          <w:color w:val="2D2B2B"/>
          <w:sz w:val="18"/>
        </w:rPr>
        <w:t xml:space="preserve">instalments </w:t>
      </w:r>
      <w:r>
        <w:rPr>
          <w:rFonts w:ascii="Arial;sans-serif" w:hAnsi="Arial;sans-serif"/>
          <w:b w:val="false"/>
          <w:color w:val="1A1A1A"/>
          <w:sz w:val="18"/>
        </w:rPr>
        <w:t>over the course of Vistaprint's 2020 fiscal year.</w:t>
      </w:r>
    </w:p>
    <w:p>
      <w:pPr>
        <w:pStyle w:val="TextBody"/>
        <w:spacing w:lineRule="auto" w:line="412" w:before="106" w:after="283"/>
        <w:ind w:left="0" w:right="0" w:hanging="360"/>
        <w:jc w:val="both"/>
        <w:rPr/>
      </w:pPr>
      <w:r>
        <w:rPr>
          <w:color w:val="1A1A1A"/>
        </w:rPr>
        <w:t>•</w:t>
      </w:r>
      <w:r>
        <w:rPr>
          <w:rFonts w:ascii="Arial;sans-serif" w:hAnsi="Arial;sans-serif"/>
          <w:b w:val="false"/>
          <w:color w:val="1A1A1A"/>
          <w:sz w:val="18"/>
        </w:rPr>
        <w:t xml:space="preserve">For Vlstaprint's 2021 fiscal year (which ends 30 June 2021), the payout amount will be determined based on achievement against full-fiscal-year performance metrics and may exceed 100% of the target amount, </w:t>
      </w:r>
      <w:r>
        <w:rPr>
          <w:rFonts w:ascii="Arial;sans-serif" w:hAnsi="Arial;sans-serif"/>
          <w:b w:val="false"/>
          <w:color w:val="1A1A1A"/>
          <w:sz w:val="18"/>
          <w:u w:val="single"/>
        </w:rPr>
        <w:t>provided</w:t>
      </w:r>
      <w:r>
        <w:rPr>
          <w:rFonts w:ascii="Arial;sans-serif" w:hAnsi="Arial;sans-serif"/>
          <w:b w:val="false"/>
          <w:color w:val="1A1A1A"/>
          <w:sz w:val="18"/>
        </w:rPr>
        <w:t xml:space="preserve">, </w:t>
      </w:r>
      <w:r>
        <w:rPr>
          <w:rFonts w:ascii="Arial;sans-serif" w:hAnsi="Arial;sans-serif"/>
          <w:b w:val="false"/>
          <w:color w:val="1A1A1A"/>
          <w:sz w:val="18"/>
          <w:u w:val="single"/>
        </w:rPr>
        <w:t>however</w:t>
      </w:r>
      <w:r>
        <w:rPr>
          <w:rFonts w:ascii="Arial;sans-serif" w:hAnsi="Arial;sans-serif"/>
          <w:b w:val="false"/>
          <w:color w:val="1A1A1A"/>
          <w:sz w:val="18"/>
        </w:rPr>
        <w:t>, that in no event shall such payout amount be fixed at a level less than 50% of the target amount</w:t>
      </w:r>
      <w:r>
        <w:rPr>
          <w:rFonts w:ascii="Arial;sans-serif" w:hAnsi="Arial;sans-serif"/>
          <w:b w:val="false"/>
          <w:color w:val="606060"/>
          <w:sz w:val="18"/>
        </w:rPr>
        <w:t>.</w:t>
      </w:r>
    </w:p>
    <w:p>
      <w:pPr>
        <w:pStyle w:val="TextBody"/>
        <w:spacing w:lineRule="auto" w:line="405" w:before="108" w:after="283"/>
        <w:jc w:val="both"/>
        <w:rPr>
          <w:rFonts w:ascii="Arial;sans-serif" w:hAnsi="Arial;sans-serif"/>
          <w:b w:val="false"/>
          <w:color w:val="1A1A1A"/>
          <w:sz w:val="18"/>
        </w:rPr>
      </w:pPr>
      <w:r>
        <w:rPr>
          <w:rFonts w:ascii="Arial;sans-serif" w:hAnsi="Arial;sans-serif"/>
          <w:b w:val="false"/>
          <w:color w:val="1A1A1A"/>
          <w:sz w:val="18"/>
        </w:rPr>
        <w:t>The applicable bonus' terms, conditions and parameters are determined and re-assessed by Company on an annual basis, using equitable discretion within the meaning of section 315 of the German Civil Code (Bürgerliches Gesetzbuch), and all bonus payments are granted by Company at its sole discretion.</w:t>
      </w:r>
    </w:p>
    <w:p>
      <w:pPr>
        <w:pStyle w:val="TextBody"/>
        <w:spacing w:lineRule="auto" w:line="408" w:before="113" w:after="283"/>
        <w:jc w:val="both"/>
        <w:rPr>
          <w:rFonts w:ascii="Arial;sans-serif" w:hAnsi="Arial;sans-serif"/>
          <w:b w:val="false"/>
          <w:color w:val="1A1A1A"/>
          <w:sz w:val="18"/>
        </w:rPr>
      </w:pPr>
      <w:r>
        <w:rPr>
          <w:rFonts w:ascii="Arial;sans-serif" w:hAnsi="Arial;sans-serif"/>
          <w:b w:val="false"/>
          <w:color w:val="1A1A1A"/>
          <w:sz w:val="18"/>
        </w:rPr>
        <w:t>The decision as to whether Company will proceed beyond Vistaprint's 2021fiscal year with the annual bonus plan as set out in this Exhibit 1 or a comparable bonus plan shall be made on a voluntary basis. There is no future legal entitlement to a participation in the annual bonus plan and to receive corresponding bonus payments even if Company repeatedly pays the bonus unconditionally. Respectively, Company also reserves the right to decide each year anew whether or not and to what extent Employee shall be enabled to participate in the annual bonus program.</w:t>
      </w:r>
    </w:p>
    <w:p>
      <w:pPr>
        <w:pStyle w:val="TextBody"/>
        <w:spacing w:lineRule="auto" w:line="408" w:before="113" w:after="283"/>
        <w:ind w:left="0" w:right="0" w:hanging="360"/>
        <w:jc w:val="both"/>
        <w:rPr/>
      </w:pPr>
      <w:r>
        <w:rPr>
          <w:color w:val="2D2B2B"/>
        </w:rPr>
        <w:t>•</w:t>
      </w:r>
      <w:r>
        <w:rPr>
          <w:rFonts w:ascii="Arial;sans-serif" w:hAnsi="Arial;sans-serif"/>
          <w:b w:val="false"/>
          <w:color w:val="1A1A1A"/>
          <w:sz w:val="18"/>
        </w:rPr>
        <w:t>Subject to the immediately preceding paragraph, details of performance metrics and achievement curves beyond Vistaprint's 2021 fiscal year will be established in the future, and annual bonus plans will typically have a range from 0% to 200%, based on full-fiscal year performance.</w:t>
      </w:r>
    </w:p>
    <w:p>
      <w:pPr>
        <w:pStyle w:val="TextBody"/>
        <w:spacing w:lineRule="auto" w:line="405" w:before="111" w:after="283"/>
        <w:jc w:val="both"/>
        <w:rPr/>
      </w:pPr>
      <w:r>
        <w:rPr>
          <w:rFonts w:ascii="Arial;sans-serif" w:hAnsi="Arial;sans-serif"/>
          <w:b w:val="false"/>
          <w:color w:val="1A1A1A"/>
          <w:sz w:val="18"/>
        </w:rPr>
        <w:t xml:space="preserve">Except for the bonus target amounts guaranteed in Vistaprint's 2020 and 2021 fiscal years as set forth above, Company shall have the right to withdraw the promise regarding the participation in the annual bonus plan for the future entirely or partially </w:t>
      </w:r>
      <w:r>
        <w:rPr>
          <w:rFonts w:ascii="Arial;sans-serif" w:hAnsi="Arial;sans-serif"/>
          <w:b w:val="false"/>
          <w:i/>
          <w:color w:val="1A1A1A"/>
          <w:sz w:val="18"/>
        </w:rPr>
        <w:t xml:space="preserve">(Widerrufsvorbehalt), </w:t>
      </w:r>
      <w:r>
        <w:rPr>
          <w:rFonts w:ascii="Arial;sans-serif" w:hAnsi="Arial;sans-serif"/>
          <w:b w:val="false"/>
          <w:color w:val="1A1A1A"/>
          <w:sz w:val="18"/>
        </w:rPr>
        <w:t xml:space="preserve">if objective business or individual </w:t>
      </w:r>
      <w:r>
        <w:rPr>
          <w:rFonts w:ascii="Arial;sans-serif" w:hAnsi="Arial;sans-serif"/>
          <w:b w:val="false"/>
          <w:color w:val="2D2B2B"/>
          <w:sz w:val="18"/>
        </w:rPr>
        <w:t xml:space="preserve">reasons </w:t>
      </w:r>
      <w:r>
        <w:rPr>
          <w:rFonts w:ascii="Arial;sans-serif" w:hAnsi="Arial;sans-serif"/>
          <w:b w:val="false"/>
          <w:color w:val="1A1A1A"/>
          <w:sz w:val="18"/>
        </w:rPr>
        <w:t xml:space="preserve">for </w:t>
      </w:r>
      <w:r>
        <w:rPr>
          <w:rFonts w:ascii="Arial;sans-serif" w:hAnsi="Arial;sans-serif"/>
          <w:b w:val="false"/>
          <w:color w:val="2D2B2B"/>
          <w:sz w:val="18"/>
        </w:rPr>
        <w:t xml:space="preserve">such </w:t>
      </w:r>
      <w:r>
        <w:rPr>
          <w:rFonts w:ascii="Arial;sans-serif" w:hAnsi="Arial;sans-serif"/>
          <w:b w:val="false"/>
          <w:color w:val="1A1A1A"/>
          <w:sz w:val="18"/>
        </w:rPr>
        <w:t xml:space="preserve">a withdrawal exist, in particular such as a negative development of the business of Company, including, but not limited to a decline in turnover and/or profits, investment requirements and failure to meet business targets or a bad performance and wrongful behavior of Employee, and if such withdrawal is just and reasonable </w:t>
      </w:r>
      <w:r>
        <w:rPr>
          <w:rFonts w:ascii="Arial;sans-serif" w:hAnsi="Arial;sans-serif"/>
          <w:b w:val="false"/>
          <w:color w:val="2D2B2B"/>
          <w:sz w:val="18"/>
        </w:rPr>
        <w:t xml:space="preserve">considering </w:t>
      </w:r>
      <w:r>
        <w:rPr>
          <w:rFonts w:ascii="Arial;sans-serif" w:hAnsi="Arial;sans-serif"/>
          <w:b w:val="false"/>
          <w:color w:val="1A1A1A"/>
          <w:sz w:val="18"/>
        </w:rPr>
        <w:t xml:space="preserve">the Employee's interests and reasons </w:t>
      </w:r>
      <w:r>
        <w:rPr>
          <w:rFonts w:ascii="Arial;sans-serif" w:hAnsi="Arial;sans-serif"/>
          <w:b w:val="false"/>
          <w:color w:val="2D2B2B"/>
          <w:sz w:val="18"/>
        </w:rPr>
        <w:t xml:space="preserve">if </w:t>
      </w:r>
      <w:r>
        <w:rPr>
          <w:rFonts w:ascii="Arial;sans-serif" w:hAnsi="Arial;sans-serif"/>
          <w:b w:val="false"/>
          <w:color w:val="1A1A1A"/>
          <w:sz w:val="18"/>
        </w:rPr>
        <w:t xml:space="preserve">the total remuneration of the employee </w:t>
      </w:r>
      <w:r>
        <w:rPr>
          <w:rFonts w:ascii="Arial;sans-serif" w:hAnsi="Arial;sans-serif"/>
          <w:b w:val="false"/>
          <w:color w:val="2D2B2B"/>
          <w:sz w:val="18"/>
        </w:rPr>
        <w:t xml:space="preserve">is </w:t>
      </w:r>
      <w:r>
        <w:rPr>
          <w:rFonts w:ascii="Arial;sans-serif" w:hAnsi="Arial;sans-serif"/>
          <w:b w:val="false"/>
          <w:color w:val="1A1A1A"/>
          <w:sz w:val="18"/>
        </w:rPr>
        <w:t>reduced by less than 25%.</w:t>
      </w:r>
    </w:p>
    <w:p>
      <w:pPr>
        <w:pStyle w:val="TextBody"/>
        <w:spacing w:lineRule="auto" w:line="405" w:before="110" w:after="283"/>
        <w:jc w:val="both"/>
        <w:rPr/>
      </w:pPr>
      <w:r>
        <w:rPr>
          <w:rFonts w:ascii="Arial;sans-serif" w:hAnsi="Arial;sans-serif"/>
          <w:b w:val="false"/>
          <w:color w:val="1A1A1A"/>
          <w:sz w:val="18"/>
        </w:rPr>
        <w:t xml:space="preserve">In the event of a termination of the Employment Agreement in the course of a fiscal year, Employee </w:t>
      </w:r>
      <w:r>
        <w:rPr>
          <w:rFonts w:ascii="Arial;sans-serif" w:hAnsi="Arial;sans-serif"/>
          <w:b w:val="false"/>
          <w:color w:val="2D2B2B"/>
          <w:sz w:val="18"/>
        </w:rPr>
        <w:t xml:space="preserve">shall </w:t>
      </w:r>
      <w:r>
        <w:rPr>
          <w:rFonts w:ascii="Arial;sans-serif" w:hAnsi="Arial;sans-serif"/>
          <w:b w:val="false"/>
          <w:color w:val="1A1A1A"/>
          <w:sz w:val="18"/>
        </w:rPr>
        <w:t>be entitled to payment on a pro-rated base.</w:t>
      </w:r>
    </w:p>
    <w:p>
      <w:pPr>
        <w:pStyle w:val="TextBody"/>
        <w:spacing w:before="110" w:after="283"/>
        <w:jc w:val="both"/>
        <w:rPr/>
      </w:pPr>
      <w:r>
        <w:rPr/>
      </w:r>
    </w:p>
    <w:p>
      <w:pPr>
        <w:pStyle w:val="TextBody"/>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86435"/>
                <wp:effectExtent l="0" t="0" r="0" b="0"/>
                <wp:wrapNone/>
                <wp:docPr id="56" name="Frame56"/>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9 -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9 -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color w:val="000000"/>
          <w:sz w:val="18"/>
        </w:rPr>
      </w:pPr>
      <w:r>
        <w:rPr>
          <w:rFonts w:ascii="Arial;sans-serif" w:hAnsi="Arial;sans-serif"/>
          <w:b/>
          <w:color w:val="000000"/>
          <w:sz w:val="18"/>
        </w:rPr>
        <w:t>CIMPRESS DEUTSCHLAND GMBH EMPLOYMENT AGREEMENT</w:t>
      </w:r>
    </w:p>
    <w:p>
      <w:pPr>
        <w:pStyle w:val="TextBody"/>
        <w:spacing w:before="0" w:after="0"/>
        <w:jc w:val="center"/>
        <w:rPr/>
      </w:pPr>
      <w:r>
        <w:rPr/>
      </w:r>
    </w:p>
    <w:p>
      <w:pPr>
        <w:pStyle w:val="TextBody"/>
        <w:spacing w:lineRule="auto" w:line="362" w:before="0" w:after="0"/>
        <w:jc w:val="center"/>
        <w:rPr>
          <w:rFonts w:ascii="Arial;sans-serif" w:hAnsi="Arial;sans-serif"/>
          <w:b/>
          <w:color w:val="131313"/>
          <w:sz w:val="18"/>
        </w:rPr>
      </w:pPr>
      <w:r>
        <w:rPr>
          <w:rFonts w:ascii="Arial;sans-serif" w:hAnsi="Arial;sans-serif"/>
          <w:b/>
          <w:color w:val="131313"/>
          <w:sz w:val="18"/>
        </w:rPr>
        <w:t>EXHIBIT 2</w:t>
      </w:r>
    </w:p>
    <w:p>
      <w:pPr>
        <w:pStyle w:val="TextBody"/>
        <w:spacing w:lineRule="auto" w:line="362" w:before="0" w:after="0"/>
        <w:jc w:val="center"/>
        <w:rPr>
          <w:rFonts w:ascii="Arial;sans-serif" w:hAnsi="Arial;sans-serif"/>
          <w:b/>
          <w:color w:val="131313"/>
          <w:sz w:val="18"/>
        </w:rPr>
      </w:pPr>
      <w:r>
        <w:rPr>
          <w:rFonts w:ascii="Arial;sans-serif" w:hAnsi="Arial;sans-serif"/>
          <w:b/>
          <w:color w:val="131313"/>
          <w:sz w:val="18"/>
        </w:rPr>
        <w:t>DEFINITION OF "CAUSE"</w:t>
      </w:r>
    </w:p>
    <w:p>
      <w:pPr>
        <w:pStyle w:val="TextBody"/>
        <w:spacing w:lineRule="auto" w:line="386" w:before="130" w:after="283"/>
        <w:jc w:val="both"/>
        <w:rPr/>
      </w:pPr>
      <w:r>
        <w:rPr>
          <w:rFonts w:ascii="Arial;sans-serif" w:hAnsi="Arial;sans-serif"/>
          <w:b w:val="false"/>
          <w:color w:val="131313"/>
          <w:sz w:val="18"/>
        </w:rPr>
        <w:t xml:space="preserve">For purposes of this Agreement, "Cause" means "means Employee's (i) wilful failure to substantially perform his duties (other than any such failure resulting from incapacity due to physical or mental illness), (ii) willful misconduct or gross negligence related to his her employment with Company, (iii) commission of any crime involving harassment, moral turpitude, fraud, misappropriation or embezzlement, (iv) breach of this Agreement or any confidentiality or restrictive covenant agreement with Company, (v) failure to comply with any material provision of any written policy or rule of Company, as may be in effect from time to time, or (vi) engagement in any act or failure to act that is so serious in </w:t>
      </w:r>
      <w:r>
        <w:rPr>
          <w:rFonts w:ascii="Arial;sans-serif" w:hAnsi="Arial;sans-serif"/>
          <w:b w:val="false"/>
          <w:color w:val="262626"/>
          <w:sz w:val="18"/>
        </w:rPr>
        <w:t xml:space="preserve">its </w:t>
      </w:r>
      <w:r>
        <w:rPr>
          <w:rFonts w:ascii="Arial;sans-serif" w:hAnsi="Arial;sans-serif"/>
          <w:b w:val="false"/>
          <w:color w:val="131313"/>
          <w:sz w:val="18"/>
        </w:rPr>
        <w:t>nature or extent that it would justify immediate dismissal under applicable law</w:t>
      </w:r>
      <w:r>
        <w:rPr>
          <w:rFonts w:ascii="Arial;sans-serif" w:hAnsi="Arial;sans-serif"/>
          <w:b w:val="false"/>
          <w:color w:val="494949"/>
          <w:sz w:val="18"/>
        </w:rPr>
        <w:t>.</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86435"/>
                <wp:effectExtent l="0" t="0" r="0" b="0"/>
                <wp:wrapNone/>
                <wp:docPr id="57" name="Frame57"/>
                <a:graphic xmlns:a="http://schemas.openxmlformats.org/drawingml/2006/main">
                  <a:graphicData uri="http://schemas.microsoft.com/office/word/2010/wordprocessingShape">
                    <wps:wsp>
                      <wps:cNvSpPr txBox="1"/>
                      <wps:spPr>
                        <a:xfrm>
                          <a:off x="0" y="0"/>
                          <a:ext cx="6480175" cy="686435"/>
                        </a:xfrm>
                        <a:prstGeom prst="rect"/>
                      </wps:spPr>
                      <wps:txb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10 -</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pPr>
                      <w:r>
                        <w:rPr>
                          <w:rFonts w:ascii="Arial;sans-serif" w:hAnsi="Arial;sans-serif"/>
                          <w:b w:val="false"/>
                          <w:color w:val="000000"/>
                          <w:sz w:val="22"/>
                        </w:rPr>
                        <w:t xml:space="preserve">- </w:t>
                      </w:r>
                      <w:r>
                        <w:rPr>
                          <w:rFonts w:ascii="Arial;sans-serif" w:hAnsi="Arial;sans-serif"/>
                          <w:b w:val="false"/>
                          <w:color w:val="000000"/>
                          <w:sz w:val="18"/>
                        </w:rPr>
                        <w:t>10 -</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84" w:after="283"/>
        <w:jc w:val="center"/>
        <w:rPr>
          <w:rFonts w:ascii="Arial;sans-serif" w:hAnsi="Arial;sans-serif"/>
          <w:b w:val="false"/>
          <w:color w:val="000000"/>
          <w:sz w:val="20"/>
          <w:u w:val="single"/>
        </w:rPr>
      </w:pPr>
      <w:r>
        <w:rPr>
          <w:rFonts w:ascii="Arial;sans-serif" w:hAnsi="Arial;sans-serif"/>
          <w:b w:val="false"/>
          <w:color w:val="000000"/>
          <w:sz w:val="20"/>
          <w:u w:val="single"/>
        </w:rPr>
        <w:t>AMENDMENT TO THE EMPLOYMENT AGREEMENT</w:t>
      </w:r>
    </w:p>
    <w:p>
      <w:pPr>
        <w:pStyle w:val="TextBody"/>
        <w:spacing w:before="6" w:after="283"/>
        <w:rPr/>
      </w:pPr>
      <w:r>
        <w:rPr/>
      </w:r>
    </w:p>
    <w:p>
      <w:pPr>
        <w:pStyle w:val="TextBody"/>
        <w:spacing w:lineRule="auto" w:line="288" w:before="0" w:after="0"/>
        <w:ind w:left="0" w:right="0" w:firstLine="720"/>
        <w:jc w:val="both"/>
        <w:rPr/>
      </w:pPr>
      <w:r>
        <w:rPr>
          <w:rFonts w:ascii="Arial;sans-serif" w:hAnsi="Arial;sans-serif"/>
          <w:b w:val="false"/>
          <w:color w:val="000000"/>
          <w:sz w:val="20"/>
        </w:rPr>
        <w:t>This Amendment to Employment Agreement (this “</w:t>
      </w:r>
      <w:r>
        <w:rPr>
          <w:rFonts w:ascii="Arial;sans-serif" w:hAnsi="Arial;sans-serif"/>
          <w:b w:val="false"/>
          <w:color w:val="000000"/>
          <w:sz w:val="20"/>
          <w:u w:val="single"/>
        </w:rPr>
        <w:t>Amendment</w:t>
      </w:r>
      <w:r>
        <w:rPr>
          <w:color w:val="000000"/>
        </w:rPr>
        <w:t>”</w:t>
      </w:r>
      <w:r>
        <w:rPr>
          <w:rFonts w:ascii="Arial;sans-serif" w:hAnsi="Arial;sans-serif"/>
          <w:b w:val="false"/>
          <w:color w:val="000000"/>
          <w:sz w:val="20"/>
        </w:rPr>
        <w:t>) is made effective 1 January 2021 (the “</w:t>
      </w:r>
      <w:r>
        <w:rPr>
          <w:rFonts w:ascii="Arial;sans-serif" w:hAnsi="Arial;sans-serif"/>
          <w:b w:val="false"/>
          <w:color w:val="000000"/>
          <w:sz w:val="20"/>
          <w:u w:val="single"/>
        </w:rPr>
        <w:t>Effective Date</w:t>
      </w:r>
      <w:r>
        <w:rPr>
          <w:color w:val="000000"/>
        </w:rPr>
        <w:t>”</w:t>
      </w:r>
      <w:r>
        <w:rPr>
          <w:rFonts w:ascii="Arial;sans-serif" w:hAnsi="Arial;sans-serif"/>
          <w:b w:val="false"/>
          <w:color w:val="000000"/>
          <w:sz w:val="20"/>
        </w:rPr>
        <w:t>) between Florian Baumgartner domiciled in Germany (“</w:t>
      </w:r>
      <w:r>
        <w:rPr>
          <w:rFonts w:ascii="Arial;sans-serif" w:hAnsi="Arial;sans-serif"/>
          <w:b w:val="false"/>
          <w:color w:val="000000"/>
          <w:sz w:val="20"/>
          <w:u w:val="single"/>
        </w:rPr>
        <w:t>Employee</w:t>
      </w:r>
      <w:r>
        <w:rPr>
          <w:color w:val="000000"/>
        </w:rPr>
        <w:t>”</w:t>
      </w:r>
      <w:r>
        <w:rPr>
          <w:rFonts w:ascii="Arial;sans-serif" w:hAnsi="Arial;sans-serif"/>
          <w:b w:val="false"/>
          <w:color w:val="000000"/>
          <w:sz w:val="20"/>
        </w:rPr>
        <w:t>) and Cimpress Deutschland GmbH incorporated and registered in Germany with company number HRB 115906 B whose registered office is at Salzufer 6, 10587 Berlin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Employee and Company agree that this Amendment amends the Employment Agreement between Employee and Company dated 10 July 2019 (as amended from time to time, the “</w:t>
      </w:r>
      <w:r>
        <w:rPr>
          <w:rFonts w:ascii="Arial;sans-serif" w:hAnsi="Arial;sans-serif"/>
          <w:b w:val="false"/>
          <w:color w:val="000000"/>
          <w:sz w:val="20"/>
          <w:u w:val="single"/>
        </w:rPr>
        <w:t>Employment</w:t>
      </w:r>
      <w:r>
        <w:rPr>
          <w:color w:val="000000"/>
        </w:rPr>
        <w:t xml:space="preserve"> </w:t>
      </w:r>
      <w:r>
        <w:rPr>
          <w:rFonts w:ascii="Arial;sans-serif" w:hAnsi="Arial;sans-serif"/>
          <w:b w:val="false"/>
          <w:color w:val="000000"/>
          <w:sz w:val="20"/>
          <w:u w:val="single"/>
        </w:rPr>
        <w:t>Agreement</w:t>
      </w:r>
      <w:r>
        <w:rPr>
          <w:color w:val="000000"/>
        </w:rPr>
        <w:t>”</w:t>
      </w:r>
      <w:r>
        <w:rPr>
          <w:rFonts w:ascii="Arial;sans-serif" w:hAnsi="Arial;sans-serif"/>
          <w:b w:val="false"/>
          <w:color w:val="000000"/>
          <w:sz w:val="20"/>
        </w:rPr>
        <w:t>) effective as of the Effective Date.</w:t>
      </w:r>
    </w:p>
    <w:p>
      <w:pPr>
        <w:pStyle w:val="TextBody"/>
        <w:spacing w:lineRule="auto" w:line="288" w:before="170" w:after="283"/>
        <w:ind w:left="0" w:right="0" w:firstLine="720"/>
        <w:jc w:val="both"/>
        <w:rPr/>
      </w:pPr>
      <w:r>
        <w:rPr>
          <w:rFonts w:ascii="Arial;sans-serif" w:hAnsi="Arial;sans-serif"/>
          <w:b w:val="false"/>
          <w:color w:val="000000"/>
          <w:sz w:val="20"/>
        </w:rPr>
        <w:t>WHEREAS, Employee is Executive Vice President and President, International within the Vistaprint business unit of Cimpress plc (“</w:t>
      </w:r>
      <w:r>
        <w:rPr>
          <w:rFonts w:ascii="Arial;sans-serif" w:hAnsi="Arial;sans-serif"/>
          <w:b w:val="false"/>
          <w:color w:val="000000"/>
          <w:sz w:val="20"/>
          <w:u w:val="single"/>
        </w:rPr>
        <w:t>Cimpress</w:t>
      </w:r>
      <w:r>
        <w:rPr>
          <w:color w:val="000000"/>
        </w:rPr>
        <w:t>”</w:t>
      </w:r>
      <w:r>
        <w:rPr>
          <w:rFonts w:ascii="Arial;sans-serif" w:hAnsi="Arial;sans-serif"/>
          <w:b w:val="false"/>
          <w:color w:val="000000"/>
          <w:sz w:val="20"/>
        </w:rPr>
        <w:t>), reporting to Vistaprint’s CEO. Given Employee’s role, Employee is a member of the Vistaprint Executive Team (the “</w:t>
      </w:r>
      <w:r>
        <w:rPr>
          <w:rFonts w:ascii="Arial;sans-serif" w:hAnsi="Arial;sans-serif"/>
          <w:b w:val="false"/>
          <w:color w:val="000000"/>
          <w:sz w:val="20"/>
          <w:u w:val="single"/>
        </w:rPr>
        <w:t>VET</w:t>
      </w:r>
      <w:r>
        <w:rPr>
          <w:color w:val="000000"/>
        </w:rPr>
        <w:t>”</w:t>
      </w:r>
      <w:r>
        <w:rPr>
          <w:rFonts w:ascii="Arial;sans-serif" w:hAnsi="Arial;sans-serif"/>
          <w:b w:val="false"/>
          <w:color w:val="000000"/>
          <w:sz w:val="20"/>
        </w:rPr>
        <w:t>).</w:t>
      </w:r>
    </w:p>
    <w:p>
      <w:pPr>
        <w:pStyle w:val="TextBody"/>
        <w:spacing w:lineRule="auto" w:line="288" w:before="155" w:after="283"/>
        <w:ind w:left="0" w:right="0" w:firstLine="720"/>
        <w:jc w:val="both"/>
        <w:rPr/>
      </w:pPr>
      <w:r>
        <w:rPr>
          <w:rFonts w:ascii="Arial;sans-serif" w:hAnsi="Arial;sans-serif"/>
          <w:b w:val="false"/>
          <w:color w:val="000000"/>
          <w:sz w:val="20"/>
        </w:rPr>
        <w:t>WHEREAS, Vistaprint’s CEO offers all VET members the opportunity to participate in a voluntary Salary for RSU Program (the “</w:t>
      </w:r>
      <w:r>
        <w:rPr>
          <w:rFonts w:ascii="Arial;sans-serif" w:hAnsi="Arial;sans-serif"/>
          <w:b w:val="false"/>
          <w:color w:val="000000"/>
          <w:sz w:val="20"/>
          <w:u w:val="single"/>
        </w:rPr>
        <w:t>Program</w:t>
      </w:r>
      <w:r>
        <w:rPr>
          <w:color w:val="000000"/>
        </w:rPr>
        <w:t>”</w:t>
      </w:r>
      <w:r>
        <w:rPr>
          <w:rFonts w:ascii="Arial;sans-serif" w:hAnsi="Arial;sans-serif"/>
          <w:b w:val="false"/>
          <w:color w:val="000000"/>
          <w:sz w:val="20"/>
        </w:rPr>
        <w:t>), pursuant to which each VET member may elect to reduce his or her current cash base salary for the duration of 4 years, and in exchange, receive a one-time Cimpress restricted share unit award having a grant value equal to the cumulative reduction amount.</w:t>
      </w:r>
    </w:p>
    <w:p>
      <w:pPr>
        <w:pStyle w:val="TextBody"/>
        <w:spacing w:lineRule="auto" w:line="288" w:before="156" w:after="283"/>
        <w:ind w:left="0" w:right="0" w:firstLine="720"/>
        <w:jc w:val="both"/>
        <w:rPr>
          <w:rFonts w:ascii="Arial;sans-serif" w:hAnsi="Arial;sans-serif"/>
          <w:b w:val="false"/>
          <w:color w:val="000000"/>
          <w:sz w:val="20"/>
        </w:rPr>
      </w:pPr>
      <w:r>
        <w:rPr>
          <w:rFonts w:ascii="Arial;sans-serif" w:hAnsi="Arial;sans-serif"/>
          <w:b w:val="false"/>
          <w:color w:val="000000"/>
          <w:sz w:val="20"/>
        </w:rPr>
        <w:t>WHEREAS, Employee has requested to participate in the Program, and Company and Employee therefore desire to amend the Employment Agreement in order to implement the agreed upon terms and conditions surrounding Employee’s voluntary participation in the Program, as set forth below.</w:t>
      </w:r>
    </w:p>
    <w:p>
      <w:pPr>
        <w:pStyle w:val="TextBody"/>
        <w:spacing w:lineRule="auto" w:line="288" w:before="159" w:after="283"/>
        <w:ind w:left="0" w:right="0" w:firstLine="720"/>
        <w:jc w:val="both"/>
        <w:rPr>
          <w:rFonts w:ascii="Arial;sans-serif" w:hAnsi="Arial;sans-serif"/>
          <w:b w:val="false"/>
          <w:color w:val="000000"/>
          <w:sz w:val="20"/>
        </w:rPr>
      </w:pPr>
      <w:r>
        <w:rPr>
          <w:rFonts w:ascii="Arial;sans-serif" w:hAnsi="Arial;sans-serif"/>
          <w:b w:val="false"/>
          <w:color w:val="000000"/>
          <w:sz w:val="20"/>
        </w:rPr>
        <w:t>NOW, THEREFORE, in consideration of the agreements, covenants, promises and releases contained herein and such other good and valuable consideration, the receipt and sufficiency of which is hereby acknowledged, the parties agree as follows:</w:t>
      </w:r>
    </w:p>
    <w:p>
      <w:pPr>
        <w:pStyle w:val="TextBody"/>
        <w:spacing w:lineRule="auto" w:line="288" w:before="198" w:after="283"/>
        <w:ind w:left="0" w:right="0" w:firstLine="720"/>
        <w:rPr/>
      </w:pPr>
      <w:r>
        <w:rPr>
          <w:rFonts w:ascii="Arial;sans-serif" w:hAnsi="Arial;sans-serif"/>
          <w:b w:val="false"/>
          <w:color w:val="000000"/>
          <w:sz w:val="22"/>
        </w:rPr>
        <w:t>1.</w:t>
      </w:r>
      <w:r>
        <w:rPr>
          <w:rFonts w:ascii="Arial;sans-serif" w:hAnsi="Arial;sans-serif"/>
          <w:b w:val="false"/>
          <w:color w:val="000000"/>
          <w:sz w:val="20"/>
        </w:rPr>
        <w:t>Section 2 of the Employment Agreement shall be and hereby is amended by adding a new Section 2.10 immediately after Section 2.9, which Section 2.10 shall read in its entirety as follows:</w:t>
      </w:r>
    </w:p>
    <w:p>
      <w:pPr>
        <w:pStyle w:val="TextBody"/>
        <w:spacing w:lineRule="auto" w:line="288" w:before="162" w:after="283"/>
        <w:ind w:left="0" w:right="0" w:hanging="540"/>
        <w:jc w:val="both"/>
        <w:rPr/>
      </w:pPr>
      <w:r>
        <w:rPr>
          <w:rFonts w:ascii="Arial;sans-serif" w:hAnsi="Arial;sans-serif"/>
          <w:b w:val="false"/>
          <w:color w:val="000000"/>
          <w:sz w:val="20"/>
        </w:rPr>
        <w:t>2.10     </w:t>
      </w:r>
      <w:r>
        <w:rPr>
          <w:rFonts w:ascii="Arial;sans-serif" w:hAnsi="Arial;sans-serif"/>
          <w:b/>
          <w:color w:val="000000"/>
          <w:sz w:val="20"/>
        </w:rPr>
        <w:t>Salary for RSU Program.</w:t>
      </w:r>
      <w:r>
        <w:rPr>
          <w:color w:val="000000"/>
        </w:rPr>
        <w:t xml:space="preserve"> </w:t>
      </w:r>
      <w:r>
        <w:rPr>
          <w:rFonts w:ascii="Arial;sans-serif" w:hAnsi="Arial;sans-serif"/>
          <w:b w:val="false"/>
          <w:color w:val="000000"/>
          <w:sz w:val="20"/>
        </w:rPr>
        <w:t xml:space="preserve">Notwithstanding Section 2.1 above, Employee’s salary during the Program Period (as defined below) shall not be paid in accordance with Section 2.1 but instead shall be paid in accordance with the terms and conditions set forth on </w:t>
      </w:r>
      <w:r>
        <w:rPr>
          <w:rFonts w:ascii="Arial;sans-serif" w:hAnsi="Arial;sans-serif"/>
          <w:b/>
          <w:color w:val="000000"/>
          <w:sz w:val="20"/>
        </w:rPr>
        <w:t>Exhibit 3</w:t>
      </w:r>
      <w:r>
        <w:rPr>
          <w:color w:val="000000"/>
        </w:rPr>
        <w:t xml:space="preserve"> </w:t>
      </w:r>
      <w:r>
        <w:rPr>
          <w:rFonts w:ascii="Arial;sans-serif" w:hAnsi="Arial;sans-serif"/>
          <w:b w:val="false"/>
          <w:color w:val="000000"/>
          <w:sz w:val="20"/>
        </w:rPr>
        <w:t>to this Agreement. Following the end of the Program Period, Employee’s salary shall revert to being paid in accordance with Section 2.1 above (plus any merit or other salary increases provided during the Program Period) and neither this Section 2.10 nor such Exhibit 3 shall have any further force or effect. For purposes of this Agreement, “</w:t>
      </w:r>
      <w:r>
        <w:rPr>
          <w:rFonts w:ascii="Arial;sans-serif" w:hAnsi="Arial;sans-serif"/>
          <w:b w:val="false"/>
          <w:color w:val="000000"/>
          <w:sz w:val="20"/>
          <w:u w:val="single"/>
        </w:rPr>
        <w:t>Program Period</w:t>
      </w:r>
      <w:r>
        <w:rPr>
          <w:color w:val="000000"/>
        </w:rPr>
        <w:t xml:space="preserve">” </w:t>
      </w:r>
      <w:r>
        <w:rPr>
          <w:rFonts w:ascii="Arial;sans-serif" w:hAnsi="Arial;sans-serif"/>
          <w:b w:val="false"/>
          <w:color w:val="000000"/>
          <w:sz w:val="20"/>
        </w:rPr>
        <w:t>means the period commencing 1 January 2021 (the “</w:t>
      </w:r>
      <w:r>
        <w:rPr>
          <w:rFonts w:ascii="Arial;sans-serif" w:hAnsi="Arial;sans-serif"/>
          <w:b w:val="false"/>
          <w:color w:val="000000"/>
          <w:sz w:val="20"/>
          <w:u w:val="single"/>
        </w:rPr>
        <w:t>Salary Reduction Start Date</w:t>
      </w:r>
      <w:r>
        <w:rPr>
          <w:color w:val="000000"/>
        </w:rPr>
        <w:t>”</w:t>
      </w:r>
      <w:r>
        <w:rPr>
          <w:rFonts w:ascii="Arial;sans-serif" w:hAnsi="Arial;sans-serif"/>
          <w:b w:val="false"/>
          <w:color w:val="000000"/>
          <w:sz w:val="20"/>
        </w:rPr>
        <w:t>) and ending 31 December 2024 (the “</w:t>
      </w:r>
      <w:r>
        <w:rPr>
          <w:rFonts w:ascii="Arial;sans-serif" w:hAnsi="Arial;sans-serif"/>
          <w:b w:val="false"/>
          <w:color w:val="000000"/>
          <w:sz w:val="20"/>
          <w:u w:val="single"/>
        </w:rPr>
        <w:t>Salary Reduction End Date</w:t>
      </w:r>
      <w:r>
        <w:rPr>
          <w:color w:val="000000"/>
        </w:rPr>
        <w:t>”</w:t>
      </w:r>
      <w:r>
        <w:rPr>
          <w:rFonts w:ascii="Arial;sans-serif" w:hAnsi="Arial;sans-serif"/>
          <w:b w:val="false"/>
          <w:color w:val="000000"/>
          <w:sz w:val="20"/>
        </w:rPr>
        <w:t>).</w:t>
      </w:r>
    </w:p>
    <w:p>
      <w:pPr>
        <w:pStyle w:val="TextBody"/>
        <w:spacing w:lineRule="auto" w:line="288" w:before="173" w:after="283"/>
        <w:ind w:left="0" w:right="0" w:firstLine="720"/>
        <w:rPr/>
      </w:pPr>
      <w:r>
        <w:rPr>
          <w:rFonts w:ascii="Arial;sans-serif" w:hAnsi="Arial;sans-serif"/>
          <w:b w:val="false"/>
          <w:color w:val="000000"/>
          <w:sz w:val="22"/>
        </w:rPr>
        <w:t>2.</w:t>
      </w:r>
      <w:r>
        <w:rPr>
          <w:rFonts w:ascii="Arial;sans-serif" w:hAnsi="Arial;sans-serif"/>
          <w:b w:val="false"/>
          <w:color w:val="000000"/>
          <w:sz w:val="20"/>
        </w:rPr>
        <w:t xml:space="preserve">The Employment Agreement shall be and hereby is amended by adding an </w:t>
      </w:r>
      <w:r>
        <w:rPr>
          <w:rFonts w:ascii="Arial;sans-serif" w:hAnsi="Arial;sans-serif"/>
          <w:b/>
          <w:color w:val="000000"/>
          <w:sz w:val="20"/>
        </w:rPr>
        <w:t xml:space="preserve">Exhibit 3 </w:t>
      </w:r>
      <w:r>
        <w:rPr>
          <w:rFonts w:ascii="Arial;sans-serif" w:hAnsi="Arial;sans-serif"/>
          <w:b w:val="false"/>
          <w:color w:val="000000"/>
          <w:sz w:val="20"/>
        </w:rPr>
        <w:t xml:space="preserve">immediately following Exhibit 2, which Exhibit 3 shall be the same as </w:t>
      </w:r>
      <w:r>
        <w:rPr>
          <w:rFonts w:ascii="Arial;sans-serif" w:hAnsi="Arial;sans-serif"/>
          <w:b/>
          <w:color w:val="000000"/>
          <w:sz w:val="20"/>
        </w:rPr>
        <w:t>Exhibit 3</w:t>
      </w:r>
      <w:r>
        <w:rPr>
          <w:color w:val="000000"/>
        </w:rPr>
        <w:t xml:space="preserve"> </w:t>
      </w:r>
      <w:r>
        <w:rPr>
          <w:rFonts w:ascii="Arial;sans-serif" w:hAnsi="Arial;sans-serif"/>
          <w:b w:val="false"/>
          <w:color w:val="000000"/>
          <w:sz w:val="20"/>
        </w:rPr>
        <w:t>to this Amendment.</w:t>
      </w:r>
    </w:p>
    <w:p>
      <w:pPr>
        <w:pStyle w:val="TextBody"/>
        <w:spacing w:lineRule="auto" w:line="288" w:before="84" w:after="283"/>
        <w:ind w:left="0" w:right="0" w:firstLine="720"/>
        <w:rPr/>
      </w:pPr>
      <w:r>
        <w:rPr>
          <w:rFonts w:ascii="Arial;sans-serif" w:hAnsi="Arial;sans-serif"/>
          <w:b w:val="false"/>
          <w:color w:val="000000"/>
          <w:sz w:val="22"/>
        </w:rPr>
        <w:t>3.</w:t>
      </w:r>
      <w:r>
        <w:rPr>
          <w:rFonts w:ascii="Arial;sans-serif" w:hAnsi="Arial;sans-serif"/>
          <w:b w:val="false"/>
          <w:color w:val="000000"/>
          <w:sz w:val="20"/>
        </w:rPr>
        <w:t>Employee confirms that he (i) received the Cimpress Disclosure of Risks document attached as Schedule 1 hereto (and the weekly bookings report referenced therein) before deciding to participate in the Program and enter into this Amendment, and (ii) has carefully read and fully understands the content of such Disclosure of Risks document and the weekly bookings report.</w:t>
      </w:r>
    </w:p>
    <w:p>
      <w:pPr>
        <w:pStyle w:val="TextBody"/>
        <w:spacing w:lineRule="auto" w:line="288" w:before="162" w:after="283"/>
        <w:ind w:left="0" w:right="0" w:firstLine="720"/>
        <w:jc w:val="both"/>
        <w:rPr/>
      </w:pPr>
      <w:r>
        <w:rPr>
          <w:rFonts w:ascii="Arial;sans-serif" w:hAnsi="Arial;sans-serif"/>
          <w:b w:val="false"/>
          <w:color w:val="000000"/>
          <w:sz w:val="22"/>
        </w:rPr>
        <w:t>4.</w:t>
      </w:r>
      <w:r>
        <w:rPr>
          <w:rFonts w:ascii="Arial;sans-serif" w:hAnsi="Arial;sans-serif"/>
          <w:b w:val="false"/>
          <w:color w:val="000000"/>
          <w:sz w:val="20"/>
        </w:rPr>
        <w:t>Employee freely and without any type of coercion agrees to the amendments outlined in this Amendment. Employee has been advised to seek legal and tax advice before signing this Amendment. Company and Employee acknowledge and agree that, except as amended herein, the Employment Agreement shall be unaffected and shall remain in full force and effect.</w:t>
      </w:r>
    </w:p>
    <w:p>
      <w:pPr>
        <w:pStyle w:val="TextBody"/>
        <w:spacing w:lineRule="auto" w:line="288" w:before="166" w:after="283"/>
        <w:ind w:left="0" w:right="0" w:firstLine="720"/>
        <w:jc w:val="both"/>
        <w:rPr/>
      </w:pPr>
      <w:r>
        <w:rPr>
          <w:rFonts w:ascii="Arial;sans-serif" w:hAnsi="Arial;sans-serif"/>
          <w:b w:val="false"/>
          <w:color w:val="000000"/>
          <w:sz w:val="22"/>
        </w:rPr>
        <w:t>5.</w:t>
      </w:r>
      <w:r>
        <w:rPr>
          <w:rFonts w:ascii="Arial;sans-serif" w:hAnsi="Arial;sans-serif"/>
          <w:b w:val="false"/>
          <w:color w:val="000000"/>
          <w:sz w:val="20"/>
        </w:rPr>
        <w:t>This Amendment contains and constitutes the entire understanding and agreement between the parties hereto with respect to the subject matter hereof and cancels all previous oral and written negotiations, agreements, commitments and writings in connection therewith.</w:t>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55" w:after="283"/>
        <w:ind w:left="0" w:right="0" w:firstLine="720"/>
        <w:jc w:val="both"/>
        <w:rPr/>
      </w:pPr>
      <w:r>
        <w:rPr>
          <w:rFonts w:ascii="Arial;sans-serif" w:hAnsi="Arial;sans-serif"/>
          <w:b w:val="false"/>
          <w:color w:val="000000"/>
          <w:sz w:val="22"/>
        </w:rPr>
        <w:t>6.</w:t>
      </w:r>
      <w:r>
        <w:rPr>
          <w:rFonts w:ascii="Arial;sans-serif" w:hAnsi="Arial;sans-serif"/>
          <w:b w:val="false"/>
          <w:color w:val="000000"/>
          <w:sz w:val="20"/>
        </w:rPr>
        <w:t>This Amendment and any dispute or claim arising out of or in connection with it or its subject matter or formation (including non-contractual disputes or claims) shall be governed by and construed in accordance with the law of the Federal Republic of Germany. The parties electronically transmitted signatures shall be effective to bind them to this Amendment.</w:t>
      </w:r>
    </w:p>
    <w:p>
      <w:pPr>
        <w:pStyle w:val="TextBody"/>
        <w:spacing w:lineRule="auto" w:line="288" w:before="156" w:after="283"/>
        <w:ind w:left="0" w:right="0" w:firstLine="720"/>
        <w:rPr>
          <w:rFonts w:ascii="Arial;sans-serif" w:hAnsi="Arial;sans-serif"/>
          <w:b w:val="false"/>
          <w:color w:val="000000"/>
          <w:sz w:val="20"/>
        </w:rPr>
      </w:pPr>
      <w:r>
        <w:rPr>
          <w:rFonts w:ascii="Arial;sans-serif" w:hAnsi="Arial;sans-serif"/>
          <w:b w:val="false"/>
          <w:color w:val="000000"/>
          <w:sz w:val="20"/>
        </w:rPr>
        <w:t>IN WITNESS WHEREOF, the parties have executed this Amendment to Employment Agreement as of the Effective Date set forth above.</w:t>
      </w:r>
    </w:p>
    <w:p>
      <w:pPr>
        <w:pStyle w:val="TextBody"/>
        <w:spacing w:before="0" w:after="0"/>
        <w:rPr/>
      </w:pPr>
      <w:r>
        <w:rPr/>
      </w:r>
    </w:p>
    <w:p>
      <w:pPr>
        <w:pStyle w:val="TextBody"/>
        <w:spacing w:lineRule="auto" w:line="288" w:before="203" w:after="283"/>
        <w:rPr>
          <w:rFonts w:ascii="Arial;sans-serif" w:hAnsi="Arial;sans-serif"/>
          <w:b w:val="false"/>
          <w:color w:val="000000"/>
          <w:sz w:val="20"/>
        </w:rPr>
      </w:pPr>
      <w:r>
        <w:rPr>
          <w:rFonts w:ascii="Arial;sans-serif" w:hAnsi="Arial;sans-serif"/>
          <w:b w:val="false"/>
          <w:color w:val="000000"/>
          <w:sz w:val="20"/>
        </w:rPr>
        <w:t>CIMPRESS DEUTSCHLAND GMBH</w:t>
      </w:r>
    </w:p>
    <w:p>
      <w:pPr>
        <w:pStyle w:val="TextBody"/>
        <w:spacing w:before="0" w:after="0"/>
        <w:rPr/>
      </w:pPr>
      <w:r>
        <w:rPr/>
      </w:r>
    </w:p>
    <w:p>
      <w:pPr>
        <w:pStyle w:val="TextBody"/>
        <w:spacing w:lineRule="auto" w:line="288" w:before="0" w:after="0"/>
        <w:rPr/>
      </w:pPr>
      <w:r>
        <w:rPr>
          <w:rFonts w:ascii="Arial;sans-serif" w:hAnsi="Arial;sans-serif"/>
          <w:b w:val="false"/>
          <w:color w:val="000000"/>
          <w:sz w:val="20"/>
        </w:rPr>
        <w:t xml:space="preserve">By: </w:t>
      </w:r>
      <w:r>
        <w:rPr>
          <w:rFonts w:ascii="Arial;sans-serif" w:hAnsi="Arial;sans-serif"/>
          <w:b w:val="false"/>
          <w:color w:val="000000"/>
          <w:sz w:val="20"/>
          <w:u w:val="single"/>
        </w:rPr>
        <w:t>/s/Robert S. Keane</w:t>
      </w:r>
      <w:r>
        <w:rPr>
          <w:color w:val="000000"/>
        </w:rPr>
        <w:t>                    </w:t>
      </w:r>
      <w:r>
        <w:rPr>
          <w:rFonts w:ascii="Arial;sans-serif" w:hAnsi="Arial;sans-serif"/>
          <w:b w:val="false"/>
          <w:color w:val="000000"/>
          <w:sz w:val="20"/>
          <w:u w:val="single"/>
        </w:rPr>
        <w:t>/s/Florian Baumgartner</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Name: Robert Keane                    Florian Baumgartner</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Title: Managing Director</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84" w:after="283"/>
        <w:jc w:val="center"/>
        <w:rPr>
          <w:rFonts w:ascii="Arial;sans-serif" w:hAnsi="Arial;sans-serif"/>
          <w:b/>
          <w:color w:val="000000"/>
          <w:sz w:val="20"/>
          <w:u w:val="single"/>
        </w:rPr>
      </w:pPr>
      <w:r>
        <w:rPr>
          <w:rFonts w:ascii="Arial;sans-serif" w:hAnsi="Arial;sans-serif"/>
          <w:b/>
          <w:color w:val="000000"/>
          <w:sz w:val="20"/>
          <w:u w:val="single"/>
        </w:rPr>
        <w:t>EXHIBIT 3</w:t>
      </w:r>
    </w:p>
    <w:p>
      <w:pPr>
        <w:pStyle w:val="TextBody"/>
        <w:spacing w:lineRule="auto" w:line="240" w:before="198" w:after="283"/>
        <w:jc w:val="center"/>
        <w:rPr>
          <w:rFonts w:ascii="Arial;sans-serif" w:hAnsi="Arial;sans-serif"/>
          <w:b/>
          <w:color w:val="000000"/>
          <w:sz w:val="20"/>
        </w:rPr>
      </w:pPr>
      <w:r>
        <w:rPr>
          <w:rFonts w:ascii="Arial;sans-serif" w:hAnsi="Arial;sans-serif"/>
          <w:b/>
          <w:color w:val="000000"/>
          <w:sz w:val="20"/>
        </w:rPr>
        <w:t>Employee’s Salary and RSU Awards During Program Period</w:t>
      </w:r>
    </w:p>
    <w:p>
      <w:pPr>
        <w:pStyle w:val="TextBody"/>
        <w:spacing w:lineRule="auto" w:line="319" w:before="193" w:after="283"/>
        <w:ind w:left="0" w:right="0" w:firstLine="720"/>
        <w:jc w:val="both"/>
        <w:rPr/>
      </w:pPr>
      <w:r>
        <w:rPr>
          <w:rFonts w:ascii="Arial;sans-serif" w:hAnsi="Arial;sans-serif"/>
          <w:b w:val="false"/>
          <w:color w:val="000000"/>
          <w:sz w:val="22"/>
        </w:rPr>
        <w:t>1.</w:t>
      </w:r>
      <w:r>
        <w:rPr>
          <w:rFonts w:ascii="Arial;sans-serif" w:hAnsi="Arial;sans-serif"/>
          <w:b w:val="false"/>
          <w:color w:val="000000"/>
          <w:sz w:val="20"/>
        </w:rPr>
        <w:t>During the Program Period, Employee’s initial base salary shall be EUR 72,000 gross per annum, which will be paid in monthly amounts of EUR 6,000. Employee's salary shall accrue from day to day and be payable in arrears in accordance with established monthly payroll practices.</w:t>
      </w:r>
    </w:p>
    <w:p>
      <w:pPr>
        <w:pStyle w:val="TextBody"/>
        <w:spacing w:lineRule="auto" w:line="319" w:before="159" w:after="283"/>
        <w:ind w:left="0" w:right="0" w:firstLine="720"/>
        <w:jc w:val="both"/>
        <w:rPr/>
      </w:pPr>
      <w:r>
        <w:rPr>
          <w:rFonts w:ascii="Arial;sans-serif" w:hAnsi="Arial;sans-serif"/>
          <w:b w:val="false"/>
          <w:color w:val="000000"/>
          <w:sz w:val="22"/>
        </w:rPr>
        <w:t>2.</w:t>
      </w:r>
      <w:r>
        <w:rPr>
          <w:rFonts w:ascii="Arial;sans-serif" w:hAnsi="Arial;sans-serif"/>
          <w:b w:val="false"/>
          <w:color w:val="000000"/>
          <w:sz w:val="20"/>
        </w:rPr>
        <w:t>In consideration of the agreed-upon reduced salary set forth in clause 1 above, Cimpress will grant Employee a one-time Cimpress restricted share unit (RSU) award on or about the Salary Reduction Start Date (the “</w:t>
      </w:r>
      <w:r>
        <w:rPr>
          <w:rFonts w:ascii="Arial;sans-serif" w:hAnsi="Arial;sans-serif"/>
          <w:b w:val="false"/>
          <w:color w:val="000000"/>
          <w:sz w:val="20"/>
          <w:u w:val="single"/>
        </w:rPr>
        <w:t>RSU Award</w:t>
      </w:r>
      <w:r>
        <w:rPr>
          <w:color w:val="000000"/>
        </w:rPr>
        <w:t>”</w:t>
      </w:r>
      <w:r>
        <w:rPr>
          <w:rFonts w:ascii="Arial;sans-serif" w:hAnsi="Arial;sans-serif"/>
          <w:b w:val="false"/>
          <w:color w:val="000000"/>
          <w:sz w:val="20"/>
        </w:rPr>
        <w:t>). The RSU Award will have a grant value equal to EUR 2,112,000. Because RSUs are denominated in U.S. dollars (USD), Cimpress converted such Euro-denominated grant value into a USD-denominated grant value of USD 2,571,867 by using the 10-day trailing average of EUR to USD exchange rates as of 20 December 2020.</w:t>
      </w:r>
    </w:p>
    <w:p>
      <w:pPr>
        <w:pStyle w:val="TextBody"/>
        <w:spacing w:lineRule="auto" w:line="319" w:before="151" w:after="283"/>
        <w:ind w:left="0" w:right="0" w:firstLine="720"/>
        <w:jc w:val="both"/>
        <w:rPr/>
      </w:pPr>
      <w:r>
        <w:rPr>
          <w:rFonts w:ascii="Arial;sans-serif" w:hAnsi="Arial;sans-serif"/>
          <w:b w:val="false"/>
          <w:color w:val="000000"/>
          <w:sz w:val="22"/>
        </w:rPr>
        <w:t>3.</w:t>
      </w:r>
      <w:r>
        <w:rPr>
          <w:rFonts w:ascii="Arial;sans-serif" w:hAnsi="Arial;sans-serif"/>
          <w:b w:val="false"/>
          <w:color w:val="000000"/>
          <w:sz w:val="20"/>
        </w:rPr>
        <w:t>The RSU Award will be subject to the terms and conditions of the Cimpress plc 2020 Equity Incentive Plan (the “</w:t>
      </w:r>
      <w:r>
        <w:rPr>
          <w:rFonts w:ascii="Arial;sans-serif" w:hAnsi="Arial;sans-serif"/>
          <w:b w:val="false"/>
          <w:color w:val="000000"/>
          <w:sz w:val="20"/>
          <w:u w:val="single"/>
        </w:rPr>
        <w:t>Plan</w:t>
      </w:r>
      <w:r>
        <w:rPr>
          <w:color w:val="000000"/>
        </w:rPr>
        <w:t>”</w:t>
      </w:r>
      <w:r>
        <w:rPr>
          <w:rFonts w:ascii="Arial;sans-serif" w:hAnsi="Arial;sans-serif"/>
          <w:b w:val="false"/>
          <w:color w:val="000000"/>
          <w:sz w:val="20"/>
        </w:rPr>
        <w:t>) and the RSU agreement that Employee will need to sign in order to accept the RSU Award (the “</w:t>
      </w:r>
      <w:r>
        <w:rPr>
          <w:rFonts w:ascii="Arial;sans-serif" w:hAnsi="Arial;sans-serif"/>
          <w:b w:val="false"/>
          <w:color w:val="000000"/>
          <w:sz w:val="20"/>
          <w:u w:val="single"/>
        </w:rPr>
        <w:t>RSU Agreement</w:t>
      </w:r>
      <w:r>
        <w:rPr>
          <w:color w:val="000000"/>
        </w:rPr>
        <w:t>”</w:t>
      </w:r>
      <w:r>
        <w:rPr>
          <w:rFonts w:ascii="Arial;sans-serif" w:hAnsi="Arial;sans-serif"/>
          <w:b w:val="false"/>
          <w:color w:val="000000"/>
          <w:sz w:val="20"/>
        </w:rPr>
        <w:t>). Employee acknowledges and agrees that (i) he has been provided with copies of the Plan and the form of the RSU Agreement, (ii) has reviewed them carefully and understands them fully, and (iii) has had sufficient opportunity to consult with his own legal counsel and tax and financial advisors regarding the terms and conditions of the Plan, the RSU Agreement (including, without limitation, the vesting, forfeiture and lock-up provisions therein) and the Program.</w:t>
      </w:r>
    </w:p>
    <w:p>
      <w:pPr>
        <w:pStyle w:val="TextBody"/>
        <w:spacing w:lineRule="auto" w:line="319" w:before="152" w:after="283"/>
        <w:ind w:left="0" w:right="0" w:firstLine="720"/>
        <w:jc w:val="both"/>
        <w:rPr/>
      </w:pPr>
      <w:r>
        <w:rPr>
          <w:rFonts w:ascii="Arial;sans-serif" w:hAnsi="Arial;sans-serif"/>
          <w:b w:val="false"/>
          <w:color w:val="000000"/>
          <w:sz w:val="22"/>
        </w:rPr>
        <w:t>4.</w:t>
      </w:r>
      <w:r>
        <w:rPr>
          <w:rFonts w:ascii="Arial;sans-serif" w:hAnsi="Arial;sans-serif"/>
          <w:b w:val="false"/>
          <w:color w:val="000000"/>
          <w:sz w:val="20"/>
        </w:rPr>
        <w:t>Employee and Company agree that following the Salary Reduction End Date, Employee’s base salary shall revert to the level set forth in Section 2.1 of the Employment Agreement plus any future merit or other salary increases to such base salary provided during the Program Period and Employee shall not receive or be entitled to receive any further RSU awards as described in this Exhibit 3.</w:t>
      </w:r>
    </w:p>
    <w:p>
      <w:pPr>
        <w:pStyle w:val="TextBody"/>
        <w:spacing w:lineRule="auto" w:line="319" w:before="156" w:after="283"/>
        <w:ind w:left="0" w:right="0" w:firstLine="720"/>
        <w:jc w:val="both"/>
        <w:rPr/>
      </w:pPr>
      <w:r>
        <w:rPr>
          <w:rFonts w:ascii="Arial;sans-serif" w:hAnsi="Arial;sans-serif"/>
          <w:b w:val="false"/>
          <w:color w:val="000000"/>
          <w:sz w:val="22"/>
        </w:rPr>
        <w:t>5.</w:t>
      </w:r>
      <w:r>
        <w:rPr>
          <w:rFonts w:ascii="Arial;sans-serif" w:hAnsi="Arial;sans-serif"/>
          <w:b w:val="false"/>
          <w:color w:val="000000"/>
          <w:sz w:val="20"/>
        </w:rPr>
        <w:t>Employee is aware that by voluntarily reducing his base salary in connection with the Program the contribution amounts to any (governmental) benefits, including but not limited to retirement, pension and sick pay, which are determined by reference to Employee’s base salary, may be correspondingly reduced. Employee understands the consequences of this Amendment and acknowledges that Cimpress cannot make any guarantees about any social security and benefits contributions.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84" w:after="283"/>
        <w:jc w:val="center"/>
        <w:rPr>
          <w:rFonts w:ascii="Arial;sans-serif" w:hAnsi="Arial;sans-serif"/>
          <w:b/>
          <w:color w:val="000000"/>
          <w:sz w:val="20"/>
          <w:u w:val="single"/>
        </w:rPr>
      </w:pPr>
      <w:r>
        <w:rPr>
          <w:rFonts w:ascii="Arial;sans-serif" w:hAnsi="Arial;sans-serif"/>
          <w:b/>
          <w:color w:val="000000"/>
          <w:sz w:val="20"/>
          <w:u w:val="single"/>
        </w:rPr>
        <w:t>SCHEDULE 1</w:t>
      </w:r>
    </w:p>
    <w:p>
      <w:pPr>
        <w:pStyle w:val="TextBody"/>
        <w:spacing w:lineRule="auto" w:line="240" w:before="198" w:after="283"/>
        <w:jc w:val="center"/>
        <w:rPr>
          <w:rFonts w:ascii="Arial;sans-serif" w:hAnsi="Arial;sans-serif"/>
          <w:b/>
          <w:color w:val="000000"/>
          <w:sz w:val="20"/>
          <w:u w:val="single"/>
        </w:rPr>
      </w:pPr>
      <w:r>
        <w:rPr>
          <w:rFonts w:ascii="Arial;sans-serif" w:hAnsi="Arial;sans-serif"/>
          <w:b/>
          <w:color w:val="000000"/>
          <w:sz w:val="20"/>
          <w:u w:val="single"/>
        </w:rPr>
        <w:t>Disclosure of Risks</w:t>
      </w:r>
    </w:p>
    <w:p>
      <w:pPr>
        <w:pStyle w:val="TextBody"/>
        <w:spacing w:lineRule="auto" w:line="319" w:before="193" w:after="283"/>
        <w:rPr>
          <w:rFonts w:ascii="Arial;sans-serif" w:hAnsi="Arial;sans-serif"/>
          <w:b w:val="false"/>
          <w:color w:val="000000"/>
          <w:sz w:val="20"/>
        </w:rPr>
      </w:pPr>
      <w:r>
        <w:rPr>
          <w:rFonts w:ascii="Arial;sans-serif" w:hAnsi="Arial;sans-serif"/>
          <w:b w:val="false"/>
          <w:color w:val="000000"/>
          <w:sz w:val="20"/>
        </w:rPr>
        <w:t>We are offering Employee an opportunity to elect to amend his employment terms to reduce his base salary in exchange for a restricted share unit (RSU) award. RSUs represent Cimpress’ commitment to issue you ordinary shares of Cimpress plc, which are traded on the NASDAQ Stock Exchange under the symbol CMPR, on a one-to-one basis so long as you are still an employee of Cimpress or any of its subsidiaries on each vesting date.</w:t>
      </w:r>
    </w:p>
    <w:p>
      <w:pPr>
        <w:pStyle w:val="TextBody"/>
        <w:spacing w:lineRule="auto" w:line="316" w:before="158" w:after="283"/>
        <w:rPr>
          <w:rFonts w:ascii="Arial;sans-serif" w:hAnsi="Arial;sans-serif"/>
          <w:b w:val="false"/>
          <w:color w:val="000000"/>
          <w:sz w:val="20"/>
        </w:rPr>
      </w:pPr>
      <w:r>
        <w:rPr>
          <w:rFonts w:ascii="Arial;sans-serif" w:hAnsi="Arial;sans-serif"/>
          <w:b w:val="false"/>
          <w:color w:val="000000"/>
          <w:sz w:val="20"/>
        </w:rPr>
        <w:t>By choosing to participate in this Program, you would be making an investment decision that involves material risks. Starting in March 2020, Cimpress’ revenue, profitability and cash flow began to and continue to be materially negatively impacted by the COVID-19 pandemic. We cannot say to what extent or for what length of time this impact will continue. We have attached a weekly bookings report showing our quarter-to-date consolidated bookings and bookings by segment trends through December 5, 2020, but we are unable to provide you with a full picture of our Q2 FY21 financial performance to date or our financial projections for the remainder of FY21 or future fiscal years.</w:t>
      </w:r>
    </w:p>
    <w:p>
      <w:pPr>
        <w:pStyle w:val="TextBody"/>
        <w:spacing w:lineRule="auto" w:line="316" w:before="170" w:after="283"/>
        <w:rPr>
          <w:rFonts w:ascii="Arial;sans-serif" w:hAnsi="Arial;sans-serif"/>
          <w:b w:val="false"/>
          <w:color w:val="000000"/>
          <w:sz w:val="20"/>
        </w:rPr>
      </w:pPr>
      <w:r>
        <w:rPr>
          <w:rFonts w:ascii="Arial;sans-serif" w:hAnsi="Arial;sans-serif"/>
          <w:b w:val="false"/>
          <w:color w:val="000000"/>
          <w:sz w:val="20"/>
        </w:rPr>
        <w:t>We also do not know what will happen to Cimpress’ share price as the COVID-19 pandemic continues and/or when we publicly announce our financial results for this quarter or future quarters. Cimpress’ share price has been extremely volatile in 2020, moving from a high of $126.46 on January 2, 2020 to a low of $40.80 on April 3, 2020, and this volatility could continue. If Cimpress’ share price falls between the date when your RSU award is granted and the date on which any given tranche vests, the RSUs underlying that tranche will lose value. There are many risks affecting Cimpress’ business and share price, including but not limited to the current COVID-19 pandemic, and you can find a description of some of those risks in Cimpress’ recent 10-K filing with the U.S. Securities and Exchange Commission:</w:t>
      </w:r>
    </w:p>
    <w:p>
      <w:pPr>
        <w:pStyle w:val="TextBody"/>
        <w:spacing w:before="0" w:after="0"/>
        <w:rPr/>
      </w:pPr>
      <w:r>
        <w:rPr/>
      </w:r>
    </w:p>
    <w:p>
      <w:pPr>
        <w:pStyle w:val="TextBody"/>
        <w:spacing w:lineRule="auto" w:line="240"/>
        <w:rPr>
          <w:rFonts w:ascii="Arial;sans-serif" w:hAnsi="Arial;sans-serif"/>
          <w:b w:val="false"/>
          <w:color w:val="000000"/>
          <w:sz w:val="20"/>
        </w:rPr>
      </w:pPr>
      <w:r>
        <w:rPr>
          <w:rFonts w:ascii="Arial;sans-serif" w:hAnsi="Arial;sans-serif"/>
          <w:b w:val="false"/>
          <w:color w:val="000000"/>
          <w:sz w:val="20"/>
        </w:rPr>
        <w:t>https://www.sec.gov/ix?doc=/Archives/edgar/data/1262976/000126297620000060/cmpr0630202010-k.htm#s534D20C6BA525D24880ECA95AEEE7980</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120"/>
        <w:jc w:val="right"/>
        <w:rPr>
          <w:rFonts w:ascii="Arial;sans-serif" w:hAnsi="Arial;sans-serif"/>
          <w:b/>
          <w:color w:val="000000"/>
          <w:sz w:val="20"/>
        </w:rPr>
      </w:pPr>
      <w:r>
        <w:rPr>
          <w:rFonts w:ascii="Arial;sans-serif" w:hAnsi="Arial;sans-serif"/>
          <w:b/>
          <w:color w:val="000000"/>
          <w:sz w:val="20"/>
        </w:rPr>
        <w:t>Exhibit 31.1</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spacing w:before="0" w:after="0"/>
        <w:jc w:val="center"/>
        <w:rPr/>
      </w:pPr>
      <w:r>
        <w:rPr/>
      </w:r>
    </w:p>
    <w:p>
      <w:pPr>
        <w:pStyle w:val="TextBody"/>
        <w:spacing w:lineRule="auto" w:line="288" w:before="0" w:after="120"/>
        <w:rPr>
          <w:rFonts w:ascii="Arial;sans-serif" w:hAnsi="Arial;sans-serif"/>
          <w:b w:val="false"/>
          <w:color w:val="000000"/>
          <w:sz w:val="20"/>
        </w:rPr>
      </w:pPr>
      <w:r>
        <w:rPr>
          <w:rFonts w:ascii="Arial;sans-serif" w:hAnsi="Arial;sans-serif"/>
          <w:b w:val="false"/>
          <w:color w:val="000000"/>
          <w:sz w:val="20"/>
        </w:rPr>
        <w:t>I, Robert S. Keane, certify that:</w:t>
      </w:r>
    </w:p>
    <w:p>
      <w:pPr>
        <w:pStyle w:val="TextBody"/>
        <w:spacing w:lineRule="auto" w:line="276" w:before="0" w:after="120"/>
        <w:ind w:left="0" w:right="0" w:hanging="360"/>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120"/>
        <w:rPr/>
      </w:pPr>
      <w:r>
        <w:rPr/>
      </w:r>
    </w:p>
    <w:p>
      <w:pPr>
        <w:pStyle w:val="TextBody"/>
        <w:spacing w:lineRule="auto" w:line="247" w:before="0" w:after="120"/>
        <w:rPr>
          <w:rFonts w:ascii="Arial;sans-serif" w:hAnsi="Arial;sans-serif"/>
          <w:b w:val="false"/>
          <w:color w:val="000000"/>
          <w:sz w:val="20"/>
        </w:rPr>
      </w:pPr>
      <w:r>
        <w:rPr>
          <w:rFonts w:ascii="Arial;sans-serif" w:hAnsi="Arial;sans-serif"/>
          <w:b w:val="false"/>
          <w:color w:val="000000"/>
          <w:sz w:val="20"/>
        </w:rPr>
        <w:t>Date: April 27, 2023</w:t>
      </w:r>
    </w:p>
    <w:p>
      <w:pPr>
        <w:pStyle w:val="TextBody"/>
        <w:spacing w:before="0" w:after="120"/>
        <w:rPr/>
      </w:pPr>
      <w:r>
        <w:rPr/>
      </w:r>
    </w:p>
    <w:tbl>
      <w:tblPr>
        <w:tblW w:w="2306" w:type="dxa"/>
        <w:jc w:val="left"/>
        <w:tblInd w:w="0" w:type="dxa"/>
        <w:tblCellMar>
          <w:top w:w="28" w:type="dxa"/>
          <w:left w:w="28" w:type="dxa"/>
          <w:bottom w:w="28" w:type="dxa"/>
          <w:right w:w="28" w:type="dxa"/>
        </w:tblCellMar>
      </w:tblPr>
      <w:tblGrid>
        <w:gridCol w:w="701"/>
        <w:gridCol w:w="615"/>
        <w:gridCol w:w="618"/>
        <w:gridCol w:w="109"/>
        <w:gridCol w:w="109"/>
        <w:gridCol w:w="154"/>
      </w:tblGrid>
      <w:tr>
        <w:trPr/>
        <w:tc>
          <w:tcPr>
            <w:tcW w:w="70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spacing w:lineRule="auto" w:line="276" w:before="0" w:after="120"/>
        <w:rPr>
          <w:rFonts w:ascii="Arial;sans-serif" w:hAnsi="Arial;sans-serif"/>
          <w:b w:val="false"/>
          <w:color w:val="000000"/>
          <w:sz w:val="20"/>
        </w:rPr>
      </w:pPr>
      <w:r>
        <w:rPr>
          <w:rFonts w:ascii="Arial;sans-serif" w:hAnsi="Arial;sans-serif"/>
          <w:b w:val="false"/>
          <w:color w:val="000000"/>
          <w:sz w:val="20"/>
        </w:rPr>
        <w:t>I, Sean E. Quinn, certify that:</w:t>
      </w:r>
    </w:p>
    <w:p>
      <w:pPr>
        <w:pStyle w:val="TextBody"/>
        <w:spacing w:lineRule="auto" w:line="276" w:before="0" w:after="120"/>
        <w:ind w:left="0" w:right="0" w:hanging="360"/>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120"/>
        <w:rPr/>
      </w:pPr>
      <w:r>
        <w:rPr/>
      </w:r>
    </w:p>
    <w:p>
      <w:pPr>
        <w:pStyle w:val="TextBody"/>
        <w:spacing w:lineRule="auto" w:line="276" w:before="0" w:after="120"/>
        <w:ind w:left="0" w:right="0" w:firstLine="120"/>
        <w:rPr>
          <w:rFonts w:ascii="Arial;sans-serif" w:hAnsi="Arial;sans-serif"/>
          <w:b w:val="false"/>
          <w:color w:val="000000"/>
          <w:sz w:val="20"/>
        </w:rPr>
      </w:pPr>
      <w:r>
        <w:rPr>
          <w:rFonts w:ascii="Arial;sans-serif" w:hAnsi="Arial;sans-serif"/>
          <w:b w:val="false"/>
          <w:color w:val="000000"/>
          <w:sz w:val="20"/>
        </w:rPr>
        <w:t>Date: April 27, 2023</w:t>
      </w:r>
    </w:p>
    <w:tbl>
      <w:tblPr>
        <w:tblW w:w="2262" w:type="dxa"/>
        <w:jc w:val="left"/>
        <w:tblInd w:w="0" w:type="dxa"/>
        <w:tblCellMar>
          <w:top w:w="28" w:type="dxa"/>
          <w:left w:w="28" w:type="dxa"/>
          <w:bottom w:w="28" w:type="dxa"/>
          <w:right w:w="28" w:type="dxa"/>
        </w:tblCellMar>
      </w:tblPr>
      <w:tblGrid>
        <w:gridCol w:w="683"/>
        <w:gridCol w:w="602"/>
        <w:gridCol w:w="605"/>
        <w:gridCol w:w="109"/>
        <w:gridCol w:w="109"/>
        <w:gridCol w:w="154"/>
      </w:tblGrid>
      <w:tr>
        <w:trPr/>
        <w:tc>
          <w:tcPr>
            <w:tcW w:w="683"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spacing w:before="0" w:after="0"/>
        <w:jc w:val="center"/>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spacing w:lineRule="auto" w:line="276" w:before="0" w:after="0"/>
        <w:ind w:left="0" w:right="0" w:firstLine="2471"/>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spacing w:before="0" w:after="0"/>
        <w:ind w:left="0" w:right="0" w:firstLine="2471"/>
        <w:jc w:val="center"/>
        <w:rPr/>
      </w:pPr>
      <w:r>
        <w:rPr/>
      </w:r>
    </w:p>
    <w:p>
      <w:pPr>
        <w:pStyle w:val="TextBody"/>
        <w:spacing w:lineRule="auto" w:line="247" w:before="0" w:after="120"/>
        <w:ind w:left="0" w:right="0" w:firstLine="820"/>
        <w:rPr>
          <w:rFonts w:ascii="Arial;sans-serif" w:hAnsi="Arial;sans-serif"/>
          <w:b w:val="false"/>
          <w:color w:val="000000"/>
          <w:sz w:val="20"/>
        </w:rPr>
      </w:pPr>
      <w:r>
        <w:rPr>
          <w:rFonts w:ascii="Arial;sans-serif" w:hAnsi="Arial;sans-serif"/>
          <w:b w:val="false"/>
          <w:color w:val="000000"/>
          <w:sz w:val="20"/>
        </w:rPr>
        <w:t>In connection with the Quarterly Report on Form 10-Q of Cimpress plc (the “Company”) for the quarter ended March 31, 2023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a.The Report fully complies with the requirements of Section 13(a) or 15(d) of the Securities Exchange Act of 1934; and</w:t>
      </w:r>
    </w:p>
    <w:p>
      <w:pPr>
        <w:pStyle w:val="TextBody"/>
        <w:spacing w:lineRule="auto" w:line="247" w:before="0" w:after="120"/>
        <w:ind w:left="0" w:right="0" w:hanging="360"/>
        <w:rPr>
          <w:rFonts w:ascii="Arial;sans-serif" w:hAnsi="Arial;sans-serif"/>
          <w:b w:val="false"/>
          <w:color w:val="000000"/>
          <w:sz w:val="20"/>
        </w:rPr>
      </w:pPr>
      <w:r>
        <w:rPr>
          <w:rFonts w:ascii="Arial;sans-serif" w:hAnsi="Arial;sans-serif"/>
          <w:b w:val="false"/>
          <w:color w:val="000000"/>
          <w:sz w:val="20"/>
        </w:rPr>
        <w:t>b.The information contained in the Report fairly presents, in all material respects, the financial condition and results of operations of the Company.</w:t>
      </w:r>
    </w:p>
    <w:p>
      <w:pPr>
        <w:pStyle w:val="TextBody"/>
        <w:spacing w:before="0" w:after="120"/>
        <w:ind w:left="0" w:right="0" w:firstLine="120"/>
        <w:rPr/>
      </w:pPr>
      <w:r>
        <w:rPr/>
      </w:r>
    </w:p>
    <w:tbl>
      <w:tblPr>
        <w:tblW w:w="4789" w:type="dxa"/>
        <w:jc w:val="left"/>
        <w:tblInd w:w="0" w:type="dxa"/>
        <w:tblCellMar>
          <w:top w:w="28" w:type="dxa"/>
          <w:left w:w="28" w:type="dxa"/>
          <w:bottom w:w="28" w:type="dxa"/>
          <w:right w:w="28" w:type="dxa"/>
        </w:tblCellMar>
      </w:tblPr>
      <w:tblGrid>
        <w:gridCol w:w="667"/>
        <w:gridCol w:w="585"/>
        <w:gridCol w:w="592"/>
        <w:gridCol w:w="109"/>
        <w:gridCol w:w="109"/>
        <w:gridCol w:w="109"/>
        <w:gridCol w:w="109"/>
        <w:gridCol w:w="109"/>
        <w:gridCol w:w="109"/>
        <w:gridCol w:w="109"/>
        <w:gridCol w:w="109"/>
        <w:gridCol w:w="109"/>
        <w:gridCol w:w="573"/>
        <w:gridCol w:w="573"/>
        <w:gridCol w:w="818"/>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r>
    </w:tbl>
    <w:p>
      <w:pPr>
        <w:pStyle w:val="TextBody"/>
        <w:spacing w:before="0" w:after="120"/>
        <w:ind w:left="0" w:right="0" w:firstLine="120"/>
        <w:rPr/>
      </w:pPr>
      <w:r>
        <w:rPr/>
      </w:r>
    </w:p>
    <w:tbl>
      <w:tblPr>
        <w:tblW w:w="4744" w:type="dxa"/>
        <w:jc w:val="left"/>
        <w:tblInd w:w="0" w:type="dxa"/>
        <w:tblCellMar>
          <w:top w:w="28" w:type="dxa"/>
          <w:left w:w="28" w:type="dxa"/>
          <w:bottom w:w="28" w:type="dxa"/>
          <w:right w:w="28" w:type="dxa"/>
        </w:tblCellMar>
      </w:tblPr>
      <w:tblGrid>
        <w:gridCol w:w="667"/>
        <w:gridCol w:w="585"/>
        <w:gridCol w:w="592"/>
        <w:gridCol w:w="109"/>
        <w:gridCol w:w="109"/>
        <w:gridCol w:w="109"/>
        <w:gridCol w:w="109"/>
        <w:gridCol w:w="109"/>
        <w:gridCol w:w="109"/>
        <w:gridCol w:w="109"/>
        <w:gridCol w:w="109"/>
        <w:gridCol w:w="109"/>
        <w:gridCol w:w="560"/>
        <w:gridCol w:w="560"/>
        <w:gridCol w:w="799"/>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r>
    </w:tbl>
    <w:p>
      <w:pPr>
        <w:pStyle w:val="TextBody"/>
        <w:spacing w:before="0" w:after="283"/>
        <w:ind w:left="0" w:right="0" w:firstLine="120"/>
        <w:rPr/>
      </w:pPr>
      <w:r>
        <w:br w:type="page"/>
      </w: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62976/000126297623000026/ex10_1.htm" TargetMode="External"/><Relationship Id="rId3" Type="http://schemas.openxmlformats.org/officeDocument/2006/relationships/hyperlink" Target="http://www.sec.gov/Archives/edgar/data/1262976/000126297623000026/ex10_2.htm" TargetMode="External"/><Relationship Id="rId4" Type="http://schemas.openxmlformats.org/officeDocument/2006/relationships/hyperlink" Target="http://www.sec.gov/Archives/edgar/data/1262976/000126297623000026/ex10_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27790</Words>
  <CharactersWithSpaces>182309</CharactersWithSpaces>
  <Paragraphs>3957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