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534670</wp:posOffset>
            </wp:positionH>
            <wp:positionV relativeFrom="page">
              <wp:posOffset>877570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page">
              <wp:posOffset>534670</wp:posOffset>
            </wp:positionH>
            <wp:positionV relativeFrom="page">
              <wp:posOffset>791845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49"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1340" w:hanging="832"/>
        <w:spacing w:after="0"/>
        <w:tabs>
          <w:tab w:leader="none" w:pos="13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71" w:lineRule="exact"/>
        <w:rPr>
          <w:sz w:val="24"/>
          <w:szCs w:val="24"/>
          <w:color w:val="auto"/>
        </w:rPr>
      </w:pPr>
    </w:p>
    <w:p>
      <w:pPr>
        <w:ind w:left="1340"/>
        <w:spacing w:after="0"/>
        <w:rPr>
          <w:sz w:val="20"/>
          <w:szCs w:val="20"/>
          <w:color w:val="auto"/>
        </w:rPr>
      </w:pPr>
      <w:r>
        <w:rPr>
          <w:rFonts w:ascii="Arial" w:cs="Arial" w:eastAsia="Arial" w:hAnsi="Arial"/>
          <w:sz w:val="15"/>
          <w:szCs w:val="15"/>
          <w:b w:val="1"/>
          <w:bCs w:val="1"/>
          <w:color w:val="auto"/>
        </w:rPr>
        <w:t>For the quarterly period ended March 31, 2018</w:t>
      </w:r>
    </w:p>
    <w:p>
      <w:pPr>
        <w:spacing w:after="0" w:line="44"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or</w:t>
      </w:r>
    </w:p>
    <w:p>
      <w:pPr>
        <w:spacing w:after="0" w:line="44" w:lineRule="exact"/>
        <w:rPr>
          <w:sz w:val="24"/>
          <w:szCs w:val="24"/>
          <w:color w:val="auto"/>
        </w:rPr>
      </w:pPr>
    </w:p>
    <w:p>
      <w:pPr>
        <w:ind w:left="1340" w:hanging="832"/>
        <w:spacing w:after="0"/>
        <w:tabs>
          <w:tab w:leader="none" w:pos="13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00"/>
          </w:cols>
          <w:pgMar w:left="240" w:top="1440" w:right="259" w:bottom="1440" w:gutter="0" w:footer="0" w:header="0"/>
        </w:sectPr>
      </w:pPr>
    </w:p>
    <w:p>
      <w:pPr>
        <w:spacing w:after="0" w:line="44" w:lineRule="exact"/>
        <w:rPr>
          <w:sz w:val="24"/>
          <w:szCs w:val="24"/>
          <w:color w:val="auto"/>
        </w:rPr>
      </w:pPr>
    </w:p>
    <w:p>
      <w:pPr>
        <w:ind w:left="1340"/>
        <w:spacing w:after="0"/>
        <w:tabs>
          <w:tab w:leader="none" w:pos="41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00"/>
          </w:cols>
          <w:pgMar w:left="240" w:top="1440" w:right="25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000-51539</w:t>
      </w:r>
    </w:p>
    <w:p>
      <w:pPr>
        <w:spacing w:after="0" w:line="20"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Cimpress N.V.</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680"/>
        <w:spacing w:after="0"/>
        <w:rPr>
          <w:sz w:val="20"/>
          <w:szCs w:val="20"/>
          <w:color w:val="auto"/>
        </w:rPr>
      </w:pPr>
      <w:r>
        <w:rPr>
          <w:rFonts w:ascii="Arial" w:cs="Arial" w:eastAsia="Arial" w:hAnsi="Arial"/>
          <w:sz w:val="13"/>
          <w:szCs w:val="13"/>
          <w:color w:val="auto"/>
        </w:rPr>
        <w:t>_________________________________</w:t>
      </w:r>
    </w:p>
    <w:p>
      <w:pPr>
        <w:sectPr>
          <w:pgSz w:w="11900" w:h="16838" w:orient="portrait"/>
          <w:cols w:equalWidth="0" w:num="1">
            <w:col w:w="11400"/>
          </w:cols>
          <w:pgMar w:left="240" w:top="1440" w:right="259" w:bottom="1440" w:gutter="0" w:footer="0" w:header="0"/>
          <w:type w:val="continuous"/>
        </w:sectPr>
      </w:pPr>
    </w:p>
    <w:p>
      <w:pPr>
        <w:spacing w:after="0" w:line="144"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The Netherlands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98-0417483</w:t>
      </w:r>
    </w:p>
    <w:p>
      <w:pPr>
        <w:spacing w:after="0" w:line="106" w:lineRule="exact"/>
        <w:rPr>
          <w:sz w:val="24"/>
          <w:szCs w:val="24"/>
          <w:color w:val="auto"/>
        </w:rPr>
      </w:pPr>
    </w:p>
    <w:p>
      <w:pPr>
        <w:sectPr>
          <w:pgSz w:w="11900" w:h="16838" w:orient="portrait"/>
          <w:cols w:equalWidth="0" w:num="2">
            <w:col w:w="7320" w:space="720"/>
            <w:col w:w="3360"/>
          </w:cols>
          <w:pgMar w:left="240" w:top="1440" w:right="259" w:bottom="1440" w:gutter="0" w:footer="0" w:header="0"/>
          <w:type w:val="continuous"/>
        </w:sectPr>
      </w:pPr>
    </w:p>
    <w:p>
      <w:pPr>
        <w:ind w:left="180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78" w:lineRule="exact"/>
        <w:rPr>
          <w:sz w:val="24"/>
          <w:szCs w:val="24"/>
          <w:color w:val="auto"/>
        </w:rPr>
      </w:pPr>
    </w:p>
    <w:p>
      <w:pPr>
        <w:sectPr>
          <w:pgSz w:w="11900" w:h="16838" w:orient="portrait"/>
          <w:cols w:equalWidth="0" w:num="2">
            <w:col w:w="7100" w:space="720"/>
            <w:col w:w="3580"/>
          </w:cols>
          <w:pgMar w:left="240" w:top="144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Hudsonweg 8</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5928 LW Venlo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 31-77-850-7700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61" w:lineRule="exact"/>
        <w:rPr>
          <w:sz w:val="24"/>
          <w:szCs w:val="24"/>
          <w:color w:val="auto"/>
        </w:rPr>
      </w:pPr>
    </w:p>
    <w:p>
      <w:pPr>
        <w:ind w:left="2680"/>
        <w:spacing w:after="0"/>
        <w:tabs>
          <w:tab w:leader="none" w:pos="694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2"/>
          <w:szCs w:val="12"/>
          <w:b w:val="1"/>
          <w:bCs w:val="1"/>
          <w:color w:val="auto"/>
        </w:rPr>
        <w:t>Name of Exchange on Which Registered</w:t>
      </w:r>
    </w:p>
    <w:p>
      <w:pPr>
        <w:sectPr>
          <w:pgSz w:w="11900" w:h="16838" w:orient="portrait"/>
          <w:cols w:equalWidth="0" w:num="1">
            <w:col w:w="11400"/>
          </w:cols>
          <w:pgMar w:left="240" w:top="1440" w:right="259" w:bottom="1440" w:gutter="0" w:footer="0" w:header="0"/>
          <w:type w:val="continuous"/>
        </w:sectPr>
      </w:pPr>
    </w:p>
    <w:p>
      <w:pPr>
        <w:spacing w:after="0" w:line="90"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Ordinary Shares, €0.01 par value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NASDAQ Global Select Market</w:t>
      </w:r>
    </w:p>
    <w:p>
      <w:pPr>
        <w:spacing w:after="0" w:line="56" w:lineRule="exact"/>
        <w:rPr>
          <w:sz w:val="24"/>
          <w:szCs w:val="24"/>
          <w:color w:val="auto"/>
        </w:rPr>
      </w:pPr>
    </w:p>
    <w:p>
      <w:pPr>
        <w:sectPr>
          <w:pgSz w:w="11900" w:h="16838" w:orient="portrait"/>
          <w:cols w:equalWidth="0" w:num="2">
            <w:col w:w="6320" w:space="720"/>
            <w:col w:w="4360"/>
          </w:cols>
          <w:pgMar w:left="240" w:top="1440" w:right="259" w:bottom="1440" w:gutter="0" w:footer="0" w:header="0"/>
          <w:type w:val="continuous"/>
        </w:sectPr>
      </w:pPr>
    </w:p>
    <w:p>
      <w:pPr>
        <w:ind w:left="6540"/>
        <w:spacing w:after="0"/>
        <w:rPr>
          <w:sz w:val="20"/>
          <w:szCs w:val="20"/>
          <w:color w:val="auto"/>
        </w:rPr>
      </w:pPr>
      <w:r>
        <w:rPr>
          <w:rFonts w:ascii="Arial" w:cs="Arial" w:eastAsia="Arial" w:hAnsi="Arial"/>
          <w:sz w:val="11"/>
          <w:szCs w:val="11"/>
          <w:color w:val="auto"/>
        </w:rPr>
        <w:t>_________________________________</w:t>
      </w:r>
    </w:p>
    <w:p>
      <w:pPr>
        <w:sectPr>
          <w:pgSz w:w="11900" w:h="16838" w:orient="portrait"/>
          <w:cols w:equalWidth="0" w:num="1">
            <w:col w:w="11400"/>
          </w:cols>
          <w:pgMar w:left="240" w:top="1440" w:right="259" w:bottom="1440" w:gutter="0" w:footer="0" w:header="0"/>
          <w:type w:val="continuous"/>
        </w:sectPr>
      </w:pPr>
    </w:p>
    <w:p>
      <w:pPr>
        <w:spacing w:after="0" w:line="217"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89" w:lineRule="exact"/>
        <w:rPr>
          <w:sz w:val="24"/>
          <w:szCs w:val="24"/>
          <w:color w:val="auto"/>
        </w:rPr>
      </w:pPr>
    </w:p>
    <w:p>
      <w:pPr>
        <w:ind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20"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71" w:lineRule="exact"/>
        <w:rPr>
          <w:sz w:val="24"/>
          <w:szCs w:val="24"/>
          <w:color w:val="auto"/>
        </w:rPr>
      </w:pPr>
    </w:p>
    <w:p>
      <w:pPr>
        <w:ind w:right="20" w:firstLine="554"/>
        <w:spacing w:after="0" w:line="30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820" w:type="dxa"/>
        <w:tblCellMar>
          <w:top w:w="0" w:type="dxa"/>
          <w:left w:w="0" w:type="dxa"/>
          <w:bottom w:w="0" w:type="dxa"/>
          <w:right w:w="0" w:type="dxa"/>
        </w:tblCellMar>
      </w:tblPr>
      <w:tr>
        <w:trPr>
          <w:trHeight w:val="226"/>
        </w:trPr>
        <w:tc>
          <w:tcPr>
            <w:tcW w:w="212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960" w:type="dxa"/>
            <w:vAlign w:val="bottom"/>
          </w:tcPr>
          <w:p>
            <w:pPr>
              <w:ind w:left="480"/>
              <w:spacing w:after="0"/>
              <w:rPr>
                <w:sz w:val="20"/>
                <w:szCs w:val="20"/>
                <w:color w:val="auto"/>
              </w:rPr>
            </w:pPr>
            <w:r>
              <w:rPr>
                <w:rFonts w:ascii="Arial" w:cs="Arial" w:eastAsia="Arial" w:hAnsi="Arial"/>
                <w:sz w:val="14"/>
                <w:szCs w:val="14"/>
                <w:color w:val="auto"/>
              </w:rPr>
              <w:t>Accelerated filer o</w:t>
            </w:r>
          </w:p>
        </w:tc>
        <w:tc>
          <w:tcPr>
            <w:tcW w:w="3540" w:type="dxa"/>
            <w:vAlign w:val="bottom"/>
          </w:tcPr>
          <w:p>
            <w:pPr>
              <w:ind w:left="640"/>
              <w:spacing w:after="0"/>
              <w:rPr>
                <w:sz w:val="20"/>
                <w:szCs w:val="20"/>
                <w:color w:val="auto"/>
              </w:rPr>
            </w:pPr>
            <w:r>
              <w:rPr>
                <w:rFonts w:ascii="Arial" w:cs="Arial" w:eastAsia="Arial" w:hAnsi="Arial"/>
                <w:sz w:val="14"/>
                <w:szCs w:val="14"/>
                <w:color w:val="auto"/>
              </w:rPr>
              <w:t>Non-accelerated filer o</w:t>
            </w:r>
          </w:p>
        </w:tc>
      </w:tr>
      <w:tr>
        <w:trPr>
          <w:trHeight w:val="268"/>
        </w:trPr>
        <w:tc>
          <w:tcPr>
            <w:tcW w:w="2120" w:type="dxa"/>
            <w:vAlign w:val="bottom"/>
          </w:tcPr>
          <w:p>
            <w:pPr>
              <w:spacing w:after="0"/>
              <w:rPr>
                <w:sz w:val="23"/>
                <w:szCs w:val="23"/>
                <w:color w:val="auto"/>
              </w:rPr>
            </w:pPr>
          </w:p>
        </w:tc>
        <w:tc>
          <w:tcPr>
            <w:tcW w:w="2960" w:type="dxa"/>
            <w:vAlign w:val="bottom"/>
          </w:tcPr>
          <w:p>
            <w:pPr>
              <w:ind w:left="480"/>
              <w:spacing w:after="0"/>
              <w:rPr>
                <w:sz w:val="20"/>
                <w:szCs w:val="20"/>
                <w:color w:val="auto"/>
              </w:rPr>
            </w:pPr>
            <w:r>
              <w:rPr>
                <w:rFonts w:ascii="Arial" w:cs="Arial" w:eastAsia="Arial" w:hAnsi="Arial"/>
                <w:sz w:val="14"/>
                <w:szCs w:val="14"/>
                <w:color w:val="auto"/>
              </w:rPr>
              <w:t>Smaller reporting company o</w:t>
            </w:r>
          </w:p>
        </w:tc>
        <w:tc>
          <w:tcPr>
            <w:tcW w:w="3540" w:type="dxa"/>
            <w:vAlign w:val="bottom"/>
          </w:tcPr>
          <w:p>
            <w:pPr>
              <w:ind w:left="640"/>
              <w:spacing w:after="0"/>
              <w:rPr>
                <w:sz w:val="20"/>
                <w:szCs w:val="20"/>
                <w:color w:val="auto"/>
              </w:rPr>
            </w:pPr>
            <w:r>
              <w:rPr>
                <w:rFonts w:ascii="Arial" w:cs="Arial" w:eastAsia="Arial" w:hAnsi="Arial"/>
                <w:sz w:val="14"/>
                <w:szCs w:val="14"/>
                <w:color w:val="auto"/>
              </w:rPr>
              <w:t>(Do not check if a smaller reporting company)</w:t>
            </w:r>
          </w:p>
        </w:tc>
      </w:tr>
      <w:tr>
        <w:trPr>
          <w:trHeight w:val="270"/>
        </w:trPr>
        <w:tc>
          <w:tcPr>
            <w:tcW w:w="2120" w:type="dxa"/>
            <w:vAlign w:val="bottom"/>
          </w:tcPr>
          <w:p>
            <w:pPr>
              <w:spacing w:after="0"/>
              <w:rPr>
                <w:sz w:val="23"/>
                <w:szCs w:val="23"/>
                <w:color w:val="auto"/>
              </w:rPr>
            </w:pPr>
          </w:p>
        </w:tc>
        <w:tc>
          <w:tcPr>
            <w:tcW w:w="2960" w:type="dxa"/>
            <w:vAlign w:val="bottom"/>
          </w:tcPr>
          <w:p>
            <w:pPr>
              <w:ind w:left="480"/>
              <w:spacing w:after="0"/>
              <w:rPr>
                <w:sz w:val="20"/>
                <w:szCs w:val="20"/>
                <w:color w:val="auto"/>
              </w:rPr>
            </w:pPr>
            <w:r>
              <w:rPr>
                <w:rFonts w:ascii="Arial" w:cs="Arial" w:eastAsia="Arial" w:hAnsi="Arial"/>
                <w:sz w:val="14"/>
                <w:szCs w:val="14"/>
                <w:color w:val="auto"/>
              </w:rPr>
              <w:t>Emerging growth company o</w:t>
            </w:r>
          </w:p>
        </w:tc>
        <w:tc>
          <w:tcPr>
            <w:tcW w:w="3540" w:type="dxa"/>
            <w:vAlign w:val="bottom"/>
          </w:tcPr>
          <w:p>
            <w:pPr>
              <w:spacing w:after="0"/>
              <w:rPr>
                <w:sz w:val="23"/>
                <w:szCs w:val="23"/>
                <w:color w:val="auto"/>
              </w:rPr>
            </w:pPr>
          </w:p>
        </w:tc>
      </w:tr>
    </w:tbl>
    <w:p>
      <w:pPr>
        <w:spacing w:after="0" w:line="130" w:lineRule="exact"/>
        <w:rPr>
          <w:sz w:val="24"/>
          <w:szCs w:val="24"/>
          <w:color w:val="auto"/>
        </w:rPr>
      </w:pPr>
    </w:p>
    <w:p>
      <w:pPr>
        <w:ind w:right="260" w:firstLine="648"/>
        <w:spacing w:after="0" w:line="26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jc w:val="right"/>
        <w:ind w:left="220" w:right="2920"/>
        <w:spacing w:after="0" w:line="281"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o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27, 2018, there were 30,715,831 Cimpress N.V. ordinary shares, par value </w:t>
      </w:r>
      <w:r>
        <w:rPr>
          <w:rFonts w:ascii="Arial" w:cs="Arial" w:eastAsia="Arial" w:hAnsi="Arial"/>
          <w:sz w:val="15"/>
          <w:szCs w:val="15"/>
          <w:b w:val="1"/>
          <w:bCs w:val="1"/>
          <w:color w:val="auto"/>
        </w:rPr>
        <w:t>€</w:t>
      </w:r>
      <w:r>
        <w:rPr>
          <w:rFonts w:ascii="Arial" w:cs="Arial" w:eastAsia="Arial" w:hAnsi="Arial"/>
          <w:sz w:val="15"/>
          <w:szCs w:val="15"/>
          <w:color w:val="auto"/>
        </w:rPr>
        <w:t>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382905</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297180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Nine Months Ended March 31,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0" w:type="dxa"/>
            <w:vAlign w:val="bottom"/>
          </w:tcPr>
          <w:p>
            <w:pPr>
              <w:ind w:left="18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203"/>
        </w:trPr>
        <w:tc>
          <w:tcPr>
            <w:tcW w:w="2900" w:type="dxa"/>
            <w:vAlign w:val="bottom"/>
            <w:tcBorders>
              <w:bottom w:val="single" w:sz="8" w:color="auto"/>
            </w:tcBorders>
            <w:gridSpan w:val="3"/>
          </w:tcPr>
          <w:p>
            <w:pPr>
              <w:spacing w:after="0" w:line="202" w:lineRule="exact"/>
              <w:rPr>
                <w:rFonts w:ascii="Arial" w:cs="Arial" w:eastAsia="Arial" w:hAnsi="Arial"/>
                <w:sz w:val="18"/>
                <w:szCs w:val="18"/>
                <w:b w:val="1"/>
                <w:bCs w:val="1"/>
                <w:color w:val="auto"/>
                <w:w w:val="98"/>
              </w:rPr>
            </w:pPr>
            <w:hyperlink w:anchor="page3">
              <w:r>
                <w:rPr>
                  <w:rFonts w:ascii="Arial" w:cs="Arial" w:eastAsia="Arial" w:hAnsi="Arial"/>
                  <w:sz w:val="18"/>
                  <w:szCs w:val="18"/>
                  <w:b w:val="1"/>
                  <w:bCs w:val="1"/>
                  <w:color w:val="auto"/>
                  <w:w w:val="98"/>
                </w:rPr>
                <w:t xml:space="preserve">PART I </w:t>
              </w:r>
            </w:hyperlink>
            <w:r>
              <w:rPr>
                <w:rFonts w:ascii="Arial" w:cs="Arial" w:eastAsia="Arial" w:hAnsi="Arial"/>
                <w:sz w:val="18"/>
                <w:szCs w:val="18"/>
                <w:b w:val="1"/>
                <w:bCs w:val="1"/>
                <w:color w:val="auto"/>
                <w:w w:val="98"/>
              </w:rPr>
              <w:t>FINANCIAL INFORMATION</w:t>
            </w:r>
          </w:p>
        </w:tc>
        <w:tc>
          <w:tcPr>
            <w:tcW w:w="7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91"/>
        </w:trPr>
        <w:tc>
          <w:tcPr>
            <w:tcW w:w="10700" w:type="dxa"/>
            <w:vAlign w:val="bottom"/>
            <w:gridSpan w:val="4"/>
          </w:tcPr>
          <w:p>
            <w:pPr>
              <w:spacing w:after="0"/>
              <w:rPr>
                <w:sz w:val="20"/>
                <w:szCs w:val="20"/>
                <w:color w:val="auto"/>
              </w:rPr>
            </w:pPr>
            <w:r>
              <w:rPr>
                <w:rFonts w:ascii="Arial" w:cs="Arial" w:eastAsia="Arial" w:hAnsi="Arial"/>
                <w:sz w:val="18"/>
                <w:szCs w:val="18"/>
                <w:color w:val="auto"/>
              </w:rPr>
              <w:t>Item 1. Financial Statements (unaudited)</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Balance Sheets as of March 31, 2018 and June 30, 2017</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Operations for the three and nine months ended March 31, 2018 and 2017</w:t>
            </w:r>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Comprehensive (Loss) Income for the three and nine months ended March 31, 2018 and 2017</w:t>
            </w:r>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Cash Flows for the nine months ended March 31, 2018 and 2017</w:t>
            </w: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4.</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540"/>
        </w:trPr>
        <w:tc>
          <w:tcPr>
            <w:tcW w:w="10700" w:type="dxa"/>
            <w:vAlign w:val="bottom"/>
            <w:gridSpan w:val="4"/>
          </w:tcPr>
          <w:p>
            <w:pPr>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 xml:space="preserve">Part II </w:t>
              </w:r>
            </w:hyperlink>
            <w:r>
              <w:rPr>
                <w:rFonts w:ascii="Arial" w:cs="Arial" w:eastAsia="Arial" w:hAnsi="Arial"/>
                <w:sz w:val="18"/>
                <w:szCs w:val="18"/>
                <w:b w:val="1"/>
                <w:bCs w:val="1"/>
                <w:color w:val="auto"/>
              </w:rPr>
              <w:t>OTHER INFORMATION</w:t>
            </w:r>
          </w:p>
        </w:tc>
        <w:tc>
          <w:tcPr>
            <w:tcW w:w="680" w:type="dxa"/>
            <w:vAlign w:val="bottom"/>
          </w:tcPr>
          <w:p>
            <w:pPr>
              <w:spacing w:after="0"/>
              <w:rPr>
                <w:sz w:val="24"/>
                <w:szCs w:val="24"/>
                <w:color w:val="auto"/>
              </w:rPr>
            </w:pPr>
          </w:p>
        </w:tc>
      </w:tr>
      <w:tr>
        <w:trPr>
          <w:trHeight w:val="291"/>
        </w:trPr>
        <w:tc>
          <w:tcPr>
            <w:tcW w:w="2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1A. Risk Factors</w:t>
            </w:r>
          </w:p>
        </w:tc>
        <w:tc>
          <w:tcPr>
            <w:tcW w:w="8220" w:type="dxa"/>
            <w:vAlign w:val="bottom"/>
            <w:gridSpan w:val="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6.</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Exhibits</w:t>
            </w:r>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Signatures</w:t>
            </w:r>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bl>
    <w:p>
      <w:pPr>
        <w:sectPr>
          <w:pgSz w:w="11900" w:h="16838" w:orient="portrait"/>
          <w:cols w:equalWidth="0" w:num="1">
            <w:col w:w="11380"/>
          </w:cols>
          <w:pgMar w:left="280" w:top="54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CIMPRESS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00" w:type="dxa"/>
            <w:vAlign w:val="bottom"/>
          </w:tcPr>
          <w:p>
            <w:pPr>
              <w:jc w:val="right"/>
              <w:ind w:right="39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49,878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$7,520 and $3,590, respectively</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65,632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48,630</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63,009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46,563</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69,231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78,835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46,276</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247,750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246,001</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501,115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511,947</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Software and website development costs, net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56,279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48,470</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66,753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48,004</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542,369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514,963</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250,593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275,924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44,994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1,709,853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1,679,869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noncontrolling interests and shareholders’ equity</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147,089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127,386</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210,407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175,567</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34,991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30,372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26,214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42,922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78,435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461,623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449,483</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56,089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60,743</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Lease financing obligation</w:t>
            </w:r>
          </w:p>
        </w:tc>
        <w:tc>
          <w:tcPr>
            <w:tcW w:w="2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103,737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786,401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847,730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120,610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94,683</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1,528,460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1,559,245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87,805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shares, par value €0.01 per share, 100,000,000 shares authorized; none issued and</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rPr>
              <w:t>Ordinary shares, par value €0.01 per share, 100,000,000 shares authorized; 44,080,627 shares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380"/>
              <w:spacing w:after="0"/>
              <w:rPr>
                <w:sz w:val="20"/>
                <w:szCs w:val="20"/>
                <w:color w:val="auto"/>
              </w:rPr>
            </w:pPr>
            <w:r>
              <w:rPr>
                <w:rFonts w:ascii="Arial" w:cs="Arial" w:eastAsia="Arial" w:hAnsi="Arial"/>
                <w:sz w:val="18"/>
                <w:szCs w:val="18"/>
                <w:color w:val="auto"/>
              </w:rPr>
              <w:t>issued; and 30,714,481 and 31,415,503 shares outstanding, respectively</w:t>
            </w:r>
          </w:p>
        </w:tc>
        <w:tc>
          <w:tcPr>
            <w:tcW w:w="2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shares, at cost, 13,366,146 and 12,665,124 shares, respectively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(675,536)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(588,365)</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390,758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361,376</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459,940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414,771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 attributable to Cimpress N.V.</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93,301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74,999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 (Note 10)</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93,588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75,212</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1,709,853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1,679,869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680"/>
              <w:spacing w:after="0"/>
              <w:rPr>
                <w:sz w:val="20"/>
                <w:szCs w:val="20"/>
                <w:color w:val="auto"/>
              </w:rPr>
            </w:pPr>
            <w:r>
              <w:rPr>
                <w:rFonts w:ascii="Arial" w:cs="Arial" w:eastAsia="Arial" w:hAnsi="Arial"/>
                <w:sz w:val="18"/>
                <w:szCs w:val="18"/>
                <w:color w:val="auto"/>
              </w:rPr>
              <w:t>See accompanying notes.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5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39"/>
        </w:trPr>
        <w:tc>
          <w:tcPr>
            <w:tcW w:w="5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6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636,069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550,585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1,961,407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1,571,149</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2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319,209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268,482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963,249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757,898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61,267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63,236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182,598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178,528</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2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179,591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167,284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546,469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451,310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44,103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127,869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150,471</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2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12,941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13,450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38,132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33,542</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 (1)</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24,790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25,890</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(Gain) on sale of subsidiaries</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of goodwill and acquired intangible assets</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9,556</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16,627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(41,943)</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135,949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(36,046)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21,835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(31,119)</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2,417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72,084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19,657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52,427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(37,686)</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Add: Net (income) loss attributable to noncontrolling interest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Cimpress N.V.</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51,033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net (loss) income per share attributable to Cimpress N.V.</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2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income per share attributable to Cimpress N.V.</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30,724,018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31,103,388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30,992,066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31,323,451</w:t>
            </w:r>
          </w:p>
        </w:tc>
        <w:tc>
          <w:tcPr>
            <w:tcW w:w="0" w:type="dxa"/>
            <w:vAlign w:val="bottom"/>
          </w:tcPr>
          <w:p>
            <w:pPr>
              <w:spacing w:after="0"/>
              <w:rPr>
                <w:sz w:val="1"/>
                <w:szCs w:val="1"/>
                <w:color w:val="auto"/>
              </w:rPr>
            </w:pPr>
          </w:p>
        </w:tc>
      </w:tr>
      <w:tr>
        <w:trPr>
          <w:trHeight w:val="22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30,724,018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31,103,388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32,276,520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31,323,451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Share-based compensation is allocated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9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 March 31,</w:t>
            </w:r>
          </w:p>
        </w:tc>
      </w:tr>
      <w:tr>
        <w:trPr>
          <w:trHeight w:val="39"/>
        </w:trPr>
        <w:tc>
          <w:tcPr>
            <w:tcW w:w="56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8"/>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3,242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7,916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6,566</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2,138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3,542</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7,289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19,254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19,071</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6,257</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 March 31,</w:t>
            </w:r>
          </w:p>
        </w:tc>
      </w:tr>
      <w:tr>
        <w:trPr>
          <w:trHeight w:val="39"/>
        </w:trPr>
        <w:tc>
          <w:tcPr>
            <w:tcW w:w="5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8"/>
        </w:trPr>
        <w:tc>
          <w:tcPr>
            <w:tcW w:w="56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52,427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(37,686)</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(losses) gains, net of hedges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14,884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32,651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(23,086)</w:t>
            </w:r>
          </w:p>
        </w:tc>
      </w:tr>
      <w:tr>
        <w:trPr>
          <w:trHeight w:val="218"/>
        </w:trPr>
        <w:tc>
          <w:tcPr>
            <w:tcW w:w="5620" w:type="dxa"/>
            <w:vAlign w:val="bottom"/>
          </w:tcPr>
          <w:p>
            <w:pPr>
              <w:ind w:left="280"/>
              <w:spacing w:after="0"/>
              <w:rPr>
                <w:sz w:val="20"/>
                <w:szCs w:val="20"/>
                <w:color w:val="auto"/>
              </w:rPr>
            </w:pPr>
            <w:r>
              <w:rPr>
                <w:rFonts w:ascii="Arial" w:cs="Arial" w:eastAsia="Arial" w:hAnsi="Arial"/>
                <w:sz w:val="16"/>
                <w:szCs w:val="16"/>
                <w:color w:val="auto"/>
              </w:rPr>
              <w:t>Net unrealized gains (losses) on derivative instruments designated and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5620" w:type="dxa"/>
            <w:vAlign w:val="bottom"/>
          </w:tcPr>
          <w:p>
            <w:pPr>
              <w:ind w:left="280"/>
              <w:spacing w:after="0"/>
              <w:rPr>
                <w:sz w:val="20"/>
                <w:szCs w:val="20"/>
                <w:color w:val="auto"/>
              </w:rPr>
            </w:pPr>
            <w:r>
              <w:rPr>
                <w:rFonts w:ascii="Arial" w:cs="Arial" w:eastAsia="Arial" w:hAnsi="Arial"/>
                <w:sz w:val="16"/>
                <w:szCs w:val="16"/>
                <w:color w:val="auto"/>
              </w:rPr>
              <w:t>qualifying as cash flow hedges</w:t>
            </w:r>
          </w:p>
        </w:tc>
        <w:tc>
          <w:tcPr>
            <w:tcW w:w="24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8,408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12,822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7,049</w:t>
            </w:r>
          </w:p>
        </w:tc>
      </w:tr>
      <w:tr>
        <w:trPr>
          <w:trHeight w:val="228"/>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income on derivative instruments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w:t>
            </w:r>
          </w:p>
        </w:tc>
      </w:tr>
      <w:tr>
        <w:trPr>
          <w:trHeight w:val="260"/>
        </w:trPr>
        <w:tc>
          <w:tcPr>
            <w:tcW w:w="5620" w:type="dxa"/>
            <w:vAlign w:val="bottom"/>
          </w:tcPr>
          <w:p>
            <w:pPr>
              <w:ind w:left="280"/>
              <w:spacing w:after="0"/>
              <w:rPr>
                <w:sz w:val="20"/>
                <w:szCs w:val="20"/>
                <w:color w:val="auto"/>
              </w:rPr>
            </w:pPr>
            <w:r>
              <w:rPr>
                <w:rFonts w:ascii="Arial" w:cs="Arial" w:eastAsia="Arial" w:hAnsi="Arial"/>
                <w:sz w:val="16"/>
                <w:szCs w:val="16"/>
                <w:color w:val="auto"/>
              </w:rPr>
              <w:t>Unrealized loss on available-for-sale-securities</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(5,756)</w:t>
            </w:r>
          </w:p>
        </w:tc>
      </w:tr>
      <w:tr>
        <w:trPr>
          <w:trHeight w:val="228"/>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income for realized gains on available-for-sale securities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2,268</w:t>
            </w:r>
          </w:p>
        </w:tc>
      </w:tr>
      <w:tr>
        <w:trPr>
          <w:trHeight w:val="264"/>
        </w:trPr>
        <w:tc>
          <w:tcPr>
            <w:tcW w:w="5620" w:type="dxa"/>
            <w:vAlign w:val="bottom"/>
          </w:tcPr>
          <w:p>
            <w:pPr>
              <w:ind w:left="280"/>
              <w:spacing w:after="0"/>
              <w:rPr>
                <w:sz w:val="20"/>
                <w:szCs w:val="20"/>
                <w:color w:val="auto"/>
              </w:rPr>
            </w:pPr>
            <w:r>
              <w:rPr>
                <w:rFonts w:ascii="Arial" w:cs="Arial" w:eastAsia="Arial" w:hAnsi="Arial"/>
                <w:sz w:val="16"/>
                <w:szCs w:val="16"/>
                <w:color w:val="auto"/>
              </w:rPr>
              <w:t>Gain on pension benefit obligation, net</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2,221</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2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91,350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(59,688)</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 Comprehensive (income) loss attributable to noncontrolling interests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3,847</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 income attributable to Cimpress N.V.</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84,273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(55,841)</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CIMPRESS N.V.</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00" w:type="dxa"/>
            <w:vAlign w:val="bottom"/>
          </w:tcPr>
          <w:p>
            <w:pPr>
              <w:spacing w:after="0"/>
              <w:rPr>
                <w:sz w:val="14"/>
                <w:szCs w:val="14"/>
                <w:color w:val="auto"/>
              </w:rPr>
            </w:pPr>
          </w:p>
        </w:tc>
        <w:tc>
          <w:tcPr>
            <w:tcW w:w="2820" w:type="dxa"/>
            <w:vAlign w:val="bottom"/>
            <w:gridSpan w:val="4"/>
          </w:tcPr>
          <w:p>
            <w:pPr>
              <w:jc w:val="right"/>
              <w:ind w:right="91"/>
              <w:spacing w:after="0"/>
              <w:rPr>
                <w:sz w:val="20"/>
                <w:szCs w:val="20"/>
                <w:color w:val="auto"/>
              </w:rPr>
            </w:pPr>
            <w:r>
              <w:rPr>
                <w:rFonts w:ascii="Arial" w:cs="Arial" w:eastAsia="Arial" w:hAnsi="Arial"/>
                <w:sz w:val="13"/>
                <w:szCs w:val="13"/>
                <w:b w:val="1"/>
                <w:bCs w:val="1"/>
                <w:color w:val="auto"/>
              </w:rPr>
              <w:t>Nine Months Ended March 31,</w:t>
            </w:r>
          </w:p>
        </w:tc>
        <w:tc>
          <w:tcPr>
            <w:tcW w:w="700" w:type="dxa"/>
            <w:vAlign w:val="bottom"/>
          </w:tcPr>
          <w:p>
            <w:pPr>
              <w:spacing w:after="0"/>
              <w:rPr>
                <w:sz w:val="14"/>
                <w:szCs w:val="14"/>
                <w:color w:val="auto"/>
              </w:rPr>
            </w:pPr>
          </w:p>
        </w:tc>
      </w:tr>
      <w:tr>
        <w:trPr>
          <w:trHeight w:val="30"/>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700" w:type="dxa"/>
            <w:vAlign w:val="bottom"/>
            <w:tcBorders>
              <w:bottom w:val="single" w:sz="8" w:color="auto"/>
            </w:tcBorders>
          </w:tcPr>
          <w:p>
            <w:pPr>
              <w:spacing w:after="0"/>
              <w:rPr>
                <w:sz w:val="16"/>
                <w:szCs w:val="16"/>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020" w:type="dxa"/>
            <w:vAlign w:val="bottom"/>
          </w:tcPr>
          <w:p>
            <w:pPr>
              <w:jc w:val="right"/>
              <w:ind w:right="85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52,427</w:t>
            </w:r>
          </w:p>
        </w:tc>
        <w:tc>
          <w:tcPr>
            <w:tcW w:w="120" w:type="dxa"/>
            <w:vAlign w:val="bottom"/>
          </w:tcPr>
          <w:p>
            <w:pPr>
              <w:spacing w:after="0"/>
              <w:rPr>
                <w:sz w:val="18"/>
                <w:szCs w:val="18"/>
                <w:color w:val="auto"/>
              </w:rPr>
            </w:pPr>
          </w:p>
        </w:tc>
        <w:tc>
          <w:tcPr>
            <w:tcW w:w="980" w:type="dxa"/>
            <w:vAlign w:val="bottom"/>
          </w:tcPr>
          <w:p>
            <w:pPr>
              <w:jc w:val="right"/>
              <w:ind w:right="8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(37,686)</w:t>
            </w: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127,120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115,784</w:t>
            </w:r>
          </w:p>
        </w:tc>
      </w:tr>
      <w:tr>
        <w:trPr>
          <w:trHeight w:val="27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acquired intangible assets</w:t>
            </w:r>
          </w:p>
        </w:tc>
        <w:tc>
          <w:tcPr>
            <w:tcW w:w="10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9,556</w:t>
            </w: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33,718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35,645</w:t>
            </w:r>
          </w:p>
        </w:tc>
      </w:tr>
      <w:tr>
        <w:trPr>
          <w:trHeight w:val="222"/>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(37,849)</w:t>
            </w:r>
          </w:p>
        </w:tc>
      </w:tr>
      <w:tr>
        <w:trPr>
          <w:trHeight w:val="264"/>
        </w:trPr>
        <w:tc>
          <w:tcPr>
            <w:tcW w:w="7900" w:type="dxa"/>
            <w:vAlign w:val="bottom"/>
          </w:tcPr>
          <w:p>
            <w:pPr>
              <w:ind w:left="280"/>
              <w:spacing w:after="0"/>
              <w:rPr>
                <w:sz w:val="20"/>
                <w:szCs w:val="20"/>
                <w:color w:val="auto"/>
              </w:rPr>
            </w:pPr>
            <w:r>
              <w:rPr>
                <w:rFonts w:ascii="Arial" w:cs="Arial" w:eastAsia="Arial" w:hAnsi="Arial"/>
                <w:sz w:val="14"/>
                <w:szCs w:val="14"/>
                <w:color w:val="auto"/>
              </w:rPr>
              <w:t>Gain on sale of subsidiaries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(47,545)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contingent earn-out liability</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1,774</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27,364</w:t>
            </w: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Gain on sale of available-for-sale securities</w:t>
            </w:r>
          </w:p>
        </w:tc>
        <w:tc>
          <w:tcPr>
            <w:tcW w:w="10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(2,268)</w:t>
            </w:r>
          </w:p>
        </w:tc>
      </w:tr>
      <w:tr>
        <w:trPr>
          <w:trHeight w:val="222"/>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 on derivatives not designated as hedging instruments included in net income (loss)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r>
      <w:tr>
        <w:trPr>
          <w:trHeight w:val="264"/>
        </w:trPr>
        <w:tc>
          <w:tcPr>
            <w:tcW w:w="7900" w:type="dxa"/>
            <w:vAlign w:val="bottom"/>
          </w:tcPr>
          <w:p>
            <w:pPr>
              <w:ind w:left="280"/>
              <w:spacing w:after="0"/>
              <w:rPr>
                <w:sz w:val="20"/>
                <w:szCs w:val="20"/>
                <w:color w:val="auto"/>
              </w:rPr>
            </w:pPr>
            <w:r>
              <w:rPr>
                <w:rFonts w:ascii="Arial" w:cs="Arial" w:eastAsia="Arial" w:hAnsi="Arial"/>
                <w:sz w:val="14"/>
                <w:szCs w:val="14"/>
                <w:color w:val="auto"/>
              </w:rPr>
              <w:t>Payments of contingent consideration in excess of acquisition date fair value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(4,639)</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Effect of exchange rate changes on monetary assets and liabilities denominated in non-functional currency</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(7,215)</w:t>
            </w: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Other non-cash items</w:t>
            </w:r>
          </w:p>
        </w:tc>
        <w:tc>
          <w:tcPr>
            <w:tcW w:w="10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2,129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4,123</w:t>
            </w:r>
          </w:p>
        </w:tc>
      </w:tr>
      <w:tr>
        <w:trPr>
          <w:trHeight w:val="222"/>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0"/>
        </w:trPr>
        <w:tc>
          <w:tcPr>
            <w:tcW w:w="7900" w:type="dxa"/>
            <w:vAlign w:val="bottom"/>
          </w:tcPr>
          <w:p>
            <w:pPr>
              <w:ind w:left="60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(14,696)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3,434</w:t>
            </w:r>
          </w:p>
        </w:tc>
      </w:tr>
      <w:tr>
        <w:trPr>
          <w:trHeight w:val="222"/>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(7,136)</w:t>
            </w:r>
          </w:p>
        </w:tc>
      </w:tr>
      <w:tr>
        <w:trPr>
          <w:trHeight w:val="210"/>
        </w:trPr>
        <w:tc>
          <w:tcPr>
            <w:tcW w:w="7900" w:type="dxa"/>
            <w:vAlign w:val="bottom"/>
          </w:tcPr>
          <w:p>
            <w:pPr>
              <w:ind w:left="600"/>
              <w:spacing w:after="0"/>
              <w:rPr>
                <w:sz w:val="20"/>
                <w:szCs w:val="20"/>
                <w:color w:val="auto"/>
              </w:rPr>
            </w:pPr>
            <w:r>
              <w:rPr>
                <w:rFonts w:ascii="Arial" w:cs="Arial" w:eastAsia="Arial" w:hAnsi="Arial"/>
                <w:sz w:val="14"/>
                <w:szCs w:val="14"/>
                <w:color w:val="auto"/>
              </w:rPr>
              <w:t>Prepaid expenses and other assets</w:t>
            </w:r>
          </w:p>
        </w:tc>
        <w:tc>
          <w:tcPr>
            <w:tcW w:w="10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2,389</w:t>
            </w:r>
          </w:p>
        </w:tc>
      </w:tr>
      <w:tr>
        <w:trPr>
          <w:trHeight w:val="222"/>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Accounts payable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18,448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9,908</w:t>
            </w:r>
          </w:p>
        </w:tc>
      </w:tr>
      <w:tr>
        <w:trPr>
          <w:trHeight w:val="210"/>
        </w:trPr>
        <w:tc>
          <w:tcPr>
            <w:tcW w:w="79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Accrued expenses and other liabilities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6,756</w:t>
            </w: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144,633</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123,644</w:t>
            </w: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(47,441)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(56,916)</w:t>
            </w: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the sale of subsidiaries, net of transaction costs and cash divested</w:t>
            </w:r>
          </w:p>
        </w:tc>
        <w:tc>
          <w:tcPr>
            <w:tcW w:w="10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93,779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acquisitions, net of cash acquired</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(204,875)</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Purchases of intangible assets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Capitalization of software and website development costs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(29,476)</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(28,678)</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sale of available-for-sale securities</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6,346</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investing activities</w:t>
            </w:r>
          </w:p>
        </w:tc>
        <w:tc>
          <w:tcPr>
            <w:tcW w:w="10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(2,465)</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6,727</w:t>
            </w:r>
          </w:p>
        </w:tc>
      </w:tr>
      <w:tr>
        <w:trPr>
          <w:trHeight w:val="21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13,979</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(277,506)</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borrowings of debt</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590,508</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612,004</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of debt and debt issuance costs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(659,404)</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(398,282)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Payments of purchase consideration included in acquisition-date fair value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of withholding taxes in connection with equity awards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(10,816)</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Payments of capital lease obligations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(13,779)</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(12,029)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ordinary shares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(94,710)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(50,008)</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Purchase of noncontrolling interests</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(20,230)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ordinary shares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11,516</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Issuance of loans</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noncontrolling interest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35,390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Capital contribution from noncontrolling interest</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1,404</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financing activities</w:t>
            </w:r>
          </w:p>
        </w:tc>
        <w:tc>
          <w:tcPr>
            <w:tcW w:w="10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10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(152,164)</w:t>
            </w:r>
          </w:p>
        </w:tc>
        <w:tc>
          <w:tcPr>
            <w:tcW w:w="12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123,116</w:t>
            </w: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5,691</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Change in cash held for sale</w:t>
            </w: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12,042</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24,181</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(33,959)</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25,697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77,426</w:t>
            </w:r>
          </w:p>
        </w:tc>
      </w:tr>
      <w:tr>
        <w:trPr>
          <w:trHeight w:val="243"/>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2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49,878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43,467</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880" w:type="dxa"/>
            <w:vAlign w:val="bottom"/>
            <w:gridSpan w:val="4"/>
          </w:tcPr>
          <w:p>
            <w:pPr>
              <w:jc w:val="right"/>
              <w:ind w:right="2"/>
              <w:spacing w:after="0"/>
              <w:rPr>
                <w:sz w:val="20"/>
                <w:szCs w:val="20"/>
                <w:color w:val="auto"/>
              </w:rPr>
            </w:pPr>
            <w:r>
              <w:rPr>
                <w:rFonts w:ascii="Arial" w:cs="Arial" w:eastAsia="Arial" w:hAnsi="Arial"/>
                <w:sz w:val="14"/>
                <w:szCs w:val="14"/>
                <w:b w:val="1"/>
                <w:bCs w:val="1"/>
                <w:color w:val="auto"/>
              </w:rPr>
              <w:t>Nine Months Ended March 31,</w:t>
            </w:r>
          </w:p>
        </w:tc>
        <w:tc>
          <w:tcPr>
            <w:tcW w:w="640" w:type="dxa"/>
            <w:vAlign w:val="bottom"/>
          </w:tcPr>
          <w:p>
            <w:pPr>
              <w:spacing w:after="0"/>
              <w:rPr>
                <w:sz w:val="16"/>
                <w:szCs w:val="16"/>
                <w:color w:val="auto"/>
              </w:rPr>
            </w:pPr>
          </w:p>
        </w:tc>
      </w:tr>
      <w:tr>
        <w:trPr>
          <w:trHeight w:val="39"/>
        </w:trPr>
        <w:tc>
          <w:tcPr>
            <w:tcW w:w="79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58"/>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6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Interest</w:t>
            </w:r>
          </w:p>
        </w:tc>
        <w:tc>
          <w:tcPr>
            <w:tcW w:w="106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33,856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27,430</w:t>
            </w:r>
          </w:p>
        </w:tc>
      </w:tr>
      <w:tr>
        <w:trPr>
          <w:trHeight w:val="260"/>
        </w:trPr>
        <w:tc>
          <w:tcPr>
            <w:tcW w:w="790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106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17,888</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35,967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0"/>
        </w:trPr>
        <w:tc>
          <w:tcPr>
            <w:tcW w:w="7900" w:type="dxa"/>
            <w:vAlign w:val="bottom"/>
          </w:tcPr>
          <w:p>
            <w:pPr>
              <w:ind w:left="500"/>
              <w:spacing w:after="0"/>
              <w:rPr>
                <w:sz w:val="20"/>
                <w:szCs w:val="20"/>
                <w:color w:val="auto"/>
              </w:rPr>
            </w:pPr>
            <w:r>
              <w:rPr>
                <w:rFonts w:ascii="Arial" w:cs="Arial" w:eastAsia="Arial" w:hAnsi="Arial"/>
                <w:sz w:val="16"/>
                <w:szCs w:val="16"/>
                <w:color w:val="auto"/>
              </w:rPr>
              <w:t>Property and equipment acquired under capital leases</w:t>
            </w:r>
          </w:p>
        </w:tc>
        <w:tc>
          <w:tcPr>
            <w:tcW w:w="106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2"/>
                <w:szCs w:val="22"/>
                <w:color w:val="auto"/>
              </w:rPr>
            </w:pPr>
          </w:p>
        </w:tc>
        <w:tc>
          <w:tcPr>
            <w:tcW w:w="10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12,099</w:t>
            </w:r>
          </w:p>
        </w:tc>
      </w:tr>
      <w:tr>
        <w:trPr>
          <w:trHeight w:val="280"/>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Amounts accrued related to business acquisitions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31,613</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a technology driven company that aggregates, largely via the internet, large volumes of small, individually customized orders for a broad spectrum of print, signage, apparel and similar products. We operate in a largely decentralized manner. Our businesses fulfill orders with manufacturing capabilities that include Cimpress owned and operated manufacturing facilities and a network of third-party fulfillers to create customized products on demand. Those businesses bring their products to market through a portfolio of customer-focused brands serving the needs of micro, small and medium sized businesses, resellers and consumers. These brands include Vistaprint, our global brand for micro business marketing products and services, as well as brands that we have acquired that serve the needs of various market segments, including resellers, micro, small and medium sized businesses with differentiated service needs, and consumers purchasing products for themselves and their families.</w:t>
      </w:r>
    </w:p>
    <w:p>
      <w:pPr>
        <w:spacing w:after="0" w:line="238" w:lineRule="exact"/>
        <w:rPr>
          <w:sz w:val="20"/>
          <w:szCs w:val="20"/>
          <w:color w:val="auto"/>
        </w:rPr>
      </w:pPr>
    </w:p>
    <w:p>
      <w:pPr>
        <w:ind w:right="7420" w:firstLine="8"/>
        <w:spacing w:after="0" w:line="498"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80" w:firstLine="648"/>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(“GAAP”) for interim financial information and, accordingly, do not include all of the information and footnotes required by GAAP for complete financial statements. In the opinion of management, all adjustments, consisting primarily of normal recurring accruals, considered necessary for fair presentation of the results of operations for the interim periods reported and of our financial condition as of the date of the interim balance sheet have been included.</w:t>
      </w:r>
    </w:p>
    <w:p>
      <w:pPr>
        <w:spacing w:after="0" w:line="17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consolidated financial statements include the accounts of Cimpress N.V., its wholly owned subsidiaries, entities in which we maintain a controlling financial interest, and those entities in which we have a variable interest and are the primary beneficiary. Intercompany balances and transactions have been eliminated.</w:t>
      </w:r>
    </w:p>
    <w:p>
      <w:pPr>
        <w:spacing w:after="0" w:line="2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Operating results for the three and nine months ended March 31, 2018 are not necessarily indicative of the results that may be expected for the year ending June 30, 2018 or for any other period. The consolidated balance sheet at June 30, 2017 has been derived from our audited consolidated financial statements at that date but does not include all of the information and notes required by GAAP for complete financial statements. These unaudited consolidated financial statements should be read in conjunction with the audited consolidated financial statements for the year ended June 30, 2017 included in our Annual Report on Form 10-K filed with the United States Securities and Exchange Commission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0" w:lineRule="exact"/>
        <w:rPr>
          <w:sz w:val="20"/>
          <w:szCs w:val="20"/>
          <w:color w:val="auto"/>
        </w:rPr>
      </w:pPr>
    </w:p>
    <w:p>
      <w:pPr>
        <w:ind w:right="120" w:firstLine="662"/>
        <w:spacing w:after="0" w:line="262" w:lineRule="auto"/>
        <w:rPr>
          <w:sz w:val="20"/>
          <w:szCs w:val="20"/>
          <w:color w:val="auto"/>
        </w:rPr>
      </w:pPr>
      <w:r>
        <w:rPr>
          <w:rFonts w:ascii="Arial" w:cs="Arial" w:eastAsia="Arial" w:hAnsi="Arial"/>
          <w:sz w:val="18"/>
          <w:szCs w:val="18"/>
          <w:color w:val="auto"/>
        </w:rPr>
        <w:t>Total share-based compensation costs were $13,492 and $33,718 for the three and nine months ended March 31, 2018, respectively, and $12,797 and $35,645 for the three and nine months ended March 31, 2017, respectively.</w:t>
      </w:r>
    </w:p>
    <w:p>
      <w:pPr>
        <w:spacing w:after="0" w:line="169" w:lineRule="exact"/>
        <w:rPr>
          <w:sz w:val="20"/>
          <w:szCs w:val="20"/>
          <w:color w:val="auto"/>
        </w:rPr>
      </w:pPr>
    </w:p>
    <w:p>
      <w:pPr>
        <w:ind w:right="140" w:firstLine="662"/>
        <w:spacing w:after="0" w:line="254" w:lineRule="auto"/>
        <w:rPr>
          <w:sz w:val="20"/>
          <w:szCs w:val="20"/>
          <w:color w:val="auto"/>
        </w:rPr>
      </w:pPr>
      <w:r>
        <w:rPr>
          <w:rFonts w:ascii="Arial" w:cs="Arial" w:eastAsia="Arial" w:hAnsi="Arial"/>
          <w:sz w:val="18"/>
          <w:szCs w:val="18"/>
          <w:color w:val="auto"/>
        </w:rPr>
        <w:t>During the first quarter of fiscal 2018, we issued supplemental performance share unit awards to certain members of management. In addition to a service vesting and market condition (based on the three year moving average of the Cimpress share price) contained in our standard performance share units, these supplemental awards also contain a multi-year financial performance condition. The evaluation of achievement of the performance condition is at the discretion of the Compensation Committee and, therefore, the awards are subject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0" w:right="259" w:bottom="1440" w:gutter="0" w:footer="0" w:header="0"/>
        </w:sectPr>
      </w:pPr>
    </w:p>
    <w:bookmarkStart w:id="8" w:name="page9"/>
    <w:bookmarkEnd w:id="8"/>
    <w:p>
      <w:pPr>
        <w:ind w:right="60"/>
        <w:spacing w:after="0" w:line="252" w:lineRule="auto"/>
        <w:rPr>
          <w:sz w:val="20"/>
          <w:szCs w:val="20"/>
          <w:color w:val="auto"/>
        </w:rPr>
      </w:pPr>
      <w:r>
        <w:rPr>
          <w:rFonts w:ascii="Arial" w:cs="Arial" w:eastAsia="Arial" w:hAnsi="Arial"/>
          <w:sz w:val="18"/>
          <w:szCs w:val="18"/>
          <w:color w:val="auto"/>
        </w:rPr>
        <w:t>mark-to-market accounting throughout the three year performance vesting period. The compensation expense for these awards is estimated at fair value using a Monte Carlo simulation valuation model and compensation costs are recorded only if it is probable that the performance condition will be achieved. We continue to conclude that the performance condition is probable of achievement and for the three and nine months ended March 31, 2018, we recognized $5,615 and $9,925 of share-based compensation expense, respectively. We will continue to reassess the probability each reporting period and if we determine the awards are not probable at some point during the performance vesting period we would reverse any expense recognized to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Albumprinter</w:t>
      </w:r>
    </w:p>
    <w:p>
      <w:pPr>
        <w:spacing w:after="0" w:line="22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August 31, 2017 we sold our Albumprinter business, including FotoKnudsen AS, for a total of €78,382 ($93,071 based on the exchange rate as of the date of sale) in cash, net of transaction costs and cash divested (after $11,874 in pre-closing dividends). As a result of the sale, we recognized a gain of $47,545, net of transaction costs, within our consolidated statement of operations for the nine months ended March 31, 2018.</w:t>
      </w:r>
    </w:p>
    <w:p>
      <w:pPr>
        <w:spacing w:after="0" w:line="204"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The transaction did not qualify for discontinued operations presentation, and as of June 30, 2017, the Albumprinter business assets and liabilities were presented as held-for-sale in our consolidated balance sheet. In connection with the divestiture, we entered into an agreement with Albumprinter under which Albumprinter will continue to fulfill photo book orders for our Vistaprint business. Additionally, we agreed to provide Albumprinter with certain transitional support services for a period of up to one year from the date of the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(expense) income, net in our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15"/>
                <w:szCs w:val="15"/>
                <w:color w:val="auto"/>
              </w:rPr>
            </w:pPr>
          </w:p>
        </w:tc>
        <w:tc>
          <w:tcPr>
            <w:tcW w:w="2720" w:type="dxa"/>
            <w:vAlign w:val="bottom"/>
            <w:gridSpan w:val="4"/>
          </w:tcPr>
          <w:p>
            <w:pPr>
              <w:jc w:val="right"/>
              <w:ind w:right="555"/>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derivatives not designated as hedging</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instruments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Currency-related gains (losses), net (2)</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gains (3)</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other (expense) income,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relates to both realized and unrealized (losses) gains on derivative currency forward and option contracts not designated as hedging instruments.</w:t>
      </w:r>
    </w:p>
    <w:p>
      <w:pPr>
        <w:spacing w:after="0" w:line="68" w:lineRule="exact"/>
        <w:rPr>
          <w:rFonts w:ascii="Arial" w:cs="Arial" w:eastAsia="Arial" w:hAnsi="Arial"/>
          <w:sz w:val="14"/>
          <w:szCs w:val="14"/>
          <w:color w:val="auto"/>
        </w:rPr>
      </w:pPr>
    </w:p>
    <w:p>
      <w:pPr>
        <w:ind w:right="60" w:firstLine="8"/>
        <w:spacing w:after="0" w:line="245" w:lineRule="auto"/>
        <w:tabs>
          <w:tab w:leader="none" w:pos="2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significant non-functional currency intercompany financing relationships that we may change at times and are subject to currency exchange rate volatility. The currency-related gains (losses), net for the three and nine months ended March 31, 2018 and 2017 are primarily driven by this intercompany activity. In addition, we have certain cross-currency swaps designated as cash flow hedges, which hedge the remeasurement of certain intercompany loans, both presented in the same component above. Unrealized losses related to cross-currency swaps were $3,582 and $9,708 for the three and nine months ended March 31, 2018, respectively, and unrealized losses of $1,709 and gains of $4,684 for the three and nine months ended March 31, 2017, respectively.</w:t>
      </w:r>
    </w:p>
    <w:p>
      <w:pPr>
        <w:spacing w:after="0" w:line="56"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nine months ended March 31, 2017, we recognized a gain of $2,268 related to the sale of Plaza Create Co. Ltd. available for sale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Share Attributable to Cimpress N.V.</w:t>
      </w:r>
    </w:p>
    <w:p>
      <w:pPr>
        <w:spacing w:after="0" w:line="22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Basic net (loss) income per share attributable to Cimpress N.V. is computed by dividing net (loss) income attributable to Cimpress N.V. by the weighted-average number of ordinary shares outstanding for the respective period. Diluted net (loss) income per share attributable to Cimpress N.V. gives effect to all potentially dilutive securities, including share options, restricted share units (“RSUs”), restricted share awards ("RSAs") and performance share units ("PSUs"), if the effect of the securities is dilutive using the treasury stock method. Awards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1" w:right="239" w:bottom="1440" w:gutter="0" w:footer="0" w:header="0"/>
        </w:sectPr>
      </w:pPr>
    </w:p>
    <w:bookmarkStart w:id="9" w:name="page10"/>
    <w:bookmarkEnd w:id="9"/>
    <w:p>
      <w:pPr>
        <w:ind w:right="200"/>
        <w:spacing w:after="0" w:line="262" w:lineRule="auto"/>
        <w:rPr>
          <w:sz w:val="20"/>
          <w:szCs w:val="20"/>
          <w:color w:val="auto"/>
        </w:rPr>
      </w:pPr>
      <w:r>
        <w:rPr>
          <w:rFonts w:ascii="Arial" w:cs="Arial" w:eastAsia="Arial" w:hAnsi="Arial"/>
          <w:sz w:val="18"/>
          <w:szCs w:val="18"/>
          <w:color w:val="auto"/>
        </w:rPr>
        <w:t>with performance or market conditions are included using the treasury stock method only if the conditions would have been met as of the end of the reporting period and their effect is dilutive.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3000" w:type="dxa"/>
            <w:vAlign w:val="bottom"/>
            <w:gridSpan w:val="4"/>
          </w:tcPr>
          <w:p>
            <w:pPr>
              <w:ind w:left="520"/>
              <w:spacing w:after="0"/>
              <w:rPr>
                <w:sz w:val="20"/>
                <w:szCs w:val="20"/>
                <w:color w:val="auto"/>
              </w:rPr>
            </w:pPr>
            <w:r>
              <w:rPr>
                <w:rFonts w:ascii="Arial" w:cs="Arial" w:eastAsia="Arial" w:hAnsi="Arial"/>
                <w:sz w:val="13"/>
                <w:szCs w:val="13"/>
                <w:b w:val="1"/>
                <w:bCs w:val="1"/>
                <w:color w:val="auto"/>
              </w:rPr>
              <w:t>Three Months Ended March 31,</w:t>
            </w:r>
          </w:p>
        </w:tc>
        <w:tc>
          <w:tcPr>
            <w:tcW w:w="2800" w:type="dxa"/>
            <w:vAlign w:val="bottom"/>
            <w:gridSpan w:val="3"/>
          </w:tcPr>
          <w:p>
            <w:pPr>
              <w:jc w:val="right"/>
              <w:ind w:right="423"/>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basic</w:t>
            </w:r>
          </w:p>
        </w:tc>
        <w:tc>
          <w:tcPr>
            <w:tcW w:w="13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30,724,018</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31,103,388</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30,992,066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31,323,451</w:t>
            </w:r>
          </w:p>
        </w:tc>
        <w:tc>
          <w:tcPr>
            <w:tcW w:w="0" w:type="dxa"/>
            <w:vAlign w:val="bottom"/>
          </w:tcPr>
          <w:p>
            <w:pPr>
              <w:spacing w:after="0"/>
              <w:rPr>
                <w:sz w:val="1"/>
                <w:szCs w:val="1"/>
                <w:color w:val="auto"/>
              </w:rPr>
            </w:pPr>
          </w:p>
        </w:tc>
      </w:tr>
      <w:tr>
        <w:trPr>
          <w:trHeight w:val="218"/>
        </w:trPr>
        <w:tc>
          <w:tcPr>
            <w:tcW w:w="5620" w:type="dxa"/>
            <w:vAlign w:val="bottom"/>
          </w:tcPr>
          <w:p>
            <w:pPr>
              <w:ind w:left="40"/>
              <w:spacing w:after="0"/>
              <w:rPr>
                <w:sz w:val="20"/>
                <w:szCs w:val="20"/>
                <w:color w:val="auto"/>
              </w:rPr>
            </w:pPr>
            <w:r>
              <w:rPr>
                <w:rFonts w:ascii="Arial" w:cs="Arial" w:eastAsia="Arial" w:hAnsi="Arial"/>
                <w:sz w:val="16"/>
                <w:szCs w:val="16"/>
                <w:color w:val="auto"/>
              </w:rPr>
              <w:t>Weighted average shares issuable upon exercise/vesting of outstanding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20" w:type="dxa"/>
            <w:vAlign w:val="bottom"/>
          </w:tcPr>
          <w:p>
            <w:pPr>
              <w:ind w:left="40"/>
              <w:spacing w:after="0"/>
              <w:rPr>
                <w:sz w:val="20"/>
                <w:szCs w:val="20"/>
                <w:color w:val="auto"/>
              </w:rPr>
            </w:pPr>
            <w:r>
              <w:rPr>
                <w:rFonts w:ascii="Arial" w:cs="Arial" w:eastAsia="Arial" w:hAnsi="Arial"/>
                <w:sz w:val="16"/>
                <w:szCs w:val="16"/>
                <w:color w:val="auto"/>
              </w:rPr>
              <w:t>share options/RSUs/RSAs (1)</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
              <w:spacing w:after="0"/>
              <w:rPr>
                <w:sz w:val="20"/>
                <w:szCs w:val="20"/>
                <w:color w:val="auto"/>
              </w:rPr>
            </w:pPr>
            <w:r>
              <w:rPr>
                <w:rFonts w:ascii="Arial" w:cs="Arial" w:eastAsia="Arial" w:hAnsi="Arial"/>
                <w:sz w:val="16"/>
                <w:szCs w:val="16"/>
                <w:color w:val="auto"/>
              </w:rPr>
              <w:t>1,284,454</w:t>
            </w:r>
          </w:p>
        </w:tc>
        <w:tc>
          <w:tcPr>
            <w:tcW w:w="100" w:type="dxa"/>
            <w:vAlign w:val="bottom"/>
          </w:tcPr>
          <w:p>
            <w:pPr>
              <w:spacing w:after="0"/>
              <w:rPr>
                <w:sz w:val="18"/>
                <w:szCs w:val="18"/>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computing diluted net (loss) income per share attributable to</w:t>
            </w:r>
          </w:p>
        </w:tc>
        <w:tc>
          <w:tcPr>
            <w:tcW w:w="1380" w:type="dxa"/>
            <w:vAlign w:val="bottom"/>
            <w:tcBorders>
              <w:top w:val="single" w:sz="8" w:color="auto"/>
            </w:tcBorders>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30,724,018</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31,103,388</w:t>
            </w:r>
          </w:p>
        </w:tc>
        <w:tc>
          <w:tcPr>
            <w:tcW w:w="1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32,276,520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31,323,451</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Cimpress N.V.</w:t>
            </w: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Weighted average anti-dilutive shares excluded from diluted net (loss)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2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40"/>
              <w:spacing w:after="0"/>
              <w:rPr>
                <w:sz w:val="20"/>
                <w:szCs w:val="20"/>
                <w:color w:val="auto"/>
              </w:rPr>
            </w:pPr>
            <w:r>
              <w:rPr>
                <w:rFonts w:ascii="Arial" w:cs="Arial" w:eastAsia="Arial" w:hAnsi="Arial"/>
                <w:sz w:val="16"/>
                <w:szCs w:val="16"/>
                <w:color w:val="auto"/>
              </w:rPr>
              <w:t>income per share attributable to Cimpress N.V.</w:t>
            </w:r>
          </w:p>
        </w:tc>
        <w:tc>
          <w:tcPr>
            <w:tcW w:w="1380" w:type="dxa"/>
            <w:vAlign w:val="bottom"/>
          </w:tcPr>
          <w:p>
            <w:pPr>
              <w:jc w:val="right"/>
              <w:ind w:right="65"/>
              <w:spacing w:after="0"/>
              <w:rPr>
                <w:sz w:val="20"/>
                <w:szCs w:val="20"/>
                <w:color w:val="auto"/>
              </w:rPr>
            </w:pPr>
            <w:r>
              <w:rPr>
                <w:rFonts w:ascii="Arial" w:cs="Arial" w:eastAsia="Arial" w:hAnsi="Arial"/>
                <w:sz w:val="16"/>
                <w:szCs w:val="16"/>
                <w:color w:val="auto"/>
              </w:rPr>
              <w:t>1,448,530</w:t>
            </w:r>
          </w:p>
        </w:tc>
        <w:tc>
          <w:tcPr>
            <w:tcW w:w="120" w:type="dxa"/>
            <w:vAlign w:val="bottom"/>
          </w:tcPr>
          <w:p>
            <w:pPr>
              <w:spacing w:after="0"/>
              <w:rPr>
                <w:sz w:val="16"/>
                <w:szCs w:val="16"/>
                <w:color w:val="auto"/>
              </w:rPr>
            </w:pP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1,262,902</w:t>
            </w:r>
          </w:p>
        </w:tc>
        <w:tc>
          <w:tcPr>
            <w:tcW w:w="140" w:type="dxa"/>
            <w:vAlign w:val="bottom"/>
          </w:tcPr>
          <w:p>
            <w:pPr>
              <w:spacing w:after="0"/>
              <w:rPr>
                <w:sz w:val="16"/>
                <w:szCs w:val="16"/>
                <w:color w:val="auto"/>
              </w:rPr>
            </w:pPr>
          </w:p>
        </w:tc>
        <w:tc>
          <w:tcPr>
            <w:tcW w:w="1340" w:type="dxa"/>
            <w:vAlign w:val="bottom"/>
          </w:tcPr>
          <w:p>
            <w:pPr>
              <w:jc w:val="right"/>
              <w:ind w:right="25"/>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16"/>
                <w:szCs w:val="16"/>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1,379,481</w:t>
            </w: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In the periods in which a net loss is recognized, the impact of share options, RSUs, and RSAs is not included as they are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Waltham Lease Arrangement</w:t>
      </w:r>
    </w:p>
    <w:p>
      <w:pPr>
        <w:spacing w:after="0" w:line="22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 July 2013, we executed a lease agreement to move our Lexington, Massachusetts, USA operations to a then yet to be constructed facility in Waltham, Massachusetts, USA. During the first quarter of fiscal 2016, the building was completed and we commenced lease payments in September 2015 and will make lease payments through September 2026.</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accounting purposes, we were deemed to be the owner of the Waltham building during the construction period, and accordingly we recorded the construction project costs incurred by the landlord as an asset with a corresponding financing obligation on our balance sheet. We evaluated the Waltham lease in the first quarter of fiscal 2016 and determined that the transaction did not meet the criteria for "sale-leaseback" treatment due to our planned subleasing activity over the term of the lease. Accordingly, we began depreciating the asset and incurring interest expense related to the financing obligation recorded on our consolidated balance sheet. We bifurcate the lease payments pursuant to the Waltham lease into (i) a portion that is allocated to the building and (ii) a portion that is allocated to the land on which the building was constructed. The portion of the lease obligations allocated to the land is treated as an operating lease that commenced in fiscal 2014.</w:t>
      </w:r>
    </w:p>
    <w:p>
      <w:pPr>
        <w:spacing w:after="0" w:line="20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Property, plant and equipment, net, included $112,956 and $116,045 as of March 31, 2018 and June 30, 2017, respectively, related to the building. The financing lease obligation and deferred rent credit related to the building on our consolidated balance sheets was $116,307 and $119,176 as of March 31, 2018 and June 30, 2017,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4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Treasury shares are accounted for using the cost method and are included as a component of shareholders' equity. During the nine months ended March 31, 2018 and 2017, we repurchased 895,377 and 593,763, respectively, of our ordinary shares for a total cost of $94,710 and $50,008, respectively, inclusive of transaction costs, in connection with our publicly announced share repurchase programs.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6"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In October 2016, the FASB issued Accounting Standards Update No. 2016-16, "Income Taxes (Topic 740): Intra-Entity Transfers of Assets Other Than Inventory" (ASU 2016-16), which requires the recognition for income tax consequences of an intra-entity transfer of an asset other than inventory when the transfer occurs. We elected to early adopt the new standard during the first quarter of fiscal 2018, and recognized a reduction to prepaid and other current assets of $24,573, an increase in deferred tax assets of $18,710 and a cumulative-effect adjustment to retained earnings of $5,863. If we had not early adopted, the forecasted fiscal 2018 tax expense would be lower by $9,787.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1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August 2017, the FASB issued Accounting Standards Update No. 2017-12, "Derivatives and Hedging: Targeted Improvements to Accounting for Hedging Activities (Topic 815)," (ASU 2017-12), which better aligns a company’s financial reporting for hedging activities with the economic objectives of those activities. The amendment is effective for us on July 1, 2019 and permits early adoption, including adoption in an interim period. The standard requires a modified retrospective transition approach, in which the Company will recognize the cumulative effect of the change on the opening balance of each affected component of equity in the statement of financial position as of the date of adoption. We do not expect this standard to have material impact on our consolidated financial statements.</w:t>
      </w:r>
    </w:p>
    <w:p>
      <w:pPr>
        <w:spacing w:after="0" w:line="18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May 2017, the FASB issued Accounting Standards Update No. 2017-09, "Compensation - Stock Compensation (Topic 718)," (ASU 2017-09), which clarifies the application of Topic 718 when accounting for changes in the terms and conditions of a share-based payment award. The new standard requires changes to the terms or conditions of a share-based payment award to be accounted for under modification accounting unless there is no change to the fair value, vesting conditions and classification of the award after modification. The amendment is effective for us on July 1, 2018 and permits early adoption. The amendment is to be applied prospectively, and we are currently evaluating the impact on our financial statements.</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 is effective for us on July 1, 2018 and permits early adoption. This amendment will affect the presentation of our statement of cash flows once adopted, and we do not expect it to have material impact on our consolidated financial statements.</w:t>
      </w:r>
    </w:p>
    <w:p>
      <w:pPr>
        <w:spacing w:after="0" w:line="18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2016-04, "Liabilities - Extinguishment of Liabilities (Subtopic 405-20): Recognition of Breakage for Certain Prepaid Stored-Value Products" (ASU 2016-04), which requires an entity to recognize breakage for a liability resulting from the sale of a prepaid stored-value product in proportion to the pattern of rights expected to be exercised by the product holder only to the extent that it is probable that a significant reversal of the recognized breakage amount will not subsequently occur. The new standard is effective for us on July 1, 2018. The standard permits early adoption and should be applied either retrospectively to each period presented or by means of a cumulative adjustment to retained earnings as of the beginning of the fiscal year adopted. We do not expect the effect of ASU 2016-04 to have a material impact on our consolidated financial statements.</w:t>
      </w:r>
    </w:p>
    <w:p>
      <w:pPr>
        <w:spacing w:after="0" w:line="18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2016-02, "Leases (Topic 842)" (ASU 2016-02), which requires the recognition of lease assets and lease liabilities by lessees for those leases currently classified as operating leases. The standard also retains a distinction between finance leases and operating leases. The new standard is effective for us on July 1, 2019 and we expect to adopt the new standard using the modified retrospective approach. We also plan to use the transition relief package, in which we will not reassess the classification of our existing leases, whether any expired or existing contracts contain leases and if our existing leases have any initial direct costs. We are currently evaluating the requirements of the standard and we have not yet determined the impact of adoption on our consolidated financial statements.</w:t>
      </w:r>
    </w:p>
    <w:p>
      <w:pPr>
        <w:spacing w:after="0" w:line="180" w:lineRule="exact"/>
        <w:rPr>
          <w:sz w:val="20"/>
          <w:szCs w:val="20"/>
          <w:color w:val="auto"/>
        </w:rPr>
      </w:pPr>
    </w:p>
    <w:p>
      <w:pPr>
        <w:ind w:right="60" w:firstLine="662"/>
        <w:spacing w:after="0" w:line="252"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requires an entity to recognize the amount of revenue to which it expects to be entitled for the transfer of promised goods or services to customers. This guidance will replace most existing revenue recognition guidance in U.S. GAAP when it becomes effective. The new standard is effective for fiscal years beginning after December 15, 2017, which would result in an effective date for us of July 1, 2018. The standard permits the use of either the retrospective or modified retrospective method. We will adopt the new standard in the first quarter of fiscal 2019, and we will apply the modified retrospective approach.</w:t>
      </w:r>
    </w:p>
    <w:p>
      <w:pPr>
        <w:spacing w:after="0" w:line="182"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We have substantially completed our impact assessment of the new standard, which was performed on a business unit by business unit basis through a review of contract terms and material revenue streams. We have identified an impact related to direct-response advertising costs, which are costs currently capitalized and expensed based on the guidance outlined in ASC 340. The guidance included in ASC 340 has been eliminated, and under the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53" w:right="259" w:bottom="1440" w:gutter="0" w:footer="0" w:header="0"/>
        </w:sectPr>
      </w:pPr>
    </w:p>
    <w:bookmarkStart w:id="11" w:name="page12"/>
    <w:bookmarkEnd w:id="11"/>
    <w:p>
      <w:pPr>
        <w:spacing w:after="0" w:line="252" w:lineRule="auto"/>
        <w:rPr>
          <w:sz w:val="20"/>
          <w:szCs w:val="20"/>
          <w:color w:val="auto"/>
        </w:rPr>
      </w:pPr>
      <w:r>
        <w:rPr>
          <w:rFonts w:ascii="Arial" w:cs="Arial" w:eastAsia="Arial" w:hAnsi="Arial"/>
          <w:sz w:val="18"/>
          <w:szCs w:val="18"/>
          <w:color w:val="auto"/>
        </w:rPr>
        <w:t>new revenue standard these costs will be expensed as incurred because they do not meet the requirements for capitalization since they are not direct and incremental to obtaining a contract. We expect this change to impact the timing for a portion of advertising expenses within our National Pen business, but we do not expect it to have a material impact on our consolidated results. We have also identified an impact related to customer loyalty programs that are offered by several of our businesses. Under the new revenue standard, the rewards associated with these programs will be recognized as an additional performance obligation, resulting in an allocation of the transaction price and deferral of revenue until the subsequent reward redemption. We do not expect this change to have a material impact on our consolidated results.</w:t>
      </w:r>
    </w:p>
    <w:p>
      <w:pPr>
        <w:spacing w:after="0" w:line="182" w:lineRule="exact"/>
        <w:rPr>
          <w:sz w:val="20"/>
          <w:szCs w:val="20"/>
          <w:color w:val="auto"/>
        </w:rPr>
      </w:pPr>
    </w:p>
    <w:p>
      <w:pPr>
        <w:ind w:right="40" w:firstLine="662"/>
        <w:spacing w:after="0" w:line="256" w:lineRule="auto"/>
        <w:rPr>
          <w:sz w:val="20"/>
          <w:szCs w:val="20"/>
          <w:color w:val="auto"/>
        </w:rPr>
      </w:pPr>
      <w:r>
        <w:rPr>
          <w:rFonts w:ascii="Arial" w:cs="Arial" w:eastAsia="Arial" w:hAnsi="Arial"/>
          <w:sz w:val="18"/>
          <w:szCs w:val="18"/>
          <w:color w:val="auto"/>
        </w:rPr>
        <w:t>We are continuing to make changes to certain processes and internal controls, in order to address the impacts of the new standard, which we expect to finalize during the fourth quarter of fiscal 2018. Lastly, we are continuing to evaluate the disclosure requirements of the new standard.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in markets that are not active and inputs that are observable for the asset or liability, either directly or indirectly, for substantially the full term of the financial instrument.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89"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rPr>
              <w:t>March 31, 2018</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Identical Assets</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59"/>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ind w:left="3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39"/>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10,360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10,360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Currency option contracts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recorded at fair value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Cross-currency swap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(42,073)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(42,073)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Currency option contracts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recorded at fair value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7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ind w:left="960"/>
              <w:spacing w:after="0"/>
              <w:rPr>
                <w:sz w:val="20"/>
                <w:szCs w:val="20"/>
                <w:color w:val="auto"/>
              </w:rPr>
            </w:pPr>
            <w:r>
              <w:rPr>
                <w:rFonts w:ascii="Arial" w:cs="Arial" w:eastAsia="Arial" w:hAnsi="Arial"/>
                <w:sz w:val="13"/>
                <w:szCs w:val="13"/>
                <w:b w:val="1"/>
                <w:bCs w:val="1"/>
                <w:color w:val="auto"/>
              </w:rPr>
              <w:t>June 30, 2017</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Identical Assets</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59"/>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39"/>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swap contracts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recorded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Cross-currency swap contracts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Currency forward contracts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option contracts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Contingent consideration</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recorded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During the quarter ended March 31, 2018 and year ended June 30, 2017, there were no significant transfers in or out of Level 1, Level 2 and Level 3 classifications.</w:t>
      </w:r>
    </w:p>
    <w:p>
      <w:pPr>
        <w:spacing w:after="0" w:line="16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8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March 31, 2018,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Contingent consideration obligations are measured at fair value and are based on significant inputs not observable in the market, which represents a Level 3 measurement within the fair value hierarchy. The valuation of contingent consideration uses assumptions and estimates to forecast a range of outcomes and probabilities for the contingent consideration. Certain contingent consideration obligations are valued using a Monte Carlo simulation model. We assess these assumptions and estimates on a quarterly basis as additional data impacting the assumptions is obtained. Any changes in the fair value of contingent consideration related to updated assumptions and estimates will be recognized within general and administrative expenses in the consolidated statements of operations during the period in which the change occurs.</w:t>
      </w:r>
    </w:p>
    <w:p>
      <w:pPr>
        <w:spacing w:after="0" w:line="18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As part of the acquisition of WIRmachenDRUCK on February 1, 2016, we agreed to a variable contingent payment up to €40,000, previously based on the achievement of a cumulative gross profit target for calendar years 2016 and 2017. During the fourth quarter of fiscal 2017, we determined it was reasonably certain, based on recent performance, that the maximum earn-out would be achieved. Subsequently, during the first quarter of fiscal 2018, we amended the terms of this arrangement to remove the performance target and agreed to pay the maximum amount in January 2018. On January 2, 2018 we paid the maximum amount of €40,000 ($ 48,069 based on the exchange rate on the day of payment) and $5,951 of the amount paid is considered contingent consideration and included in the table below.</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3"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 represents the changes in fair value of Level 3 contingent consideration: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4"/>
          </w:tcPr>
          <w:p>
            <w:pPr>
              <w:jc w:val="right"/>
              <w:ind w:right="554"/>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57"/>
        </w:trPr>
        <w:tc>
          <w:tcPr>
            <w:tcW w:w="83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18"/>
              <w:spacing w:after="0"/>
              <w:rPr>
                <w:sz w:val="20"/>
                <w:szCs w:val="20"/>
                <w:color w:val="auto"/>
              </w:rPr>
            </w:pPr>
            <w:r>
              <w:rPr>
                <w:rFonts w:ascii="Arial" w:cs="Arial" w:eastAsia="Arial" w:hAnsi="Arial"/>
                <w:sz w:val="13"/>
                <w:szCs w:val="13"/>
                <w:b w:val="1"/>
                <w:bCs w:val="1"/>
                <w:color w:val="auto"/>
              </w:rPr>
              <w:t>2018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14"/>
              <w:spacing w:after="0"/>
              <w:rPr>
                <w:sz w:val="20"/>
                <w:szCs w:val="20"/>
                <w:color w:val="auto"/>
              </w:rPr>
            </w:pPr>
            <w:r>
              <w:rPr>
                <w:rFonts w:ascii="Arial" w:cs="Arial" w:eastAsia="Arial" w:hAnsi="Arial"/>
                <w:sz w:val="13"/>
                <w:szCs w:val="13"/>
                <w:b w:val="1"/>
                <w:bCs w:val="1"/>
                <w:color w:val="auto"/>
              </w:rPr>
              <w:t>2017 (1)</w:t>
            </w:r>
          </w:p>
        </w:tc>
        <w:tc>
          <w:tcPr>
            <w:tcW w:w="0" w:type="dxa"/>
            <w:vAlign w:val="bottom"/>
          </w:tcPr>
          <w:p>
            <w:pPr>
              <w:spacing w:after="0"/>
              <w:rPr>
                <w:sz w:val="1"/>
                <w:szCs w:val="1"/>
                <w:color w:val="auto"/>
              </w:rPr>
            </w:pPr>
          </w:p>
        </w:tc>
      </w:tr>
      <w:tr>
        <w:trPr>
          <w:trHeight w:val="57"/>
        </w:trPr>
        <w:tc>
          <w:tcPr>
            <w:tcW w:w="8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2017 and 2016, respectively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Fair value adjustment</w:t>
            </w:r>
          </w:p>
        </w:tc>
        <w:tc>
          <w:tcPr>
            <w:tcW w:w="320" w:type="dxa"/>
            <w:vAlign w:val="bottom"/>
          </w:tcPr>
          <w:p>
            <w:pPr>
              <w:spacing w:after="0"/>
              <w:rPr>
                <w:sz w:val="22"/>
                <w:szCs w:val="22"/>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payments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currency impact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March 31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100" w:firstLine="8"/>
        <w:spacing w:after="0" w:line="258" w:lineRule="auto"/>
        <w:tabs>
          <w:tab w:leader="none" w:pos="216"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June 30, 2017 and March 31, 2017, contingent consideration was classified as a current liability on the consolidated balance sheets. As of June 30, 2016 the liability was classified as a long-term liability on the consolidated balance sheet.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and June 30, 2017, the carrying amounts of our cash and cash equivalents, accounts receivable,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and other current liabilities approximated their estimated fair values. As of March 31, 2018 and June 30, 2017 the carrying value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excluding debt issuance costs and debt discounts, was $820,182 and $882,578, respectively, and the fair value was $777,314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$906,744, respectively. Our debt at March 31, 2018 includes variable rate debt instruments indexed to LIBOR that resets periodically and fixed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rate debt instruments. The estimated fair value of our debt was determined using available market information based on recent trades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activity of debt instruments with substantially similar risks, terms and maturities, which fall within Level 2 under the fair value hierarchy.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assets and liabilities disclosed above may not be representative of actual values that could have been or will be realized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future.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effective portion of changes in the fair value of the derivative is recorded in accumulated other comprehensive loss and is subsequently reclassified into earnings in the period the hedged forecasted transaction affects earnings. If a derivative is deemed to be ineffective, then the ineffective portion of the change in fair value of the derivative is recognized directly in earnings. The change in the fair value of derivatives not designated as hedges is recognized directly in earnings, as a component of other (expense)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 portion of seven of our interest rate swap contracts were deemed to be ineffective during the three and nine months ended March 31, 2018 and during the three and nine months ended March 31, 2017 a portion of two of our interest rate swap contracts was deemed to be ineffective.</w:t>
      </w:r>
    </w:p>
    <w:p>
      <w:pPr>
        <w:spacing w:after="0" w:line="17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Amounts reported in accumulated other comprehensive loss related to interest rate swap contracts will be reclassified to interest expense as interest payments are accrued or made on our variable-rate debt. As of March 31, 2018, we estimate that $119 of income will be reclassified from accumulated other comprehensive loss to interest expense during the twelve months ending March 31, 2019. As of March 31, 2018, we had nine outstanding interest rate swap contracts indexed to one-month LIBOR. These instruments were designated as cash flow hedges of interest rate risk and have varying start dates and maturity dates through December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Interest rate swap contracts outstanding:</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Notional Amounts</w:t>
            </w: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Contracts accruing interest as of March 31, 2018</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65,000</w:t>
            </w:r>
          </w:p>
        </w:tc>
      </w:tr>
      <w:tr>
        <w:trPr>
          <w:trHeight w:val="264"/>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Contracts with a future start date</w:t>
            </w:r>
          </w:p>
        </w:tc>
        <w:tc>
          <w:tcPr>
            <w:tcW w:w="4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350,000</w:t>
            </w:r>
          </w:p>
        </w:tc>
      </w:tr>
      <w:tr>
        <w:trPr>
          <w:trHeight w:val="24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415,000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Hedges of Currency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27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3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March 31, 2018, we had two outstanding cross-currency swap contracts designated as cash flow hedges with a total notional amount of $120,011, both maturing during June 2019. We entered into the two cross-currency swap contracts to hedge the risk of changes in one Euro denominated intercompany loan entered into with one of our consolidated subsidiaries that has the Euro as its functional currency.</w:t>
      </w:r>
    </w:p>
    <w:p>
      <w:pPr>
        <w:spacing w:after="0" w:line="236"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Amounts reported in accumulated other comprehensive loss will be reclassified to other (expense) income, net as interest payments are accrued or paid and upon remeasuring the intercompany loan. As of March 31, 2018, we estimate that $865 of income will be reclassified from accumulated other comprehensive loss to interest expense, net during the twelve months ending March 31, 2019.</w:t>
      </w:r>
    </w:p>
    <w:p>
      <w:pPr>
        <w:spacing w:after="0" w:line="229"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March 31, 2018, we had two outstanding cross-currency swap contracts designated as net investment hedges with a total notional amount of $122,969, both maturing during April 2019. We entered into the two cross-currency swap contracts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236" w:lineRule="exact"/>
        <w:rPr>
          <w:sz w:val="20"/>
          <w:szCs w:val="20"/>
          <w:color w:val="auto"/>
        </w:rPr>
      </w:pPr>
    </w:p>
    <w:p>
      <w:pPr>
        <w:ind w:right="1140" w:firstLine="648"/>
        <w:spacing w:after="0" w:line="481" w:lineRule="auto"/>
        <w:rPr>
          <w:sz w:val="20"/>
          <w:szCs w:val="20"/>
          <w:color w:val="auto"/>
        </w:rPr>
      </w:pPr>
      <w:r>
        <w:rPr>
          <w:rFonts w:ascii="Arial" w:cs="Arial" w:eastAsia="Arial" w:hAnsi="Arial"/>
          <w:sz w:val="18"/>
          <w:szCs w:val="18"/>
          <w:color w:val="auto"/>
        </w:rPr>
        <w:t xml:space="preserve">We did not hold any ineffective cross-currency swaps during the three and nine months ended March 31, 2018 and 2017. </w:t>
      </w:r>
      <w:r>
        <w:rPr>
          <w:rFonts w:ascii="Arial" w:cs="Arial" w:eastAsia="Arial" w:hAnsi="Arial"/>
          <w:sz w:val="18"/>
          <w:szCs w:val="18"/>
          <w:i w:val="1"/>
          <w:iCs w:val="1"/>
          <w:color w:val="auto"/>
        </w:rPr>
        <w:t>Other Currency Contracts</w:t>
      </w:r>
    </w:p>
    <w:p>
      <w:pPr>
        <w:spacing w:after="0" w:line="62"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we had six currency forward contracts designated as net investment hedges with a total notional amount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$175,262, maturing during various dates through October 2022. We entered into these contracts to hedge the risk of changes in the U.S. Dollar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equivalent value of a portion of our net investment in a consolidated subsidiary that has the Euro as its functional currency. Amounts reported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are recognized as a component of our cumulative translation adjustment.</w:t>
      </w:r>
    </w:p>
    <w:p>
      <w:pPr>
        <w:spacing w:after="0" w:line="198"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three and nine months ended March 31, 2018 and 2017, we have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82"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As of March 31, 2018, we had the following outstanding currency derivative contracts that were not designated for hedge accounting and were used to hedge fluctuations in the U.S. Dollar value of forecasted transactions denominated in Australian Dollar, British Pound, Canadian Dollar, Danish Krone, Euro, Indian Rupee,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Mexican Peso, New Zealand Dollar, Norwegian Krone, and Swedish Krona: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12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Effective Date</w:t>
            </w:r>
          </w:p>
        </w:tc>
        <w:tc>
          <w:tcPr>
            <w:tcW w:w="120" w:type="dxa"/>
            <w:vAlign w:val="bottom"/>
            <w:tcBorders>
              <w:bottom w:val="single" w:sz="8" w:color="CCEEFF"/>
            </w:tcBorders>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12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Number of Instruments</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Index</w:t>
            </w:r>
          </w:p>
        </w:tc>
        <w:tc>
          <w:tcPr>
            <w:tcW w:w="0" w:type="dxa"/>
            <w:vAlign w:val="bottom"/>
          </w:tcPr>
          <w:p>
            <w:pPr>
              <w:spacing w:after="0"/>
              <w:rPr>
                <w:sz w:val="1"/>
                <w:szCs w:val="1"/>
                <w:color w:val="auto"/>
              </w:rPr>
            </w:pPr>
          </w:p>
        </w:tc>
      </w:tr>
      <w:tr>
        <w:trPr>
          <w:trHeight w:val="218"/>
        </w:trPr>
        <w:tc>
          <w:tcPr>
            <w:tcW w:w="1840" w:type="dxa"/>
            <w:vAlign w:val="bottom"/>
            <w:vMerge w:val="restart"/>
            <w:shd w:val="clear" w:color="auto" w:fill="CCEEFF"/>
          </w:tcPr>
          <w:p>
            <w:pPr>
              <w:jc w:val="right"/>
              <w:ind w:right="508"/>
              <w:spacing w:after="0"/>
              <w:rPr>
                <w:sz w:val="20"/>
                <w:szCs w:val="20"/>
                <w:color w:val="auto"/>
              </w:rPr>
            </w:pPr>
            <w:r>
              <w:rPr>
                <w:rFonts w:ascii="Arial" w:cs="Arial" w:eastAsia="Arial" w:hAnsi="Arial"/>
                <w:sz w:val="16"/>
                <w:szCs w:val="16"/>
                <w:color w:val="auto"/>
              </w:rPr>
              <w:t>$512,301</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2017 through March</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Various dates through March</w:t>
            </w:r>
          </w:p>
        </w:tc>
        <w:tc>
          <w:tcPr>
            <w:tcW w:w="2160" w:type="dxa"/>
            <w:vAlign w:val="bottom"/>
            <w:vMerge w:val="restart"/>
            <w:shd w:val="clear" w:color="auto" w:fill="CCEEFF"/>
          </w:tcPr>
          <w:p>
            <w:pPr>
              <w:jc w:val="right"/>
              <w:ind w:right="888"/>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00"/>
        </w:trPr>
        <w:tc>
          <w:tcPr>
            <w:tcW w:w="1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8"/>
                <w:szCs w:val="8"/>
                <w:color w:val="auto"/>
              </w:rPr>
            </w:pP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2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March 31, 2018 and June 30, 2017. Our derivative asset and liability balances will fluctuate with interest rate and currency exchange rate volatility. Our derivative liabilities have increased significantly during the nine months ended March 31, 2018 mainly due to the weakening of the US dollar.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March 31,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10,452</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10,360</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(18,897)</w:t>
            </w:r>
          </w:p>
        </w:tc>
        <w:tc>
          <w:tcPr>
            <w:tcW w:w="0" w:type="dxa"/>
            <w:vAlign w:val="bottom"/>
          </w:tcPr>
          <w:p>
            <w:pPr>
              <w:spacing w:after="0"/>
              <w:rPr>
                <w:sz w:val="1"/>
                <w:szCs w:val="1"/>
                <w:color w:val="auto"/>
              </w:rPr>
            </w:pPr>
          </w:p>
        </w:tc>
      </w:tr>
      <w:tr>
        <w:trPr>
          <w:trHeight w:val="140"/>
        </w:trPr>
        <w:tc>
          <w:tcPr>
            <w:tcW w:w="3000" w:type="dxa"/>
            <w:vAlign w:val="bottom"/>
            <w:gridSpan w:val="4"/>
          </w:tcPr>
          <w:p>
            <w:pPr>
              <w:ind w:left="40"/>
              <w:spacing w:after="0" w:line="140" w:lineRule="exact"/>
              <w:rPr>
                <w:sz w:val="20"/>
                <w:szCs w:val="20"/>
                <w:color w:val="auto"/>
              </w:rPr>
            </w:pPr>
            <w:r>
              <w:rPr>
                <w:rFonts w:ascii="Arial" w:cs="Arial" w:eastAsia="Arial" w:hAnsi="Arial"/>
                <w:sz w:val="13"/>
                <w:szCs w:val="13"/>
                <w:b w:val="1"/>
                <w:bCs w:val="1"/>
                <w:color w:val="auto"/>
              </w:rPr>
              <w:t>Derivatives in Net Investment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(23,176)</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(23,831)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(23,831)</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10,452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10,360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(65,904)</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(65,904)</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(16,175)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7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2017</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2,072</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1,717</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(7,640)</w:t>
            </w:r>
          </w:p>
        </w:tc>
        <w:tc>
          <w:tcPr>
            <w:tcW w:w="0" w:type="dxa"/>
            <w:vAlign w:val="bottom"/>
          </w:tcPr>
          <w:p>
            <w:pPr>
              <w:spacing w:after="0"/>
              <w:rPr>
                <w:sz w:val="1"/>
                <w:szCs w:val="1"/>
                <w:color w:val="auto"/>
              </w:rPr>
            </w:pPr>
          </w:p>
        </w:tc>
      </w:tr>
      <w:tr>
        <w:trPr>
          <w:trHeight w:val="140"/>
        </w:trPr>
        <w:tc>
          <w:tcPr>
            <w:tcW w:w="3000" w:type="dxa"/>
            <w:vAlign w:val="bottom"/>
            <w:gridSpan w:val="4"/>
          </w:tcPr>
          <w:p>
            <w:pPr>
              <w:ind w:left="40"/>
              <w:spacing w:after="0" w:line="140" w:lineRule="exact"/>
              <w:rPr>
                <w:sz w:val="20"/>
                <w:szCs w:val="20"/>
                <w:color w:val="auto"/>
              </w:rPr>
            </w:pPr>
            <w:r>
              <w:rPr>
                <w:rFonts w:ascii="Arial" w:cs="Arial" w:eastAsia="Arial" w:hAnsi="Arial"/>
                <w:sz w:val="13"/>
                <w:szCs w:val="13"/>
                <w:b w:val="1"/>
                <w:bCs w:val="1"/>
                <w:color w:val="auto"/>
              </w:rPr>
              <w:t>Derivatives in Net Investment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2,072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(30,139)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(30,139)</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780" w:type="dxa"/>
            <w:vAlign w:val="bottom"/>
            <w:vMerge w:val="restart"/>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color w:val="auto"/>
              </w:rPr>
              <w:t>liabilities /</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78"/>
        </w:trPr>
        <w:tc>
          <w:tcPr>
            <w:tcW w:w="1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(8,684)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3,229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0" w:firstLine="648"/>
        <w:spacing w:after="0" w:line="262" w:lineRule="auto"/>
        <w:rPr>
          <w:sz w:val="20"/>
          <w:szCs w:val="20"/>
          <w:color w:val="auto"/>
        </w:rPr>
      </w:pPr>
      <w:r>
        <w:rPr>
          <w:rFonts w:ascii="Arial" w:cs="Arial" w:eastAsia="Arial" w:hAnsi="Arial"/>
          <w:sz w:val="18"/>
          <w:szCs w:val="18"/>
          <w:color w:val="auto"/>
        </w:rPr>
        <w:t>The following table presents the effect of the effective portion of our derivative financial instruments designated as hedging instruments and their classification within comprehensive income (loss) for the three and nine months ended March 31, 2018 and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Derivatives in Hedging Relationships</w:t>
            </w:r>
          </w:p>
        </w:tc>
        <w:tc>
          <w:tcPr>
            <w:tcW w:w="28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10"/>
          </w:tcPr>
          <w:p>
            <w:pPr>
              <w:ind w:left="360"/>
              <w:spacing w:after="0"/>
              <w:rPr>
                <w:sz w:val="20"/>
                <w:szCs w:val="20"/>
                <w:color w:val="auto"/>
              </w:rPr>
            </w:pPr>
            <w:r>
              <w:rPr>
                <w:rFonts w:ascii="Arial" w:cs="Arial" w:eastAsia="Arial" w:hAnsi="Arial"/>
                <w:sz w:val="13"/>
                <w:szCs w:val="13"/>
                <w:b w:val="1"/>
                <w:bCs w:val="1"/>
                <w:color w:val="auto"/>
              </w:rPr>
              <w:t>Amount of Gain (Loss) Recognized in Comprehensive Income (Loss) on Derivatives</w:t>
            </w:r>
          </w:p>
        </w:tc>
      </w:tr>
      <w:tr>
        <w:trPr>
          <w:trHeight w:val="263"/>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gridSpan w:val="5"/>
          </w:tcPr>
          <w:p>
            <w:pPr>
              <w:ind w:left="34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22"/>
                <w:szCs w:val="22"/>
                <w:color w:val="auto"/>
              </w:rPr>
            </w:pPr>
          </w:p>
        </w:tc>
        <w:tc>
          <w:tcPr>
            <w:tcW w:w="2720" w:type="dxa"/>
            <w:vAlign w:val="bottom"/>
            <w:gridSpan w:val="4"/>
          </w:tcPr>
          <w:p>
            <w:pPr>
              <w:jc w:val="right"/>
              <w:ind w:right="554"/>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2017</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3,078</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3,971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3,983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137</w:t>
            </w:r>
          </w:p>
        </w:tc>
      </w:tr>
      <w:tr>
        <w:trPr>
          <w:trHeight w:val="250"/>
        </w:trPr>
        <w:tc>
          <w:tcPr>
            <w:tcW w:w="5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11,169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12" w:right="239" w:bottom="1440" w:gutter="0" w:footer="0" w:header="0"/>
        </w:sectPr>
      </w:pPr>
    </w:p>
    <w:bookmarkStart w:id="17" w:name="page18"/>
    <w:bookmarkEnd w:id="17"/>
    <w:p>
      <w:pPr>
        <w:ind w:right="20" w:firstLine="648"/>
        <w:spacing w:after="0" w:line="262"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three and nine months ended March 31, 2018 and 2017:</w:t>
      </w:r>
    </w:p>
    <w:p>
      <w:pPr>
        <w:sectPr>
          <w:pgSz w:w="11900" w:h="16838" w:orient="portrait"/>
          <w:cols w:equalWidth="0" w:num="1">
            <w:col w:w="11420"/>
          </w:cols>
          <w:pgMar w:left="240" w:top="571" w:right="239" w:bottom="1440" w:gutter="0" w:footer="0" w:header="0"/>
        </w:sectPr>
      </w:pPr>
    </w:p>
    <w:p>
      <w:pPr>
        <w:spacing w:after="0" w:line="130" w:lineRule="exact"/>
        <w:rPr>
          <w:sz w:val="20"/>
          <w:szCs w:val="20"/>
          <w:color w:val="auto"/>
        </w:rPr>
      </w:pPr>
    </w:p>
    <w:p>
      <w:pPr>
        <w:ind w:left="40" w:right="900"/>
        <w:spacing w:after="0" w:line="285" w:lineRule="auto"/>
        <w:rPr>
          <w:sz w:val="20"/>
          <w:szCs w:val="20"/>
          <w:color w:val="auto"/>
        </w:rPr>
      </w:pPr>
      <w:r>
        <w:rPr>
          <w:rFonts w:ascii="Arial" w:cs="Arial" w:eastAsia="Arial" w:hAnsi="Arial"/>
          <w:sz w:val="14"/>
          <w:szCs w:val="14"/>
          <w:b w:val="1"/>
          <w:bCs w:val="1"/>
          <w:color w:val="auto"/>
        </w:rPr>
        <w:t>Details about Accumulated Other Comprehensive Loss Components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9" w:right="180"/>
        <w:spacing w:after="0" w:line="246" w:lineRule="auto"/>
        <w:rPr>
          <w:sz w:val="20"/>
          <w:szCs w:val="20"/>
          <w:color w:val="auto"/>
        </w:rPr>
      </w:pPr>
      <w:r>
        <w:rPr>
          <w:rFonts w:ascii="Arial" w:cs="Arial" w:eastAsia="Arial" w:hAnsi="Arial"/>
          <w:sz w:val="13"/>
          <w:szCs w:val="13"/>
          <w:b w:val="1"/>
          <w:bCs w:val="1"/>
          <w:color w:val="auto"/>
        </w:rPr>
        <w:t>Amount Reclassified from Accumulated Other Comprehensive Income (Loss) to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3704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gridSpan w:val="4"/>
          </w:tcPr>
          <w:p>
            <w:pPr>
              <w:ind w:left="520"/>
              <w:spacing w:after="0"/>
              <w:rPr>
                <w:sz w:val="20"/>
                <w:szCs w:val="20"/>
                <w:color w:val="auto"/>
              </w:rPr>
            </w:pPr>
            <w:r>
              <w:rPr>
                <w:rFonts w:ascii="Arial" w:cs="Arial" w:eastAsia="Arial" w:hAnsi="Arial"/>
                <w:sz w:val="13"/>
                <w:szCs w:val="13"/>
                <w:b w:val="1"/>
                <w:bCs w:val="1"/>
                <w:color w:val="auto"/>
              </w:rPr>
              <w:t>Three Months Ended March 31,</w:t>
            </w:r>
          </w:p>
        </w:tc>
        <w:tc>
          <w:tcPr>
            <w:tcW w:w="2860" w:type="dxa"/>
            <w:vAlign w:val="bottom"/>
            <w:gridSpan w:val="3"/>
          </w:tcPr>
          <w:p>
            <w:pPr>
              <w:ind w:left="540"/>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13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171450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00" w:firstLine="21"/>
        <w:spacing w:after="0" w:line="287" w:lineRule="auto"/>
        <w:rPr>
          <w:sz w:val="20"/>
          <w:szCs w:val="20"/>
          <w:color w:val="auto"/>
        </w:rPr>
      </w:pPr>
      <w:r>
        <w:rPr>
          <w:rFonts w:ascii="Arial" w:cs="Arial" w:eastAsia="Arial" w:hAnsi="Arial"/>
          <w:sz w:val="12"/>
          <w:szCs w:val="12"/>
          <w:b w:val="1"/>
          <w:bCs w:val="1"/>
          <w:color w:val="auto"/>
        </w:rPr>
        <w:t>Affected line item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-6350</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879" w:lineRule="exact"/>
        <w:rPr>
          <w:sz w:val="20"/>
          <w:szCs w:val="20"/>
          <w:color w:val="auto"/>
        </w:rPr>
      </w:pPr>
    </w:p>
    <w:p>
      <w:pPr>
        <w:sectPr>
          <w:pgSz w:w="11900" w:h="16838" w:orient="portrait"/>
          <w:cols w:equalWidth="0" w:num="3">
            <w:col w:w="3320" w:space="100"/>
            <w:col w:w="5840" w:space="400"/>
            <w:col w:w="1760"/>
          </w:cols>
          <w:pgMar w:left="240" w:top="571" w:right="239" w:bottom="1440" w:gutter="0" w:footer="0" w:header="0"/>
          <w:type w:val="continuous"/>
        </w:sectPr>
      </w:pPr>
    </w:p>
    <w:tbl>
      <w:tblPr>
        <w:tblLayout w:type="fixed"/>
        <w:tblInd w:w="40" w:type="dxa"/>
        <w:tblCellMar>
          <w:top w:w="0" w:type="dxa"/>
          <w:left w:w="0" w:type="dxa"/>
          <w:bottom w:w="0" w:type="dxa"/>
          <w:right w:w="0" w:type="dxa"/>
        </w:tblCellMar>
      </w:tblPr>
      <w:tr>
        <w:trPr>
          <w:trHeight w:val="217"/>
        </w:trPr>
        <w:tc>
          <w:tcPr>
            <w:tcW w:w="1740" w:type="dxa"/>
            <w:vAlign w:val="bottom"/>
          </w:tcPr>
          <w:p>
            <w:pPr>
              <w:spacing w:after="0"/>
              <w:rPr>
                <w:sz w:val="20"/>
                <w:szCs w:val="20"/>
                <w:color w:val="auto"/>
              </w:rPr>
            </w:pPr>
            <w:r>
              <w:rPr>
                <w:rFonts w:ascii="Arial" w:cs="Arial" w:eastAsia="Arial" w:hAnsi="Arial"/>
                <w:sz w:val="16"/>
                <w:szCs w:val="16"/>
                <w:color w:val="auto"/>
              </w:rPr>
              <w:t>Interest rate swaps</w:t>
            </w: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7"/>
        </w:trPr>
        <w:tc>
          <w:tcPr>
            <w:tcW w:w="1740" w:type="dxa"/>
            <w:vAlign w:val="bottom"/>
          </w:tcPr>
          <w:p>
            <w:pPr>
              <w:spacing w:after="0"/>
              <w:rPr>
                <w:sz w:val="20"/>
                <w:szCs w:val="20"/>
                <w:color w:val="auto"/>
              </w:rPr>
            </w:pPr>
            <w:r>
              <w:rPr>
                <w:rFonts w:ascii="Arial" w:cs="Arial" w:eastAsia="Arial" w:hAnsi="Arial"/>
                <w:sz w:val="16"/>
                <w:szCs w:val="16"/>
                <w:color w:val="auto"/>
              </w:rPr>
              <w:t>Cross-currency swaps</w:t>
            </w:r>
          </w:p>
        </w:tc>
        <w:tc>
          <w:tcPr>
            <w:tcW w:w="1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6,366</w:t>
            </w:r>
          </w:p>
        </w:tc>
      </w:tr>
      <w:tr>
        <w:trPr>
          <w:trHeight w:val="353"/>
        </w:trPr>
        <w:tc>
          <w:tcPr>
            <w:tcW w:w="1740" w:type="dxa"/>
            <w:vAlign w:val="bottom"/>
          </w:tcPr>
          <w:p>
            <w:pPr>
              <w:spacing w:after="0"/>
              <w:rPr>
                <w:sz w:val="24"/>
                <w:szCs w:val="24"/>
                <w:color w:val="auto"/>
              </w:rPr>
            </w:pPr>
          </w:p>
        </w:tc>
        <w:tc>
          <w:tcPr>
            <w:tcW w:w="2080" w:type="dxa"/>
            <w:vAlign w:val="bottom"/>
            <w:gridSpan w:val="2"/>
          </w:tcPr>
          <w:p>
            <w:pPr>
              <w:jc w:val="right"/>
              <w:ind w:right="460"/>
              <w:spacing w:after="0"/>
              <w:rPr>
                <w:sz w:val="20"/>
                <w:szCs w:val="20"/>
                <w:color w:val="auto"/>
              </w:rPr>
            </w:pPr>
            <w:r>
              <w:rPr>
                <w:rFonts w:ascii="Arial" w:cs="Arial" w:eastAsia="Arial" w:hAnsi="Arial"/>
                <w:sz w:val="14"/>
                <w:szCs w:val="14"/>
                <w:color w:val="auto"/>
              </w:rPr>
              <w:t>Total before income tax</w:t>
            </w:r>
          </w:p>
        </w:tc>
        <w:tc>
          <w:tcPr>
            <w:tcW w:w="940" w:type="dxa"/>
            <w:vAlign w:val="bottom"/>
          </w:tcPr>
          <w:p>
            <w:pPr>
              <w:jc w:val="right"/>
              <w:spacing w:after="0"/>
              <w:rPr>
                <w:sz w:val="20"/>
                <w:szCs w:val="20"/>
                <w:color w:val="auto"/>
              </w:rPr>
            </w:pPr>
            <w:r>
              <w:rPr>
                <w:rFonts w:ascii="Arial" w:cs="Arial" w:eastAsia="Arial" w:hAnsi="Arial"/>
                <w:sz w:val="18"/>
                <w:szCs w:val="18"/>
                <w:color w:val="auto"/>
              </w:rPr>
              <w:t>(3,221)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6,266</w:t>
            </w:r>
          </w:p>
        </w:tc>
      </w:tr>
      <w:tr>
        <w:trPr>
          <w:trHeight w:val="276"/>
        </w:trPr>
        <w:tc>
          <w:tcPr>
            <w:tcW w:w="17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Income tax</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r>
      <w:tr>
        <w:trPr>
          <w:trHeight w:val="256"/>
        </w:trPr>
        <w:tc>
          <w:tcPr>
            <w:tcW w:w="1740" w:type="dxa"/>
            <w:vAlign w:val="bottom"/>
          </w:tcPr>
          <w:p>
            <w:pPr>
              <w:spacing w:after="0"/>
              <w:rPr>
                <w:sz w:val="22"/>
                <w:szCs w:val="22"/>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4,698</w:t>
            </w:r>
          </w:p>
        </w:tc>
      </w:tr>
      <w:tr>
        <w:trPr>
          <w:trHeight w:val="20"/>
        </w:trPr>
        <w:tc>
          <w:tcPr>
            <w:tcW w:w="1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2466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w:t>
      </w:r>
    </w:p>
    <w:p>
      <w:pPr>
        <w:spacing w:after="0" w:line="55" w:lineRule="exact"/>
        <w:rPr>
          <w:sz w:val="20"/>
          <w:szCs w:val="20"/>
          <w:color w:val="auto"/>
        </w:rPr>
      </w:pPr>
    </w:p>
    <w:p>
      <w:pPr>
        <w:jc w:val="center"/>
        <w:ind w:right="120"/>
        <w:spacing w:after="0" w:line="258" w:lineRule="auto"/>
        <w:rPr>
          <w:sz w:val="20"/>
          <w:szCs w:val="20"/>
          <w:color w:val="auto"/>
        </w:rPr>
      </w:pPr>
      <w:r>
        <w:rPr>
          <w:rFonts w:ascii="Arial" w:cs="Arial" w:eastAsia="Arial" w:hAnsi="Arial"/>
          <w:sz w:val="14"/>
          <w:szCs w:val="14"/>
          <w:color w:val="auto"/>
        </w:rPr>
        <w:t>Income (loss) before income taxes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Income tax expense</w:t>
      </w:r>
    </w:p>
    <w:p>
      <w:pPr>
        <w:spacing w:after="0" w:line="533" w:lineRule="exact"/>
        <w:rPr>
          <w:sz w:val="20"/>
          <w:szCs w:val="20"/>
          <w:color w:val="auto"/>
        </w:rPr>
      </w:pPr>
    </w:p>
    <w:p>
      <w:pPr>
        <w:sectPr>
          <w:pgSz w:w="11900" w:h="16838" w:orient="portrait"/>
          <w:cols w:equalWidth="0" w:num="2">
            <w:col w:w="9260" w:space="220"/>
            <w:col w:w="1940"/>
          </w:cols>
          <w:pgMar w:left="240" w:top="571" w:right="239" w:bottom="1440" w:gutter="0" w:footer="0" w:header="0"/>
          <w:type w:val="continuous"/>
        </w:sectPr>
      </w:pPr>
    </w:p>
    <w:p>
      <w:pPr>
        <w:spacing w:after="0" w:line="69"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derivative instruments for which we did not elect hedge accounting, as well as the effect of the ineffective portion and de-designated derivative financial instruments that no longer qualify as hedging instruments in the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6"/>
              </w:rPr>
              <w:t>Location of Gain (Loss)</w:t>
            </w:r>
          </w:p>
        </w:tc>
      </w:tr>
      <w:tr>
        <w:trPr>
          <w:trHeight w:val="135"/>
        </w:trPr>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Recognized in Income</w:t>
            </w:r>
          </w:p>
        </w:tc>
      </w:tr>
      <w:tr>
        <w:trPr>
          <w:trHeight w:val="178"/>
        </w:trPr>
        <w:tc>
          <w:tcPr>
            <w:tcW w:w="3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3"/>
                <w:szCs w:val="13"/>
                <w:b w:val="1"/>
                <w:bCs w:val="1"/>
                <w:color w:val="auto"/>
              </w:rPr>
              <w:t>Amount of Gain (Loss) Recognized in Net (Loss) Income</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(Ineffective Portion)</w:t>
            </w:r>
          </w:p>
        </w:tc>
      </w:tr>
      <w:tr>
        <w:trPr>
          <w:trHeight w:val="264"/>
        </w:trPr>
        <w:tc>
          <w:tcPr>
            <w:tcW w:w="3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6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March 31,</w:t>
            </w:r>
          </w:p>
        </w:tc>
        <w:tc>
          <w:tcPr>
            <w:tcW w:w="340" w:type="dxa"/>
            <w:vAlign w:val="bottom"/>
          </w:tcPr>
          <w:p>
            <w:pPr>
              <w:spacing w:after="0"/>
              <w:rPr>
                <w:sz w:val="22"/>
                <w:szCs w:val="22"/>
                <w:color w:val="auto"/>
              </w:rPr>
            </w:pPr>
          </w:p>
        </w:tc>
        <w:tc>
          <w:tcPr>
            <w:tcW w:w="2520" w:type="dxa"/>
            <w:vAlign w:val="bottom"/>
            <w:gridSpan w:val="4"/>
          </w:tcPr>
          <w:p>
            <w:pPr>
              <w:ind w:left="200"/>
              <w:spacing w:after="0"/>
              <w:rPr>
                <w:sz w:val="20"/>
                <w:szCs w:val="20"/>
                <w:color w:val="auto"/>
              </w:rPr>
            </w:pPr>
            <w:r>
              <w:rPr>
                <w:rFonts w:ascii="Arial" w:cs="Arial" w:eastAsia="Arial" w:hAnsi="Arial"/>
                <w:sz w:val="13"/>
                <w:szCs w:val="13"/>
                <w:b w:val="1"/>
                <w:bCs w:val="1"/>
                <w:color w:val="auto"/>
              </w:rPr>
              <w:t>Nine Months Ended March 31,</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6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r>
      <w:tr>
        <w:trPr>
          <w:trHeight w:val="16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not designated as hedging</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20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6"/>
                <w:szCs w:val="16"/>
                <w:color w:val="auto"/>
              </w:rPr>
              <w:t>Currency contracts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(9,103)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(19,382)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Other (expense) income, net</w:t>
            </w:r>
          </w:p>
        </w:tc>
      </w:t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(expense) income, net</w:t>
            </w:r>
          </w:p>
        </w:tc>
      </w:tr>
      <w:tr>
        <w:trPr>
          <w:trHeight w:val="250"/>
        </w:trPr>
        <w:tc>
          <w:tcPr>
            <w:tcW w:w="3420" w:type="dxa"/>
            <w:vAlign w:val="bottom"/>
          </w:tcPr>
          <w:p>
            <w:pPr>
              <w:spacing w:after="0"/>
              <w:rPr>
                <w:sz w:val="21"/>
                <w:szCs w:val="21"/>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12,737</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$(3,237) for the nine months ended March 31,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Gains (losses) on</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Translation</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Gains (losses) on</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pension benefit</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adjustments, net of</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72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cash flow hedges (1)</w:t>
            </w:r>
          </w:p>
        </w:tc>
        <w:tc>
          <w:tcPr>
            <w:tcW w:w="1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obligation</w:t>
            </w:r>
          </w:p>
        </w:tc>
        <w:tc>
          <w:tcPr>
            <w:tcW w:w="2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hedges (2)</w:t>
            </w:r>
          </w:p>
        </w:tc>
        <w:tc>
          <w:tcPr>
            <w:tcW w:w="300" w:type="dxa"/>
            <w:vAlign w:val="bottom"/>
          </w:tcPr>
          <w:p>
            <w:pPr>
              <w:spacing w:after="0"/>
              <w:rPr>
                <w:sz w:val="15"/>
                <w:szCs w:val="15"/>
                <w:color w:val="auto"/>
              </w:rPr>
            </w:pPr>
          </w:p>
        </w:tc>
        <w:tc>
          <w:tcPr>
            <w:tcW w:w="960" w:type="dxa"/>
            <w:vAlign w:val="bottom"/>
          </w:tcPr>
          <w:p>
            <w:pPr>
              <w:jc w:val="right"/>
              <w:ind w:right="40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(110,791)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(113,398)</w:t>
            </w:r>
          </w:p>
        </w:tc>
        <w:tc>
          <w:tcPr>
            <w:tcW w:w="0" w:type="dxa"/>
            <w:vAlign w:val="bottom"/>
          </w:tcPr>
          <w:p>
            <w:pPr>
              <w:spacing w:after="0"/>
              <w:rPr>
                <w:sz w:val="1"/>
                <w:szCs w:val="1"/>
                <w:color w:val="auto"/>
              </w:rPr>
            </w:pPr>
          </w:p>
        </w:tc>
      </w:tr>
      <w:tr>
        <w:trPr>
          <w:trHeight w:val="240"/>
        </w:trPr>
        <w:tc>
          <w:tcPr>
            <w:tcW w:w="572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12,822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24,650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37,472</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 comprehensive loss to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income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244"/>
        </w:trPr>
        <w:tc>
          <w:tcPr>
            <w:tcW w:w="5720" w:type="dxa"/>
            <w:vAlign w:val="bottom"/>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24,650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30,922</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4,022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(82,476)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1"/>
                <w:szCs w:val="11"/>
                <w:color w:val="auto"/>
              </w:rPr>
              <w:t>________________________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rates swap and cross-currency swap contracts designated in cash flow hedging relationships.</w:t>
      </w:r>
    </w:p>
    <w:p>
      <w:pPr>
        <w:spacing w:after="0" w:line="1" w:lineRule="exact"/>
        <w:rPr>
          <w:rFonts w:ascii="Arial" w:cs="Arial" w:eastAsia="Arial" w:hAnsi="Arial"/>
          <w:sz w:val="14"/>
          <w:szCs w:val="14"/>
          <w:color w:val="auto"/>
        </w:rPr>
      </w:pPr>
    </w:p>
    <w:p>
      <w:pPr>
        <w:ind w:left="260" w:right="580" w:hanging="252"/>
        <w:spacing w:after="0" w:line="258" w:lineRule="auto"/>
        <w:tabs>
          <w:tab w:leader="none" w:pos="233"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March 31, 2018 and June 30, 2017, the translation adjustment is inclusive of the effects of our net investment hedges, of which, unrealized losses of $41,290 and $17,048, respectively, net of tax, have been included in accumulated other comprehensive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March 31, 2018 and June 30, 2017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Vistaprint</w:t>
            </w:r>
          </w:p>
        </w:tc>
        <w:tc>
          <w:tcPr>
            <w:tcW w:w="13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Upload and Print</w:t>
            </w:r>
          </w:p>
        </w:tc>
        <w:tc>
          <w:tcPr>
            <w:tcW w:w="20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All Other</w:t>
            </w:r>
          </w:p>
        </w:tc>
        <w:tc>
          <w:tcPr>
            <w:tcW w:w="300" w:type="dxa"/>
            <w:vAlign w:val="bottom"/>
          </w:tcPr>
          <w:p>
            <w:pPr>
              <w:spacing w:after="0"/>
              <w:rPr>
                <w:sz w:val="13"/>
                <w:szCs w:val="13"/>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1"/>
        </w:trPr>
        <w:tc>
          <w:tcPr>
            <w:tcW w:w="4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Businesses</w:t>
            </w:r>
          </w:p>
        </w:tc>
        <w:tc>
          <w:tcPr>
            <w:tcW w:w="3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147,207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321,805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34,520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11,431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514,963</w:t>
            </w:r>
          </w:p>
        </w:tc>
        <w:tc>
          <w:tcPr>
            <w:tcW w:w="0" w:type="dxa"/>
            <w:vAlign w:val="bottom"/>
          </w:tcPr>
          <w:p>
            <w:pPr>
              <w:spacing w:after="0"/>
              <w:rPr>
                <w:sz w:val="1"/>
                <w:szCs w:val="1"/>
                <w:color w:val="auto"/>
              </w:rPr>
            </w:pP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currency translation adjustments (1)</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27,550</w:t>
            </w: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Balance as of March 31, 2018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149,855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346,649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34,434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11,431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542,369</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(1) Relates to goodwill held by subsidiaries whose functional currency is not the U.S. Dollar.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89"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Acquired intangible assets amortization expense for the three and nine months ended March 31, 2018 was $12,941 and $38,132, respectively, compared to $13,450 and $33,542 for the prior comparative periods, respectively. In addition, during the three and nine months ended March 31, 2017, we recognized an impairment of $3,211, related to the acquired intangible assets within the Tradeprint asset group. Refer below for additional discussion regarding the impairment.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Review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w:t>
      </w:r>
    </w:p>
    <w:p>
      <w:pPr>
        <w:spacing w:after="0" w:line="24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During the third quarter of fiscal 2017, we concluded that the goodwill of our Tradeprint reporting unit, part of our Upload and Print reportable segment, was not fully recoverable as the reporting unit was forecasting lower profits than originally forecasted as of the acquisition date. This resulted in an impairment of goodwill of $6,345 and an impairment of acquired intangible assets of $3,211 during the quarter ended March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Balance Sheet Components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2"/>
              <w:spacing w:after="0"/>
              <w:rPr>
                <w:sz w:val="20"/>
                <w:szCs w:val="20"/>
                <w:color w:val="auto"/>
              </w:rPr>
            </w:pPr>
            <w:r>
              <w:rPr>
                <w:rFonts w:ascii="Arial" w:cs="Arial" w:eastAsia="Arial" w:hAnsi="Arial"/>
                <w:sz w:val="13"/>
                <w:szCs w:val="13"/>
                <w:b w:val="1"/>
                <w:bCs w:val="1"/>
                <w:color w:val="auto"/>
              </w:rPr>
              <w:t>March 31, 2018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costs</w:t>
            </w: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59,908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54,487</w:t>
            </w:r>
          </w:p>
        </w:tc>
        <w:tc>
          <w:tcPr>
            <w:tcW w:w="0" w:type="dxa"/>
            <w:vAlign w:val="bottom"/>
          </w:tcPr>
          <w:p>
            <w:pPr>
              <w:spacing w:after="0"/>
              <w:rPr>
                <w:sz w:val="1"/>
                <w:szCs w:val="1"/>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Income and indirect taxes</w:t>
            </w:r>
          </w:p>
        </w:tc>
        <w:tc>
          <w:tcPr>
            <w:tcW w:w="3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45,691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34,469</w:t>
            </w: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 costs</w:t>
            </w:r>
          </w:p>
        </w:tc>
        <w:tc>
          <w:tcPr>
            <w:tcW w:w="3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28,001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26,641</w:t>
            </w:r>
          </w:p>
        </w:tc>
        <w:tc>
          <w:tcPr>
            <w:tcW w:w="0" w:type="dxa"/>
            <w:vAlign w:val="bottom"/>
          </w:tcPr>
          <w:p>
            <w:pPr>
              <w:spacing w:after="0"/>
              <w:rPr>
                <w:sz w:val="1"/>
                <w:szCs w:val="1"/>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Interest payable</w:t>
            </w:r>
          </w:p>
        </w:tc>
        <w:tc>
          <w:tcPr>
            <w:tcW w:w="3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10,335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3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Shipping costs</w:t>
            </w:r>
          </w:p>
        </w:tc>
        <w:tc>
          <w:tcPr>
            <w:tcW w:w="3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6,817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returns</w:t>
            </w:r>
          </w:p>
        </w:tc>
        <w:tc>
          <w:tcPr>
            <w:tcW w:w="3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3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3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39,160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29,303</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accrued expenses</w:t>
            </w: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210,407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175,567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Other current liabilities included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March 31, 2018</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0"/>
        </w:trPr>
        <w:tc>
          <w:tcPr>
            <w:tcW w:w="7880" w:type="dxa"/>
            <w:vAlign w:val="bottom"/>
          </w:tcPr>
          <w:p>
            <w:pPr>
              <w:ind w:left="40"/>
              <w:spacing w:after="0"/>
              <w:rPr>
                <w:sz w:val="20"/>
                <w:szCs w:val="20"/>
                <w:color w:val="auto"/>
              </w:rPr>
            </w:pPr>
            <w:r>
              <w:rPr>
                <w:rFonts w:ascii="Arial" w:cs="Arial" w:eastAsia="Arial" w:hAnsi="Arial"/>
                <w:sz w:val="18"/>
                <w:szCs w:val="18"/>
                <w:color w:val="auto"/>
              </w:rPr>
              <w:t>Contingent earn-out liability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44,049</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lease financing obligation</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Short-term derivative liabilities</w:t>
            </w:r>
          </w:p>
        </w:tc>
        <w:tc>
          <w:tcPr>
            <w:tcW w:w="2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17,184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11,521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11,573</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Mandatorily redeemable noncontrolling interest (2)</w:t>
            </w:r>
          </w:p>
        </w:tc>
        <w:tc>
          <w:tcPr>
            <w:tcW w:w="2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Total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42,922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78,435</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720"/>
              <w:spacing w:after="0"/>
              <w:rPr>
                <w:sz w:val="20"/>
                <w:szCs w:val="20"/>
                <w:color w:val="auto"/>
              </w:rPr>
            </w:pPr>
            <w:r>
              <w:rPr>
                <w:rFonts w:ascii="Arial" w:cs="Arial" w:eastAsia="Arial" w:hAnsi="Arial"/>
                <w:sz w:val="18"/>
                <w:szCs w:val="18"/>
                <w:color w:val="auto"/>
              </w:rPr>
              <w:t>Other liabilities included the following:</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March 31, 2018</w:t>
            </w:r>
          </w:p>
        </w:tc>
        <w:tc>
          <w:tcPr>
            <w:tcW w:w="300" w:type="dxa"/>
            <w:vAlign w:val="bottom"/>
          </w:tcPr>
          <w:p>
            <w:pPr>
              <w:spacing w:after="0"/>
              <w:rPr>
                <w:sz w:val="24"/>
                <w:szCs w:val="24"/>
                <w:color w:val="auto"/>
              </w:rPr>
            </w:pPr>
          </w:p>
        </w:tc>
        <w:tc>
          <w:tcPr>
            <w:tcW w:w="1420" w:type="dxa"/>
            <w:vAlign w:val="bottom"/>
          </w:tcPr>
          <w:p>
            <w:pPr>
              <w:jc w:val="right"/>
              <w:ind w:right="354"/>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0"/>
        </w:trPr>
        <w:tc>
          <w:tcPr>
            <w:tcW w:w="7880" w:type="dxa"/>
            <w:vAlign w:val="bottom"/>
          </w:tcPr>
          <w:p>
            <w:pPr>
              <w:ind w:left="40"/>
              <w:spacing w:after="0"/>
              <w:rPr>
                <w:sz w:val="20"/>
                <w:szCs w:val="20"/>
                <w:color w:val="auto"/>
              </w:rPr>
            </w:pPr>
            <w:r>
              <w:rPr>
                <w:rFonts w:ascii="Arial" w:cs="Arial" w:eastAsia="Arial" w:hAnsi="Arial"/>
                <w:sz w:val="18"/>
                <w:szCs w:val="18"/>
                <w:color w:val="auto"/>
              </w:rPr>
              <w:t>Long-term derivative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64,986</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31,936</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28,306</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Mandatorily redeemable noncontrolling interest (2)</w:t>
            </w:r>
          </w:p>
        </w:tc>
        <w:tc>
          <w:tcPr>
            <w:tcW w:w="2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(3)</w:t>
            </w: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32,409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31,985</w:t>
            </w:r>
          </w:p>
        </w:tc>
        <w:tc>
          <w:tcPr>
            <w:tcW w:w="0" w:type="dxa"/>
            <w:vAlign w:val="bottom"/>
          </w:tcPr>
          <w:p>
            <w:pPr>
              <w:spacing w:after="0"/>
              <w:rPr>
                <w:sz w:val="1"/>
                <w:szCs w:val="1"/>
                <w:color w:val="auto"/>
              </w:rPr>
            </w:pP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120,610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94,683</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8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January 2, 2018, we paid the contingent earn-out liability in full, refer to the summary below for additional details.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Relates to the mandatorily redeemable noncontrolling interest of Printi LLC. Refer to Note 11 for additional details.</w:t>
      </w:r>
    </w:p>
    <w:p>
      <w:pPr>
        <w:spacing w:after="0" w:line="1" w:lineRule="exact"/>
        <w:rPr>
          <w:rFonts w:ascii="Arial" w:cs="Arial" w:eastAsia="Arial" w:hAnsi="Arial"/>
          <w:sz w:val="14"/>
          <w:szCs w:val="14"/>
          <w:color w:val="auto"/>
        </w:rPr>
      </w:pPr>
    </w:p>
    <w:p>
      <w:pPr>
        <w:ind w:left="260" w:right="740" w:hanging="252"/>
        <w:spacing w:after="0" w:line="258" w:lineRule="auto"/>
        <w:tabs>
          <w:tab w:leader="none" w:pos="233"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March 31, 2018 and June 30, 2017, other liabilities includes $9,773 and $8,173, respectively, related to share-based compensation awards associated with our investment in Printi LLC. Refer to Note 11 for additional details.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earn-out liability</w:t>
      </w:r>
    </w:p>
    <w:p>
      <w:pPr>
        <w:spacing w:after="0" w:line="216" w:lineRule="exact"/>
        <w:rPr>
          <w:sz w:val="20"/>
          <w:szCs w:val="20"/>
          <w:color w:val="auto"/>
        </w:rPr>
      </w:pPr>
    </w:p>
    <w:p>
      <w:pPr>
        <w:ind w:left="60" w:right="180" w:firstLine="648"/>
        <w:spacing w:after="0" w:line="252" w:lineRule="auto"/>
        <w:rPr>
          <w:sz w:val="20"/>
          <w:szCs w:val="20"/>
          <w:color w:val="auto"/>
        </w:rPr>
      </w:pPr>
      <w:r>
        <w:rPr>
          <w:rFonts w:ascii="Arial" w:cs="Arial" w:eastAsia="Arial" w:hAnsi="Arial"/>
          <w:sz w:val="18"/>
          <w:szCs w:val="18"/>
          <w:color w:val="auto"/>
        </w:rPr>
        <w:t>Under the original terms of the WIRmachenDRUCK earn-out arrangement, a portion of the earn-out attributed to the minority selling shareholders was included as a component of purchase consideration as of the acquisition date, with any subsequent changes to fair value recognized within general and administrative expense. This earn-out was previously calculated on a sliding scale, based on the achievement of cumulative gross profit against a predetermined target. During the fourth quarter of fiscal 2017, we determined it was reasonably certain, that the maximum earn-out would be achieved and we paid the maximum amount on January 2, 2018. Refer to Note 3 of the consolidated financial statements for additional details of this payment.</w:t>
      </w:r>
    </w:p>
    <w:p>
      <w:pPr>
        <w:spacing w:after="0" w:line="182" w:lineRule="exact"/>
        <w:rPr>
          <w:sz w:val="20"/>
          <w:szCs w:val="20"/>
          <w:color w:val="auto"/>
        </w:rPr>
      </w:pPr>
    </w:p>
    <w:p>
      <w:pPr>
        <w:jc w:val="both"/>
        <w:ind w:left="60" w:right="20" w:firstLine="648"/>
        <w:spacing w:after="0" w:line="278" w:lineRule="auto"/>
        <w:rPr>
          <w:sz w:val="20"/>
          <w:szCs w:val="20"/>
          <w:color w:val="auto"/>
        </w:rPr>
      </w:pPr>
      <w:r>
        <w:rPr>
          <w:rFonts w:ascii="Arial" w:cs="Arial" w:eastAsia="Arial" w:hAnsi="Arial"/>
          <w:sz w:val="17"/>
          <w:szCs w:val="17"/>
          <w:color w:val="auto"/>
        </w:rPr>
        <w:t>The liability represented the present value of the agreed payment amount as of the respective date. We recognized $ 1,774 of expense during the nine months ended March 31, 2018, and $4,598 and $27,364 of expense during the three and nine months ended March 31, 2017, respectively, as part of general and administrative expense. We recognized no expense during the three months ended March 31,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2018</w:t>
            </w:r>
          </w:p>
        </w:tc>
        <w:tc>
          <w:tcPr>
            <w:tcW w:w="260" w:type="dxa"/>
            <w:vAlign w:val="bottom"/>
          </w:tcPr>
          <w:p>
            <w:pPr>
              <w:spacing w:after="0"/>
              <w:rPr>
                <w:sz w:val="15"/>
                <w:szCs w:val="15"/>
                <w:color w:val="auto"/>
              </w:rPr>
            </w:pPr>
          </w:p>
        </w:tc>
        <w:tc>
          <w:tcPr>
            <w:tcW w:w="1340" w:type="dxa"/>
            <w:vAlign w:val="bottom"/>
          </w:tcPr>
          <w:p>
            <w:pPr>
              <w:jc w:val="right"/>
              <w:ind w:right="313"/>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7"/>
        </w:trPr>
        <w:tc>
          <w:tcPr>
            <w:tcW w:w="8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facility</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537,276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600,037</w:t>
            </w:r>
          </w:p>
        </w:tc>
        <w:tc>
          <w:tcPr>
            <w:tcW w:w="0" w:type="dxa"/>
            <w:vAlign w:val="bottom"/>
          </w:tcPr>
          <w:p>
            <w:pPr>
              <w:spacing w:after="0"/>
              <w:rPr>
                <w:sz w:val="1"/>
                <w:szCs w:val="1"/>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7.0% Senior unsecured notes due 2022</w:t>
            </w:r>
          </w:p>
        </w:tc>
        <w:tc>
          <w:tcPr>
            <w:tcW w:w="24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7,906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Debt issuance costs and debt discounts (1)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debt outstanding, net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812,615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876,656</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short-term debt (2)</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26,214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786,401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847,730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60" w:right="320" w:hanging="252"/>
        <w:spacing w:after="0" w:line="258" w:lineRule="auto"/>
        <w:tabs>
          <w:tab w:leader="none" w:pos="233"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nine months ended March 31, 2018, we capitalized $3,251 in debt issuance costs, which related to the amendment and restatement to our senior secured credit facility. Refer below for additional details relating to the amendment.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(2) Balances as of March 31, 2018 and June 30, 2017 are inclusive of short-term debt issuance costs and debt discounts of $1,846 and $1,693,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w:t>
      </w:r>
    </w:p>
    <w:p>
      <w:pPr>
        <w:spacing w:after="0" w:line="243" w:lineRule="exact"/>
        <w:rPr>
          <w:sz w:val="20"/>
          <w:szCs w:val="20"/>
          <w:color w:val="auto"/>
        </w:rPr>
      </w:pPr>
    </w:p>
    <w:p>
      <w:pPr>
        <w:ind w:left="60" w:right="40" w:firstLine="648"/>
        <w:spacing w:after="0" w:line="262" w:lineRule="auto"/>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 March 31, 2018, we were in compliance with all financial and other covenants related to our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43" w:lineRule="exact"/>
        <w:rPr>
          <w:sz w:val="20"/>
          <w:szCs w:val="20"/>
          <w:color w:val="auto"/>
        </w:rPr>
      </w:pPr>
    </w:p>
    <w:p>
      <w:pPr>
        <w:jc w:val="both"/>
        <w:ind w:right="440" w:firstLine="648"/>
        <w:spacing w:after="0" w:line="256" w:lineRule="auto"/>
        <w:rPr>
          <w:sz w:val="20"/>
          <w:szCs w:val="20"/>
          <w:color w:val="auto"/>
        </w:rPr>
      </w:pPr>
      <w:r>
        <w:rPr>
          <w:rFonts w:ascii="Arial" w:cs="Arial" w:eastAsia="Arial" w:hAnsi="Arial"/>
          <w:sz w:val="18"/>
          <w:szCs w:val="18"/>
          <w:color w:val="auto"/>
        </w:rPr>
        <w:t>On July 13, 2017, we entered into an amendment and restatement agreement for our senior secured credit facility resulting in an increase of loan commitments under the credit agreement to $1,045,000 in the aggregate. The amendment also extended the tenor of our borrowings to a maturity date of July 13, 2022. As of March 31, 2018, we have a committed credit facility of $1,033,750 as follows:</w:t>
      </w:r>
    </w:p>
    <w:p>
      <w:pPr>
        <w:spacing w:after="0" w:line="17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Revolving loans of $745,000 with a maturity date of July 13, 2022</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 loan of $288,750 amortizing over the loan period, with a final maturity date of July 13, 2022.</w:t>
      </w:r>
    </w:p>
    <w:p>
      <w:pPr>
        <w:spacing w:after="0" w:line="27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Under the terms of our credit agreement, borrowings bear interest at a variable rate of interest based on LIBOR plus 1.50% to 2.25% depending on our leverage ratio, which is the ratio of our consolidated total indebtedness to our consolidated EBITDA, as defined by the credit agreement. As of March 31, 2018, the weighted-average interest rate on outstanding borrowings was 3.56%, inclusive of interest rate swap rates. We are also required to pay a commitment fee on unused balances of 0.225% to 0.400% depending on our leverage ratio. We have pledged the assets and/or share capital of several of our subsidiaries as collateral for our outstanding debt as of March 31,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and Senior Unsecured Notes due 2022</w:t>
      </w:r>
    </w:p>
    <w:p>
      <w:pPr>
        <w:spacing w:after="0" w:line="324" w:lineRule="exact"/>
        <w:rPr>
          <w:sz w:val="20"/>
          <w:szCs w:val="20"/>
          <w:color w:val="auto"/>
        </w:rPr>
      </w:pPr>
    </w:p>
    <w:p>
      <w:pPr>
        <w:ind w:left="60" w:right="300" w:firstLine="648"/>
        <w:spacing w:after="0" w:line="254" w:lineRule="auto"/>
        <w:rPr>
          <w:sz w:val="20"/>
          <w:szCs w:val="20"/>
          <w:color w:val="auto"/>
        </w:rPr>
      </w:pPr>
      <w:r>
        <w:rPr>
          <w:rFonts w:ascii="Arial" w:cs="Arial" w:eastAsia="Arial" w:hAnsi="Arial"/>
          <w:sz w:val="18"/>
          <w:szCs w:val="18"/>
          <w:color w:val="auto"/>
        </w:rPr>
        <w:t>On March 24, 2015, we completed a private placement of $275,000 in aggregate principal amount of 7.0% senior unsecured notes due 2022 (the “Notes”). We issued the Notes pursuant to a senior notes indenture dated as of March 24, 2015 among Cimpress N.V., our subsidiary guarantors, and MUFG Union Bank, N.A., as trustee (the "Indenture"). We used the proceeds from the Notes to pay outstanding indebtedness under our unsecured line of credit and our senior secured credit facility and for general corporate purposes.</w:t>
      </w:r>
    </w:p>
    <w:p>
      <w:pPr>
        <w:spacing w:after="0" w:line="20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Notes bear interest at a rate of 7.0% per annum and mature on April 1, 2022. Interest on the Notes is payable semi-annually on April 1 and October 1 of each year, commencing on October 1, 2015, to the holders of record of the Notes at the close of business on March 15 and September 15, respectively, preceding such interest payment date.</w:t>
      </w:r>
    </w:p>
    <w:p>
      <w:pPr>
        <w:spacing w:after="0" w:line="20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Notes are senior unsecured obligations and rank equally in right of payment to all our existing and future senior unsecured debt and senior in right of payment to all of our existing and future subordinated debt. The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will guarantee the Notes.</w:t>
      </w:r>
    </w:p>
    <w:p>
      <w:pPr>
        <w:spacing w:after="0" w:line="20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Indenture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had the right to redeem, at any time prior to April 1, 2018, some or all of the Notes at a redemption price equal to 100% of the principal amount redeemed, plus a make-whole amount as set forth in the Indenture, plus, in each case, accrued and unpaid interest to, but not including, the redemption date. In addition, we had the right to redeem, at any time prior to April 1, 2018, up to 35% of the aggregate outstanding principal amount of the Notes at a redemption price equal to 107% of the principal amount thereof, plus accrued and unpaid interest to, but not including, the redemption date, with the net proceeds of certain equity offerings by Cimpress. To date we have not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87" w:right="259" w:bottom="1440" w:gutter="0" w:footer="0" w:header="0"/>
        </w:sectPr>
      </w:pPr>
    </w:p>
    <w:bookmarkStart w:id="21" w:name="page22"/>
    <w:bookmarkEnd w:id="21"/>
    <w:p>
      <w:pPr>
        <w:ind w:right="40"/>
        <w:spacing w:after="0" w:line="262" w:lineRule="auto"/>
        <w:rPr>
          <w:sz w:val="20"/>
          <w:szCs w:val="20"/>
          <w:color w:val="auto"/>
        </w:rPr>
      </w:pPr>
      <w:r>
        <w:rPr>
          <w:rFonts w:ascii="Arial" w:cs="Arial" w:eastAsia="Arial" w:hAnsi="Arial"/>
          <w:sz w:val="18"/>
          <w:szCs w:val="18"/>
          <w:color w:val="auto"/>
        </w:rPr>
        <w:t>exercised our redemption right; however if in the future we choose to exercise we will redeem some or all of the Notes at the redemption prices specified in the Indenture, plus accrued and unpaid interest to, but not including, the redemption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Other debt consists primarily of term loans acquired through our various acquisitions. As of March 31, 2018 and June 30, 2017 we had $7,906 and $7,541, respectively, outstanding for those obligations that are payable through September 2024.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income tax expense was $4,019 and $19,657 for the three and nine months ended March 31, 2018, respectively, as compared to income tax benefits of $17,431 and $ 7,644 for the prior comparative periods. The increase in income tax expense is primarily attributable to pre-tax income for the three and nine months ended March 31, 2018 as compared to pre-tax losses in the comparable periods. Additionally, we recognized tax expense of $4,742 related to the impacts of U.S. tax reform recognized in the nine months ended March 31, 2018. We recognize excess tax benefits associated with the vesting or exercise of share based compensation awards as a discrete tax item. During the three and nine months ended March 31, 2018, we recognized excess tax benefits from share based compensation of $1,329 and $2,802, respectively, as compared to $45 and $4,659 for the comparable prior periods. Excluding the effect of these discrete tax items, we are forecasting a more favorable consolidated annual effective tax rate for fiscal 2018 as compared to fiscal 2017 primarily due to higher forecasted full year pre-tax income as well as a more favorable geographical mix of consolidated earnings. In addition, our effective tax rate is negatively impacted by losses in certain jurisdictions where we are unable to recognize a full tax benefit in the current period.</w:t>
      </w:r>
    </w:p>
    <w:p>
      <w:pPr>
        <w:spacing w:after="0" w:line="21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December 22, 2017, the Tax Cuts and Jobs Act ("The Act") was signed into law, resulting in significant changes to U.S. tax law for corporations. Our tax balances were adjusted during the quarter ended December 31, 2017 based upon our interpretation of The Act, although the final impact on our tax balances may change due to the issuance of additional guidance, changes in our interpretation of The Act, changes in assumptions made by Cimpress, and actions Cimpress may take as a result of The Act. There were no material changes to our tax balances for the three months ended March 31, 2018 as a result of The Act. We will continue to review and assess the potential impact of any new information on our financial statement positions.</w:t>
      </w:r>
    </w:p>
    <w:p>
      <w:pPr>
        <w:spacing w:after="0" w:line="20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On October 1, 2013, we made changes to our corporate entity operating structure, including transferring our intellectual property among certain of our subsidiaries, primarily to align our corporate entities with our evolving operations and business model. Our subsidiary based in Switzerland was the recipient of the intellectual property. In accordance with Swiss tax law, we are entitled to amortize the fair market value of the intellectual property received at the date of transfer over five years for tax purposes. As a result of this amortization, we are expecting a loss for Swiss tax purposes during fiscal 2018.</w:t>
      </w:r>
    </w:p>
    <w:p>
      <w:pPr>
        <w:spacing w:after="0" w:line="206"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As of March 31, 2018, we had a liability for unrecognized tax benefits included in the balance sheet of $4,872, including accrued interest and penalties of $355. We recognize interest and, if applicable, penalties related to unrecognized tax benefits in the provision for income taxes. If recognized, the entire liability for unrecognized tax benefits would reduce our income tax expense. It is reasonably possible that a reduction in unrecognized tax benefits may occur within the next twelve months in the range of $600 to $800 related to the lapse of applicable statutes of limitations. We believe we have appropriately provided for all tax uncertainties.</w:t>
      </w:r>
    </w:p>
    <w:p>
      <w:pPr>
        <w:spacing w:after="0" w:line="20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2015 through 2017 remain open for examination by the United States Internal Revenue Service (“IRS”) and the years 2012 through 2017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98"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Noncontrolling Interests</w:t>
      </w:r>
    </w:p>
    <w:p>
      <w:pPr>
        <w:spacing w:after="0" w:line="20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certain of our strategic investments we own a controlling equity stake, but a third party owns a minority portion of the equity. The balance sheet and operating activity of these entities are included in our consolidated financial statements and we adjust the net income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03"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On April 15, 2015, we acquired 70% of the outstanding shares of Exagroup SAS. The remaining 30% is considered a redeemable noncontrolling equity interest, as it is redeemable in the future and not solely within our control. The Exagroup noncontrolling interest, redeemable at a fixed amount of € 39,000, was recorded at its fair value as of the acquisition date and will be adjusted to its redemption value on a periodic basis, if that amount exceeds its carrying value. As of March 31, 2018, the redemption value was less than the carrying value, and therefore no adjustment was required.</w:t>
      </w:r>
    </w:p>
    <w:p>
      <w:pPr>
        <w:spacing w:after="0" w:line="20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August 23, 2017, we sold approximately 12% of the outstanding shares of our WIRmachenDRUCK subsidiary for a total of €30,000 ($35,390 based on the exchange rate on the date we received the proceeds). The minority equity interest is considered a redeemable noncontrolling interest, as it is redeemable for cash based on future financial results through put and call rights and not solely within our control. The noncontrolling interest was recorded at its fair value as of the sale date and will be adjusted to its redemption value on a periodic basis, with an offset to retained earnings, if that amount exceeds its carrying value. If the formulaic redemption value exceeds the fair value of the noncontrolling interest, then the accretion to redemption value will be offset to the net (income) loss attributable to noncontrolling interest in our consolidated statement of operations. As of March 31, 2018, the redemption value was less than the carrying value, and therefore no adjustment was required.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Redeemable noncontrolling</w:t>
            </w: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78"/>
        </w:trPr>
        <w:tc>
          <w:tcPr>
            <w:tcW w:w="7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interests</w:t>
            </w:r>
          </w:p>
        </w:tc>
        <w:tc>
          <w:tcPr>
            <w:tcW w:w="220" w:type="dxa"/>
            <w:vAlign w:val="bottom"/>
          </w:tcPr>
          <w:p>
            <w:pPr>
              <w:spacing w:after="0"/>
              <w:rPr>
                <w:sz w:val="15"/>
                <w:szCs w:val="15"/>
                <w:color w:val="auto"/>
              </w:rPr>
            </w:pPr>
          </w:p>
        </w:tc>
        <w:tc>
          <w:tcPr>
            <w:tcW w:w="1840" w:type="dxa"/>
            <w:vAlign w:val="bottom"/>
          </w:tcPr>
          <w:p>
            <w:pPr>
              <w:jc w:val="right"/>
              <w:ind w:right="254"/>
              <w:spacing w:after="0"/>
              <w:rPr>
                <w:sz w:val="20"/>
                <w:szCs w:val="20"/>
                <w:color w:val="auto"/>
              </w:rPr>
            </w:pPr>
            <w:r>
              <w:rPr>
                <w:rFonts w:ascii="Arial" w:cs="Arial" w:eastAsia="Arial" w:hAnsi="Arial"/>
                <w:sz w:val="13"/>
                <w:szCs w:val="13"/>
                <w:b w:val="1"/>
                <w:bCs w:val="1"/>
                <w:color w:val="auto"/>
              </w:rPr>
              <w:t>Noncontrolling interest</w:t>
            </w:r>
          </w:p>
        </w:tc>
      </w:tr>
      <w:tr>
        <w:trPr>
          <w:trHeight w:val="257"/>
        </w:trPr>
        <w:tc>
          <w:tcPr>
            <w:tcW w:w="7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45,412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22"/>
                <w:szCs w:val="22"/>
                <w:color w:val="auto"/>
              </w:rPr>
            </w:pPr>
          </w:p>
        </w:tc>
        <w:tc>
          <w:tcPr>
            <w:tcW w:w="1900" w:type="dxa"/>
            <w:vAlign w:val="bottom"/>
          </w:tcPr>
          <w:p>
            <w:pPr>
              <w:jc w:val="right"/>
              <w:ind w:right="18"/>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noncontrolling interest</w:t>
            </w: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35,390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87,805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Entity ("VIE")</w:t>
      </w:r>
    </w:p>
    <w:p>
      <w:pPr>
        <w:spacing w:after="0" w:line="20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On August 7, 2014, we made a capital investment in Printi LLC, which operates in Brazil. This investment provided us access to a new market and the opportunity to drive longer-term growth in Brazil and other geographies as Printi expands internationally in the future. As of March 31, 2018, we have a 49.99% equity interest in Printi. Based upon the level of equity investment at risk, Printi is considered a variable interest entity. The shareholders of Printi share profits and voting control on a pro-rata basis. While we do not manage the day to day operations of Printi, we do have the unilateral ability to exercise participating voting rights for specific transactions, and as such no one shareholder is considered to be the primary beneficiary. However, certain significant shareholders cannot transfer their equity interests without our approval and as a result are considered de facto agents on our behalf in accordance with ASC 810-10-25-43.</w:t>
      </w:r>
    </w:p>
    <w:p>
      <w:pPr>
        <w:spacing w:after="0" w:line="16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aggregating our rights, as well as those of our de facto agents, the group as a whole has the power to direct the activities that most significantly impact the entity's economic performance, the obligation to absorb losses and the right to receive benefits from the entity. In situations where a de facto agency relationship is present, one party is required to be identified as the primary beneficiary, and the evaluation requires significant judgment. The factors considered include the presence of a principal/agent relationship, the relationship and significance of activities to the reporting entity, the variability associated with the VIE's anticipated economics and the design of the VIE. The analysis is qualitative in nature and is based on weighting the relative importance of each of the factors in relation to the specifics of the VIE arrangement. Upon our investment we performed an analysis and concluded that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49" w:right="239" w:bottom="1440" w:gutter="0" w:footer="0" w:header="0"/>
        </w:sectPr>
      </w:pPr>
    </w:p>
    <w:bookmarkStart w:id="23" w:name="page24"/>
    <w:bookmarkEnd w:id="23"/>
    <w:p>
      <w:pPr>
        <w:ind w:right="920"/>
        <w:spacing w:after="0" w:line="262" w:lineRule="auto"/>
        <w:rPr>
          <w:sz w:val="20"/>
          <w:szCs w:val="20"/>
          <w:color w:val="auto"/>
        </w:rPr>
      </w:pPr>
      <w:r>
        <w:rPr>
          <w:rFonts w:ascii="Arial" w:cs="Arial" w:eastAsia="Arial" w:hAnsi="Arial"/>
          <w:sz w:val="18"/>
          <w:szCs w:val="18"/>
          <w:color w:val="auto"/>
        </w:rPr>
        <w:t>we are the party that is most closely associated with Printi, as we are most exposed to the variability of the economics and therefore considered the primary beneficiary.</w:t>
      </w:r>
    </w:p>
    <w:p>
      <w:pPr>
        <w:spacing w:after="0" w:line="15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will purchase an additional 3.7% non-voting economic interest during the fourth quarter of fiscal 2018. In addition, we will acquire the remaining equity interest in Printi through a reciprocal put and call structure, exercisable from March 31, 2021 through a mandatory redemption date of July 31, 2023. As the remaining equity interests are mandatorily redeemable by all parties no later than a specified future date, the noncontrolling interest is within the scope of ASC 480 and is required to be presented as a liability on our consolidated balance sheet. We adjust the liability to its estimated redemption value each reporting period and recognize any changes within interest expense, net in our consolidated statement of operations.</w:t>
      </w:r>
    </w:p>
    <w:p>
      <w:pPr>
        <w:spacing w:after="0" w:line="16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also have liability-based awards for Printi restricted stock held by Printi employees that are fully vested and marked to fair value each reporting period until cash settlement. As of March 31, 2018, through the use of an option pricing model we estimate the current fair value of the restricted stock to be $9,773 and we have recognized $1,047 in general and administrative expense for the nine months ended March 31, 2018, respectively, compared to $374 and $1,158 in the three and nine months ended March 31, 2017.</w:t>
      </w:r>
    </w:p>
    <w:p>
      <w:pPr>
        <w:spacing w:after="0" w:line="16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also have an arrangement to lend two Printi equity holders up to $24,000 that is payable on the date the put or call option is exercised, which will occur no later than July 31, 2023. As of March 31, 2018, the long-term loan receivable, including accrued interest, is $17,251 and classified within other assets in our consolidated balance sheets. We did not have a long-term loan receivable as of June 30, 2017. The loans carry 8.5% annual interest, and are not contingent upon continued employment. We expect that the loan proceeds will be used to offset our purchase of the remaining noncontrolling interest in the future.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0"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As of March 31, 2018 we have numerous operating segments under our management reporting structure which are reported in the following four reportable segments:</w:t>
      </w:r>
    </w:p>
    <w:p>
      <w:pPr>
        <w:spacing w:after="0" w:line="159" w:lineRule="exact"/>
        <w:rPr>
          <w:sz w:val="20"/>
          <w:szCs w:val="20"/>
          <w:color w:val="auto"/>
        </w:rPr>
      </w:pPr>
    </w:p>
    <w:p>
      <w:pPr>
        <w:jc w:val="both"/>
        <w:ind w:left="660" w:right="56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Vistaprint - </w:t>
      </w:r>
      <w:r>
        <w:rPr>
          <w:rFonts w:ascii="Arial" w:cs="Arial" w:eastAsia="Arial" w:hAnsi="Arial"/>
          <w:sz w:val="18"/>
          <w:szCs w:val="18"/>
          <w:color w:val="auto"/>
        </w:rPr>
        <w:t>Includes the operations of our Vistaprint websites focused on the North America, Europe, Australia and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our Webs-branded business, which is managed with the Vistaprint-branded digital business in the previously listed geographies.</w:t>
      </w:r>
    </w:p>
    <w:p>
      <w:pPr>
        <w:spacing w:after="0" w:line="149" w:lineRule="exact"/>
        <w:rPr>
          <w:rFonts w:ascii="Arial" w:cs="Arial" w:eastAsia="Arial" w:hAnsi="Arial"/>
          <w:sz w:val="18"/>
          <w:szCs w:val="18"/>
          <w:color w:val="auto"/>
        </w:rPr>
      </w:pPr>
    </w:p>
    <w:p>
      <w:pPr>
        <w:ind w:left="660" w:right="154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Upload and Print - </w:t>
      </w:r>
      <w:r>
        <w:rPr>
          <w:rFonts w:ascii="Arial" w:cs="Arial" w:eastAsia="Arial" w:hAnsi="Arial"/>
          <w:sz w:val="18"/>
          <w:szCs w:val="18"/>
          <w:color w:val="auto"/>
        </w:rPr>
        <w:t>Includes the results of our druck.at, Easyflyer, Exagroup, Pixartprinting, Printdeal, Tradeprint,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WIRmachenDRUCK businesses.</w:t>
      </w:r>
    </w:p>
    <w:p>
      <w:pPr>
        <w:spacing w:after="0" w:line="134" w:lineRule="exact"/>
        <w:rPr>
          <w:rFonts w:ascii="Arial" w:cs="Arial" w:eastAsia="Arial" w:hAnsi="Arial"/>
          <w:sz w:val="18"/>
          <w:szCs w:val="18"/>
          <w:color w:val="auto"/>
        </w:rPr>
      </w:pPr>
    </w:p>
    <w:p>
      <w:pPr>
        <w:ind w:left="660" w:right="88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businesses, which manufacture and market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4"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 </w:t>
      </w:r>
      <w:r>
        <w:rPr>
          <w:rFonts w:ascii="Arial" w:cs="Arial" w:eastAsia="Arial" w:hAnsi="Arial"/>
          <w:sz w:val="18"/>
          <w:szCs w:val="18"/>
          <w:color w:val="auto"/>
        </w:rPr>
        <w:t>Includes the operations of our Most of World and Corporate Solutions businesses. Most of World consists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in Brazil, China, India and Japan. In Japan and India, we primarily operate under close derivatives of the Vistaprint business model and technology, albeit with decentralized, locally managed cross-functional operations in each country, and with product, content and service offerings which we tailor to the Japanese and Indian markets. Our Corporate Solutions business serves medium-sized businesses and larger corporations, as well as our legacy business with retail partners and franchise businesses, primarily through the "Vistaprint Corporate" brand. Our All Other Businesses segment also includes Albumprinter results through the divestiture date of August 31, 2017.</w:t>
      </w:r>
    </w:p>
    <w:p>
      <w:pPr>
        <w:spacing w:after="0" w:line="180"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Central and corporate costs consists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Supervisory Board, CEO, and the team members necessary for managing corporate activities, such as treasury, tax, capital allocation, financial consolidation, and legal. These costs also include certain unallocated share-based compensation costs.</w:t>
      </w:r>
    </w:p>
    <w:p>
      <w:pPr>
        <w:spacing w:after="0" w:line="179"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During the first quarter of fiscal 2018, we began presenting inter-segment fulfillment activity as revenue for the fulfilling business unit for purposes of measuring and reporting our segment financial performance. Any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82" w:right="239" w:bottom="1440" w:gutter="0" w:footer="0" w:header="0"/>
        </w:sectPr>
      </w:pPr>
    </w:p>
    <w:bookmarkStart w:id="24" w:name="page25"/>
    <w:bookmarkEnd w:id="24"/>
    <w:p>
      <w:pPr>
        <w:spacing w:after="0" w:line="252" w:lineRule="auto"/>
        <w:rPr>
          <w:sz w:val="20"/>
          <w:szCs w:val="20"/>
          <w:color w:val="auto"/>
        </w:rPr>
      </w:pPr>
      <w:r>
        <w:rPr>
          <w:rFonts w:ascii="Arial" w:cs="Arial" w:eastAsia="Arial" w:hAnsi="Arial"/>
          <w:sz w:val="18"/>
          <w:szCs w:val="18"/>
          <w:color w:val="auto"/>
        </w:rPr>
        <w:t>historical inter-segment fulfillment transactions were previously recognized as cost relief for the fulfilling business unit in our presentation to the CODM. We now recognize these transactions as inter-segment revenue for presentation to the CODM; for example, a third-party customer order received by our Corporate Solutions business that is fulfilled at one of our Vistaprint production facilities is recognized as inter-segment revenue for our Vistaprint business based on pricing and terms agreed upon between segment management. Inter-segment revenues are recognized only for transactions between our reportable segments and do not include any transactions between businesses within a reportable segment, which are eliminated within each reportable segment. Intercompany revenues are eliminated in our consolidated results.</w:t>
      </w:r>
    </w:p>
    <w:p>
      <w:pPr>
        <w:spacing w:after="0" w:line="18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As part of these changes, we also recast historical segment results to ensure the consistent application of our current inter-segment revenue presentation. For the three and nine months ended March 31, 2017, we increased revenue for our Vistaprint business by $1,550 and $4,069, with a corresponding increase to inter-segment eliminations. We also recast historical segment profitability for the allocation of certain IT costs, which previously burdened our Vistaprint business, but have now been allocated to each of our businesses in fiscal 2018. For the three and nine months ended March 31, 2017, the cost allocation change resulted in an increase to Vistaprint segment profit by $624 and $1,871, respectively, with a corresponding decrease to segment profit for Upload and Print of $161 and $483, respectively, and All Other Businesses of $140 and $420, respectively, and an increase to our Central and corporate cost center of $323 and $968, respectively.</w:t>
      </w:r>
    </w:p>
    <w:p>
      <w:pPr>
        <w:spacing w:after="0" w:line="18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For awards granted under our 2016 Performance Equity Plan, the PSU expense value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17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Segment profit (loss) is the primary profitability metric by which our CODM measures segment financial performance and allocates resources. Certain items are excluded from segment profit (loss), such as acquisition-related amortization and depreciation,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A portion of the interest expense associated with our Waltham lease is included as expense in segment profit (loss) and allocated based on headcount to the appropriate business or corporate and global function. The interest expense represents a portion of the cash rent payment and is considered an operating expense for purposes of measuring our segment performance. We do not allocate non-operating income to our segment results.</w:t>
      </w:r>
    </w:p>
    <w:p>
      <w:pPr>
        <w:spacing w:after="0" w:line="179"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Our All Other Businesses reportable segment includes our Most of World and Corporate Solutions businesses that have operating losses as they are in the early stage of investment relative to the scale of the underlying businesses, which may limit its comparability to other segments regarding profit (loss).</w:t>
      </w:r>
    </w:p>
    <w:p>
      <w:pPr>
        <w:spacing w:after="0" w:line="175" w:lineRule="exact"/>
        <w:rPr>
          <w:sz w:val="20"/>
          <w:szCs w:val="20"/>
          <w:color w:val="auto"/>
        </w:rPr>
      </w:pPr>
    </w:p>
    <w:p>
      <w:pPr>
        <w:ind w:right="40" w:firstLine="662"/>
        <w:spacing w:after="0" w:line="256"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segment profit (loss), total income from operations and total income before income taxes.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571"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15"/>
                <w:szCs w:val="15"/>
                <w:color w:val="auto"/>
              </w:rPr>
            </w:pPr>
          </w:p>
        </w:tc>
        <w:tc>
          <w:tcPr>
            <w:tcW w:w="2720" w:type="dxa"/>
            <w:vAlign w:val="bottom"/>
            <w:gridSpan w:val="4"/>
          </w:tcPr>
          <w:p>
            <w:pPr>
              <w:jc w:val="right"/>
              <w:ind w:right="553"/>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Vistaprint (1)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357,606</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322,804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1,105,557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990,160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 (2)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183,768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142,476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536,685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426,821</w:t>
            </w:r>
          </w:p>
        </w:tc>
        <w:tc>
          <w:tcPr>
            <w:tcW w:w="0" w:type="dxa"/>
            <w:vAlign w:val="bottom"/>
          </w:tcPr>
          <w:p>
            <w:pPr>
              <w:spacing w:after="0"/>
              <w:rPr>
                <w:sz w:val="1"/>
                <w:szCs w:val="1"/>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National Pen (3)</w:t>
            </w: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81,545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58,828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267,360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58,828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 (4)</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18,865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28,027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67,913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99,410</w:t>
            </w:r>
          </w:p>
        </w:tc>
        <w:tc>
          <w:tcPr>
            <w:tcW w:w="0" w:type="dxa"/>
            <w:vAlign w:val="bottom"/>
          </w:tcPr>
          <w:p>
            <w:pPr>
              <w:spacing w:after="0"/>
              <w:rPr>
                <w:sz w:val="1"/>
                <w:szCs w:val="1"/>
                <w:color w:val="auto"/>
              </w:rPr>
            </w:pPr>
          </w:p>
        </w:tc>
      </w:tr>
      <w:tr>
        <w:trPr>
          <w:trHeight w:val="250"/>
        </w:trPr>
        <w:tc>
          <w:tcPr>
            <w:tcW w:w="5160" w:type="dxa"/>
            <w:vAlign w:val="bottom"/>
          </w:tcPr>
          <w:p>
            <w:pPr>
              <w:ind w:left="720"/>
              <w:spacing w:after="0"/>
              <w:rPr>
                <w:sz w:val="20"/>
                <w:szCs w:val="20"/>
                <w:color w:val="auto"/>
              </w:rPr>
            </w:pPr>
            <w:r>
              <w:rPr>
                <w:rFonts w:ascii="Arial" w:cs="Arial" w:eastAsia="Arial" w:hAnsi="Arial"/>
                <w:sz w:val="18"/>
                <w:szCs w:val="18"/>
                <w:color w:val="auto"/>
              </w:rPr>
              <w:t>Total segment revenue</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641,784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552,135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1,977,515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1,575,219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57"/>
        </w:trPr>
        <w:tc>
          <w:tcPr>
            <w:tcW w:w="5160" w:type="dxa"/>
            <w:vAlign w:val="bottom"/>
          </w:tcPr>
          <w:p>
            <w:pPr>
              <w:ind w:left="720"/>
              <w:spacing w:after="0"/>
              <w:rPr>
                <w:sz w:val="20"/>
                <w:szCs w:val="20"/>
                <w:color w:val="auto"/>
              </w:rPr>
            </w:pPr>
            <w:r>
              <w:rPr>
                <w:rFonts w:ascii="Arial" w:cs="Arial" w:eastAsia="Arial" w:hAnsi="Arial"/>
                <w:sz w:val="18"/>
                <w:szCs w:val="18"/>
                <w:color w:val="auto"/>
              </w:rPr>
              <w:t>Total consolidated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636,069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550,585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1,961,407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1,571,149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hanging="252"/>
        <w:spacing w:after="0" w:line="241" w:lineRule="auto"/>
        <w:tabs>
          <w:tab w:leader="none" w:pos="2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Vistaprint segment revenues include inter-segment revenue of $2,747 and $7,753 for the three and nine months ended March 31, 2018, respectively, and $1,550 and $4,069 for the prior comparative periods, respectively.</w:t>
      </w:r>
    </w:p>
    <w:p>
      <w:pPr>
        <w:ind w:left="260" w:right="240" w:hanging="252"/>
        <w:spacing w:after="0" w:line="241" w:lineRule="auto"/>
        <w:tabs>
          <w:tab w:leader="none" w:pos="2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Upload and Print segment revenues include inter-segment revenue of $329 and $1,137 for the three and nine months ended March 31, 2018, respectively. No inter-segment revenue was recognized in the prior comparable periods.</w:t>
      </w:r>
    </w:p>
    <w:p>
      <w:pPr>
        <w:ind w:left="260" w:right="480" w:hanging="252"/>
        <w:spacing w:after="0" w:line="241" w:lineRule="auto"/>
        <w:tabs>
          <w:tab w:leader="none" w:pos="2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National Pen segment revenues include inter-segment revenue of $805 and $2,275 for the three and nine months ended March 31, 2018, respectively. No inter-segment revenue was recognized in the prior comparable periods.</w:t>
      </w:r>
    </w:p>
    <w:p>
      <w:pPr>
        <w:ind w:left="260" w:right="400" w:hanging="252"/>
        <w:spacing w:after="0" w:line="258" w:lineRule="auto"/>
        <w:tabs>
          <w:tab w:leader="none" w:pos="2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Other Businesses segment revenues include inter-segment revenue of $1,834 and $4,943 for the three and nine months ended March 31, 2018, respectively. No inter-segment revenue was recognized in the prior comparable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March 31,</w:t>
            </w:r>
          </w:p>
        </w:tc>
        <w:tc>
          <w:tcPr>
            <w:tcW w:w="340" w:type="dxa"/>
            <w:vAlign w:val="bottom"/>
          </w:tcPr>
          <w:p>
            <w:pPr>
              <w:spacing w:after="0"/>
              <w:rPr>
                <w:sz w:val="15"/>
                <w:szCs w:val="15"/>
                <w:color w:val="auto"/>
              </w:rPr>
            </w:pPr>
          </w:p>
        </w:tc>
        <w:tc>
          <w:tcPr>
            <w:tcW w:w="2520" w:type="dxa"/>
            <w:vAlign w:val="bottom"/>
            <w:gridSpan w:val="4"/>
          </w:tcPr>
          <w:p>
            <w:pPr>
              <w:jc w:val="right"/>
              <w:ind w:right="431"/>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Vistaprint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57,661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37,627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187,605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129,915</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17,367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54,605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43,232</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National Pen</w:t>
            </w:r>
          </w:p>
        </w:tc>
        <w:tc>
          <w:tcPr>
            <w:tcW w:w="32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19,185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(21,944)</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segment profit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66,041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37,299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235,936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147,977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Central and corporate costs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(87,442)</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Acquisition-related amortization and depreciation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(33,740)</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Earn-out related charges (1)</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(28,139)</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Share-based compensation related to investment consideration</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Certain impairments (2)</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Restructuring-related charges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for Waltham, MA lease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64"/>
        </w:trPr>
        <w:tc>
          <w:tcPr>
            <w:tcW w:w="5580" w:type="dxa"/>
            <w:vAlign w:val="bottom"/>
          </w:tcPr>
          <w:p>
            <w:pPr>
              <w:ind w:left="380"/>
              <w:spacing w:after="0"/>
              <w:rPr>
                <w:sz w:val="20"/>
                <w:szCs w:val="20"/>
                <w:color w:val="auto"/>
              </w:rPr>
            </w:pPr>
            <w:r>
              <w:rPr>
                <w:rFonts w:ascii="Arial" w:cs="Arial" w:eastAsia="Arial" w:hAnsi="Arial"/>
                <w:sz w:val="18"/>
                <w:szCs w:val="18"/>
                <w:color w:val="auto"/>
              </w:rPr>
              <w:t>Gain on the purchase or sale of subsidiaries (3)</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48,380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income (loss) from operations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16,627</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(41,943)</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135,949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(36,046)</w:t>
            </w:r>
          </w:p>
        </w:tc>
        <w:tc>
          <w:tcPr>
            <w:tcW w:w="0" w:type="dxa"/>
            <w:vAlign w:val="bottom"/>
          </w:tcPr>
          <w:p>
            <w:pPr>
              <w:spacing w:after="0"/>
              <w:rPr>
                <w:sz w:val="1"/>
                <w:szCs w:val="1"/>
                <w:color w:val="auto"/>
              </w:rPr>
            </w:pPr>
          </w:p>
        </w:tc>
      </w:tr>
      <w:tr>
        <w:trPr>
          <w:trHeight w:val="250"/>
        </w:trPr>
        <w:tc>
          <w:tcPr>
            <w:tcW w:w="558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0" w:type="dxa"/>
            <w:vAlign w:val="bottom"/>
          </w:tcPr>
          <w:p>
            <w:pPr>
              <w:spacing w:after="0"/>
              <w:rPr>
                <w:sz w:val="1"/>
                <w:szCs w:val="1"/>
                <w:color w:val="auto"/>
              </w:rPr>
            </w:pPr>
          </w:p>
        </w:tc>
      </w:tr>
      <w:tr>
        <w:trPr>
          <w:trHeight w:val="257"/>
        </w:trPr>
        <w:tc>
          <w:tcPr>
            <w:tcW w:w="5580" w:type="dxa"/>
            <w:vAlign w:val="bottom"/>
          </w:tcPr>
          <w:p>
            <w:pPr>
              <w:ind w:left="7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72,084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00" w:firstLine="8"/>
        <w:spacing w:after="0" w:line="241" w:lineRule="auto"/>
        <w:tabs>
          <w:tab w:leader="none" w:pos="2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ind w:right="140" w:firstLine="8"/>
        <w:spacing w:after="0" w:line="258" w:lineRule="auto"/>
        <w:tabs>
          <w:tab w:leader="none" w:pos="2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the impact for certain impairments or abandonments of goodwill and other long-lived assets as defined by ASC 350 - "Intangibles - Goodwill and Other" or ASC 360 - "Property, plant, and equipment."</w:t>
      </w:r>
    </w:p>
    <w:p>
      <w:pPr>
        <w:spacing w:after="0" w:line="140" w:lineRule="exact"/>
        <w:rPr>
          <w:rFonts w:ascii="Arial" w:cs="Arial" w:eastAsia="Arial" w:hAnsi="Arial"/>
          <w:sz w:val="14"/>
          <w:szCs w:val="14"/>
          <w:color w:val="auto"/>
        </w:rPr>
      </w:pPr>
    </w:p>
    <w:p>
      <w:pPr>
        <w:ind w:right="360" w:firstLine="8"/>
        <w:spacing w:after="0" w:line="250" w:lineRule="auto"/>
        <w:tabs>
          <w:tab w:leader="none" w:pos="2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for an acquisition in which the identifiable assets acquired and liabilities assumed are greater than the consideration transferred, that was recognized in general and administrative expense in our consolidated statement of operations during the nine months ended March 31,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0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March 31,</w:t>
            </w:r>
          </w:p>
        </w:tc>
        <w:tc>
          <w:tcPr>
            <w:tcW w:w="200" w:type="dxa"/>
            <w:vAlign w:val="bottom"/>
          </w:tcPr>
          <w:p>
            <w:pPr>
              <w:spacing w:after="0"/>
              <w:rPr>
                <w:sz w:val="15"/>
                <w:szCs w:val="15"/>
                <w:color w:val="auto"/>
              </w:rPr>
            </w:pPr>
          </w:p>
        </w:tc>
        <w:tc>
          <w:tcPr>
            <w:tcW w:w="2660" w:type="dxa"/>
            <w:vAlign w:val="bottom"/>
            <w:gridSpan w:val="7"/>
          </w:tcPr>
          <w:p>
            <w:pPr>
              <w:ind w:left="340"/>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46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Vistaprint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16,460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16,885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48,943</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47,784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15,701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14,151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45,426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42,182</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National Pen</w:t>
            </w:r>
          </w:p>
        </w:tc>
        <w:tc>
          <w:tcPr>
            <w:tcW w:w="46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5,277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15,742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3,698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6,981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Central and corporate costs</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3,366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color w:val="auto"/>
              </w:rPr>
              <w:t>3,391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10,028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depreciation and amortization</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43,437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43,402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127,120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115,784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March 31,</w:t>
            </w:r>
          </w:p>
        </w:tc>
        <w:tc>
          <w:tcPr>
            <w:tcW w:w="200" w:type="dxa"/>
            <w:vAlign w:val="bottom"/>
          </w:tcPr>
          <w:p>
            <w:pPr>
              <w:spacing w:after="0"/>
              <w:rPr>
                <w:sz w:val="24"/>
                <w:szCs w:val="24"/>
                <w:color w:val="auto"/>
              </w:rPr>
            </w:pPr>
          </w:p>
        </w:tc>
        <w:tc>
          <w:tcPr>
            <w:tcW w:w="2660" w:type="dxa"/>
            <w:vAlign w:val="bottom"/>
            <w:gridSpan w:val="7"/>
          </w:tcPr>
          <w:p>
            <w:pPr>
              <w:ind w:left="340"/>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46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Vistaprint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4,843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12,046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29,342</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31,590</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2,894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11,270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National Pen</w:t>
            </w:r>
          </w:p>
        </w:tc>
        <w:tc>
          <w:tcPr>
            <w:tcW w:w="46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4,134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Central and corporate costs</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9"/>
              </w:rPr>
              <w:t>707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purchases of property, plant and equipment</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20,656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47,441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56,916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March 31,</w:t>
            </w:r>
          </w:p>
        </w:tc>
        <w:tc>
          <w:tcPr>
            <w:tcW w:w="200" w:type="dxa"/>
            <w:vAlign w:val="bottom"/>
          </w:tcPr>
          <w:p>
            <w:pPr>
              <w:spacing w:after="0"/>
              <w:rPr>
                <w:sz w:val="24"/>
                <w:szCs w:val="24"/>
                <w:color w:val="auto"/>
              </w:rPr>
            </w:pPr>
          </w:p>
        </w:tc>
        <w:tc>
          <w:tcPr>
            <w:tcW w:w="2660" w:type="dxa"/>
            <w:vAlign w:val="bottom"/>
            <w:gridSpan w:val="7"/>
          </w:tcPr>
          <w:p>
            <w:pPr>
              <w:ind w:left="340"/>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46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Capitalization of software and website development costs:</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Vistaprint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7,186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6,429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18,266</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National Pen</w:t>
            </w:r>
          </w:p>
        </w:tc>
        <w:tc>
          <w:tcPr>
            <w:tcW w:w="46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669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Central and corporate costs</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5,791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 of software and website development</w:t>
            </w:r>
          </w:p>
        </w:tc>
        <w:tc>
          <w:tcPr>
            <w:tcW w:w="4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11,362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ind w:right="23"/>
              <w:spacing w:after="0"/>
              <w:rPr>
                <w:sz w:val="20"/>
                <w:szCs w:val="20"/>
                <w:color w:val="auto"/>
              </w:rPr>
            </w:pPr>
            <w:r>
              <w:rPr>
                <w:rFonts w:ascii="Arial" w:cs="Arial" w:eastAsia="Arial" w:hAnsi="Arial"/>
                <w:sz w:val="18"/>
                <w:szCs w:val="18"/>
                <w:color w:val="auto"/>
              </w:rPr>
              <w:t>9,568</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29,476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28,678</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w:t>
            </w: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gridSpan w:val="4"/>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40" w:type="dxa"/>
            <w:vAlign w:val="bottom"/>
            <w:gridSpan w:val="2"/>
          </w:tcPr>
          <w:p>
            <w:pPr>
              <w:ind w:left="660"/>
              <w:spacing w:after="0"/>
              <w:rPr>
                <w:sz w:val="20"/>
                <w:szCs w:val="20"/>
                <w:color w:val="auto"/>
              </w:rPr>
            </w:pPr>
            <w:r>
              <w:rPr>
                <w:rFonts w:ascii="Arial" w:cs="Arial" w:eastAsia="Arial" w:hAnsi="Arial"/>
                <w:sz w:val="18"/>
                <w:szCs w:val="18"/>
                <w:color w:val="auto"/>
              </w:rPr>
              <w:t>The following tables set forth long-lived assets by geographic area:</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3"/>
                <w:szCs w:val="13"/>
                <w:b w:val="1"/>
                <w:bCs w:val="1"/>
                <w:color w:val="auto"/>
              </w:rPr>
              <w:t>March 31, 2018</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Long-lived assets (1):</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Netherlands</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36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106,816</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83,223</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83,878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85,926</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Switzerland</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49,017</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Italy</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44,423</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64,034</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Australia</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22,961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France</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Jamaica</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21,492</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Japan</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20,686</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71,786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64,377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36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489,432</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478,933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w:t>
            </w: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5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60" w:hanging="252"/>
        <w:spacing w:after="0" w:line="258" w:lineRule="auto"/>
        <w:tabs>
          <w:tab w:leader="none" w:pos="233"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goodwill of $542,369 and $514,963, intangible assets, net of $250,593 and $275,924, the Waltham lease asset of $112,956 and $116,045, and deferred tax assets of $66,753 and $48,004 as of March 31, 2018 and June 30, 2017,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16" w:lineRule="exact"/>
        <w:rPr>
          <w:sz w:val="20"/>
          <w:szCs w:val="20"/>
          <w:color w:val="auto"/>
        </w:rPr>
      </w:pPr>
    </w:p>
    <w:p>
      <w:pPr>
        <w:ind w:right="40" w:firstLine="662"/>
        <w:spacing w:after="0" w:line="256" w:lineRule="auto"/>
        <w:rPr>
          <w:sz w:val="20"/>
          <w:szCs w:val="20"/>
          <w:color w:val="auto"/>
        </w:rPr>
      </w:pPr>
      <w:r>
        <w:rPr>
          <w:rFonts w:ascii="Arial" w:cs="Arial" w:eastAsia="Arial" w:hAnsi="Arial"/>
          <w:sz w:val="18"/>
          <w:szCs w:val="18"/>
          <w:color w:val="auto"/>
        </w:rPr>
        <w:t>We have commitments under operating leases for our facilities that expire on various dates through 2026, including the Waltham lease arrangement discussed in Note 2. Total lease expense, net of sublease income, for the three and nine months ended March 31, 2018 was $4,340 and $10,527, respectively and $2,860 and $9,152 for the three and nine months ended March 31, 2017, respectively.</w:t>
      </w:r>
    </w:p>
    <w:p>
      <w:pPr>
        <w:spacing w:after="0" w:line="175" w:lineRule="exact"/>
        <w:rPr>
          <w:sz w:val="20"/>
          <w:szCs w:val="20"/>
          <w:color w:val="auto"/>
        </w:rPr>
      </w:pPr>
    </w:p>
    <w:p>
      <w:pPr>
        <w:ind w:firstLine="662"/>
        <w:spacing w:after="0" w:line="253" w:lineRule="auto"/>
        <w:rPr>
          <w:sz w:val="20"/>
          <w:szCs w:val="20"/>
          <w:color w:val="auto"/>
        </w:rPr>
      </w:pPr>
      <w:r>
        <w:rPr>
          <w:rFonts w:ascii="Arial" w:cs="Arial" w:eastAsia="Arial" w:hAnsi="Arial"/>
          <w:sz w:val="18"/>
          <w:szCs w:val="18"/>
          <w:color w:val="auto"/>
        </w:rPr>
        <w:t>We lease certain machinery and plant equipment under both capital and operating lease agreements that expire at various dates through 2027. The aggregate carrying value of the leased buildings and equipment under capital leases included in property, plant and equipment, net in our consolidated balance sheet at March 31, 2018, is $35,253, net of accumulated depreciation of $36,022; the present value of lease installments not yet due included in other current liabilities and other liabilities in our consolidated balance sheet at March 31, 2018 amounts to $31,979.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6" w:lineRule="exact"/>
        <w:rPr>
          <w:sz w:val="20"/>
          <w:szCs w:val="20"/>
          <w:color w:val="auto"/>
        </w:rPr>
      </w:pPr>
    </w:p>
    <w:p>
      <w:pPr>
        <w:ind w:right="100" w:firstLine="662"/>
        <w:spacing w:after="0" w:line="254" w:lineRule="auto"/>
        <w:rPr>
          <w:sz w:val="20"/>
          <w:szCs w:val="20"/>
          <w:color w:val="auto"/>
        </w:rPr>
      </w:pPr>
      <w:r>
        <w:rPr>
          <w:rFonts w:ascii="Arial" w:cs="Arial" w:eastAsia="Arial" w:hAnsi="Arial"/>
          <w:sz w:val="18"/>
          <w:szCs w:val="18"/>
          <w:color w:val="auto"/>
        </w:rPr>
        <w:t>At March 31, 2018, we had unrecorded commitments under contract of $55,245 including commitments for third-party web services of $21,000. In addition, we had purchase commitments for production and computer equipment purchases of approximately $7,571, inventory purchase commitments of $1,984, commitments for advertising campaigns of $2,698, professional and consulting fees of $2,680, and other unrecorded purchase commitments of $19,312.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We have an outstanding installment obligation of $2,806 related to the fiscal 2012 intra-entity transfer of the intellectual property of our subsidiary Webs, Inc., which results in tax being paid over a 7.5 year term and has been classified as a deferred tax liability in our consolidated balance sheet as of March 31, 2018. In addition, we have deferred payments related to our other acquisitions of $3,864 in aggregate.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In all cases,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Charges</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and other related costs including third-party professional and outplacement services. During the three months ended March 31, 2018, we recognized restructuring charges of $ 2,331, which included $1,898 of expense related to additional rationalizations within the central and corporate group, which have resulted from changes in our organizational structure subsequent to our decentralization initiative. We also recognized $327 related to our second quarter Vistaprint reorganization and $106 related to our January 2017 restructuring initiative.</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During the nine months ended March 31, 2018, we recognized restructuring charges of $14,686, which included $11,782 related to our Vistaprint reorganization for reductions in headcount and other operating costs. These changes simplified operations and more closely aligned functions to increase the speed of execution. We also recognized $1,898 of restructuring charges within the central and corporate group, as well as $819 of expense for the first quarter initiative within our All Other Businesses reportable segment. During the nine months ended March 31, 2018, we recognized changes in estimates of $187 from our January 2017 restructuring initiative.</w:t>
      </w:r>
    </w:p>
    <w:p>
      <w:pPr>
        <w:spacing w:after="0" w:line="206"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During three and nine months ended March 31, 2017, we recognized $24,790 and $25,890 of restructuring charges, respectively, related to our January 2017 restructuring initiative, which has been completed.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49" w:right="25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following table summarizes the restructuring activity during the nine months ended March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Related</w:t>
            </w: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Benefits</w:t>
            </w: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 Restructuring Costs</w:t>
            </w:r>
          </w:p>
        </w:tc>
        <w:tc>
          <w:tcPr>
            <w:tcW w:w="400" w:type="dxa"/>
            <w:vAlign w:val="bottom"/>
          </w:tcPr>
          <w:p>
            <w:pPr>
              <w:spacing w:after="0"/>
              <w:rPr>
                <w:sz w:val="15"/>
                <w:szCs w:val="15"/>
                <w:color w:val="auto"/>
              </w:rPr>
            </w:pPr>
          </w:p>
        </w:tc>
        <w:tc>
          <w:tcPr>
            <w:tcW w:w="1300" w:type="dxa"/>
            <w:vAlign w:val="bottom"/>
          </w:tcPr>
          <w:p>
            <w:pPr>
              <w:jc w:val="right"/>
              <w:ind w:right="62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2017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4,602</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Charges (2)</w:t>
            </w:r>
          </w:p>
        </w:tc>
        <w:tc>
          <w:tcPr>
            <w:tcW w:w="140" w:type="dxa"/>
            <w:vAlign w:val="bottom"/>
          </w:tcPr>
          <w:p>
            <w:pPr>
              <w:spacing w:after="0"/>
              <w:rPr>
                <w:sz w:val="22"/>
                <w:szCs w:val="22"/>
                <w:color w:val="auto"/>
              </w:rPr>
            </w:pP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14,595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14,686</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(15,106)</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color w:val="auto"/>
              </w:rPr>
              <w:t>Non-cash charges (3)</w:t>
            </w: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4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March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2,990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3,073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40" w:firstLine="8"/>
        <w:spacing w:after="0" w:line="258" w:lineRule="auto"/>
        <w:tabs>
          <w:tab w:leader="none" w:pos="2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Accrued restructuring liability as of June 30, 2017 relates to our restructuring initiative announced in January 2017 and all remaining obligations have been paid as of March 31, 2018.</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do not expect any material charges to be incurred in future periods related to each of these initiatives.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charges include acceleration of share-based compensation expenses.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8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anticipated income and revenue growth rates, future profitability and losses, planned investments in our business, expenses, seasonality of certain of our businesses, the impacts of changes in accounting standards, our anticipated effective tax rate, the impact of the U.S. Tax Cuts and Jobs Act, the sufficiency of our tax reserves, sufficiency of our cash, legal proceedings, the impact of our restructuring initiatives, expected operating losses at newer businesses, expected allocations of capital, our expansion into new geographies, and the impact of exchange rate and currency volatility.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certain important factors, including those set forth in this “Management's Discussion and Analysis of Financial Condition and Results of Operations” and “Risk Factors” and elsewhere in this Report. You should carefully review those factors and also carefully review the risks outlined in other documents that we file from time to time with the United States Securities and Exchange Commission.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a technology driven company that aggregates, largely via the internet, large volumes of small, individually customized orders for a broad spectrum of print, signage, apparel and similar products. We operate in a largely decentralized manner. Our businesses, discussed in more detail below, fulfill orders with manufacturing capabilities that include Cimpress owned and operated manufacturing facilities and a network of third-party fulfillers to create customized products on demand. Those businesses bring their products to market through a portfolio of customer-focused brands serving the needs of micro, small and medium sized businesses, resellers and consumers. These brands include Vistaprint, our global brand for micro business marketing products and services, as well as brands that we have acquired that serve the needs of various market segments, including resellers, micro, small and medium sized businesses with differentiated service needs, and consumers purchasing products for themselves and their families.</w:t>
      </w:r>
    </w:p>
    <w:p>
      <w:pPr>
        <w:spacing w:after="0" w:line="179"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As of March 31, 2018, we have numerous operating segments under our management reporting structure which are reported in the following four reportable segments: Vistaprint, Upload and Print, National Pen, and All Other Businesses. Vistaprint represents our Vistaprint websites focused on the North America, Europe, Australia and New Zealand markets, and our Webs business, which is managed with the Vistaprint digital business. Upload and Print includes the druck.at, Easyflyer, Exagroup, Pixartprinting, Printdeal, Tradeprint, and WIRmachenDRUCK businesses. National Pen includes the global operations of our National Pen business, which manufactures and markets custom writing instruments and promotional products, apparel and gifts for small- and medium-sized businesses. All Other Businesses segment includes the operations of our Most of World and Corporate Solutions businesses, and the Albumprinter business, through its divestiture on August 31, 2017.</w:t>
      </w:r>
    </w:p>
    <w:p>
      <w:pPr>
        <w:spacing w:after="0" w:line="26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first quarter of fiscal 2018, we began presenting inter-segment fulfillment activity as revenue for the fulfilling business unit for purposes of measuring and reporting our segment financial performance. We have revised historical results to reflect the consistent application of our current accounting methodology. In addition, we adjusted our historical segment profitability for the allocation of certain IT costs that are allocated to each of our businesses in fiscal 2018, to better reflect where those resources are consumed. Refer to Note 12 of the accompanying consolidated financial statements for additional details of these changes.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01" w:lineRule="exact"/>
        <w:rPr>
          <w:sz w:val="20"/>
          <w:szCs w:val="20"/>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 evaluating the financial condition and operating performance of our business, management focuses on revenue growth, constant-currency revenue growth, operating income, adjusted net operating profit, cash flow from operations and free cash flow. A summary of these key financial metrics for the three and nine months ended March 31, 2018 as compared to the three and nine months ended March 31, 2017 follows: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Third Quarter 2018</w:t>
      </w:r>
    </w:p>
    <w:p>
      <w:pPr>
        <w:spacing w:after="0" w:line="13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Reported revenue increased by 16% to $636.1 million.</w:t>
      </w:r>
    </w:p>
    <w:p>
      <w:pPr>
        <w:spacing w:after="0" w:line="117" w:lineRule="exact"/>
        <w:rPr>
          <w:rFonts w:ascii="Arial" w:cs="Arial" w:eastAsia="Arial" w:hAnsi="Arial"/>
          <w:sz w:val="18"/>
          <w:szCs w:val="18"/>
          <w:color w:val="auto"/>
        </w:rPr>
      </w:pPr>
    </w:p>
    <w:p>
      <w:pPr>
        <w:ind w:left="980" w:right="58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constant-currency revenue (a non-GAAP financial measure) increased by 8% and, excluding acquisitions and divestitures completed in the last four quarters, increased by 11%.</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income increased $58.6 million to $16.6 million.</w:t>
      </w:r>
    </w:p>
    <w:p>
      <w:pPr>
        <w:spacing w:after="0" w:line="117" w:lineRule="exact"/>
        <w:rPr>
          <w:rFonts w:ascii="Arial" w:cs="Arial" w:eastAsia="Arial" w:hAnsi="Arial"/>
          <w:sz w:val="18"/>
          <w:szCs w:val="18"/>
          <w:color w:val="auto"/>
        </w:rPr>
      </w:pPr>
    </w:p>
    <w:p>
      <w:pPr>
        <w:ind w:left="980" w:right="8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net operating profit (a non-GAAP financial measure which we refer to as adjusted NOP) increased $11.5 million to $25.3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 2018</w:t>
      </w:r>
    </w:p>
    <w:p>
      <w:pPr>
        <w:spacing w:after="0" w:line="13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Reported revenue increased by 25% to $1,961.4 million.</w:t>
      </w:r>
    </w:p>
    <w:p>
      <w:pPr>
        <w:spacing w:after="0" w:line="117" w:lineRule="exact"/>
        <w:rPr>
          <w:rFonts w:ascii="Arial" w:cs="Arial" w:eastAsia="Arial" w:hAnsi="Arial"/>
          <w:sz w:val="18"/>
          <w:szCs w:val="18"/>
          <w:color w:val="auto"/>
        </w:rPr>
      </w:pPr>
    </w:p>
    <w:p>
      <w:pPr>
        <w:ind w:left="980" w:right="100" w:hanging="324"/>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constant-currency revenue increased by 20% and, excluding acquisitions and divestitures completed in the last four quarters, increased by 11%.</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income increased $172.0 million to $135.9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NOP increased $55.6 million to $129.4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provided by operating activities increased $21.0 million to $144.6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Free cash flow (a non-GAAP financial measure) increased $78.7 million to $116.6 million.</w:t>
      </w:r>
    </w:p>
    <w:p>
      <w:pPr>
        <w:spacing w:after="0" w:line="19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For the third quarter of fiscal 2018, the increase in reported revenue was primarily due to continued growth in our various businesses, as well as positive impacts from currency exchange rate fluctuations. This was partially offset by the loss of Albumprinter revenue as we divested this business as of August 31, 2017. The increase in operating income for the third quarter of fiscal 2018 was primarily due to a reduction in restructuring charges of $22.5 million, as well as the associated operating cost savings of approximately $17.0 million from these activities. In the current period there were no impairment or earn-out related charges, however, we recognized $9.6 million of impairment charges and $4.9 million of earn-out related charges during the three months ended March 31, 2017. In addition, incremental profits from revenue growth and currency benefits contributed to our increased operating income. These increases were partially offset by incremental share-based compensation of $5.6 million for certain equity awards granted in the first quarter of fiscal 2018.</w:t>
      </w:r>
    </w:p>
    <w:p>
      <w:pPr>
        <w:spacing w:after="0" w:line="17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Adjusted NOP increased significantly year over year primarily due to the same reasons as operating income mentioned above, although Adjusted NOP excludes the impact of restructuring charges and acquisition-related charges, and includes realized gains or losses on our currency hedges. The net year-over-year impact of currency on Adjusted NOP was negative for the three months ended March 31,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301" w:lineRule="exact"/>
        <w:rPr>
          <w:sz w:val="20"/>
          <w:szCs w:val="20"/>
          <w:color w:val="auto"/>
        </w:rPr>
      </w:pPr>
    </w:p>
    <w:p>
      <w:pPr>
        <w:ind w:right="320" w:firstLine="662"/>
        <w:spacing w:after="0" w:line="256" w:lineRule="auto"/>
        <w:rPr>
          <w:sz w:val="20"/>
          <w:szCs w:val="20"/>
          <w:color w:val="auto"/>
        </w:rPr>
      </w:pPr>
      <w:r>
        <w:rPr>
          <w:rFonts w:ascii="Arial" w:cs="Arial" w:eastAsia="Arial" w:hAnsi="Arial"/>
          <w:sz w:val="18"/>
          <w:szCs w:val="18"/>
          <w:color w:val="auto"/>
        </w:rPr>
        <w:t>We generate revenue primarily from the sale and shipping of customized manufactured products, and by providing digital services, website design and hosting, and email marketing services, as well as a small percentage from order referral fees and other third-party offerings.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 the three and nine months ended March 31, 2018 and 2017, our reported revenue increased primarily due to continued growth in our Vistaprint business, as well as growth in our National Pen and Upload and Print businesses. Our Most of World and Corporate Solutions businesses continue to grow strongly, but each off small bases. Our reported revenue was negatively impacted by the divestiture of our Albumprinter business, which was completed during the first quarter of fiscal 2018. Currency fluctuations have positively impacted our reported revenue growth for both the three and nine months ended March 31, 2018, as compared to the prior comparative periods.</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553" w:right="29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Our total revenue by reportable segment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9"/>
            <w:vMerge w:val="restart"/>
          </w:tcPr>
          <w:p>
            <w:pPr>
              <w:jc w:val="right"/>
              <w:ind w:right="38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Currency</w:t>
            </w:r>
          </w:p>
        </w:tc>
        <w:tc>
          <w:tcPr>
            <w:tcW w:w="120" w:type="dxa"/>
            <w:vAlign w:val="bottom"/>
          </w:tcPr>
          <w:p>
            <w:pPr>
              <w:spacing w:after="0"/>
              <w:rPr>
                <w:sz w:val="17"/>
                <w:szCs w:val="17"/>
                <w:color w:val="auto"/>
              </w:rPr>
            </w:pPr>
          </w:p>
        </w:tc>
        <w:tc>
          <w:tcPr>
            <w:tcW w:w="82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98"/>
              </w:rPr>
              <w:t>Constant-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Impact of</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9"/>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5"/>
              </w:rPr>
              <w:t>Impact:</w:t>
            </w:r>
          </w:p>
        </w:tc>
        <w:tc>
          <w:tcPr>
            <w:tcW w:w="120" w:type="dxa"/>
            <w:vAlign w:val="bottom"/>
          </w:tcPr>
          <w:p>
            <w:pPr>
              <w:spacing w:after="0"/>
              <w:rPr>
                <w:sz w:val="11"/>
                <w:szCs w:val="11"/>
                <w:color w:val="auto"/>
              </w:rPr>
            </w:pPr>
          </w:p>
        </w:tc>
        <w:tc>
          <w:tcPr>
            <w:tcW w:w="820" w:type="dxa"/>
            <w:vAlign w:val="bottom"/>
            <w:gridSpan w:val="3"/>
          </w:tcPr>
          <w:p>
            <w:pPr>
              <w:jc w:val="center"/>
              <w:ind w:left="77"/>
              <w:spacing w:after="0" w:line="135" w:lineRule="exact"/>
              <w:rPr>
                <w:sz w:val="20"/>
                <w:szCs w:val="20"/>
                <w:color w:val="auto"/>
              </w:rPr>
            </w:pPr>
            <w:r>
              <w:rPr>
                <w:rFonts w:ascii="Arial" w:cs="Arial" w:eastAsia="Arial" w:hAnsi="Arial"/>
                <w:sz w:val="13"/>
                <w:szCs w:val="13"/>
                <w:b w:val="1"/>
                <w:bCs w:val="1"/>
                <w:color w:val="auto"/>
                <w:w w:val="98"/>
              </w:rPr>
              <w:t>Currency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revenue growth</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left="263"/>
              <w:spacing w:after="0" w:line="120"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77"/>
              <w:spacing w:after="0" w:line="120" w:lineRule="exact"/>
              <w:rPr>
                <w:sz w:val="20"/>
                <w:szCs w:val="20"/>
                <w:color w:val="auto"/>
              </w:rPr>
            </w:pPr>
            <w:r>
              <w:rPr>
                <w:rFonts w:ascii="Arial" w:cs="Arial" w:eastAsia="Arial" w:hAnsi="Arial"/>
                <w:sz w:val="13"/>
                <w:szCs w:val="13"/>
                <w:b w:val="1"/>
                <w:bCs w:val="1"/>
                <w:color w:val="auto"/>
                <w:w w:val="95"/>
              </w:rPr>
              <w:t>Revenue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Change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3"/>
                <w:szCs w:val="13"/>
                <w:b w:val="1"/>
                <w:bCs w:val="1"/>
                <w:color w:val="auto"/>
                <w:w w:val="98"/>
              </w:rPr>
              <w:t>Growth (1)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divestitures (2)</w:t>
            </w: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357,606</w:t>
            </w:r>
          </w:p>
        </w:tc>
        <w:tc>
          <w:tcPr>
            <w:tcW w:w="4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322,804</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center"/>
              <w:ind w:left="263"/>
              <w:spacing w:after="0"/>
              <w:rPr>
                <w:sz w:val="20"/>
                <w:szCs w:val="20"/>
                <w:color w:val="auto"/>
              </w:rPr>
            </w:pPr>
            <w:r>
              <w:rPr>
                <w:rFonts w:ascii="Arial" w:cs="Arial" w:eastAsia="Arial" w:hAnsi="Arial"/>
                <w:sz w:val="16"/>
                <w:szCs w:val="16"/>
                <w:color w:val="auto"/>
                <w:w w:val="99"/>
              </w:rPr>
              <w:t>11%</w:t>
            </w:r>
          </w:p>
        </w:tc>
        <w:tc>
          <w:tcPr>
            <w:tcW w:w="10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center"/>
              <w:ind w:left="40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center"/>
              <w:ind w:left="324"/>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183,768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142,476</w:t>
            </w:r>
          </w:p>
        </w:tc>
        <w:tc>
          <w:tcPr>
            <w:tcW w:w="100" w:type="dxa"/>
            <w:vAlign w:val="bottom"/>
          </w:tcPr>
          <w:p>
            <w:pPr>
              <w:spacing w:after="0"/>
              <w:rPr>
                <w:sz w:val="22"/>
                <w:szCs w:val="22"/>
                <w:color w:val="auto"/>
              </w:rPr>
            </w:pPr>
          </w:p>
        </w:tc>
        <w:tc>
          <w:tcPr>
            <w:tcW w:w="700" w:type="dxa"/>
            <w:vAlign w:val="bottom"/>
            <w:gridSpan w:val="2"/>
          </w:tcPr>
          <w:p>
            <w:pPr>
              <w:jc w:val="center"/>
              <w:ind w:left="263"/>
              <w:spacing w:after="0"/>
              <w:rPr>
                <w:sz w:val="20"/>
                <w:szCs w:val="20"/>
                <w:color w:val="auto"/>
              </w:rPr>
            </w:pPr>
            <w:r>
              <w:rPr>
                <w:rFonts w:ascii="Arial" w:cs="Arial" w:eastAsia="Arial" w:hAnsi="Arial"/>
                <w:sz w:val="16"/>
                <w:szCs w:val="16"/>
                <w:color w:val="auto"/>
                <w:w w:val="99"/>
              </w:rPr>
              <w:t>29%</w:t>
            </w:r>
          </w:p>
        </w:tc>
        <w:tc>
          <w:tcPr>
            <w:tcW w:w="100" w:type="dxa"/>
            <w:vAlign w:val="bottom"/>
          </w:tcPr>
          <w:p>
            <w:pPr>
              <w:spacing w:after="0"/>
              <w:rPr>
                <w:sz w:val="22"/>
                <w:szCs w:val="22"/>
                <w:color w:val="auto"/>
              </w:rPr>
            </w:pPr>
          </w:p>
        </w:tc>
        <w:tc>
          <w:tcPr>
            <w:tcW w:w="1500" w:type="dxa"/>
            <w:vAlign w:val="bottom"/>
            <w:gridSpan w:val="3"/>
          </w:tcPr>
          <w:p>
            <w:pPr>
              <w:jc w:val="center"/>
              <w:ind w:left="42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center"/>
              <w:ind w:left="324"/>
              <w:spacing w:after="0"/>
              <w:rPr>
                <w:sz w:val="20"/>
                <w:szCs w:val="20"/>
                <w:color w:val="auto"/>
              </w:rPr>
            </w:pPr>
            <w:r>
              <w:rPr>
                <w:rFonts w:ascii="Arial" w:cs="Arial" w:eastAsia="Arial" w:hAnsi="Arial"/>
                <w:sz w:val="16"/>
                <w:szCs w:val="16"/>
                <w:color w:val="auto"/>
                <w:w w:val="99"/>
              </w:rPr>
              <w:t>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gridSpan w:val="2"/>
          </w:tcPr>
          <w:p>
            <w:pPr>
              <w:jc w:val="center"/>
              <w:ind w:left="2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81,545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58,828</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center"/>
              <w:ind w:left="263"/>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center"/>
              <w:ind w:left="401"/>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center"/>
              <w:ind w:left="324"/>
              <w:spacing w:after="0"/>
              <w:rPr>
                <w:sz w:val="20"/>
                <w:szCs w:val="20"/>
                <w:color w:val="auto"/>
              </w:rPr>
            </w:pPr>
            <w:r>
              <w:rPr>
                <w:rFonts w:ascii="Arial" w:cs="Arial" w:eastAsia="Arial" w:hAnsi="Arial"/>
                <w:sz w:val="16"/>
                <w:szCs w:val="16"/>
                <w:color w:val="auto"/>
                <w:w w:val="99"/>
              </w:rPr>
              <w:t>30%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18,865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28,027</w:t>
            </w:r>
          </w:p>
        </w:tc>
        <w:tc>
          <w:tcPr>
            <w:tcW w:w="100" w:type="dxa"/>
            <w:vAlign w:val="bottom"/>
          </w:tcPr>
          <w:p>
            <w:pPr>
              <w:spacing w:after="0"/>
              <w:rPr>
                <w:sz w:val="22"/>
                <w:szCs w:val="22"/>
                <w:color w:val="auto"/>
              </w:rPr>
            </w:pPr>
          </w:p>
        </w:tc>
        <w:tc>
          <w:tcPr>
            <w:tcW w:w="800" w:type="dxa"/>
            <w:vAlign w:val="bottom"/>
            <w:gridSpan w:val="3"/>
          </w:tcPr>
          <w:p>
            <w:pPr>
              <w:jc w:val="center"/>
              <w:ind w:left="163"/>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3"/>
          </w:tcPr>
          <w:p>
            <w:pPr>
              <w:jc w:val="center"/>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center"/>
              <w:ind w:left="204"/>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2"/>
                <w:szCs w:val="22"/>
                <w:color w:val="auto"/>
              </w:rPr>
            </w:pPr>
          </w:p>
        </w:tc>
        <w:tc>
          <w:tcPr>
            <w:tcW w:w="1600" w:type="dxa"/>
            <w:vAlign w:val="bottom"/>
            <w:gridSpan w:val="3"/>
          </w:tcPr>
          <w:p>
            <w:pPr>
              <w:jc w:val="center"/>
              <w:ind w:left="444"/>
              <w:spacing w:after="0"/>
              <w:rPr>
                <w:sz w:val="20"/>
                <w:szCs w:val="20"/>
                <w:color w:val="auto"/>
              </w:rPr>
            </w:pPr>
            <w:r>
              <w:rPr>
                <w:rFonts w:ascii="Arial" w:cs="Arial" w:eastAsia="Arial" w:hAnsi="Arial"/>
                <w:sz w:val="16"/>
                <w:szCs w:val="16"/>
                <w:color w:val="auto"/>
                <w:w w:val="99"/>
              </w:rPr>
              <w:t>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center"/>
              <w:ind w:left="22"/>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636,069</w:t>
            </w:r>
          </w:p>
        </w:tc>
        <w:tc>
          <w:tcPr>
            <w:tcW w:w="40" w:type="dxa"/>
            <w:vAlign w:val="bottom"/>
          </w:tcPr>
          <w:p>
            <w:pPr>
              <w:spacing w:after="0"/>
              <w:rPr>
                <w:sz w:val="20"/>
                <w:szCs w:val="20"/>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550,585</w:t>
            </w:r>
          </w:p>
        </w:tc>
        <w:tc>
          <w:tcPr>
            <w:tcW w:w="100" w:type="dxa"/>
            <w:vAlign w:val="bottom"/>
          </w:tcPr>
          <w:p>
            <w:pPr>
              <w:spacing w:after="0"/>
              <w:rPr>
                <w:sz w:val="20"/>
                <w:szCs w:val="20"/>
                <w:color w:val="auto"/>
              </w:rPr>
            </w:pPr>
          </w:p>
        </w:tc>
        <w:tc>
          <w:tcPr>
            <w:tcW w:w="700" w:type="dxa"/>
            <w:vAlign w:val="bottom"/>
            <w:gridSpan w:val="2"/>
          </w:tcPr>
          <w:p>
            <w:pPr>
              <w:jc w:val="center"/>
              <w:ind w:left="263"/>
              <w:spacing w:after="0"/>
              <w:rPr>
                <w:sz w:val="20"/>
                <w:szCs w:val="20"/>
                <w:color w:val="auto"/>
              </w:rPr>
            </w:pPr>
            <w:r>
              <w:rPr>
                <w:rFonts w:ascii="Arial" w:cs="Arial" w:eastAsia="Arial" w:hAnsi="Arial"/>
                <w:sz w:val="16"/>
                <w:szCs w:val="16"/>
                <w:color w:val="auto"/>
                <w:w w:val="99"/>
              </w:rPr>
              <w:t>16%</w:t>
            </w:r>
          </w:p>
        </w:tc>
        <w:tc>
          <w:tcPr>
            <w:tcW w:w="100" w:type="dxa"/>
            <w:vAlign w:val="bottom"/>
          </w:tcPr>
          <w:p>
            <w:pPr>
              <w:spacing w:after="0"/>
              <w:rPr>
                <w:sz w:val="20"/>
                <w:szCs w:val="20"/>
                <w:color w:val="auto"/>
              </w:rPr>
            </w:pPr>
          </w:p>
        </w:tc>
        <w:tc>
          <w:tcPr>
            <w:tcW w:w="1500" w:type="dxa"/>
            <w:vAlign w:val="bottom"/>
            <w:gridSpan w:val="3"/>
          </w:tcPr>
          <w:p>
            <w:pPr>
              <w:jc w:val="center"/>
              <w:ind w:left="40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left="324"/>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3"/>
          </w:tcPr>
          <w:p>
            <w:pPr>
              <w:jc w:val="center"/>
              <w:ind w:left="444"/>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lef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1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vMerge w:val="restart"/>
          </w:tcPr>
          <w:p>
            <w:pPr>
              <w:jc w:val="center"/>
              <w:ind w:right="460"/>
              <w:spacing w:after="0"/>
              <w:rPr>
                <w:sz w:val="20"/>
                <w:szCs w:val="20"/>
                <w:color w:val="auto"/>
              </w:rPr>
            </w:pPr>
            <w:r>
              <w:rPr>
                <w:rFonts w:ascii="Arial" w:cs="Arial" w:eastAsia="Arial" w:hAnsi="Arial"/>
                <w:sz w:val="13"/>
                <w:szCs w:val="13"/>
                <w:b w:val="1"/>
                <w:bCs w:val="1"/>
                <w:color w:val="auto"/>
                <w:w w:val="98"/>
              </w:rPr>
              <w:t>Currency</w:t>
            </w:r>
          </w:p>
        </w:tc>
        <w:tc>
          <w:tcPr>
            <w:tcW w:w="940" w:type="dxa"/>
            <w:vAlign w:val="bottom"/>
            <w:gridSpan w:val="4"/>
            <w:vMerge w:val="restart"/>
          </w:tcPr>
          <w:p>
            <w:pPr>
              <w:jc w:val="center"/>
              <w:ind w:right="260"/>
              <w:spacing w:after="0"/>
              <w:rPr>
                <w:sz w:val="20"/>
                <w:szCs w:val="20"/>
                <w:color w:val="auto"/>
              </w:rPr>
            </w:pPr>
            <w:r>
              <w:rPr>
                <w:rFonts w:ascii="Arial" w:cs="Arial" w:eastAsia="Arial" w:hAnsi="Arial"/>
                <w:sz w:val="13"/>
                <w:szCs w:val="13"/>
                <w:b w:val="1"/>
                <w:bCs w:val="1"/>
                <w:color w:val="auto"/>
                <w:w w:val="98"/>
              </w:rPr>
              <w:t>Constant-</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3"/>
            <w:vMerge w:val="restart"/>
          </w:tcPr>
          <w:p>
            <w:pPr>
              <w:jc w:val="center"/>
              <w:ind w:right="517"/>
              <w:spacing w:after="0"/>
              <w:rPr>
                <w:sz w:val="20"/>
                <w:szCs w:val="20"/>
                <w:color w:val="auto"/>
              </w:rPr>
            </w:pPr>
            <w:r>
              <w:rPr>
                <w:rFonts w:ascii="Arial" w:cs="Arial" w:eastAsia="Arial" w:hAnsi="Arial"/>
                <w:sz w:val="13"/>
                <w:szCs w:val="13"/>
                <w:b w:val="1"/>
                <w:bCs w:val="1"/>
                <w:color w:val="auto"/>
                <w:w w:val="96"/>
              </w:rPr>
              <w:t>Impact of</w:t>
            </w:r>
          </w:p>
        </w:tc>
        <w:tc>
          <w:tcPr>
            <w:tcW w:w="1360" w:type="dxa"/>
            <w:vAlign w:val="bottom"/>
            <w:gridSpan w:val="2"/>
            <w:vMerge w:val="restart"/>
          </w:tcPr>
          <w:p>
            <w:pPr>
              <w:jc w:val="center"/>
              <w:ind w:right="117"/>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line="20" w:lineRule="exact"/>
              <w:rPr>
                <w:sz w:val="1"/>
                <w:szCs w:val="1"/>
                <w:color w:val="auto"/>
              </w:rPr>
            </w:pPr>
          </w:p>
        </w:tc>
      </w:tr>
      <w:tr>
        <w:trPr>
          <w:trHeight w:val="311"/>
        </w:trPr>
        <w:tc>
          <w:tcPr>
            <w:tcW w:w="1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9"/>
            <w:vMerge w:val="restart"/>
          </w:tcPr>
          <w:p>
            <w:pPr>
              <w:jc w:val="right"/>
              <w:ind w:right="600"/>
              <w:spacing w:after="0"/>
              <w:rPr>
                <w:sz w:val="20"/>
                <w:szCs w:val="20"/>
                <w:color w:val="auto"/>
              </w:rPr>
            </w:pPr>
            <w:r>
              <w:rPr>
                <w:rFonts w:ascii="Arial" w:cs="Arial" w:eastAsia="Arial" w:hAnsi="Arial"/>
                <w:sz w:val="13"/>
                <w:szCs w:val="13"/>
                <w:b w:val="1"/>
                <w:bCs w:val="1"/>
                <w:color w:val="auto"/>
                <w:w w:val="98"/>
              </w:rPr>
              <w:t>Nine Months Ended March 31,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vMerge w:val="continue"/>
          </w:tcPr>
          <w:p>
            <w:pPr>
              <w:spacing w:after="0"/>
              <w:rPr>
                <w:sz w:val="24"/>
                <w:szCs w:val="24"/>
                <w:color w:val="auto"/>
              </w:rPr>
            </w:pPr>
          </w:p>
        </w:tc>
        <w:tc>
          <w:tcPr>
            <w:tcW w:w="9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9"/>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jc w:val="center"/>
              <w:ind w:right="460"/>
              <w:spacing w:after="0" w:line="135" w:lineRule="exact"/>
              <w:rPr>
                <w:sz w:val="20"/>
                <w:szCs w:val="20"/>
                <w:color w:val="auto"/>
              </w:rPr>
            </w:pPr>
            <w:r>
              <w:rPr>
                <w:rFonts w:ascii="Arial" w:cs="Arial" w:eastAsia="Arial" w:hAnsi="Arial"/>
                <w:sz w:val="13"/>
                <w:szCs w:val="13"/>
                <w:b w:val="1"/>
                <w:bCs w:val="1"/>
                <w:color w:val="auto"/>
                <w:w w:val="95"/>
              </w:rPr>
              <w:t>Impact:</w:t>
            </w:r>
          </w:p>
        </w:tc>
        <w:tc>
          <w:tcPr>
            <w:tcW w:w="9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Currency</w:t>
            </w:r>
          </w:p>
        </w:tc>
        <w:tc>
          <w:tcPr>
            <w:tcW w:w="1880" w:type="dxa"/>
            <w:vAlign w:val="bottom"/>
            <w:gridSpan w:val="5"/>
          </w:tcPr>
          <w:p>
            <w:pPr>
              <w:jc w:val="center"/>
              <w:ind w:right="257"/>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100" w:type="dxa"/>
            <w:vAlign w:val="bottom"/>
          </w:tcPr>
          <w:p>
            <w:pPr>
              <w:spacing w:after="0"/>
              <w:rPr>
                <w:sz w:val="11"/>
                <w:szCs w:val="11"/>
                <w:color w:val="auto"/>
              </w:rPr>
            </w:pPr>
          </w:p>
        </w:tc>
        <w:tc>
          <w:tcPr>
            <w:tcW w:w="126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7"/>
              </w:rPr>
              <w:t>revenue growth</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right="217"/>
              <w:spacing w:after="0" w:line="120" w:lineRule="exact"/>
              <w:rPr>
                <w:sz w:val="20"/>
                <w:szCs w:val="20"/>
                <w:color w:val="auto"/>
              </w:rPr>
            </w:pPr>
            <w:r>
              <w:rPr>
                <w:rFonts w:ascii="Arial" w:cs="Arial" w:eastAsia="Arial" w:hAnsi="Arial"/>
                <w:sz w:val="13"/>
                <w:szCs w:val="13"/>
                <w:b w:val="1"/>
                <w:bCs w:val="1"/>
                <w:color w:val="auto"/>
                <w:w w:val="99"/>
              </w:rPr>
              <w:t>Excluding</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Revenue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5"/>
              </w:rPr>
              <w:t>acquisitions/divestitures</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57"/>
              <w:spacing w:after="0"/>
              <w:rPr>
                <w:sz w:val="20"/>
                <w:szCs w:val="20"/>
                <w:color w:val="auto"/>
              </w:rPr>
            </w:pPr>
            <w:r>
              <w:rPr>
                <w:rFonts w:ascii="Arial" w:cs="Arial" w:eastAsia="Arial" w:hAnsi="Arial"/>
                <w:sz w:val="13"/>
                <w:szCs w:val="13"/>
                <w:b w:val="1"/>
                <w:bCs w:val="1"/>
                <w:color w:val="auto"/>
                <w:w w:val="98"/>
              </w:rPr>
              <w:t>Growth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17"/>
              <w:spacing w:after="0"/>
              <w:rPr>
                <w:sz w:val="20"/>
                <w:szCs w:val="20"/>
                <w:color w:val="auto"/>
              </w:rPr>
            </w:pPr>
            <w:r>
              <w:rPr>
                <w:rFonts w:ascii="Arial" w:cs="Arial" w:eastAsia="Arial" w:hAnsi="Arial"/>
                <w:sz w:val="13"/>
                <w:szCs w:val="13"/>
                <w:b w:val="1"/>
                <w:bCs w:val="1"/>
                <w:color w:val="auto"/>
                <w:w w:val="87"/>
              </w:rPr>
              <w:t>(2)</w:t>
            </w: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1,105,557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990,160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center"/>
              <w:ind w:right="37"/>
              <w:spacing w:after="0"/>
              <w:rPr>
                <w:sz w:val="20"/>
                <w:szCs w:val="20"/>
                <w:color w:val="auto"/>
              </w:rPr>
            </w:pPr>
            <w:r>
              <w:rPr>
                <w:rFonts w:ascii="Arial" w:cs="Arial" w:eastAsia="Arial" w:hAnsi="Arial"/>
                <w:sz w:val="16"/>
                <w:szCs w:val="16"/>
                <w:color w:val="auto"/>
                <w:w w:val="99"/>
              </w:rPr>
              <w:t>12%</w:t>
            </w:r>
          </w:p>
        </w:tc>
        <w:tc>
          <w:tcPr>
            <w:tcW w:w="10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center"/>
              <w:ind w:right="57"/>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gridSpan w:val="3"/>
            <w:shd w:val="clear" w:color="auto" w:fill="CCEEFF"/>
          </w:tcPr>
          <w:p>
            <w:pPr>
              <w:jc w:val="center"/>
              <w:ind w:right="517"/>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center"/>
              <w:ind w:right="117"/>
              <w:spacing w:after="0"/>
              <w:rPr>
                <w:sz w:val="20"/>
                <w:szCs w:val="20"/>
                <w:color w:val="auto"/>
              </w:rPr>
            </w:pPr>
            <w:r>
              <w:rPr>
                <w:rFonts w:ascii="Arial" w:cs="Arial" w:eastAsia="Arial" w:hAnsi="Arial"/>
                <w:sz w:val="16"/>
                <w:szCs w:val="16"/>
                <w:color w:val="auto"/>
                <w:w w:val="94"/>
              </w:rPr>
              <w:t>9%</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536,685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426,821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center"/>
              <w:ind w:right="37"/>
              <w:spacing w:after="0"/>
              <w:rPr>
                <w:sz w:val="20"/>
                <w:szCs w:val="20"/>
                <w:color w:val="auto"/>
              </w:rPr>
            </w:pPr>
            <w:r>
              <w:rPr>
                <w:rFonts w:ascii="Arial" w:cs="Arial" w:eastAsia="Arial" w:hAnsi="Arial"/>
                <w:sz w:val="16"/>
                <w:szCs w:val="16"/>
                <w:color w:val="auto"/>
                <w:w w:val="99"/>
              </w:rPr>
              <w:t>26%</w:t>
            </w:r>
          </w:p>
        </w:tc>
        <w:tc>
          <w:tcPr>
            <w:tcW w:w="100" w:type="dxa"/>
            <w:vAlign w:val="bottom"/>
          </w:tcPr>
          <w:p>
            <w:pPr>
              <w:spacing w:after="0"/>
              <w:rPr>
                <w:sz w:val="22"/>
                <w:szCs w:val="22"/>
                <w:color w:val="auto"/>
              </w:rPr>
            </w:pPr>
          </w:p>
        </w:tc>
        <w:tc>
          <w:tcPr>
            <w:tcW w:w="1500" w:type="dxa"/>
            <w:vAlign w:val="bottom"/>
            <w:gridSpan w:val="3"/>
          </w:tcPr>
          <w:p>
            <w:pPr>
              <w:jc w:val="center"/>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center"/>
              <w:ind w:right="57"/>
              <w:spacing w:after="0"/>
              <w:rPr>
                <w:sz w:val="20"/>
                <w:szCs w:val="20"/>
                <w:color w:val="auto"/>
              </w:rPr>
            </w:pPr>
            <w:r>
              <w:rPr>
                <w:rFonts w:ascii="Arial" w:cs="Arial" w:eastAsia="Arial" w:hAnsi="Arial"/>
                <w:sz w:val="16"/>
                <w:szCs w:val="16"/>
                <w:color w:val="auto"/>
                <w:w w:val="99"/>
              </w:rPr>
              <w:t>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3"/>
          </w:tcPr>
          <w:p>
            <w:pPr>
              <w:jc w:val="center"/>
              <w:ind w:right="517"/>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center"/>
              <w:ind w:right="117"/>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267,360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58,828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center"/>
              <w:ind w:right="37"/>
              <w:spacing w:after="0"/>
              <w:rPr>
                <w:sz w:val="20"/>
                <w:szCs w:val="20"/>
                <w:color w:val="auto"/>
              </w:rPr>
            </w:pPr>
            <w:r>
              <w:rPr>
                <w:rFonts w:ascii="Arial" w:cs="Arial" w:eastAsia="Arial" w:hAnsi="Arial"/>
                <w:sz w:val="16"/>
                <w:szCs w:val="16"/>
                <w:color w:val="auto"/>
                <w:w w:val="97"/>
              </w:rPr>
              <w:t>354%</w:t>
            </w:r>
          </w:p>
        </w:tc>
        <w:tc>
          <w:tcPr>
            <w:tcW w:w="10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center"/>
              <w:ind w:right="57"/>
              <w:spacing w:after="0"/>
              <w:rPr>
                <w:sz w:val="20"/>
                <w:szCs w:val="20"/>
                <w:color w:val="auto"/>
              </w:rPr>
            </w:pPr>
            <w:r>
              <w:rPr>
                <w:rFonts w:ascii="Arial" w:cs="Arial" w:eastAsia="Arial" w:hAnsi="Arial"/>
                <w:sz w:val="16"/>
                <w:szCs w:val="16"/>
                <w:color w:val="auto"/>
                <w:w w:val="97"/>
              </w:rPr>
              <w:t>346%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ind w:right="117"/>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67,913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99,410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center"/>
              <w:ind w:right="37"/>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1500" w:type="dxa"/>
            <w:vAlign w:val="bottom"/>
            <w:gridSpan w:val="3"/>
          </w:tcPr>
          <w:p>
            <w:pPr>
              <w:jc w:val="center"/>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center"/>
              <w:ind w:right="57"/>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color w:val="auto"/>
                <w:w w:val="99"/>
              </w:rPr>
              <w:t>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center"/>
              <w:ind w:right="117"/>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(16,108)</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1,961,407</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1,571,149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37"/>
              <w:spacing w:after="0"/>
              <w:rPr>
                <w:sz w:val="20"/>
                <w:szCs w:val="20"/>
                <w:color w:val="auto"/>
              </w:rPr>
            </w:pPr>
            <w:r>
              <w:rPr>
                <w:rFonts w:ascii="Arial" w:cs="Arial" w:eastAsia="Arial" w:hAnsi="Arial"/>
                <w:sz w:val="16"/>
                <w:szCs w:val="16"/>
                <w:color w:val="auto"/>
                <w:w w:val="99"/>
              </w:rPr>
              <w:t>25%</w:t>
            </w:r>
          </w:p>
        </w:tc>
        <w:tc>
          <w:tcPr>
            <w:tcW w:w="100" w:type="dxa"/>
            <w:vAlign w:val="bottom"/>
          </w:tcPr>
          <w:p>
            <w:pPr>
              <w:spacing w:after="0"/>
              <w:rPr>
                <w:sz w:val="20"/>
                <w:szCs w:val="20"/>
                <w:color w:val="auto"/>
              </w:rPr>
            </w:pPr>
          </w:p>
        </w:tc>
        <w:tc>
          <w:tcPr>
            <w:tcW w:w="1500" w:type="dxa"/>
            <w:vAlign w:val="bottom"/>
            <w:gridSpan w:val="3"/>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57"/>
              <w:spacing w:after="0"/>
              <w:rPr>
                <w:sz w:val="20"/>
                <w:szCs w:val="20"/>
                <w:color w:val="auto"/>
              </w:rPr>
            </w:pPr>
            <w:r>
              <w:rPr>
                <w:rFonts w:ascii="Arial" w:cs="Arial" w:eastAsia="Arial" w:hAnsi="Arial"/>
                <w:sz w:val="16"/>
                <w:szCs w:val="16"/>
                <w:color w:val="auto"/>
                <w:w w:val="99"/>
              </w:rPr>
              <w:t>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117"/>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8" w:lineRule="exact"/>
        <w:rPr>
          <w:sz w:val="20"/>
          <w:szCs w:val="20"/>
          <w:color w:val="auto"/>
        </w:rPr>
      </w:pPr>
    </w:p>
    <w:p>
      <w:pPr>
        <w:ind w:left="260" w:right="20" w:hanging="252"/>
        <w:spacing w:after="0" w:line="250" w:lineRule="auto"/>
        <w:tabs>
          <w:tab w:leader="none" w:pos="2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64" w:lineRule="exact"/>
        <w:rPr>
          <w:rFonts w:ascii="Arial" w:cs="Arial" w:eastAsia="Arial" w:hAnsi="Arial"/>
          <w:sz w:val="14"/>
          <w:szCs w:val="14"/>
          <w:color w:val="auto"/>
        </w:rPr>
      </w:pPr>
    </w:p>
    <w:p>
      <w:pPr>
        <w:ind w:left="260" w:right="40" w:hanging="252"/>
        <w:spacing w:after="0" w:line="245" w:lineRule="auto"/>
        <w:tabs>
          <w:tab w:leader="none" w:pos="2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Revenue from our fiscal 2017 acquisitions is excluded from fiscal 2018 revenue growth for quarters with no comparable year-over-year revenue. For example, revenue from National Pen, which we acquired on December 30, 2016 in Q2 2017, is excluded from revenue growth in Q1 and Q2 of fiscal 2018 since there are no full quarter results in the comparable periods, but revenue is included in revenue growth for Q3 of fiscal 2018 . Our reportable segments-related growth is inclusive of inter-segment revenues, which are eliminated in our consolidated results.</w:t>
      </w:r>
    </w:p>
    <w:p>
      <w:pPr>
        <w:spacing w:after="0" w:line="69" w:lineRule="exact"/>
        <w:rPr>
          <w:rFonts w:ascii="Arial" w:cs="Arial" w:eastAsia="Arial" w:hAnsi="Arial"/>
          <w:sz w:val="14"/>
          <w:szCs w:val="14"/>
          <w:color w:val="auto"/>
        </w:rPr>
      </w:pPr>
    </w:p>
    <w:p>
      <w:pPr>
        <w:ind w:left="260" w:right="300" w:hanging="252"/>
        <w:spacing w:after="0" w:line="258" w:lineRule="auto"/>
        <w:tabs>
          <w:tab w:leader="none" w:pos="2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All Other Businesses segment includes the revenue of the Albumprinter business until the sale completion date of August 31, 2017. Constant-currency revenue growth excluding acquisitions/divestitures, excludes the revenue results for Albumprinter through the divestiture date.</w:t>
      </w:r>
    </w:p>
    <w:p>
      <w:pPr>
        <w:spacing w:after="0" w:line="215" w:lineRule="exact"/>
        <w:rPr>
          <w:sz w:val="20"/>
          <w:szCs w:val="20"/>
          <w:color w:val="auto"/>
        </w:rPr>
      </w:pPr>
    </w:p>
    <w:p>
      <w:pPr>
        <w:ind w:left="260" w:right="120" w:firstLine="1296"/>
        <w:spacing w:after="0" w:line="254" w:lineRule="auto"/>
        <w:rPr>
          <w:sz w:val="20"/>
          <w:szCs w:val="20"/>
          <w:color w:val="auto"/>
        </w:rPr>
      </w:pPr>
      <w:r>
        <w:rPr>
          <w:rFonts w:ascii="Arial" w:cs="Arial" w:eastAsia="Arial" w:hAnsi="Arial"/>
          <w:sz w:val="18"/>
          <w:szCs w:val="18"/>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30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Cost of revenue includes materials used to manufacture our products, payroll and related expenses for production and design services personnel, depreciation of assets used in the production process and in support of digital marketing service offerings, shipping, handling and processing costs, third-party production costs, costs of free products and other related costs of products we sell. Cost of revenue as a percent of revenue increased during the three months ended March 31, 2018, compared to the prior year period, primarily due to the divestiture of our Albumprinter business which has a higher gross margin than our consolidated gross margin percentage, as well as the increased weight of our Upload and Print portfolio, which as a percentage of revenue has a higher cost of revenue than our Vistaprint and National Pen businesses.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82"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2"/>
        </w:trPr>
        <w:tc>
          <w:tcPr>
            <w:tcW w:w="500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50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2017</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319,209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268,482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963,249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757,898</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48.2%</w:t>
            </w:r>
          </w:p>
        </w:tc>
      </w:tr>
    </w:tbl>
    <w:p>
      <w:pPr>
        <w:spacing w:after="0" w:line="289" w:lineRule="exact"/>
        <w:rPr>
          <w:sz w:val="20"/>
          <w:szCs w:val="20"/>
          <w:color w:val="auto"/>
        </w:rPr>
      </w:pPr>
    </w:p>
    <w:p>
      <w:pPr>
        <w:ind w:right="40" w:firstLine="662"/>
        <w:spacing w:after="0" w:line="252" w:lineRule="auto"/>
        <w:rPr>
          <w:sz w:val="20"/>
          <w:szCs w:val="20"/>
          <w:color w:val="auto"/>
        </w:rPr>
      </w:pPr>
      <w:r>
        <w:rPr>
          <w:rFonts w:ascii="Arial" w:cs="Arial" w:eastAsia="Arial" w:hAnsi="Arial"/>
          <w:sz w:val="18"/>
          <w:szCs w:val="18"/>
          <w:color w:val="auto"/>
        </w:rPr>
        <w:t>For the three and nine months ended March 31, 2018 in our Vistaprint business, cost of revenue increased by $17.5 million and $ 58.0 million, respectively, primarily due to increased production volume, as well as negative impacts from changes in currency exchange rates. Cost of revenue for our Upload and Print businesses increased by $29.6 million and $80.5 million, respectively, primarily driven by revenue growth in our Exagroup, Pixartprinting, Printdeal and WIRmachenDRUCK businesses, as well as unfavorable currency impacts. For the three months ended March 31, 2018, our National Pen business recognized an $8.9 million increase in costs due to revenue growth across the business and for the nine months ended March 31, 2018, we recognized an additional $86.2 million of costs, primarily due to the timing of our National Pen acquisition and the inclusion of operating results for only part of the prior comparable period.</w:t>
      </w:r>
    </w:p>
    <w:p>
      <w:pPr>
        <w:spacing w:after="0" w:line="180" w:lineRule="exact"/>
        <w:rPr>
          <w:sz w:val="20"/>
          <w:szCs w:val="20"/>
          <w:color w:val="auto"/>
        </w:rPr>
      </w:pPr>
    </w:p>
    <w:p>
      <w:pPr>
        <w:ind w:right="80" w:firstLine="662"/>
        <w:spacing w:after="0" w:line="262" w:lineRule="auto"/>
        <w:rPr>
          <w:sz w:val="20"/>
          <w:szCs w:val="20"/>
          <w:color w:val="auto"/>
        </w:rPr>
      </w:pPr>
      <w:r>
        <w:rPr>
          <w:rFonts w:ascii="Arial" w:cs="Arial" w:eastAsia="Arial" w:hAnsi="Arial"/>
          <w:sz w:val="18"/>
          <w:szCs w:val="18"/>
          <w:color w:val="auto"/>
        </w:rPr>
        <w:t>These increases were partially offset by a decrease in cost of revenue of $7.2 million and $22.2 million, respectively, resulting from the sale of our Albumprinter business, which was completed during the first quarter of fiscal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3"/>
                <w:szCs w:val="13"/>
                <w:b w:val="1"/>
                <w:bCs w:val="1"/>
                <w:color w:val="auto"/>
              </w:rPr>
              <w:t>Nine Months Ended March 31,</w:t>
            </w:r>
          </w:p>
        </w:tc>
        <w:tc>
          <w:tcPr>
            <w:tcW w:w="1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3"/>
                <w:szCs w:val="13"/>
                <w:b w:val="1"/>
                <w:bCs w:val="1"/>
                <w:color w:val="auto"/>
              </w:rPr>
              <w:t>2018 vs. 2017</w:t>
            </w:r>
          </w:p>
        </w:tc>
        <w:tc>
          <w:tcPr>
            <w:tcW w:w="360" w:type="dxa"/>
            <w:vAlign w:val="bottom"/>
          </w:tcPr>
          <w:p>
            <w:pPr>
              <w:spacing w:after="0"/>
              <w:rPr>
                <w:sz w:val="22"/>
                <w:szCs w:val="22"/>
                <w:color w:val="auto"/>
              </w:rPr>
            </w:pPr>
          </w:p>
        </w:tc>
        <w:tc>
          <w:tcPr>
            <w:tcW w:w="1100" w:type="dxa"/>
            <w:vAlign w:val="bottom"/>
          </w:tcPr>
          <w:p>
            <w:pPr>
              <w:jc w:val="right"/>
              <w:ind w:right="52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200" w:type="dxa"/>
            <w:vAlign w:val="bottom"/>
          </w:tcPr>
          <w:p>
            <w:pPr>
              <w:jc w:val="right"/>
              <w:ind w:right="121"/>
              <w:spacing w:after="0"/>
              <w:rPr>
                <w:sz w:val="20"/>
                <w:szCs w:val="20"/>
                <w:color w:val="auto"/>
              </w:rPr>
            </w:pPr>
            <w:r>
              <w:rPr>
                <w:rFonts w:ascii="Arial" w:cs="Arial" w:eastAsia="Arial" w:hAnsi="Arial"/>
                <w:sz w:val="13"/>
                <w:szCs w:val="13"/>
                <w:b w:val="1"/>
                <w:bCs w:val="1"/>
                <w:color w:val="auto"/>
              </w:rPr>
              <w:t>2018 vs. 2017</w:t>
            </w:r>
          </w:p>
        </w:tc>
        <w:tc>
          <w:tcPr>
            <w:tcW w:w="0" w:type="dxa"/>
            <w:vAlign w:val="bottom"/>
          </w:tcPr>
          <w:p>
            <w:pPr>
              <w:spacing w:after="0"/>
              <w:rPr>
                <w:sz w:val="1"/>
                <w:szCs w:val="1"/>
                <w:color w:val="auto"/>
              </w:rPr>
            </w:pPr>
          </w:p>
        </w:tc>
      </w:tr>
      <w:tr>
        <w:trPr>
          <w:trHeight w:val="184"/>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w:t>
            </w:r>
          </w:p>
        </w:tc>
        <w:tc>
          <w:tcPr>
            <w:tcW w:w="32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61,267</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63,236</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vMerge w:val="restart"/>
            <w:shd w:val="clear" w:color="auto" w:fill="CCEEFF"/>
          </w:tcPr>
          <w:p>
            <w:pPr>
              <w:jc w:val="right"/>
              <w:ind w:right="161"/>
              <w:spacing w:after="0"/>
              <w:rPr>
                <w:sz w:val="20"/>
                <w:szCs w:val="20"/>
                <w:color w:val="auto"/>
              </w:rPr>
            </w:pPr>
            <w:r>
              <w:rPr>
                <w:rFonts w:ascii="Arial" w:cs="Arial" w:eastAsia="Arial" w:hAnsi="Arial"/>
                <w:sz w:val="16"/>
                <w:szCs w:val="16"/>
                <w:color w:val="auto"/>
              </w:rPr>
              <w:t>182,598</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178,528</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p>
        </w:tc>
        <w:tc>
          <w:tcPr>
            <w:tcW w:w="32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114"/>
        </w:trPr>
        <w:tc>
          <w:tcPr>
            <w:tcW w:w="288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11.5%</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9.3 %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11.4%</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179,591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167,284</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546,469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451,310</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28.2%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30.4%</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27.9 %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28.7%</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44,103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45,730</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127,869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150,471</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8.3%</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6.5 %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9.6%</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Amortization of acquired intangible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12,941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13,450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38,132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33,542</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2.4%</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2.1%</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Restructuring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24,790</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14,686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25,890</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4.5%</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0.7 %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1.6%</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(Gain) on sale of subsidiaries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(47,545)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180" w:type="dxa"/>
            <w:vAlign w:val="bottom"/>
            <w:gridSpan w:val="2"/>
          </w:tcPr>
          <w:p>
            <w:pPr>
              <w:ind w:left="720"/>
              <w:spacing w:after="0"/>
              <w:rPr>
                <w:sz w:val="20"/>
                <w:szCs w:val="20"/>
                <w:color w:val="auto"/>
              </w:rPr>
            </w:pPr>
            <w:r>
              <w:rPr>
                <w:rFonts w:ascii="Arial" w:cs="Arial" w:eastAsia="Arial" w:hAnsi="Arial"/>
                <w:sz w:val="16"/>
                <w:szCs w:val="16"/>
                <w:i w:val="1"/>
                <w:iCs w:val="1"/>
                <w:color w:val="auto"/>
              </w:rPr>
              <w:t>—%</w:t>
            </w:r>
          </w:p>
        </w:tc>
        <w:tc>
          <w:tcPr>
            <w:tcW w:w="320" w:type="dxa"/>
            <w:vAlign w:val="bottom"/>
          </w:tcPr>
          <w:p>
            <w:pPr>
              <w:spacing w:after="0"/>
              <w:rPr>
                <w:sz w:val="22"/>
                <w:szCs w:val="22"/>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i w:val="1"/>
                <w:iCs w:val="1"/>
                <w:color w:val="auto"/>
              </w:rPr>
              <w:t>—%</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i w:val="1"/>
                <w:iCs w:val="1"/>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Impairment of goodwill and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acquired intangible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9,556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9,556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1"/>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1"/>
                <w:szCs w:val="21"/>
                <w:color w:val="auto"/>
              </w:rPr>
            </w:pPr>
          </w:p>
        </w:tc>
        <w:tc>
          <w:tcPr>
            <w:tcW w:w="1180" w:type="dxa"/>
            <w:vAlign w:val="bottom"/>
            <w:gridSpan w:val="2"/>
          </w:tcPr>
          <w:p>
            <w:pPr>
              <w:ind w:left="720"/>
              <w:spacing w:after="0"/>
              <w:rPr>
                <w:sz w:val="20"/>
                <w:szCs w:val="20"/>
                <w:color w:val="auto"/>
              </w:rPr>
            </w:pPr>
            <w:r>
              <w:rPr>
                <w:rFonts w:ascii="Arial" w:cs="Arial" w:eastAsia="Arial" w:hAnsi="Arial"/>
                <w:sz w:val="16"/>
                <w:szCs w:val="16"/>
                <w:i w:val="1"/>
                <w:iCs w:val="1"/>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ind w:left="700"/>
              <w:spacing w:after="0"/>
              <w:rPr>
                <w:sz w:val="20"/>
                <w:szCs w:val="20"/>
                <w:color w:val="auto"/>
              </w:rPr>
            </w:pPr>
            <w:r>
              <w:rPr>
                <w:rFonts w:ascii="Arial" w:cs="Arial" w:eastAsia="Arial" w:hAnsi="Arial"/>
                <w:sz w:val="16"/>
                <w:szCs w:val="16"/>
                <w:i w:val="1"/>
                <w:iCs w:val="1"/>
                <w:color w:val="auto"/>
              </w:rPr>
              <w:t>—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0.6%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97" w:lineRule="exact"/>
        <w:rPr>
          <w:sz w:val="20"/>
          <w:szCs w:val="20"/>
          <w:color w:val="auto"/>
        </w:rPr>
      </w:pPr>
    </w:p>
    <w:p>
      <w:pPr>
        <w:ind w:right="180" w:firstLine="662"/>
        <w:spacing w:after="0" w:line="253" w:lineRule="auto"/>
        <w:rPr>
          <w:sz w:val="20"/>
          <w:szCs w:val="20"/>
          <w:color w:val="auto"/>
        </w:rPr>
      </w:pPr>
      <w:r>
        <w:rPr>
          <w:rFonts w:ascii="Arial" w:cs="Arial" w:eastAsia="Arial" w:hAnsi="Arial"/>
          <w:sz w:val="18"/>
          <w:szCs w:val="18"/>
          <w:color w:val="auto"/>
        </w:rPr>
        <w:t>Technology and development expense consists primarily of payroll and related expenses for our employees engaged in software and manufacturing engineering, information technology operations and content development, as well as amortization of capitalized software and website development costs, including hosting of our websites, asset depreciation, patent amortization, legal settlements in connection with patent-related claims, and other technology infrastructure-related costs. Depreciation expense for information technology equipment that directly supports the delivery of our digital marketing services products is included in cost of revenue.</w:t>
      </w:r>
    </w:p>
    <w:p>
      <w:pPr>
        <w:spacing w:after="0" w:line="179"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During the three months ended March 31, 2018, technology and development expenses decreased by $2.0 million as compared to the prior comparative period, primarily due to a $2.7 million decrease of costs resulting from the divestiture of our Albumprinter business which was completed during the first quarter of fiscal 2018. We also</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47" w:right="239" w:bottom="1440" w:gutter="0" w:footer="0" w:header="0"/>
        </w:sectPr>
      </w:pPr>
    </w:p>
    <w:bookmarkStart w:id="33" w:name="page34"/>
    <w:bookmarkEnd w:id="33"/>
    <w:p>
      <w:pPr>
        <w:jc w:val="both"/>
        <w:ind w:right="200"/>
        <w:spacing w:after="0" w:line="256" w:lineRule="auto"/>
        <w:rPr>
          <w:sz w:val="20"/>
          <w:szCs w:val="20"/>
          <w:color w:val="auto"/>
        </w:rPr>
      </w:pPr>
      <w:r>
        <w:rPr>
          <w:rFonts w:ascii="Arial" w:cs="Arial" w:eastAsia="Arial" w:hAnsi="Arial"/>
          <w:sz w:val="18"/>
          <w:szCs w:val="18"/>
          <w:color w:val="auto"/>
        </w:rPr>
        <w:t>recognized a decrease in technology and development expenses from cost savings realized as a result of our recent restructuring initiatives. These decreases were partially offset by additional costs related to technology enhancements intended to enable rapid product introduction and improved connection points to the mass customization platform.</w:t>
      </w:r>
    </w:p>
    <w:p>
      <w:pPr>
        <w:spacing w:after="0" w:line="25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During the nine months ended March 31, 2018, technology and development expenses increased by $4.1 million as compared to the prior comparative period, primarily due to our fiscal 2017 acquisition of National Pen, which resulted in $6.5 million of additional expense in the current period, without costs in the entire prior comparable period. We also recognized additional costs related to technology enhancements intended to enable rapid product introduction and improved connection points to the mass customization platform, as well as increased depreciation expense related to past investments in infrastructure-related assets. These increases were partially offset by a decrease in costs of $6.7 million, resulting from the divestiture of our Albumprinter business which was completed during the first quarter of fiscal 2018.</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Vistaprint and National Pen businesses have higher marketing and selling cost structures, as compared to our Upload and Print businesses.</w:t>
      </w:r>
    </w:p>
    <w:p>
      <w:pPr>
        <w:spacing w:after="0" w:line="2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marketing and selling expenses increased by $12.3 million and $95.2 million during the three and nine months ended March 31, 2018, respectively, as compared to the prior comparative periods. During the three months ended March 31, 2018, our National Pen business recognized a $10.1 million increase of costs, which were primarily related to a volume increase in direct-mail advertising campaigns, as well as an increase in global online advertising initiatives. For the nine months ended March 31, 2018, we also recognized an additional $70.1 million of costs due to the acquisition of National Pen that was not included in our results for the entire prior comparable period. For the three and nine months ended March 31, 2018, advertising expenses for the remaining businesses increased by $6.3 million and $23.1 million, respectively, which was primarily a result of additional advertising spend in the Vistaprint business. These increases were partially offset by a decrease in costs of $4.4 million and $14.7 million, respectively, due to the sale of our Albumprinter business during the first quarter of fiscal 2018. In addition, internal marketing and customer service costs within the Vistaprint business decreased by $1.4 million and $1.5 million, respectively, primarily related to cost savings resulting from our recent restructuring initiatives.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97" w:lineRule="exact"/>
        <w:rPr>
          <w:sz w:val="20"/>
          <w:szCs w:val="20"/>
          <w:color w:val="auto"/>
        </w:rPr>
      </w:pPr>
    </w:p>
    <w:p>
      <w:pPr>
        <w:ind w:right="220" w:firstLine="662"/>
        <w:spacing w:after="0" w:line="262" w:lineRule="auto"/>
        <w:rPr>
          <w:sz w:val="20"/>
          <w:szCs w:val="20"/>
          <w:color w:val="auto"/>
        </w:rPr>
      </w:pPr>
      <w:r>
        <w:rPr>
          <w:rFonts w:ascii="Arial" w:cs="Arial" w:eastAsia="Arial" w:hAnsi="Arial"/>
          <w:sz w:val="18"/>
          <w:szCs w:val="18"/>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6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During the three months ended March 31, 2018, general and administrative expenses decreased by $1.6 million, primarily due to the absence of acquisition-related charges of $4.6 million related to the WIRmachenDRUCK earn-out arrangement recognized in the third quarter of fiscal 2017. This decrease was partially offset by an increase in share-based compensation expense of $3.0 million for the three months ended March 31, 2018.</w:t>
      </w:r>
    </w:p>
    <w:p>
      <w:pPr>
        <w:spacing w:after="0" w:line="25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For the nine months ended March 31, 2018, general and administrative expenses decreased by $22.6 million, primarily due to a decrease in acquisition-related charges of $29.5 million in the fiscal 2017 comparable period, as well as cost savings from our recent restructuring actions. These savings were partially offset by an additional $13.2 million of expense from our fiscal 2017 acquisition of National Pen, which did not have a full period of expense in the prior year.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97"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Amortization of acquired intangible assets consists of amortization expense associated with separately identifiable intangible assets capitalized as part of our acquisitions, including customer relationships, trade names, developed technologies, print networks, and customer and referral networks.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571" w:right="299" w:bottom="1440" w:gutter="0" w:footer="0" w:header="0"/>
        </w:sectPr>
      </w:pPr>
    </w:p>
    <w:bookmarkStart w:id="34" w:name="page35"/>
    <w:bookmarkEnd w:id="34"/>
    <w:p>
      <w:pPr>
        <w:ind w:right="180" w:firstLine="648"/>
        <w:spacing w:after="0" w:line="262" w:lineRule="auto"/>
        <w:rPr>
          <w:sz w:val="20"/>
          <w:szCs w:val="20"/>
          <w:color w:val="auto"/>
        </w:rPr>
      </w:pPr>
      <w:r>
        <w:rPr>
          <w:rFonts w:ascii="Arial" w:cs="Arial" w:eastAsia="Arial" w:hAnsi="Arial"/>
          <w:sz w:val="18"/>
          <w:szCs w:val="18"/>
          <w:color w:val="auto"/>
        </w:rPr>
        <w:t>Amortization of acquired intangible assets decreased by $0.5 million during the three months ended March 31, 2018, as compared to the prior comparable period, due to the sale of our Albumprinter business during the first quarter of fiscal 2018.</w:t>
      </w:r>
    </w:p>
    <w:p>
      <w:pPr>
        <w:spacing w:after="0" w:line="25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Amortization of acquired intangible assets increased by $4.6 million during the nine months ended March 31, 2018, as compared to the prior comparable period, primarily due to amortization for our fiscal 2017 acquisition of National Pen.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16"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Restructuring expense consists of costs directly incurred as a result of restructuring initiatives, including employee-related termination costs, third party professional fees, facility exit costs and write-off of abandoned assets.</w:t>
      </w:r>
    </w:p>
    <w:p>
      <w:pPr>
        <w:spacing w:after="0" w:line="25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During the three and nine months ended March 31, 2018, we recognized restructuring expense of $2.3 million and $14.7 million, respectively, primarily for employee-related termination benefits. The restructuring expense during the current periods relates primarily to the reorganization of our Vistaprint business that we announced in November 2017, which resulted in a reduction in headcount and other operating costs. Refer to Note 14 in the accompanying consolidated financial statements for additional details regarding the reorganization.</w:t>
      </w:r>
    </w:p>
    <w:p>
      <w:pPr>
        <w:spacing w:after="0" w:line="258" w:lineRule="exact"/>
        <w:rPr>
          <w:sz w:val="20"/>
          <w:szCs w:val="20"/>
          <w:color w:val="auto"/>
        </w:rPr>
      </w:pPr>
    </w:p>
    <w:p>
      <w:pPr>
        <w:ind w:right="440" w:firstLine="648"/>
        <w:spacing w:after="0" w:line="262" w:lineRule="auto"/>
        <w:rPr>
          <w:sz w:val="20"/>
          <w:szCs w:val="20"/>
          <w:color w:val="auto"/>
        </w:rPr>
      </w:pPr>
      <w:r>
        <w:rPr>
          <w:rFonts w:ascii="Arial" w:cs="Arial" w:eastAsia="Arial" w:hAnsi="Arial"/>
          <w:sz w:val="18"/>
          <w:szCs w:val="18"/>
          <w:color w:val="auto"/>
        </w:rPr>
        <w:t>The restructuring costs of $24.8 million and $25.9 million recognized in each of the three and nine months ended March 31, 2017, respectively, was primarily related to our January 2017 restructuring initiative that we completed during the prior year.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subsidiaries</w:t>
      </w:r>
    </w:p>
    <w:p>
      <w:pPr>
        <w:spacing w:after="0" w:line="29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During the nine months ended March 31, 2018, we recognized a gain on the sale of our Albumprinter business of $47.5 million, net of transaction costs. The amount of our gain on the sale of Albumprinter was impacted by the partial allocation of goodwill to our Vistaprint business in past periods, as well as minimal carrying value of Albumprinter's acquired intangible assets at the time of the sale and currency impacts. Refer to Note 2 in the accompanying consolidated financial statements for additional details.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acquired intangible assets</w:t>
      </w:r>
    </w:p>
    <w:p>
      <w:pPr>
        <w:spacing w:after="0" w:line="29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During the third quarter of fiscal 2017, we determined the forecasted cash flows for the Tradeprint business were lower than the initial forecast upon acquisition due to lower operating margins and required investment. As a result we performed a quantitative goodwill analysis that resulted in an impairment loss of $9.6 million during the third quarter of fiscal 2017 related to the goodwill and intangible assets of the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16"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 and ability to qualify for hedge accounting in light of our legal entity cash flows, we considered the benefits of hedge accounting relative to the additional economic cost of trade execution and administrative burden. Based on this analysis, we decided to execute certain currency derivative contracts that do not qualify for hedge accounting.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71"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2"/>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1"/>
                <w:szCs w:val="21"/>
                <w:color w:val="auto"/>
              </w:rPr>
            </w:pPr>
          </w:p>
        </w:tc>
        <w:tc>
          <w:tcPr>
            <w:tcW w:w="282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21"/>
                <w:szCs w:val="21"/>
                <w:color w:val="auto"/>
              </w:rPr>
            </w:pPr>
          </w:p>
        </w:tc>
        <w:tc>
          <w:tcPr>
            <w:tcW w:w="2720" w:type="dxa"/>
            <w:vAlign w:val="bottom"/>
            <w:gridSpan w:val="4"/>
          </w:tcPr>
          <w:p>
            <w:pPr>
              <w:jc w:val="right"/>
              <w:ind w:right="555"/>
              <w:spacing w:after="0"/>
              <w:rPr>
                <w:sz w:val="20"/>
                <w:szCs w:val="20"/>
                <w:color w:val="auto"/>
              </w:rPr>
            </w:pPr>
            <w:r>
              <w:rPr>
                <w:rFonts w:ascii="Arial" w:cs="Arial" w:eastAsia="Arial" w:hAnsi="Arial"/>
                <w:sz w:val="13"/>
                <w:szCs w:val="13"/>
                <w:b w:val="1"/>
                <w:bCs w:val="1"/>
                <w:color w:val="auto"/>
              </w:rPr>
              <w:t>Nine Months Ended March 31,</w:t>
            </w:r>
          </w:p>
        </w:tc>
      </w:tr>
      <w:tr>
        <w:trPr>
          <w:trHeight w:val="250"/>
        </w:trPr>
        <w:tc>
          <w:tcPr>
            <w:tcW w:w="51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(Losses) gains on derivatives not designated as hedging instruments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12,737</w:t>
            </w: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Currency-related gains (losses), net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5,719</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3,379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Total other (expense) income,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21,835</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662"/>
        <w:spacing w:after="0" w:line="252" w:lineRule="auto"/>
        <w:rPr>
          <w:sz w:val="20"/>
          <w:szCs w:val="20"/>
          <w:color w:val="auto"/>
        </w:rPr>
      </w:pPr>
      <w:r>
        <w:rPr>
          <w:rFonts w:ascii="Arial" w:cs="Arial" w:eastAsia="Arial" w:hAnsi="Arial"/>
          <w:sz w:val="18"/>
          <w:szCs w:val="18"/>
          <w:color w:val="auto"/>
        </w:rPr>
        <w:t>During the three and nine months ended March 31, 2018, we recognized net losses of $1.6 million and $25.6 million, respectively, as compared to net losses of $6.6 million and net gains of $21.8 million, respectively, during the prior comparable periods. The decrease in other (expense) income, net is primarily due to the currency exchange rate volatility impacting our derivatives that are not designated as hedging instruments. We expect volatility to continue in future periods as we do not currently apply hedge accounting for most of our derivative currency contracts. We also experienced currency-related losses due to currency exchange rate volatility on our non-functional currency intercompany relationships, which we may alter from time to time. The impact of certain cross-currency swap contracts designated as cash flow hedges is included in our currency-related (losses) gains, net, offsetting the impact of certain non-functional currency intercompany relationships.</w:t>
      </w:r>
    </w:p>
    <w:p>
      <w:pPr>
        <w:spacing w:after="0" w:line="180" w:lineRule="exact"/>
        <w:rPr>
          <w:sz w:val="20"/>
          <w:szCs w:val="20"/>
          <w:color w:val="auto"/>
        </w:rPr>
      </w:pPr>
    </w:p>
    <w:p>
      <w:pPr>
        <w:ind w:right="200" w:firstLine="662"/>
        <w:spacing w:after="0" w:line="262" w:lineRule="auto"/>
        <w:rPr>
          <w:sz w:val="20"/>
          <w:szCs w:val="20"/>
          <w:color w:val="auto"/>
        </w:rPr>
      </w:pPr>
      <w:r>
        <w:rPr>
          <w:rFonts w:ascii="Arial" w:cs="Arial" w:eastAsia="Arial" w:hAnsi="Arial"/>
          <w:sz w:val="18"/>
          <w:szCs w:val="18"/>
          <w:color w:val="auto"/>
        </w:rPr>
        <w:t>In addition, during the three and nine months ended March 31, 2018, we recognized other gains, which related primarily to insurance recoveries. The gains in the prior comparable periods consisted primarily of gains related to the sale of marketable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6" w:lineRule="exact"/>
        <w:rPr>
          <w:sz w:val="20"/>
          <w:szCs w:val="20"/>
          <w:color w:val="auto"/>
        </w:rPr>
      </w:pPr>
    </w:p>
    <w:p>
      <w:pPr>
        <w:ind w:right="400" w:firstLine="662"/>
        <w:spacing w:after="0" w:line="256"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interest related to capital lease obligations and realized gains (losses) on effective interest rate swap contracts and certain cross-currency swap contracts.</w:t>
      </w:r>
    </w:p>
    <w:p>
      <w:pPr>
        <w:spacing w:after="0" w:line="175"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Interest expense, net was $12.7 million and $38.3 million for the three and nine months ended March 31, 2018, respectively, compared to $ 11.6 million and $31.1 million for the three and nine months ended March 31, 2017, respectively. We expect interest expense to be higher this year relative to historical trends as a result of increased capital lease obligations for machinery and equipment; and higher interest rates. Refer to Note 8 in the accompanying consolidated financial statements for additional details regarding our debt arrangements.</w:t>
      </w:r>
    </w:p>
    <w:p>
      <w:pPr>
        <w:sectPr>
          <w:pgSz w:w="11900" w:h="16838" w:orient="portrait"/>
          <w:cols w:equalWidth="0" w:num="1">
            <w:col w:w="11420"/>
          </w:cols>
          <w:pgMar w:left="240" w:top="715" w:right="2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260" w:type="dxa"/>
            <w:vAlign w:val="bottom"/>
            <w:gridSpan w:val="3"/>
          </w:tcPr>
          <w:p>
            <w:pPr>
              <w:ind w:left="660"/>
              <w:spacing w:after="0"/>
              <w:rPr>
                <w:sz w:val="20"/>
                <w:szCs w:val="20"/>
                <w:color w:val="auto"/>
              </w:rPr>
            </w:pPr>
            <w:r>
              <w:rPr>
                <w:rFonts w:ascii="Arial" w:cs="Arial" w:eastAsia="Arial" w:hAnsi="Arial"/>
                <w:sz w:val="13"/>
                <w:szCs w:val="13"/>
                <w:b w:val="1"/>
                <w:bCs w:val="1"/>
                <w:color w:val="auto"/>
              </w:rPr>
              <w:t>Three Months Ended March 31,</w:t>
            </w:r>
          </w:p>
        </w:tc>
        <w:tc>
          <w:tcPr>
            <w:tcW w:w="3160" w:type="dxa"/>
            <w:vAlign w:val="bottom"/>
            <w:gridSpan w:val="2"/>
          </w:tcPr>
          <w:p>
            <w:pPr>
              <w:jc w:val="right"/>
              <w:ind w:right="617"/>
              <w:spacing w:after="0"/>
              <w:rPr>
                <w:sz w:val="20"/>
                <w:szCs w:val="20"/>
                <w:color w:val="auto"/>
              </w:rPr>
            </w:pPr>
            <w:r>
              <w:rPr>
                <w:rFonts w:ascii="Arial" w:cs="Arial" w:eastAsia="Arial" w:hAnsi="Arial"/>
                <w:sz w:val="13"/>
                <w:szCs w:val="13"/>
                <w:b w:val="1"/>
                <w:bCs w:val="1"/>
                <w:color w:val="auto"/>
              </w:rPr>
              <w:t>Nine Months Ended March 31,</w:t>
            </w:r>
          </w:p>
        </w:tc>
      </w:tr>
      <w:tr>
        <w:trPr>
          <w:trHeight w:val="254"/>
        </w:trPr>
        <w:tc>
          <w:tcPr>
            <w:tcW w:w="158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158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top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2017</w:t>
            </w:r>
          </w:p>
        </w:tc>
      </w:tr>
    </w:tbl>
    <w:p>
      <w:pPr>
        <w:spacing w:after="0" w:line="1" w:lineRule="exact"/>
        <w:rPr>
          <w:sz w:val="20"/>
          <w:szCs w:val="20"/>
          <w:color w:val="auto"/>
        </w:rPr>
      </w:pPr>
    </w:p>
    <w:p>
      <w:pPr>
        <w:sectPr>
          <w:pgSz w:w="11900" w:h="16838" w:orient="portrait"/>
          <w:cols w:equalWidth="0" w:num="2">
            <w:col w:w="4280" w:space="720"/>
            <w:col w:w="6420"/>
          </w:cols>
          <w:pgMar w:left="240" w:top="715"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4,019</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(17,431)</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19,657</w:t>
            </w: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(7,644)</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520" w:type="dxa"/>
            <w:vAlign w:val="bottom"/>
          </w:tcPr>
          <w:p>
            <w:pPr>
              <w:spacing w:after="0"/>
              <w:rPr>
                <w:sz w:val="21"/>
                <w:szCs w:val="21"/>
                <w:color w:val="auto"/>
              </w:rPr>
            </w:pPr>
          </w:p>
        </w:tc>
        <w:tc>
          <w:tcPr>
            <w:tcW w:w="1000" w:type="dxa"/>
            <w:vAlign w:val="bottom"/>
          </w:tcPr>
          <w:p>
            <w:pPr>
              <w:ind w:left="420"/>
              <w:spacing w:after="0"/>
              <w:rPr>
                <w:sz w:val="20"/>
                <w:szCs w:val="20"/>
                <w:color w:val="auto"/>
              </w:rPr>
            </w:pPr>
            <w:r>
              <w:rPr>
                <w:rFonts w:ascii="Arial" w:cs="Arial" w:eastAsia="Arial" w:hAnsi="Arial"/>
                <w:sz w:val="16"/>
                <w:szCs w:val="16"/>
                <w:i w:val="1"/>
                <w:iCs w:val="1"/>
                <w:color w:val="auto"/>
              </w:rPr>
              <w:t>166.3%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27.3%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16.9%</w:t>
            </w:r>
          </w:p>
        </w:tc>
      </w:tr>
    </w:tbl>
    <w:p>
      <w:pPr>
        <w:spacing w:after="0" w:line="23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Income tax expense for the three and nine months ended March 31, 2018 was higher than the same prior year periods primarily due to pre-tax income for the three and nine months ended March 31, 2018 as compared to pre-tax losses in the comparable periods. Additionally, we recognized tax expense of $4.7 million related to U.S. tax reform recognized in the nine months ended March 31, 2018. We recognize excess tax benefits associated with the vesting or exercise of share based compensation awards as a discrete tax item. During the three and nine months ended March 31, 2018, we recognized excess tax benefits from share based compensation of $1.3 million and $2.8 million, respectively, as compared to $0.1 million and $4.7 million for the comparable prior periods. Excluding the effect of these discrete tax items, we are forecasting a more favorable consolidated annual effective tax rate for fiscal 2018 as compared to fiscal 2017 primarily due to higher forecasted full year pre-tax income as well as a more favorable geographical mix of consolidated earnings. In addition, our effective tax rate is negatively impacted by losses in certain jurisdictions where we are unable to recognize a full tax benefit in the current period.</w:t>
      </w:r>
    </w:p>
    <w:p>
      <w:pPr>
        <w:spacing w:after="0" w:line="213" w:lineRule="exact"/>
        <w:rPr>
          <w:sz w:val="20"/>
          <w:szCs w:val="20"/>
          <w:color w:val="auto"/>
        </w:rPr>
      </w:pPr>
    </w:p>
    <w:p>
      <w:pPr>
        <w:jc w:val="both"/>
        <w:ind w:right="80" w:firstLine="648"/>
        <w:spacing w:after="0" w:line="254" w:lineRule="auto"/>
        <w:rPr>
          <w:sz w:val="20"/>
          <w:szCs w:val="20"/>
          <w:color w:val="auto"/>
        </w:rPr>
      </w:pPr>
      <w:r>
        <w:rPr>
          <w:rFonts w:ascii="Arial" w:cs="Arial" w:eastAsia="Arial" w:hAnsi="Arial"/>
          <w:sz w:val="18"/>
          <w:szCs w:val="18"/>
          <w:color w:val="auto"/>
        </w:rPr>
        <w:t>On December 22, 2017, the Tax Cuts and Jobs Act ("The Act") was signed into law, resulting in significant changes to U.S. tax law for corporations. Our tax balances were adjusted during the quarter ended December 31, 2017 based upon our interpretation of The Act, although the final impact on our tax balances may change due to the issuance of additional guidance, changes in our interpretation of The Act, changes in assumptions made by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15" w:right="239" w:bottom="1440" w:gutter="0" w:footer="0" w:header="0"/>
          <w:type w:val="continuous"/>
        </w:sectPr>
      </w:pPr>
    </w:p>
    <w:bookmarkStart w:id="36" w:name="page37"/>
    <w:bookmarkEnd w:id="36"/>
    <w:p>
      <w:pPr>
        <w:ind w:right="380"/>
        <w:spacing w:after="0" w:line="256" w:lineRule="auto"/>
        <w:rPr>
          <w:sz w:val="20"/>
          <w:szCs w:val="20"/>
          <w:color w:val="auto"/>
        </w:rPr>
      </w:pPr>
      <w:r>
        <w:rPr>
          <w:rFonts w:ascii="Arial" w:cs="Arial" w:eastAsia="Arial" w:hAnsi="Arial"/>
          <w:sz w:val="18"/>
          <w:szCs w:val="18"/>
          <w:color w:val="auto"/>
        </w:rPr>
        <w:t>Cimpress, and actions Cimpress may take as a result of The Act. There were no material changes to our tax balances for the three months ended March 31, 2018 as a result of The Act. We will continue to review and assess the potential impact of any new information on our financial statement positions.</w:t>
      </w:r>
    </w:p>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 See Note 9 in our accompanying consolidated financial statements for additional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2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Our segment financial performance is measured based on segment profit (loss) which excludes certain non-operational items including acquisition-related expenses, certain impairments and restructuring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Vistaprint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7"/>
              </w:rPr>
              <w:t>Three Months Ended March 31,</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Nine Months Ended March 31,</w:t>
            </w:r>
          </w:p>
        </w:tc>
        <w:tc>
          <w:tcPr>
            <w:tcW w:w="1260" w:type="dxa"/>
            <w:vAlign w:val="bottom"/>
            <w:tcBorders>
              <w:bottom w:val="single" w:sz="8" w:color="auto"/>
            </w:tcBorders>
          </w:tcPr>
          <w:p>
            <w:pPr>
              <w:spacing w:after="0"/>
              <w:rPr>
                <w:sz w:val="21"/>
                <w:szCs w:val="21"/>
                <w:color w:val="auto"/>
              </w:rPr>
            </w:pPr>
          </w:p>
        </w:tc>
      </w:tr>
      <w:tr>
        <w:trPr>
          <w:trHeight w:val="264"/>
        </w:trPr>
        <w:tc>
          <w:tcPr>
            <w:tcW w:w="2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2018 vs. 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2018 vs. 2017</w:t>
            </w:r>
          </w:p>
        </w:tc>
      </w:tr>
      <w:tr>
        <w:trPr>
          <w:trHeight w:val="257"/>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357,606</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322,804</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1,105,557</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990,160</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57,661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37,627</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187,605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129,915</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8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Vistaprint's reported revenue was positively affected by currency impacts during the three and nine months ended March 31, 2018 of 4% and 3%, respectively, resulting in constant-currency growth of 7% and 9%. The Vistaprint constant-currency growth was due to continued growth in repeat customer bookings, however new customer bookings decreased in the third quarter of fiscal 2018 due in part to reduced advertising spend in certain sales channels.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Vistaprint's segment profit increased for the three and nine months ended March 31, 2018 as compared to the prior periods, driven primarily by operating expense savings as a result of our recent restructuring initiatives and incremental gross profits driven by revenue growth. In the current periods, Vistaprint's segment profit was positively influenced by currency movements.</w:t>
      </w:r>
    </w:p>
    <w:p>
      <w:pPr>
        <w:sectPr>
          <w:pgSz w:w="11900" w:h="16838" w:orient="portrait"/>
          <w:cols w:equalWidth="0" w:num="1">
            <w:col w:w="11420"/>
          </w:cols>
          <w:pgMar w:left="240" w:top="382" w:right="239" w:bottom="1440" w:gutter="0" w:footer="0" w:header="0"/>
        </w:sectPr>
      </w:pPr>
    </w:p>
    <w:p>
      <w:pPr>
        <w:spacing w:after="0" w:line="153" w:lineRule="exact"/>
        <w:rPr>
          <w:sz w:val="20"/>
          <w:szCs w:val="20"/>
          <w:color w:val="auto"/>
        </w:rPr>
      </w:pPr>
    </w:p>
    <w:p>
      <w:pPr>
        <w:ind w:left="60" w:right="140" w:hanging="61"/>
        <w:spacing w:after="0" w:line="491" w:lineRule="auto"/>
        <w:rPr>
          <w:sz w:val="20"/>
          <w:szCs w:val="20"/>
          <w:color w:val="auto"/>
        </w:rPr>
      </w:pPr>
      <w:r>
        <w:rPr>
          <w:rFonts w:ascii="Arial" w:cs="Arial" w:eastAsia="Arial" w:hAnsi="Arial"/>
          <w:sz w:val="18"/>
          <w:szCs w:val="18"/>
          <w:b w:val="1"/>
          <w:bCs w:val="1"/>
          <w:i w:val="1"/>
          <w:iCs w:val="1"/>
          <w:color w:val="auto"/>
        </w:rPr>
        <w:t xml:space="preserve">Upload and Print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Nine Months Ended March 31,</w:t>
            </w:r>
          </w:p>
        </w:tc>
        <w:tc>
          <w:tcPr>
            <w:tcW w:w="1200" w:type="dxa"/>
            <w:vAlign w:val="bottom"/>
            <w:tcBorders>
              <w:bottom w:val="single" w:sz="8" w:color="auto"/>
            </w:tcBorders>
          </w:tcPr>
          <w:p>
            <w:pPr>
              <w:spacing w:after="0"/>
              <w:rPr>
                <w:sz w:val="15"/>
                <w:szCs w:val="15"/>
                <w:color w:val="auto"/>
              </w:rPr>
            </w:pPr>
          </w:p>
        </w:tc>
      </w:tr>
      <w:tr>
        <w:trPr>
          <w:trHeight w:val="254"/>
        </w:trPr>
        <w:tc>
          <w:tcPr>
            <w:tcW w:w="1120" w:type="dxa"/>
            <w:vAlign w:val="bottom"/>
          </w:tcPr>
          <w:p>
            <w:pPr>
              <w:jc w:val="right"/>
              <w:ind w:right="157"/>
              <w:spacing w:after="0"/>
              <w:rPr>
                <w:sz w:val="20"/>
                <w:szCs w:val="20"/>
                <w:color w:val="auto"/>
              </w:rPr>
            </w:pPr>
            <w:r>
              <w:rPr>
                <w:rFonts w:ascii="Arial" w:cs="Arial" w:eastAsia="Arial" w:hAnsi="Arial"/>
                <w:sz w:val="13"/>
                <w:szCs w:val="13"/>
                <w:b w:val="1"/>
                <w:bCs w:val="1"/>
                <w:color w:val="auto"/>
              </w:rPr>
              <w:t>2018</w:t>
            </w:r>
          </w:p>
        </w:tc>
        <w:tc>
          <w:tcPr>
            <w:tcW w:w="2220" w:type="dxa"/>
            <w:vAlign w:val="bottom"/>
          </w:tcPr>
          <w:p>
            <w:pPr>
              <w:jc w:val="right"/>
              <w:ind w:right="777"/>
              <w:spacing w:after="0"/>
              <w:rPr>
                <w:sz w:val="20"/>
                <w:szCs w:val="20"/>
                <w:color w:val="auto"/>
              </w:rPr>
            </w:pPr>
            <w:r>
              <w:rPr>
                <w:rFonts w:ascii="Arial" w:cs="Arial" w:eastAsia="Arial" w:hAnsi="Arial"/>
                <w:sz w:val="13"/>
                <w:szCs w:val="13"/>
                <w:b w:val="1"/>
                <w:bCs w:val="1"/>
                <w:color w:val="auto"/>
              </w:rPr>
              <w:t>2017</w:t>
            </w: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2018 vs. 2017</w:t>
            </w:r>
          </w:p>
        </w:tc>
        <w:tc>
          <w:tcPr>
            <w:tcW w:w="1140" w:type="dxa"/>
            <w:vAlign w:val="bottom"/>
          </w:tcPr>
          <w:p>
            <w:pPr>
              <w:jc w:val="right"/>
              <w:ind w:right="177"/>
              <w:spacing w:after="0"/>
              <w:rPr>
                <w:sz w:val="20"/>
                <w:szCs w:val="20"/>
                <w:color w:val="auto"/>
              </w:rPr>
            </w:pPr>
            <w:r>
              <w:rPr>
                <w:rFonts w:ascii="Arial" w:cs="Arial" w:eastAsia="Arial" w:hAnsi="Arial"/>
                <w:sz w:val="13"/>
                <w:szCs w:val="13"/>
                <w:b w:val="1"/>
                <w:bCs w:val="1"/>
                <w:color w:val="auto"/>
              </w:rPr>
              <w:t>2018</w:t>
            </w:r>
          </w:p>
        </w:tc>
        <w:tc>
          <w:tcPr>
            <w:tcW w:w="2180" w:type="dxa"/>
            <w:vAlign w:val="bottom"/>
          </w:tcPr>
          <w:p>
            <w:pPr>
              <w:jc w:val="right"/>
              <w:ind w:right="737"/>
              <w:spacing w:after="0"/>
              <w:rPr>
                <w:sz w:val="20"/>
                <w:szCs w:val="20"/>
                <w:color w:val="auto"/>
              </w:rPr>
            </w:pPr>
            <w:r>
              <w:rPr>
                <w:rFonts w:ascii="Arial" w:cs="Arial" w:eastAsia="Arial" w:hAnsi="Arial"/>
                <w:sz w:val="13"/>
                <w:szCs w:val="13"/>
                <w:b w:val="1"/>
                <w:bCs w:val="1"/>
                <w:color w:val="auto"/>
              </w:rPr>
              <w:t>2017</w:t>
            </w:r>
          </w:p>
        </w:tc>
        <w:tc>
          <w:tcPr>
            <w:tcW w:w="1200" w:type="dxa"/>
            <w:vAlign w:val="bottom"/>
          </w:tcPr>
          <w:p>
            <w:pPr>
              <w:ind w:left="160"/>
              <w:spacing w:after="0"/>
              <w:rPr>
                <w:sz w:val="20"/>
                <w:szCs w:val="20"/>
                <w:color w:val="auto"/>
              </w:rPr>
            </w:pPr>
            <w:r>
              <w:rPr>
                <w:rFonts w:ascii="Arial" w:cs="Arial" w:eastAsia="Arial" w:hAnsi="Arial"/>
                <w:sz w:val="13"/>
                <w:szCs w:val="13"/>
                <w:b w:val="1"/>
                <w:bCs w:val="1"/>
                <w:color w:val="auto"/>
              </w:rPr>
              <w:t>2018 vs. 2017</w:t>
            </w:r>
          </w:p>
        </w:tc>
      </w:tr>
    </w:tbl>
    <w:p>
      <w:pPr>
        <w:spacing w:after="0" w:line="1" w:lineRule="exact"/>
        <w:rPr>
          <w:sz w:val="20"/>
          <w:szCs w:val="20"/>
          <w:color w:val="auto"/>
        </w:rPr>
      </w:pPr>
    </w:p>
    <w:p>
      <w:pPr>
        <w:sectPr>
          <w:pgSz w:w="11900" w:h="16838" w:orient="portrait"/>
          <w:cols w:equalWidth="0" w:num="2">
            <w:col w:w="1580" w:space="720"/>
            <w:col w:w="9120"/>
          </w:cols>
          <w:pgMar w:left="240" w:top="382"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183,768</w:t>
            </w: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142,476</w:t>
            </w:r>
          </w:p>
        </w:tc>
        <w:tc>
          <w:tcPr>
            <w:tcW w:w="1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536,685</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426,821</w:t>
            </w:r>
          </w:p>
        </w:tc>
        <w:tc>
          <w:tcPr>
            <w:tcW w:w="1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44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17,367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12,983</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54,605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43,232</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8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Upload and Print's reported revenue was positively affected by currency impacts during the three and nine months ended March 31, 2018 of 17% and 11%, respectively, resulting in constant-currency growth of 12% and 15%. The Upload and Print constant-currency revenue growth was primarily driven by continued growth from our Exagroup, Pixartprinting, Printdeal and WIRmachenDRUCK businesses. Each of our other Upload and Print businesses continue to grow at varying rates.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The increase in segment profit for the three and nine months ended March 31, 2018 as compared to the prior periods was primarily due to incremental gross profits, driven by the revenue growth described above, 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82" w:right="239" w:bottom="1440" w:gutter="0" w:footer="0" w:header="0"/>
          <w:type w:val="continuous"/>
        </w:sectPr>
      </w:pPr>
    </w:p>
    <w:bookmarkStart w:id="37" w:name="page38"/>
    <w:bookmarkEnd w:id="37"/>
    <w:p>
      <w:pPr>
        <w:ind w:right="40"/>
        <w:spacing w:after="0" w:line="256" w:lineRule="auto"/>
        <w:rPr>
          <w:sz w:val="20"/>
          <w:szCs w:val="20"/>
          <w:color w:val="auto"/>
        </w:rPr>
      </w:pPr>
      <w:r>
        <w:rPr>
          <w:rFonts w:ascii="Arial" w:cs="Arial" w:eastAsia="Arial" w:hAnsi="Arial"/>
          <w:sz w:val="18"/>
          <w:szCs w:val="18"/>
          <w:color w:val="auto"/>
        </w:rPr>
        <w:t>operating expense efficiencies in several businesses. Upload and Print segment profit was also positively impacted by currency movements. The gross profit increases were partially offset by planned investments, relating primarily to technology enhancements intended to enable rapid new product introduction and improved connection points to the mass customization platform.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w w:val="98"/>
              </w:rPr>
              <w:t>Three Months Ended March 31,</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ind w:left="980"/>
              <w:spacing w:after="0"/>
              <w:rPr>
                <w:sz w:val="20"/>
                <w:szCs w:val="20"/>
                <w:color w:val="auto"/>
              </w:rPr>
            </w:pPr>
            <w:r>
              <w:rPr>
                <w:rFonts w:ascii="Arial" w:cs="Arial" w:eastAsia="Arial" w:hAnsi="Arial"/>
                <w:sz w:val="13"/>
                <w:szCs w:val="13"/>
                <w:b w:val="1"/>
                <w:bCs w:val="1"/>
                <w:color w:val="auto"/>
              </w:rPr>
              <w:t>Nine Months Ended March 31,</w:t>
            </w:r>
          </w:p>
        </w:tc>
        <w:tc>
          <w:tcPr>
            <w:tcW w:w="1240" w:type="dxa"/>
            <w:vAlign w:val="bottom"/>
            <w:tcBorders>
              <w:bottom w:val="single" w:sz="8" w:color="auto"/>
            </w:tcBorders>
          </w:tcPr>
          <w:p>
            <w:pPr>
              <w:spacing w:after="0"/>
              <w:rPr>
                <w:sz w:val="21"/>
                <w:szCs w:val="21"/>
                <w:color w:val="auto"/>
              </w:rPr>
            </w:pPr>
          </w:p>
        </w:tc>
      </w:tr>
      <w:tr>
        <w:trPr>
          <w:trHeight w:val="264"/>
        </w:trPr>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56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2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134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2018 vs. 2017</w:t>
            </w:r>
          </w:p>
        </w:tc>
        <w:tc>
          <w:tcPr>
            <w:tcW w:w="380" w:type="dxa"/>
            <w:vAlign w:val="bottom"/>
          </w:tcPr>
          <w:p>
            <w:pPr>
              <w:spacing w:after="0"/>
              <w:rPr>
                <w:sz w:val="22"/>
                <w:szCs w:val="22"/>
                <w:color w:val="auto"/>
              </w:rPr>
            </w:pPr>
          </w:p>
        </w:tc>
        <w:tc>
          <w:tcPr>
            <w:tcW w:w="1160" w:type="dxa"/>
            <w:vAlign w:val="bottom"/>
          </w:tcPr>
          <w:p>
            <w:pPr>
              <w:jc w:val="right"/>
              <w:ind w:right="54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503"/>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2018 vs. 2017</w:t>
            </w:r>
          </w:p>
        </w:tc>
      </w:tr>
      <w:tr>
        <w:trPr>
          <w:trHeight w:val="257"/>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81,545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58,828</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267,360</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58,828</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354%</w:t>
            </w:r>
          </w:p>
        </w:tc>
      </w:tr>
      <w:tr>
        <w:trPr>
          <w:trHeight w:val="260"/>
        </w:trPr>
        <w:tc>
          <w:tcPr>
            <w:tcW w:w="2380" w:type="dxa"/>
            <w:vAlign w:val="bottom"/>
          </w:tcPr>
          <w:p>
            <w:pPr>
              <w:ind w:left="40"/>
              <w:spacing w:after="0"/>
              <w:rPr>
                <w:sz w:val="20"/>
                <w:szCs w:val="20"/>
                <w:color w:val="auto"/>
              </w:rPr>
            </w:pPr>
            <w:r>
              <w:rPr>
                <w:rFonts w:ascii="Arial" w:cs="Arial" w:eastAsia="Arial" w:hAnsi="Arial"/>
                <w:sz w:val="16"/>
                <w:szCs w:val="16"/>
                <w:color w:val="auto"/>
              </w:rPr>
              <w:t>Segment Profit (Loss)</w:t>
            </w:r>
          </w:p>
        </w:tc>
        <w:tc>
          <w:tcPr>
            <w:tcW w:w="360" w:type="dxa"/>
            <w:vAlign w:val="bottom"/>
          </w:tcPr>
          <w:p>
            <w:pPr>
              <w:spacing w:after="0"/>
              <w:rPr>
                <w:sz w:val="22"/>
                <w:szCs w:val="22"/>
                <w:color w:val="auto"/>
              </w:rPr>
            </w:pPr>
          </w:p>
        </w:tc>
        <w:tc>
          <w:tcPr>
            <w:tcW w:w="1180" w:type="dxa"/>
            <w:vAlign w:val="bottom"/>
          </w:tcPr>
          <w:p>
            <w:pPr>
              <w:jc w:val="right"/>
              <w:ind w:right="106"/>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(3,226)</w:t>
            </w:r>
          </w:p>
        </w:tc>
        <w:tc>
          <w:tcPr>
            <w:tcW w:w="100" w:type="dxa"/>
            <w:vAlign w:val="bottom"/>
          </w:tcPr>
          <w:p>
            <w:pPr>
              <w:spacing w:after="0"/>
              <w:rPr>
                <w:sz w:val="22"/>
                <w:szCs w:val="22"/>
                <w:color w:val="auto"/>
              </w:rPr>
            </w:pPr>
          </w:p>
        </w:tc>
        <w:tc>
          <w:tcPr>
            <w:tcW w:w="1240" w:type="dxa"/>
            <w:vAlign w:val="bottom"/>
          </w:tcPr>
          <w:p>
            <w:pPr>
              <w:jc w:val="right"/>
              <w:ind w:right="345"/>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86"/>
              <w:spacing w:after="0"/>
              <w:rPr>
                <w:sz w:val="20"/>
                <w:szCs w:val="20"/>
                <w:color w:val="auto"/>
              </w:rPr>
            </w:pPr>
            <w:r>
              <w:rPr>
                <w:rFonts w:ascii="Arial" w:cs="Arial" w:eastAsia="Arial" w:hAnsi="Arial"/>
                <w:sz w:val="16"/>
                <w:szCs w:val="16"/>
                <w:color w:val="auto"/>
              </w:rPr>
              <w:t>19,185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(3,226)</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695%</w:t>
            </w:r>
          </w:p>
        </w:tc>
      </w:tr>
      <w:tr>
        <w:trPr>
          <w:trHeight w:val="28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6"/>
                <w:szCs w:val="16"/>
                <w:i w:val="1"/>
                <w:iCs w:val="1"/>
                <w:color w:val="auto"/>
              </w:rPr>
              <w:t>—%</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6"/>
                <w:szCs w:val="16"/>
                <w:i w:val="1"/>
                <w:iCs w:val="1"/>
                <w:color w:val="auto"/>
              </w:rPr>
              <w:t>n/a</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6"/>
                <w:szCs w:val="16"/>
                <w:i w:val="1"/>
                <w:iCs w:val="1"/>
                <w:color w:val="auto"/>
              </w:rPr>
              <w:t>n/a</w:t>
            </w:r>
          </w:p>
        </w:tc>
        <w:tc>
          <w:tcPr>
            <w:tcW w:w="12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300" w:firstLine="648"/>
        <w:spacing w:after="0" w:line="252" w:lineRule="auto"/>
        <w:rPr>
          <w:sz w:val="20"/>
          <w:szCs w:val="20"/>
          <w:color w:val="auto"/>
        </w:rPr>
      </w:pPr>
      <w:r>
        <w:rPr>
          <w:rFonts w:ascii="Arial" w:cs="Arial" w:eastAsia="Arial" w:hAnsi="Arial"/>
          <w:sz w:val="18"/>
          <w:szCs w:val="18"/>
          <w:color w:val="auto"/>
        </w:rPr>
        <w:t>National Pen's reported revenue was positively affected by currency impacts during the three months ended March 31, 2018 of 9%, resulting in constant-currency revenue growth of 30%. The National Pen constant-currency revenue growth is primarily driven by increases across channels and geographies, as we have seen improved marketing performance, increased marketing and prospecting activities, and increased sales to other Cimpress businesses. We expect revenue growth to be lower in future periods, due in part to reduced marketing investments in the prior comparative period that lowered revenues in that period and, therefore, have a positive impact on the current period growth.</w:t>
      </w:r>
    </w:p>
    <w:p>
      <w:pPr>
        <w:spacing w:after="0" w:line="182"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For the nine months ended March 31, 2017, our reported revenue growth was 354%, as the comparable period only includes revenue subsequent to our December 30, 2016 acquisition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Segment profit increased $3.6 million for the three months ended March 31, 2018, driven by the revenue growth described above, as well as cost savings from post-acquisition synergies. These increases were partially offset by increased customer prospecting activities, as well as planned technology investments. Segment profit increased $22.4 million for the nine months ended March 31, 2018, due to the prior comparable period including only a partial period of results, as well as revenue growth during the third quarter of fiscal 2018.</w:t>
      </w:r>
    </w:p>
    <w:p>
      <w:pPr>
        <w:sectPr>
          <w:pgSz w:w="11900" w:h="16838" w:orient="portrait"/>
          <w:cols w:equalWidth="0" w:num="1">
            <w:col w:w="11420"/>
          </w:cols>
          <w:pgMar w:left="240" w:top="571" w:right="239" w:bottom="1440" w:gutter="0" w:footer="0" w:header="0"/>
        </w:sectPr>
      </w:pPr>
    </w:p>
    <w:p>
      <w:pPr>
        <w:spacing w:after="0" w:line="155" w:lineRule="exact"/>
        <w:rPr>
          <w:sz w:val="20"/>
          <w:szCs w:val="20"/>
          <w:color w:val="auto"/>
        </w:rPr>
      </w:pPr>
    </w:p>
    <w:p>
      <w:pPr>
        <w:ind w:left="60" w:hanging="61"/>
        <w:spacing w:after="0" w:line="491" w:lineRule="auto"/>
        <w:rPr>
          <w:sz w:val="20"/>
          <w:szCs w:val="20"/>
          <w:color w:val="auto"/>
        </w:rPr>
      </w:pPr>
      <w:r>
        <w:rPr>
          <w:rFonts w:ascii="Arial" w:cs="Arial" w:eastAsia="Arial" w:hAnsi="Arial"/>
          <w:sz w:val="18"/>
          <w:szCs w:val="18"/>
          <w:b w:val="1"/>
          <w:bCs w:val="1"/>
          <w:i w:val="1"/>
          <w:iCs w:val="1"/>
          <w:color w:val="auto"/>
        </w:rPr>
        <w:t xml:space="preserve">All Other Businesses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Nine Months Ended March 31,</w:t>
            </w:r>
          </w:p>
        </w:tc>
        <w:tc>
          <w:tcPr>
            <w:tcW w:w="1200" w:type="dxa"/>
            <w:vAlign w:val="bottom"/>
            <w:tcBorders>
              <w:bottom w:val="single" w:sz="8" w:color="auto"/>
            </w:tcBorders>
          </w:tcPr>
          <w:p>
            <w:pPr>
              <w:spacing w:after="0"/>
              <w:rPr>
                <w:sz w:val="15"/>
                <w:szCs w:val="15"/>
                <w:color w:val="auto"/>
              </w:rPr>
            </w:pPr>
          </w:p>
        </w:tc>
      </w:tr>
      <w:tr>
        <w:trPr>
          <w:trHeight w:val="254"/>
        </w:trPr>
        <w:tc>
          <w:tcPr>
            <w:tcW w:w="1120" w:type="dxa"/>
            <w:vAlign w:val="bottom"/>
          </w:tcPr>
          <w:p>
            <w:pPr>
              <w:jc w:val="right"/>
              <w:ind w:right="157"/>
              <w:spacing w:after="0"/>
              <w:rPr>
                <w:sz w:val="20"/>
                <w:szCs w:val="20"/>
                <w:color w:val="auto"/>
              </w:rPr>
            </w:pPr>
            <w:r>
              <w:rPr>
                <w:rFonts w:ascii="Arial" w:cs="Arial" w:eastAsia="Arial" w:hAnsi="Arial"/>
                <w:sz w:val="13"/>
                <w:szCs w:val="13"/>
                <w:b w:val="1"/>
                <w:bCs w:val="1"/>
                <w:color w:val="auto"/>
              </w:rPr>
              <w:t>2018</w:t>
            </w:r>
          </w:p>
        </w:tc>
        <w:tc>
          <w:tcPr>
            <w:tcW w:w="2240" w:type="dxa"/>
            <w:vAlign w:val="bottom"/>
          </w:tcPr>
          <w:p>
            <w:pPr>
              <w:jc w:val="right"/>
              <w:ind w:right="777"/>
              <w:spacing w:after="0"/>
              <w:rPr>
                <w:sz w:val="20"/>
                <w:szCs w:val="20"/>
                <w:color w:val="auto"/>
              </w:rPr>
            </w:pPr>
            <w:r>
              <w:rPr>
                <w:rFonts w:ascii="Arial" w:cs="Arial" w:eastAsia="Arial" w:hAnsi="Arial"/>
                <w:sz w:val="13"/>
                <w:szCs w:val="13"/>
                <w:b w:val="1"/>
                <w:bCs w:val="1"/>
                <w:color w:val="auto"/>
              </w:rPr>
              <w:t>2017</w:t>
            </w:r>
          </w:p>
        </w:tc>
        <w:tc>
          <w:tcPr>
            <w:tcW w:w="1280" w:type="dxa"/>
            <w:vAlign w:val="bottom"/>
            <w:gridSpan w:val="2"/>
          </w:tcPr>
          <w:p>
            <w:pPr>
              <w:ind w:left="140"/>
              <w:spacing w:after="0"/>
              <w:rPr>
                <w:sz w:val="20"/>
                <w:szCs w:val="20"/>
                <w:color w:val="auto"/>
              </w:rPr>
            </w:pPr>
            <w:r>
              <w:rPr>
                <w:rFonts w:ascii="Arial" w:cs="Arial" w:eastAsia="Arial" w:hAnsi="Arial"/>
                <w:sz w:val="13"/>
                <w:szCs w:val="13"/>
                <w:b w:val="1"/>
                <w:bCs w:val="1"/>
                <w:color w:val="auto"/>
              </w:rPr>
              <w:t>2018 vs. 2017</w:t>
            </w:r>
          </w:p>
        </w:tc>
        <w:tc>
          <w:tcPr>
            <w:tcW w:w="1160" w:type="dxa"/>
            <w:vAlign w:val="bottom"/>
          </w:tcPr>
          <w:p>
            <w:pPr>
              <w:jc w:val="right"/>
              <w:ind w:right="177"/>
              <w:spacing w:after="0"/>
              <w:rPr>
                <w:sz w:val="20"/>
                <w:szCs w:val="20"/>
                <w:color w:val="auto"/>
              </w:rPr>
            </w:pPr>
            <w:r>
              <w:rPr>
                <w:rFonts w:ascii="Arial" w:cs="Arial" w:eastAsia="Arial" w:hAnsi="Arial"/>
                <w:sz w:val="13"/>
                <w:szCs w:val="13"/>
                <w:b w:val="1"/>
                <w:bCs w:val="1"/>
                <w:color w:val="auto"/>
              </w:rPr>
              <w:t>2018</w:t>
            </w:r>
          </w:p>
        </w:tc>
        <w:tc>
          <w:tcPr>
            <w:tcW w:w="2200" w:type="dxa"/>
            <w:vAlign w:val="bottom"/>
          </w:tcPr>
          <w:p>
            <w:pPr>
              <w:jc w:val="right"/>
              <w:ind w:right="757"/>
              <w:spacing w:after="0"/>
              <w:rPr>
                <w:sz w:val="20"/>
                <w:szCs w:val="20"/>
                <w:color w:val="auto"/>
              </w:rPr>
            </w:pPr>
            <w:r>
              <w:rPr>
                <w:rFonts w:ascii="Arial" w:cs="Arial" w:eastAsia="Arial" w:hAnsi="Arial"/>
                <w:sz w:val="13"/>
                <w:szCs w:val="13"/>
                <w:b w:val="1"/>
                <w:bCs w:val="1"/>
                <w:color w:val="auto"/>
              </w:rPr>
              <w:t>2017</w:t>
            </w:r>
          </w:p>
        </w:tc>
        <w:tc>
          <w:tcPr>
            <w:tcW w:w="1200" w:type="dxa"/>
            <w:vAlign w:val="bottom"/>
          </w:tcPr>
          <w:p>
            <w:pPr>
              <w:ind w:left="160"/>
              <w:spacing w:after="0"/>
              <w:rPr>
                <w:sz w:val="20"/>
                <w:szCs w:val="20"/>
                <w:color w:val="auto"/>
              </w:rPr>
            </w:pPr>
            <w:r>
              <w:rPr>
                <w:rFonts w:ascii="Arial" w:cs="Arial" w:eastAsia="Arial" w:hAnsi="Arial"/>
                <w:sz w:val="13"/>
                <w:szCs w:val="13"/>
                <w:b w:val="1"/>
                <w:bCs w:val="1"/>
                <w:color w:val="auto"/>
              </w:rPr>
              <w:t>2018 vs. 2017</w:t>
            </w:r>
          </w:p>
        </w:tc>
      </w:tr>
    </w:tbl>
    <w:p>
      <w:pPr>
        <w:spacing w:after="0" w:line="20" w:lineRule="exact"/>
        <w:rPr>
          <w:sz w:val="20"/>
          <w:szCs w:val="20"/>
          <w:color w:val="auto"/>
        </w:rPr>
      </w:pPr>
    </w:p>
    <w:p>
      <w:pPr>
        <w:sectPr>
          <w:pgSz w:w="11900" w:h="16838" w:orient="portrait"/>
          <w:cols w:equalWidth="0" w:num="2">
            <w:col w:w="1820" w:space="400"/>
            <w:col w:w="920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2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22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18,865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28,027</w:t>
            </w:r>
          </w:p>
        </w:tc>
        <w:tc>
          <w:tcPr>
            <w:tcW w:w="120" w:type="dxa"/>
            <w:vAlign w:val="bottom"/>
            <w:shd w:val="clear" w:color="auto" w:fill="CCEEFF"/>
          </w:tcPr>
          <w:p>
            <w:pPr>
              <w:spacing w:after="0"/>
              <w:rPr>
                <w:sz w:val="21"/>
                <w:szCs w:val="21"/>
                <w:color w:val="auto"/>
              </w:rPr>
            </w:pP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(33)%  $</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67,913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99,410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60"/>
        </w:trPr>
        <w:tc>
          <w:tcPr>
            <w:tcW w:w="2220" w:type="dxa"/>
            <w:vAlign w:val="bottom"/>
          </w:tcPr>
          <w:p>
            <w:pPr>
              <w:ind w:left="40"/>
              <w:spacing w:after="0"/>
              <w:rPr>
                <w:sz w:val="20"/>
                <w:szCs w:val="20"/>
                <w:color w:val="auto"/>
              </w:rPr>
            </w:pPr>
            <w:r>
              <w:rPr>
                <w:rFonts w:ascii="Arial" w:cs="Arial" w:eastAsia="Arial" w:hAnsi="Arial"/>
                <w:sz w:val="16"/>
                <w:szCs w:val="16"/>
                <w:color w:val="auto"/>
              </w:rPr>
              <w:t>Segment Loss</w:t>
            </w:r>
          </w:p>
        </w:tc>
        <w:tc>
          <w:tcPr>
            <w:tcW w:w="4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(9,342)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(10,085)</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(25,459)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(21,944)</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22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(36)%</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The All Other Businesses segment revenue decline was caused by the divestiture of our Albumprinter business, which we completed on August 31, 2017. Our constant-currency growth, excluding the impacts of our Albumprinter business, was 53% and 38%, respectively, for the three and nine months ended March 31, 2018, as compared to the prior periods, driven by continued growth in our Most of World businesses, as well as growth in our Corporate Solutions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The segment loss decreased for the three months ended March 31, 2018, as compared to the prior period, primarily due to volume absorption and advertising spend efficiencies in our Most of World businesses, partially offset by the divestiture of our Albumprinter business whose contribution to segment loss in the prior period was profit of $0.5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1" w:right="239" w:bottom="1440" w:gutter="0" w:footer="0" w:header="0"/>
          <w:type w:val="continuous"/>
        </w:sectPr>
      </w:pPr>
    </w:p>
    <w:bookmarkStart w:id="38" w:name="page39"/>
    <w:bookmarkEnd w:id="38"/>
    <w:p>
      <w:pPr>
        <w:ind w:right="20" w:firstLine="648"/>
        <w:spacing w:after="0" w:line="256" w:lineRule="auto"/>
        <w:rPr>
          <w:sz w:val="20"/>
          <w:szCs w:val="20"/>
          <w:color w:val="auto"/>
        </w:rPr>
      </w:pPr>
      <w:r>
        <w:rPr>
          <w:rFonts w:ascii="Arial" w:cs="Arial" w:eastAsia="Arial" w:hAnsi="Arial"/>
          <w:sz w:val="18"/>
          <w:szCs w:val="18"/>
          <w:color w:val="auto"/>
        </w:rPr>
        <w:t>The increase in segment loss for the nine months ended March 31, 2018, as compared to the prior periods, is primarily due to our first quarter fiscal 2018 divestiture of our Albumprinter business whose contribution to segment loss in the prior period was $3.4 million more than in the current period, as well as additional investments in our Corporate Solutions business.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Corporate Solutions remains early in building foundations for new growth opportunities. Our multiple Most of World businesses also continue to grow strongly, but each off small bases. Our objective for each of these young businesses remains the same: to build foundations in large and potentially long-term attractive markets. In all of these businesses we continue to operate at a significant operating loss as previously described and as planned, and we expect to continue to do so in the next several years.</w:t>
      </w:r>
    </w:p>
    <w:p>
      <w:pPr>
        <w:sectPr>
          <w:pgSz w:w="11900" w:h="16838" w:orient="portrait"/>
          <w:cols w:equalWidth="0" w:num="1">
            <w:col w:w="11420"/>
          </w:cols>
          <w:pgMar w:left="240" w:top="571" w:right="2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Nine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29210</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26" w:lineRule="exact"/>
        <w:rPr>
          <w:sz w:val="20"/>
          <w:szCs w:val="20"/>
          <w:color w:val="auto"/>
        </w:rPr>
      </w:pPr>
    </w:p>
    <w:p>
      <w:pPr>
        <w:spacing w:after="0"/>
        <w:tabs>
          <w:tab w:leader="none" w:pos="15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30" w:lineRule="exact"/>
        <w:rPr>
          <w:sz w:val="20"/>
          <w:szCs w:val="20"/>
          <w:color w:val="auto"/>
        </w:rPr>
      </w:pPr>
    </w:p>
    <w:p>
      <w:pPr>
        <w:sectPr>
          <w:pgSz w:w="11900" w:h="16838" w:orient="portrait"/>
          <w:cols w:equalWidth="0" w:num="2">
            <w:col w:w="8220" w:space="720"/>
            <w:col w:w="248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144,633</w:t>
            </w: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123,644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13,979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(277,506)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123,116</w:t>
            </w:r>
          </w:p>
        </w:tc>
      </w:tr>
    </w:tbl>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At March 31, 2018, we had $ 49.9 million of cash and cash equivalents and $820.2 million of outstanding debt, excluding debt issuance costs and debt discounts. We expect cash and cash equivalents and outstanding debt levels to fluctuate over time depending on our working capital needs, as well as our organic investment, share repurchase and acquisition activity. The cash flows during the nine months ended March 31, 2018 related primarily to the following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of $52.4 million</w:t>
      </w:r>
    </w:p>
    <w:p>
      <w:pPr>
        <w:spacing w:after="0" w:line="198"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Adjustments for non-cash items of $122.1 million primarily related to positive adjustments for depreciation and amortization of $127.1 million, share-based compensation costs of $33.7 million, unrealized currency-related losses of $14.5 million, and the change of our contingent earn-out liability of $1.8 million partially offset by negative adjustments for our gain on the sale of our Albumprinter business of $47.5 million and non-cash tax related items of $9.6 million</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Proceeds from the sale of our Albumprinter business of $93.8 million, net of transaction costs</w:t>
      </w:r>
    </w:p>
    <w:p>
      <w:pPr>
        <w:spacing w:after="0" w:line="198"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the sale of a noncontrolling interest related to our WIRmachenDRUCK business of $35.4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the issuance of ordinary shares from the exercise of share options of $11.5 million</w:t>
      </w:r>
    </w:p>
    <w:p>
      <w:pPr>
        <w:spacing w:after="0" w:line="198"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Excluding the impact of the earn-out payments described in the cash outflows section below, the changes in operating assets and liabilities were a source of cash during the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of our ordinary shares of $94.7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Payments of debt and debt issuance costs of $68.9 million, net of proceeds</w:t>
      </w:r>
    </w:p>
    <w:p>
      <w:pPr>
        <w:spacing w:after="0" w:line="198"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Payments of acquisition-related earn-outs of $51.3 million, primarily for our WIRmachenDRUCK acquisition. The portion of the earn-out payment contingent upon employment, as well as the contingent consideration payment in excess of acquisition date fair value, is $49.2 million and presented within operating activities. The remaining $2.1 million cash outflow representing the purchase consideration included in the acquisition date fair value is a financing activity.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1" w:right="239" w:bottom="1440" w:gutter="0" w:footer="0" w:header="0"/>
          <w:type w:val="continuous"/>
        </w:sectPr>
      </w:pPr>
    </w:p>
    <w:bookmarkStart w:id="39" w:name="page40"/>
    <w:bookmarkEnd w:id="39"/>
    <w:p>
      <w:pPr>
        <w:ind w:left="660" w:right="8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of $47.4 million of which the majority of these assets were related to the purchase of manufacturing and automation equipment for our production facilities, and computer and office equipment</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$29.5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loans of $16.5 million to two equity holders of our Printi business (refer to Note 11 for additional details)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for capital lease arrangements of $13.8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of withholding taxes in connection with share awards of $3.1 million</w:t>
      </w:r>
    </w:p>
    <w:p>
      <w:pPr>
        <w:spacing w:after="0" w:line="180" w:lineRule="exact"/>
        <w:rPr>
          <w:sz w:val="20"/>
          <w:szCs w:val="20"/>
          <w:color w:val="auto"/>
        </w:rPr>
      </w:pPr>
    </w:p>
    <w:p>
      <w:pPr>
        <w:ind w:left="60" w:right="240" w:firstLine="648"/>
        <w:spacing w:after="0" w:line="255"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three and nine months ended March 31, 2018, we financed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strategic investments through internally generated cash flows from operations and debt financing. As of March 31, 2018, a significant portion of our cash and cash equivalents were held by our subsidiaries, and undistributed earnings of our subsidiaries that are considered to be indefinitely reinvested were $28.2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i w:val="1"/>
          <w:iCs w:val="1"/>
          <w:color w:val="auto"/>
        </w:rPr>
        <w:t>Debt. O</w:t>
      </w:r>
      <w:r>
        <w:rPr>
          <w:rFonts w:ascii="Arial" w:cs="Arial" w:eastAsia="Arial" w:hAnsi="Arial"/>
          <w:sz w:val="18"/>
          <w:szCs w:val="18"/>
          <w:color w:val="auto"/>
        </w:rPr>
        <w:t>n July 13, 2017, we executed an amendment to our senior secured credit facility that, among other things, expanded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to $ 1,045.0 million, which includes $745.0 million of revolving loans and $300.0 million of term loans. We expect to use our expanded credit facility to fund investments intended to support our long-term growth strategy. Refer to Note 8 in the accompanying consolidated financial statements for additional details.</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March 31, 2018, we had aggregate loan commitments from our senior secured credit facility totaling $1,033.8 million. The loan commitments consisted of revolving loans of $745.0 million and term loans of $288.8 million. We have other financial obligations that constitute additional indebtedness based on the definitions within the credit facility. As of March 31, 2018, the amount available for borrowing under our senior secured credit facility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March 31, 2018</w:t>
            </w:r>
          </w:p>
        </w:tc>
        <w:tc>
          <w:tcPr>
            <w:tcW w:w="0" w:type="dxa"/>
            <w:vAlign w:val="bottom"/>
          </w:tcPr>
          <w:p>
            <w:pPr>
              <w:spacing w:after="0"/>
              <w:rPr>
                <w:sz w:val="1"/>
                <w:szCs w:val="1"/>
                <w:color w:val="auto"/>
              </w:rPr>
            </w:pPr>
          </w:p>
        </w:tc>
      </w:t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Maximum aggregate available for borrowing</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1,033,750</w:t>
            </w: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borrowings of senior secured credit facilities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(537,276)</w:t>
            </w:r>
          </w:p>
        </w:tc>
        <w:tc>
          <w:tcPr>
            <w:tcW w:w="0" w:type="dxa"/>
            <w:vAlign w:val="bottom"/>
          </w:tcPr>
          <w:p>
            <w:pPr>
              <w:spacing w:after="0"/>
              <w:rPr>
                <w:sz w:val="1"/>
                <w:szCs w:val="1"/>
                <w:color w:val="auto"/>
              </w:rPr>
            </w:pPr>
          </w:p>
        </w:tc>
      </w:t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amount</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496,474</w:t>
            </w: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Limitations to borrowing due to debt covenants and other obligations (1)</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(57,868)</w:t>
            </w:r>
          </w:p>
        </w:tc>
        <w:tc>
          <w:tcPr>
            <w:tcW w:w="0" w:type="dxa"/>
            <w:vAlign w:val="bottom"/>
          </w:tcPr>
          <w:p>
            <w:pPr>
              <w:spacing w:after="0"/>
              <w:rPr>
                <w:sz w:val="1"/>
                <w:szCs w:val="1"/>
                <w:color w:val="auto"/>
              </w:rPr>
            </w:pPr>
          </w:p>
        </w:tc>
      </w:tr>
      <w:tr>
        <w:trPr>
          <w:trHeight w:val="257"/>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available for borrowing as of March 31, 2018 (2)</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438,606</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80" w:hanging="252"/>
        <w:spacing w:after="0" w:line="241"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debt covenants of our senior secured credit facility limit our borrowing capacity each quarter, depending on our leverage and other indebtedness, such as notes, capital leases, letters of credit, and any other debt, as well as other factors that are outlined in the credit agreement.</w:t>
      </w:r>
    </w:p>
    <w:p>
      <w:pPr>
        <w:ind w:left="260" w:right="200" w:hanging="252"/>
        <w:spacing w:after="0" w:line="258"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Share purchases, dividend payments, and corporate acquisitions are subject to more restrictive covenants, and therefore we may not be able to use the full amount available for borrowing for these purposes.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Our credit agreement contains financial and other covenants, including but not limited to the following:</w:t>
      </w:r>
    </w:p>
    <w:p>
      <w:pPr>
        <w:spacing w:after="0" w:line="216"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 agreement contains financial covenants calculated on a trailing twelve month, or TTM, basis that:</w:t>
      </w:r>
    </w:p>
    <w:p>
      <w:pPr>
        <w:spacing w:after="0" w:line="198" w:lineRule="exact"/>
        <w:rPr>
          <w:rFonts w:ascii="Arial" w:cs="Arial" w:eastAsia="Arial" w:hAnsi="Arial"/>
          <w:sz w:val="18"/>
          <w:szCs w:val="18"/>
          <w:color w:val="auto"/>
        </w:rPr>
      </w:pPr>
    </w:p>
    <w:p>
      <w:pPr>
        <w:ind w:left="980" w:right="1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total leverage ratio, which is the ratio of our consolidated total indebtedness (*) to our TTM consolidated EBITDA (*), will not exceed 4.50 to 1.00, except that we may, on no more than three occasions during the term of the Credit Agreement, increase our leverage ratio to up to 4.75 for up to four consecutive fiscal quarters after a corporate acquisition that meets certain criteria.</w:t>
      </w:r>
    </w:p>
    <w:p>
      <w:pPr>
        <w:spacing w:after="0" w:line="256" w:lineRule="exact"/>
        <w:rPr>
          <w:rFonts w:ascii="Arial" w:cs="Arial" w:eastAsia="Arial" w:hAnsi="Arial"/>
          <w:sz w:val="18"/>
          <w:szCs w:val="18"/>
          <w:color w:val="auto"/>
        </w:rPr>
      </w:pPr>
    </w:p>
    <w:p>
      <w:pPr>
        <w:ind w:left="980" w:right="220" w:hanging="324"/>
        <w:spacing w:after="0" w:line="26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senior secured leverage ratio, which is the ratio of our consolidated senior secured indebtedness (*) to our TTM consolidated EBITDA (*), will not exceed 3.25 to 1.00, except that we may, on no more than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1" w:right="239" w:bottom="1440" w:gutter="0" w:footer="0" w:header="0"/>
        </w:sectPr>
      </w:pPr>
    </w:p>
    <w:bookmarkStart w:id="40" w:name="page41"/>
    <w:bookmarkEnd w:id="40"/>
    <w:p>
      <w:pPr>
        <w:ind w:left="980" w:right="40"/>
        <w:spacing w:after="0" w:line="309" w:lineRule="auto"/>
        <w:rPr>
          <w:sz w:val="20"/>
          <w:szCs w:val="20"/>
          <w:color w:val="auto"/>
        </w:rPr>
      </w:pPr>
      <w:r>
        <w:rPr>
          <w:rFonts w:ascii="Arial" w:cs="Arial" w:eastAsia="Arial" w:hAnsi="Arial"/>
          <w:sz w:val="18"/>
          <w:szCs w:val="18"/>
          <w:color w:val="auto"/>
        </w:rPr>
        <w:t>three occasions during the term of the Credit Agreement, increase our senior leverage ratio to up to 3.50 for up to four consecutive fiscal quarters after a corporate acquisition that meets certain criteria.</w:t>
      </w:r>
    </w:p>
    <w:p>
      <w:pPr>
        <w:spacing w:after="0" w:line="223" w:lineRule="exact"/>
        <w:rPr>
          <w:sz w:val="20"/>
          <w:szCs w:val="20"/>
          <w:color w:val="auto"/>
        </w:rPr>
      </w:pPr>
    </w:p>
    <w:p>
      <w:pPr>
        <w:ind w:left="980" w:right="40" w:hanging="324"/>
        <w:spacing w:after="0" w:line="262"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our interest coverage ratio, which is the ratio of our consolidated EBITDA to our consolidated interest expense, will be at least 3.00 to 1.00.</w:t>
      </w:r>
    </w:p>
    <w:p>
      <w:pPr>
        <w:spacing w:after="0" w:line="250" w:lineRule="exact"/>
        <w:rPr>
          <w:rFonts w:ascii="Arial" w:cs="Arial" w:eastAsia="Arial" w:hAnsi="Arial"/>
          <w:sz w:val="18"/>
          <w:szCs w:val="18"/>
          <w:color w:val="auto"/>
        </w:rPr>
      </w:pPr>
    </w:p>
    <w:p>
      <w:pPr>
        <w:ind w:left="260" w:right="40" w:hanging="252"/>
        <w:spacing w:after="0" w:line="252" w:lineRule="auto"/>
        <w:tabs>
          <w:tab w:leader="none" w:pos="2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Purchases of our ordinary shares, payments of dividends, and corporate acquisitions and dispositions are subject to more restrictive consolidated leverage ratio thresholds than those listed above when calculated on a proforma basis in certain scenarios. Also, regardless of our leverage ratio, the credit agreement limits the amount of purchases of our ordinary shares, payments of dividends, corporate acquisitions and dispositions, investments in joint ventures or minority interests, and consolidated capital expenditures that we may make. These limitations can include annual limits that vary from year-to-year and aggregate limits over the term of the credit facility. Therefore, our ability to make desired investments may be limited during the term of our senior secured credit facility.</w:t>
      </w:r>
    </w:p>
    <w:p>
      <w:pPr>
        <w:spacing w:after="0" w:line="181" w:lineRule="exact"/>
        <w:rPr>
          <w:rFonts w:ascii="Arial" w:cs="Arial" w:eastAsia="Arial" w:hAnsi="Arial"/>
          <w:sz w:val="18"/>
          <w:szCs w:val="18"/>
          <w:color w:val="auto"/>
        </w:rPr>
      </w:pPr>
    </w:p>
    <w:p>
      <w:pPr>
        <w:ind w:left="260" w:right="340" w:hanging="252"/>
        <w:spacing w:after="0" w:line="262" w:lineRule="auto"/>
        <w:tabs>
          <w:tab w:leader="none" w:pos="2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agreement also places limitations on additional indebtedness and liens that we may incur, as well as on certain intercompany activities.</w:t>
      </w:r>
    </w:p>
    <w:p>
      <w:pPr>
        <w:spacing w:after="0" w:line="202" w:lineRule="exact"/>
        <w:rPr>
          <w:sz w:val="20"/>
          <w:szCs w:val="20"/>
          <w:color w:val="auto"/>
        </w:rPr>
      </w:pPr>
    </w:p>
    <w:p>
      <w:pPr>
        <w:ind w:right="40" w:firstLine="8"/>
        <w:spacing w:after="0" w:line="258" w:lineRule="auto"/>
        <w:tabs>
          <w:tab w:leader="none" w:pos="1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Definitions of EBITDA, consolidated total indebtedness, and consolidated senior secured indebtedness are maintained in our credit agreement included as an exhibit to our Form 8–K filed on July 14, 2017.</w:t>
      </w:r>
    </w:p>
    <w:p>
      <w:pPr>
        <w:spacing w:after="0" w:line="134"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The indenture under which our 7.0% senior unsecured notes due 2022 are issued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182"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Our credit agreement and senior unsecured notes indenture also contain customary representations, warranties and events of default. As of March 31, 2018, we were in compliance with all financial and other covenants under the credit agreement and senior unsecured notes indenture.</w:t>
      </w:r>
    </w:p>
    <w:p>
      <w:pPr>
        <w:spacing w:after="0" w:line="15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i w:val="1"/>
          <w:iCs w:val="1"/>
          <w:color w:val="auto"/>
        </w:rPr>
        <w:t xml:space="preserve">Other debt. </w:t>
      </w:r>
      <w:r>
        <w:rPr>
          <w:rFonts w:ascii="Arial" w:cs="Arial" w:eastAsia="Arial" w:hAnsi="Arial"/>
          <w:sz w:val="18"/>
          <w:szCs w:val="18"/>
          <w:color w:val="auto"/>
        </w:rPr>
        <w:t>Other debt primarily consists of term loans acquired through our various acquisitions. As of March 31, 2018 we had $7.9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outstanding for other debt payable through September 2024.</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Our expectations for fiscal year 2018. </w:t>
      </w:r>
      <w:r>
        <w:rPr>
          <w:rFonts w:ascii="Arial" w:cs="Arial" w:eastAsia="Arial" w:hAnsi="Arial"/>
          <w:sz w:val="18"/>
          <w:szCs w:val="18"/>
          <w:color w:val="auto"/>
        </w:rPr>
        <w:t>We believe that our available cash, cash flows generated from operations, and cash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committed debt financing will be sufficient to satisfy our liabilities and planned investments to support our long-term growth strategy for at least the next twelve months. We endeavor to invest large amounts of capital that we believe will generate returns that are above our weighted average cost of capital. We consider any use of cash that we expect to require more than twelve months to return our invested capital to be an allocation of capital. For fiscal 2018 we expect to allocate capital to the following broad categories and consider our capital to be fungible across all of these categories:</w:t>
      </w:r>
    </w:p>
    <w:p>
      <w:pPr>
        <w:spacing w:after="0" w:line="174" w:lineRule="exact"/>
        <w:rPr>
          <w:sz w:val="20"/>
          <w:szCs w:val="20"/>
          <w:color w:val="auto"/>
        </w:rPr>
      </w:pPr>
    </w:p>
    <w:p>
      <w:pPr>
        <w:ind w:left="660" w:right="2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Organic investments will continue to be made across a wide spectrum of activities. These range from large, discrete projects that we believe can provide us with materially important competitive capabilities and/or market positions over the longer term to smaller investments intended to maintain or improve our competitive position and support value-creating revenue growth.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Purchases of our ordinary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acquisitions and similar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 of debt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98"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March 31,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140"/>
        </w:trPr>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17"/>
              <w:spacing w:after="0" w:line="140"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37"/>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99"/>
              </w:rPr>
              <w:t>than 1</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center"/>
              <w:ind w:right="235"/>
              <w:spacing w:after="0" w:line="135" w:lineRule="exact"/>
              <w:rPr>
                <w:sz w:val="20"/>
                <w:szCs w:val="20"/>
                <w:color w:val="auto"/>
              </w:rPr>
            </w:pPr>
            <w:r>
              <w:rPr>
                <w:rFonts w:ascii="Arial" w:cs="Arial" w:eastAsia="Arial" w:hAnsi="Arial"/>
                <w:sz w:val="13"/>
                <w:szCs w:val="13"/>
                <w:b w:val="1"/>
                <w:bCs w:val="1"/>
                <w:color w:val="auto"/>
              </w:rPr>
              <w:t>1-3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515"/>
              <w:spacing w:after="0" w:line="135" w:lineRule="exact"/>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99"/>
              </w:rPr>
              <w:t>than 5</w:t>
            </w:r>
          </w:p>
        </w:tc>
      </w:tr>
      <w:tr>
        <w:trPr>
          <w:trHeight w:val="178"/>
        </w:trPr>
        <w:tc>
          <w:tcPr>
            <w:tcW w:w="4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5"/>
              <w:spacing w:after="0"/>
              <w:rPr>
                <w:sz w:val="20"/>
                <w:szCs w:val="20"/>
                <w:color w:val="auto"/>
              </w:rPr>
            </w:pPr>
            <w:r>
              <w:rPr>
                <w:rFonts w:ascii="Arial" w:cs="Arial" w:eastAsia="Arial" w:hAnsi="Arial"/>
                <w:sz w:val="13"/>
                <w:szCs w:val="13"/>
                <w:b w:val="1"/>
                <w:bCs w:val="1"/>
                <w:color w:val="auto"/>
                <w:w w:val="94"/>
              </w:rPr>
              <w:t>years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9"/>
              </w:rPr>
              <w:t>years</w:t>
            </w: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 net of subleases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58,037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17,063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24,939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7,443</w:t>
            </w:r>
          </w:p>
        </w:tc>
      </w:tr>
      <w:tr>
        <w:trPr>
          <w:trHeight w:val="263"/>
        </w:trPr>
        <w:tc>
          <w:tcPr>
            <w:tcW w:w="4100" w:type="dxa"/>
            <w:vAlign w:val="bottom"/>
          </w:tcPr>
          <w:p>
            <w:pPr>
              <w:ind w:left="40"/>
              <w:spacing w:after="0"/>
              <w:rPr>
                <w:sz w:val="20"/>
                <w:szCs w:val="20"/>
                <w:color w:val="auto"/>
              </w:rPr>
            </w:pPr>
            <w:r>
              <w:rPr>
                <w:rFonts w:ascii="Arial" w:cs="Arial" w:eastAsia="Arial" w:hAnsi="Arial"/>
                <w:sz w:val="18"/>
                <w:szCs w:val="18"/>
                <w:color w:val="auto"/>
              </w:rPr>
              <w:t>Build-to-suit lease</w:t>
            </w:r>
          </w:p>
        </w:tc>
        <w:tc>
          <w:tcPr>
            <w:tcW w:w="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99,298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12,569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25,139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23,803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37,787</w:t>
            </w:r>
          </w:p>
        </w:tc>
      </w:tr>
      <w:tr>
        <w:trPr>
          <w:trHeight w:val="27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55,245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35,486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19,759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4100" w:type="dxa"/>
            <w:vAlign w:val="bottom"/>
          </w:tcPr>
          <w:p>
            <w:pPr>
              <w:ind w:left="40"/>
              <w:spacing w:after="0"/>
              <w:rPr>
                <w:sz w:val="20"/>
                <w:szCs w:val="20"/>
                <w:color w:val="auto"/>
              </w:rPr>
            </w:pPr>
            <w:r>
              <w:rPr>
                <w:rFonts w:ascii="Arial" w:cs="Arial" w:eastAsia="Arial" w:hAnsi="Arial"/>
                <w:sz w:val="18"/>
                <w:szCs w:val="18"/>
                <w:color w:val="auto"/>
              </w:rPr>
              <w:t>Senior unsecured notes and interest payments</w:t>
            </w:r>
          </w:p>
        </w:tc>
        <w:tc>
          <w:tcPr>
            <w:tcW w:w="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361,625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19,250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38,500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303,875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debt and interest payments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632,047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49,487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106,846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473,137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2,577</w:t>
            </w:r>
          </w:p>
        </w:tc>
      </w:tr>
      <w:tr>
        <w:trPr>
          <w:trHeight w:val="263"/>
        </w:trPr>
        <w:tc>
          <w:tcPr>
            <w:tcW w:w="410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32,111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11,770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14,264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2,573</w:t>
            </w: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3,209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57"/>
        </w:trPr>
        <w:tc>
          <w:tcPr>
            <w:tcW w:w="4100" w:type="dxa"/>
            <w:vAlign w:val="bottom"/>
          </w:tcPr>
          <w:p>
            <w:pPr>
              <w:ind w:left="40"/>
              <w:spacing w:after="0"/>
              <w:rPr>
                <w:sz w:val="20"/>
                <w:szCs w:val="20"/>
                <w:color w:val="auto"/>
              </w:rPr>
            </w:pPr>
            <w:r>
              <w:rPr>
                <w:rFonts w:ascii="Arial" w:cs="Arial" w:eastAsia="Arial" w:hAnsi="Arial"/>
                <w:sz w:val="18"/>
                <w:szCs w:val="18"/>
                <w:color w:val="auto"/>
              </w:rPr>
              <w:t>Total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1,245,033</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148,623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232,656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813,374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50,380</w:t>
            </w:r>
          </w:p>
        </w:tc>
      </w:tr>
      <w:tr>
        <w:trPr>
          <w:trHeight w:val="20"/>
        </w:trPr>
        <w:tc>
          <w:tcPr>
            <w:tcW w:w="4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20" w:hanging="252"/>
        <w:spacing w:after="0" w:line="247"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$4.9 million as of March 31, 2018 have been excluded from the contractual obligations table above. For further information on uncertain tax positions, see Note 9 to the accompanying consolidated financial statements.</w:t>
      </w:r>
    </w:p>
    <w:p>
      <w:pPr>
        <w:spacing w:after="0" w:line="151" w:lineRule="exact"/>
        <w:rPr>
          <w:sz w:val="20"/>
          <w:szCs w:val="20"/>
          <w:color w:val="auto"/>
        </w:rPr>
      </w:pPr>
    </w:p>
    <w:p>
      <w:pPr>
        <w:ind w:right="220" w:firstLine="662"/>
        <w:spacing w:after="0" w:line="26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2026. Future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required under our leases are an aggregate of approximately $58.0 million. The terms of certain lease agreements require security deposits in the form of bank guarantees and letters of credit in the amount of $3.0 million.</w:t>
      </w:r>
    </w:p>
    <w:p>
      <w:pPr>
        <w:spacing w:after="0" w:line="149" w:lineRule="exact"/>
        <w:rPr>
          <w:sz w:val="20"/>
          <w:szCs w:val="20"/>
          <w:color w:val="auto"/>
        </w:rPr>
      </w:pPr>
    </w:p>
    <w:p>
      <w:pPr>
        <w:ind w:right="280" w:firstLine="662"/>
        <w:spacing w:after="0" w:line="282" w:lineRule="auto"/>
        <w:rPr>
          <w:sz w:val="20"/>
          <w:szCs w:val="20"/>
          <w:color w:val="auto"/>
        </w:rPr>
      </w:pPr>
      <w:r>
        <w:rPr>
          <w:rFonts w:ascii="Arial" w:cs="Arial" w:eastAsia="Arial" w:hAnsi="Arial"/>
          <w:sz w:val="18"/>
          <w:szCs w:val="18"/>
          <w:i w:val="1"/>
          <w:iCs w:val="1"/>
          <w:color w:val="auto"/>
        </w:rPr>
        <w:t xml:space="preserve">Build-to-suit lease. </w:t>
      </w:r>
      <w:r>
        <w:rPr>
          <w:rFonts w:ascii="Arial" w:cs="Arial" w:eastAsia="Arial" w:hAnsi="Arial"/>
          <w:sz w:val="18"/>
          <w:szCs w:val="18"/>
          <w:color w:val="auto"/>
        </w:rPr>
        <w:t>Represents the cash payments for our leased facility in Waltham, Massachusetts, USA. Please refer to Note 2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accompanying consolidated financial statements for additional details</w:t>
      </w:r>
      <w:r>
        <w:rPr>
          <w:rFonts w:ascii="Arial" w:cs="Arial" w:eastAsia="Arial" w:hAnsi="Arial"/>
          <w:sz w:val="14"/>
          <w:szCs w:val="14"/>
          <w:color w:val="auto"/>
        </w:rPr>
        <w:t>.</w:t>
      </w:r>
    </w:p>
    <w:p>
      <w:pPr>
        <w:spacing w:after="0" w:line="135" w:lineRule="exact"/>
        <w:rPr>
          <w:sz w:val="20"/>
          <w:szCs w:val="20"/>
          <w:color w:val="auto"/>
        </w:rPr>
      </w:pPr>
    </w:p>
    <w:p>
      <w:pPr>
        <w:ind w:right="60" w:firstLine="662"/>
        <w:spacing w:after="0" w:line="261" w:lineRule="auto"/>
        <w:rPr>
          <w:sz w:val="20"/>
          <w:szCs w:val="20"/>
          <w:color w:val="auto"/>
        </w:rPr>
      </w:pPr>
      <w:r>
        <w:rPr>
          <w:rFonts w:ascii="Arial" w:cs="Arial" w:eastAsia="Arial" w:hAnsi="Arial"/>
          <w:sz w:val="18"/>
          <w:szCs w:val="18"/>
          <w:i w:val="1"/>
          <w:iCs w:val="1"/>
          <w:color w:val="auto"/>
        </w:rPr>
        <w:t>Purchase Commitments</w:t>
      </w:r>
      <w:r>
        <w:rPr>
          <w:rFonts w:ascii="Arial" w:cs="Arial" w:eastAsia="Arial" w:hAnsi="Arial"/>
          <w:sz w:val="18"/>
          <w:szCs w:val="18"/>
          <w:color w:val="auto"/>
        </w:rPr>
        <w:t>. At March 31, 2018, we had unrecorded commitments under contract of $55.2 million. Purchase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third-party web services of $21.0 million, production and computer equipment purchases of approximately $7.6 million, inventory purchase commitments of $2.0 million, commitments for advertising campaigns of $2.7 million, commitments for professional and consulting fees of $2.7 million, and other unrecorded purchase commitments of $19.3 million.</w:t>
      </w:r>
    </w:p>
    <w:p>
      <w:pPr>
        <w:spacing w:after="0" w:line="153" w:lineRule="exact"/>
        <w:rPr>
          <w:sz w:val="20"/>
          <w:szCs w:val="20"/>
          <w:color w:val="auto"/>
        </w:rPr>
      </w:pPr>
    </w:p>
    <w:p>
      <w:pPr>
        <w:jc w:val="both"/>
        <w:ind w:right="40" w:firstLine="662"/>
        <w:spacing w:after="0" w:line="266" w:lineRule="auto"/>
        <w:rPr>
          <w:sz w:val="20"/>
          <w:szCs w:val="20"/>
          <w:color w:val="auto"/>
        </w:rPr>
      </w:pPr>
      <w:r>
        <w:rPr>
          <w:rFonts w:ascii="Arial" w:cs="Arial" w:eastAsia="Arial" w:hAnsi="Arial"/>
          <w:sz w:val="18"/>
          <w:szCs w:val="18"/>
          <w:i w:val="1"/>
          <w:iCs w:val="1"/>
          <w:color w:val="auto"/>
        </w:rPr>
        <w:t xml:space="preserve">Senior unsecured notes and interest payments. </w:t>
      </w:r>
      <w:r>
        <w:rPr>
          <w:rFonts w:ascii="Arial" w:cs="Arial" w:eastAsia="Arial" w:hAnsi="Arial"/>
          <w:sz w:val="18"/>
          <w:szCs w:val="18"/>
          <w:color w:val="auto"/>
        </w:rPr>
        <w:t>Our 7.0% senior unsecured notes due 2022 bear interest at a rate of 7.0%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and mature on April 1, 2022. Interest on the notes is payable semi-annually on April 1 and October 1 of each year and has been included in the table above.</w:t>
      </w:r>
    </w:p>
    <w:p>
      <w:pPr>
        <w:spacing w:after="0" w:line="149"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i w:val="1"/>
          <w:iCs w:val="1"/>
          <w:color w:val="auto"/>
        </w:rPr>
        <w:t xml:space="preserve">Other debt and interest payments. </w:t>
      </w:r>
      <w:r>
        <w:rPr>
          <w:rFonts w:ascii="Arial" w:cs="Arial" w:eastAsia="Arial" w:hAnsi="Arial"/>
          <w:sz w:val="18"/>
          <w:szCs w:val="18"/>
          <w:color w:val="auto"/>
        </w:rPr>
        <w:t>At March 31, 2018, the term loans of $288.8 million outstanding under our credit agreement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due on various dates through July 13, 2022, with the revolving loans outstanding of $248.5 million due on July 13, 2022. Interest payable included in this table is based on the interest rate as of March 31, 2018 and assumes all revolving loan amounts outstanding will not be paid until maturity, but that the term loan amortization payments will be made according to our defined schedule. Interest payable includes the estimated impact of our interest rate swap agreements.</w:t>
      </w:r>
    </w:p>
    <w:p>
      <w:pPr>
        <w:spacing w:after="0" w:line="175" w:lineRule="exact"/>
        <w:rPr>
          <w:sz w:val="20"/>
          <w:szCs w:val="20"/>
          <w:color w:val="auto"/>
        </w:rPr>
      </w:pPr>
    </w:p>
    <w:p>
      <w:pPr>
        <w:jc w:val="both"/>
        <w:ind w:right="320" w:firstLine="662"/>
        <w:spacing w:after="0" w:line="262" w:lineRule="auto"/>
        <w:rPr>
          <w:sz w:val="20"/>
          <w:szCs w:val="20"/>
          <w:color w:val="auto"/>
        </w:rPr>
      </w:pPr>
      <w:r>
        <w:rPr>
          <w:rFonts w:ascii="Arial" w:cs="Arial" w:eastAsia="Arial" w:hAnsi="Arial"/>
          <w:sz w:val="18"/>
          <w:szCs w:val="18"/>
          <w:color w:val="auto"/>
        </w:rPr>
        <w:t>In addition, we have other debt which consists primarily of debt assumed as part of certain of our fiscal 2015 acquisitions, and as of March 31, 2018 we had $7.9 million outstanding for those obligations that have repayments due on various dates through September 2024.</w:t>
      </w:r>
    </w:p>
    <w:p>
      <w:pPr>
        <w:spacing w:after="0" w:line="151" w:lineRule="exact"/>
        <w:rPr>
          <w:sz w:val="20"/>
          <w:szCs w:val="20"/>
          <w:color w:val="auto"/>
        </w:rPr>
      </w:pPr>
    </w:p>
    <w:p>
      <w:pPr>
        <w:ind w:right="100" w:firstLine="662"/>
        <w:spacing w:after="0" w:line="258"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lease certain machinery and plant equipment under capital lease agreements that expire at various dates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aggregate carrying value of the leased equipment under capital leases included in property, plant and equipment, net in our consolidated balance sheet at March 31, 2018, is $35.3 million, net of accumulated depreciation of $36.0 million. The present value of lease installments not yet due included in other current liabilities and other liabilities in our consolidated balance sheet at March 31, 2018 amounts to $32.0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49"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i w:val="1"/>
          <w:iCs w:val="1"/>
          <w:color w:val="auto"/>
        </w:rPr>
        <w:t>Other Obligations</w:t>
      </w:r>
      <w:r>
        <w:rPr>
          <w:rFonts w:ascii="Arial" w:cs="Arial" w:eastAsia="Arial" w:hAnsi="Arial"/>
          <w:sz w:val="18"/>
          <w:szCs w:val="18"/>
          <w:color w:val="auto"/>
        </w:rPr>
        <w:t>. Other obligations include the following:</w:t>
      </w:r>
    </w:p>
    <w:p>
      <w:pPr>
        <w:spacing w:after="0" w:line="13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Deferred payments related to previous acquisitions of $3.9 million in the aggregate.</w:t>
      </w:r>
    </w:p>
    <w:p>
      <w:pPr>
        <w:spacing w:after="0" w:line="9"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Installment obligation of $2.8 million related to the fiscal 2012 intra-entity transfer of the intellectual property of our subsidiary Webs, Inc., which resulted in tax being paid over a 7.5 year term and has been classified as a deferred tax liability in our consolidated balance sheet as of March 31,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Adjusted net operating profit (NOP) and free cash flow presented below are supplemental measures of our performance that are not required by, or presented in accordance with, GAAP. During the first quarter of fiscal 2018, we removed the cash tax attributable to the current period portion of our consolidated NOP measure as management no longer uses this metric. Adjusted NOP is defined as GAAP operating income excluding certain items such as acquisition-related amortization and depreciation, expense recognized for earn-out related charges, including the change in fair value of contingent consideration and compensation expense related to cash-based earn-out mechanisms dependent upon continued employment, share-based compensation related to investment consideration, certain impairment expense and restructuring charges. The interest expense associated with our Waltham lease, as well as realized gains (losses) on currency forward contracts that do not qualify for hedge accounting, are included in Adjusted NOP.</w:t>
      </w:r>
    </w:p>
    <w:p>
      <w:pPr>
        <w:spacing w:after="0" w:line="17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Adjusted NOP is the primary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our currency forward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8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Beginning in the first quarter of fiscal 2018, we included free cash flow as a non-GAAP financial measure, which management uses to assess the cash flow generation of the company. Free cash flow is defined as net cash provided by operating activities less purchases of property, plant and equipment, purchases of intangible assets not related to acquisitions, and capitalization of software and website development costs, plus payment of contingent consideration in excess of acquisition-date fair value and gains on proceeds from insurance, if any.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53" w:right="259" w:bottom="1440" w:gutter="0" w:footer="0" w:header="0"/>
        </w:sectPr>
      </w:pPr>
    </w:p>
    <w:bookmarkStart w:id="43" w:name="page44"/>
    <w:bookmarkEnd w:id="43"/>
    <w:p>
      <w:pPr>
        <w:ind w:right="180" w:firstLine="648"/>
        <w:spacing w:after="0" w:line="262" w:lineRule="auto"/>
        <w:rPr>
          <w:sz w:val="20"/>
          <w:szCs w:val="20"/>
          <w:color w:val="auto"/>
        </w:rPr>
      </w:pPr>
      <w:r>
        <w:rPr>
          <w:rFonts w:ascii="Arial" w:cs="Arial" w:eastAsia="Arial" w:hAnsi="Arial"/>
          <w:sz w:val="18"/>
          <w:szCs w:val="18"/>
          <w:color w:val="auto"/>
        </w:rPr>
        <w:t>The table below sets forth operating income and Adjusted net operating profit for each of the three and nine months ended March 31, 2018 and 2017:</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1"/>
                <w:szCs w:val="21"/>
                <w:color w:val="auto"/>
              </w:rPr>
            </w:pPr>
          </w:p>
        </w:tc>
        <w:tc>
          <w:tcPr>
            <w:tcW w:w="284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21"/>
                <w:szCs w:val="21"/>
                <w:color w:val="auto"/>
              </w:rPr>
            </w:pPr>
          </w:p>
        </w:tc>
        <w:tc>
          <w:tcPr>
            <w:tcW w:w="2700" w:type="dxa"/>
            <w:vAlign w:val="bottom"/>
            <w:gridSpan w:val="4"/>
          </w:tcPr>
          <w:p>
            <w:pPr>
              <w:jc w:val="right"/>
              <w:ind w:right="541"/>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operating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16,627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135,949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(36,046)</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Exclude expense (benefit) impact of:</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amortization and depreciation</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38,330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33,740</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Earn-out related charges (1)</w:t>
            </w: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28,139</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related to investment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5,079</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Certain impairments (2)</w:t>
            </w: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9,556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9,556</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related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25,890</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Less: Interest expense associated with Waltham, MA lease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(5,823)</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Gains on the purchase or sale of subsidiaries (3)</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6"/>
                <w:szCs w:val="16"/>
                <w:color w:val="auto"/>
              </w:rPr>
              <w:t>Include: Realized (losses) gains on certain currency derivatives not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4,591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13,318</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included in operating income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operating profit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25,339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13,862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129,420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73,853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1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right="100" w:firstLine="8"/>
        <w:spacing w:after="0" w:line="258" w:lineRule="auto"/>
        <w:tabs>
          <w:tab w:leader="none" w:pos="2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impact of certain impairments of goodwill and other long-lived assets as defined by ASC 350 - "Intangibles - Goodwill and Other".</w:t>
      </w:r>
    </w:p>
    <w:p>
      <w:pPr>
        <w:spacing w:after="0" w:line="55" w:lineRule="exact"/>
        <w:rPr>
          <w:rFonts w:ascii="Arial" w:cs="Arial" w:eastAsia="Arial" w:hAnsi="Arial"/>
          <w:sz w:val="14"/>
          <w:szCs w:val="14"/>
          <w:color w:val="auto"/>
        </w:rPr>
      </w:pPr>
    </w:p>
    <w:p>
      <w:pPr>
        <w:ind w:right="360" w:firstLine="8"/>
        <w:spacing w:after="0" w:line="250" w:lineRule="auto"/>
        <w:tabs>
          <w:tab w:leader="none" w:pos="2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for an acquisition in which the identifiable assets acquired and liabilities assumed are greater than the consideration transferred, that was recognized in general and administrative expense in our consolidated statement of operations during the nine months ended March 31, 2018.</w:t>
      </w:r>
    </w:p>
    <w:p>
      <w:pPr>
        <w:spacing w:after="0" w:line="248"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The table below sets forth net cash provided by operating activities and free cash flow for each of the nine months ended March 31, 2018 and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144,633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123,644</w:t>
            </w:r>
          </w:p>
        </w:tc>
        <w:tc>
          <w:tcPr>
            <w:tcW w:w="0" w:type="dxa"/>
            <w:vAlign w:val="bottom"/>
          </w:tcPr>
          <w:p>
            <w:pPr>
              <w:spacing w:after="0"/>
              <w:rPr>
                <w:sz w:val="1"/>
                <w:szCs w:val="1"/>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(56,916)</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intangible assets not related to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6"/>
                <w:szCs w:val="16"/>
                <w:color w:val="auto"/>
              </w:rPr>
              <w:t>Capitalization of software and website development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(28,678)</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contingent consideration in excess of acquisition-date fair value (1)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49,241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Free cash flow</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116,649</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37,940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3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right="40" w:firstLine="8"/>
        <w:spacing w:after="0" w:line="258" w:lineRule="auto"/>
        <w:tabs>
          <w:tab w:leader="none" w:pos="2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 portion of the earn-out payment that is presented within net cash provided by operating activities as part of the change in accrued expenses and other liabilities. This portion of the earn-out was deemed to be a compensation arrangement since it included an employment-related contingency.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6" w:lineRule="exact"/>
        <w:rPr>
          <w:sz w:val="20"/>
          <w:szCs w:val="20"/>
          <w:color w:val="auto"/>
        </w:rPr>
      </w:pPr>
    </w:p>
    <w:p>
      <w:pPr>
        <w:ind w:right="360" w:firstLine="662"/>
        <w:spacing w:after="0" w:line="262" w:lineRule="auto"/>
        <w:rPr>
          <w:sz w:val="20"/>
          <w:szCs w:val="20"/>
          <w:color w:val="auto"/>
        </w:rPr>
      </w:pPr>
      <w:r>
        <w:rPr>
          <w:rFonts w:ascii="Arial" w:cs="Arial" w:eastAsia="Arial" w:hAnsi="Arial"/>
          <w:sz w:val="18"/>
          <w:szCs w:val="18"/>
          <w:color w:val="auto"/>
        </w:rPr>
        <w:t>As of March 31, 2018, our cash and cash equivalents consisted of standard depository accounts which are held for working capital purposes. We do not believe we have a material exposure to interest rate fluctuations related to our cash and cash equivalents.</w:t>
      </w:r>
    </w:p>
    <w:p>
      <w:pPr>
        <w:spacing w:after="0" w:line="169"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As of March 31, 2018, we had $537.3 million of variable rate debt and $2.8 million of variable rate installment obligation related to the fiscal 2012 intra-entity transfer of Webs' intellectual property.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March 31, 2018, a hypothetical 100 basis point increase in rates, inclusive of our outstanding interest rate swaps, would result in an increase to interest expense of approximately $4.0 million over the next 12 months.</w:t>
      </w:r>
    </w:p>
    <w:p>
      <w:pPr>
        <w:spacing w:after="0" w:line="164"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7" w:lineRule="exact"/>
        <w:rPr>
          <w:sz w:val="20"/>
          <w:szCs w:val="20"/>
          <w:color w:val="auto"/>
        </w:rPr>
      </w:pPr>
    </w:p>
    <w:p>
      <w:pPr>
        <w:ind w:left="660" w:right="2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spacing w:after="0" w:line="171" w:lineRule="exact"/>
        <w:rPr>
          <w:rFonts w:ascii="Arial" w:cs="Arial" w:eastAsia="Arial" w:hAnsi="Arial"/>
          <w:sz w:val="18"/>
          <w:szCs w:val="18"/>
          <w:color w:val="auto"/>
        </w:rPr>
      </w:pPr>
    </w:p>
    <w:p>
      <w:pPr>
        <w:ind w:left="660" w:right="60"/>
        <w:spacing w:after="0" w:line="254"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protect our debt covenants. Since adjusted EBITDA excludes non-cash items such as depreciation and amortization that are included in net income, we may experience increased, not decreased, volatility in our GAAP results due to our hedging approach. Our most significant net currency exposures by volume are in the Euro and British Pound.</w:t>
      </w:r>
    </w:p>
    <w:p>
      <w:pPr>
        <w:spacing w:after="0" w:line="177" w:lineRule="exact"/>
        <w:rPr>
          <w:rFonts w:ascii="Arial" w:cs="Arial" w:eastAsia="Arial" w:hAnsi="Arial"/>
          <w:sz w:val="18"/>
          <w:szCs w:val="18"/>
          <w:color w:val="auto"/>
        </w:rPr>
      </w:pPr>
    </w:p>
    <w:p>
      <w:pPr>
        <w:ind w:left="660" w:right="40"/>
        <w:spacing w:after="0" w:line="274" w:lineRule="auto"/>
        <w:rPr>
          <w:rFonts w:ascii="Arial" w:cs="Arial" w:eastAsia="Arial" w:hAnsi="Arial"/>
          <w:sz w:val="18"/>
          <w:szCs w:val="18"/>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cash flow, for example, revenue.</w:t>
      </w:r>
    </w:p>
    <w:p>
      <w:pPr>
        <w:spacing w:after="0" w:line="14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8" w:lineRule="exact"/>
        <w:rPr>
          <w:rFonts w:ascii="Arial" w:cs="Arial" w:eastAsia="Arial" w:hAnsi="Arial"/>
          <w:sz w:val="18"/>
          <w:szCs w:val="18"/>
          <w:color w:val="auto"/>
        </w:rPr>
      </w:pPr>
    </w:p>
    <w:p>
      <w:pPr>
        <w:ind w:left="660" w:right="220"/>
        <w:spacing w:after="0" w:line="262" w:lineRule="auto"/>
        <w:rPr>
          <w:rFonts w:ascii="Arial" w:cs="Arial" w:eastAsia="Arial" w:hAnsi="Arial"/>
          <w:sz w:val="18"/>
          <w:szCs w:val="18"/>
          <w:color w:val="auto"/>
        </w:rPr>
      </w:pPr>
      <w:r>
        <w:rPr>
          <w:rFonts w:ascii="Arial" w:cs="Arial" w:eastAsia="Arial" w:hAnsi="Arial"/>
          <w:sz w:val="18"/>
          <w:szCs w:val="18"/>
          <w:color w:val="auto"/>
        </w:rPr>
        <w:t>We have currency exposure arising from our net investments in foreign operations. We enter into currency derivatives to mitigate the impact of currency rate changes on certain net investments.</w:t>
      </w:r>
    </w:p>
    <w:p>
      <w:pPr>
        <w:spacing w:after="0" w:line="151"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35" w:right="259" w:bottom="1440" w:gutter="0" w:footer="0" w:header="0"/>
        </w:sectPr>
      </w:pPr>
    </w:p>
    <w:bookmarkStart w:id="45" w:name="page46"/>
    <w:bookmarkEnd w:id="45"/>
    <w:p>
      <w:pPr>
        <w:ind w:left="660"/>
        <w:spacing w:after="0" w:line="299" w:lineRule="auto"/>
        <w:rPr>
          <w:sz w:val="20"/>
          <w:szCs w:val="20"/>
          <w:color w:val="auto"/>
        </w:rPr>
      </w:pPr>
      <w:r>
        <w:rPr>
          <w:rFonts w:ascii="Arial" w:cs="Arial" w:eastAsia="Arial" w:hAnsi="Arial"/>
          <w:sz w:val="18"/>
          <w:szCs w:val="18"/>
          <w:color w:val="auto"/>
        </w:rPr>
        <w:t>group because they are either 1) U.S. dollar loans or 2) we elect to hedge certain non-U.S. dollar loans with cross currency swaps.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 currency swaps designated as cash flow hedges. A hypothetical decrease in exchange rates of 10% against the functional currency of our subsidiaries would have resulted in an increase of $52.2 million and $31.0 million on our income before income taxes for the three months ended March 31, 2018 and 2017,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2018.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2018, our chief executive officer and chief financial officer concluded that, as of such date, our disclosure controls and procedures were effective at the reasonable assurance level.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13a-15(f) and 15d-15(f) under the Exchange Act) during the three months ended March 31, 2018 that materially affected, or are reasonably likely to materially affect, our internal control over financial reporting.</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long-term growth strategy is not successful, our business and financial results could be harmed.</w:t>
      </w:r>
    </w:p>
    <w:p>
      <w:pPr>
        <w:spacing w:after="0" w:line="247" w:lineRule="exact"/>
        <w:rPr>
          <w:sz w:val="20"/>
          <w:szCs w:val="20"/>
          <w:color w:val="auto"/>
        </w:rPr>
      </w:pPr>
    </w:p>
    <w:p>
      <w:pPr>
        <w:ind w:right="600" w:firstLine="648"/>
        <w:spacing w:after="0" w:line="262" w:lineRule="auto"/>
        <w:rPr>
          <w:sz w:val="20"/>
          <w:szCs w:val="20"/>
          <w:color w:val="auto"/>
        </w:rPr>
      </w:pPr>
      <w:r>
        <w:rPr>
          <w:rFonts w:ascii="Arial" w:cs="Arial" w:eastAsia="Arial" w:hAnsi="Arial"/>
          <w:sz w:val="18"/>
          <w:szCs w:val="18"/>
          <w:color w:val="auto"/>
        </w:rPr>
        <w:t>We may not achieve our long-term objectives, and our investments in our business may fail to impact our results and growth as anticipated. Some of the factors that could cause our business strategy to fail to achieve our objectives include, among others:</w:t>
      </w:r>
    </w:p>
    <w:p>
      <w:pPr>
        <w:spacing w:after="0" w:line="196" w:lineRule="exact"/>
        <w:rPr>
          <w:sz w:val="20"/>
          <w:szCs w:val="20"/>
          <w:color w:val="auto"/>
        </w:rPr>
      </w:pPr>
    </w:p>
    <w:p>
      <w:pPr>
        <w:ind w:left="5620" w:right="1480" w:hanging="5288"/>
        <w:spacing w:after="0" w:line="794" w:lineRule="auto"/>
        <w:tabs>
          <w:tab w:leader="none" w:pos="6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adequately execute our strategy or anticipate and overcome obstacles to achieving our strategic goals; 44</w:t>
      </w:r>
    </w:p>
    <w:p>
      <w:pPr>
        <w:sectPr>
          <w:pgSz w:w="11900" w:h="16838" w:orient="portrait"/>
          <w:cols w:equalWidth="0" w:num="1">
            <w:col w:w="11360"/>
          </w:cols>
          <w:pgMar w:left="240" w:top="598" w:right="299" w:bottom="1440" w:gutter="0" w:footer="0" w:header="0"/>
        </w:sectPr>
      </w:pPr>
    </w:p>
    <w:bookmarkStart w:id="46" w:name="page47"/>
    <w:bookmarkEnd w:id="46"/>
    <w:p>
      <w:pPr>
        <w:ind w:left="660" w:right="8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develop our mass customization platform or the failure of the platform to drive the efficiencies and competitive advantage we expect;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manage the growth, complexity, and pace of change of our business and expand our operations;</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acquire, at a value-accretive price or at all, businesses that enhance the growth and development of our business or to effectively integrate the businesses we do acquire into our business;</w:t>
      </w:r>
    </w:p>
    <w:p>
      <w:pPr>
        <w:spacing w:after="0" w:line="196"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other key assets and capabilities to increase our efficiency, enhance our competitive advantage, and scale our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realize the anticipated benefits of the decentralization of our operations;</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at the standards we require and our inability to develop new or enhanced supply chains;</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address inefficiencies and performance issues in some of our businesses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sustain growth in relatively mature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effectively manage competition and overlap within our brand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realize expected returns on our capital allocation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attract and retain skilled talent needed to execute our strategy and sustain our growth;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98"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If our strategy is not successful, then our revenue, earnings, and value may not grow as anticipated or may decline, we may not be profitable, our cash flow may be negatively impacted, our reputation and brands may be damaged, and the price of our shares may decline. In addition, we may change our strategy from time to time, which can cause fluctuations in our financial results and volatility in our share price.</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Purchasers of customized products may not choose to shop online, which would limit our acquisition of new customers that are necessary to the success of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sell most of our products and services through the Internet. Because the online market for most of our products and services is not mature, our success depends in part on our ability to attract customers who have historically purchased products and services we offer through offline channels. Specific factors that could prevent prospective customers from purchasing from us as an online retailer include:</w:t>
      </w:r>
    </w:p>
    <w:p>
      <w:pPr>
        <w:spacing w:after="0" w:line="20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concerns about buying customized products without face-to-face interaction with design or sales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 before making a purchase;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382" w:right="279" w:bottom="1440" w:gutter="0" w:footer="0" w:header="0"/>
        </w:sectPr>
      </w:pPr>
    </w:p>
    <w:bookmarkStart w:id="47" w:name="page48"/>
    <w:bookmarkEnd w:id="47"/>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delayed or lost shipments or shipments of incorrect or damaged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limited access to the Internet;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our internal research shows that an increasing number of current and potential customers access our websites using smart phones or tablets and that our website visits using traditional computers may be declining. Designing and purchasing custom designed products on a smart phone, tablet, or other mobile device is more difficult than doing so with a traditional computer due to limited screen sizes and bandwidth constraints. If our customers and potential customers have difficulty accessing and using our websites and technologies, then our revenue could decline.</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Our ability to provide a high-quality customer experience is also dependent on external factors over which we may have little or no control, such as the reliability and performance of our suppliers, third-party fulfillers, third-party carriers, and communication infrastructure providers. If we are unable to promote our brands or provide customers with a high-quality customer experience, we may fail to attract new customers, maintain customer relationships, and sustain or increase our revenues.</w:t>
      </w:r>
    </w:p>
    <w:p>
      <w:pPr>
        <w:spacing w:after="0" w:line="15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revenues and operating results often vary significantly from period to period due to a number of factors, and as a result comparing our financial results on a period-to-period basis may not be meaningful. We prioritize our two uppermost objectives (leadership in mass customization and maximizing intrinsic value per share) even at the expense of shorter-term results and generally do not manage our business to maximize current period financial results, including our GAAP net income and operating cash flow and other results we report.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9" w:lineRule="exact"/>
        <w:rPr>
          <w:sz w:val="20"/>
          <w:szCs w:val="20"/>
          <w:color w:val="auto"/>
        </w:rPr>
      </w:pPr>
    </w:p>
    <w:p>
      <w:pPr>
        <w:ind w:left="660" w:right="3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shorter-term costs will not be offset by revenue or cost savings until future periods, if at all;</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seasonality-driven or other variations in the demand for our products and services, in particular during our second fiscal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revenues, costs, and fair value of our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382" w:right="279" w:bottom="1440" w:gutter="0" w:footer="0" w:header="0"/>
        </w:sectPr>
      </w:pPr>
    </w:p>
    <w:bookmarkStart w:id="48" w:name="page49"/>
    <w:bookmarkEnd w:id="48"/>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increases in credits, beyond our estimated allowances, for customers who are not satisfied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income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our expenses, such as office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will likely decline.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our mass customization platform or in realizing the anticipated benefits of the platform.</w:t>
      </w:r>
    </w:p>
    <w:p>
      <w:pPr>
        <w:spacing w:after="0" w:line="20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 key component of our strategy is the development of a mass customization platform. The process of developing new technology is complex, costly, and uncertain, and the development effort could be disruptive to our business and existing systems. We must make long-term investments, develop or obtain appropriate intellectual property, and commit significant resources before knowing whether our mass customization platform will be successful and make us more effective and competitive. As a result, there can be no assurance that we will successfully complete the development of the platform, that our diverse businesses will realize value from the platform, or that we will realize expected returns on the capital expended to develop the platform.</w:t>
      </w:r>
    </w:p>
    <w:p>
      <w:pPr>
        <w:spacing w:after="0" w:line="16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In addition, we are aware that other companies are developing platforms that could compete with ours. If a competitor were to develop and reach scale with a platform before we do, our competitive position could be harmed.</w:t>
      </w:r>
    </w:p>
    <w:p>
      <w:pPr>
        <w:spacing w:after="0" w:line="14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Our global operations, decentralized organizational structure, and expansion place a significant strain on our management, employees, facilities, and other resources and subject us to additional risks.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global company with production facilities, offices, and localized websites in many countries across six continents, and we have decentralized our organizational structure and operations. We expect to establish operations, acquire or invest in businesses, and sell our products and services in additional geographic regions, including emerging markets, where we may have limited or no experience. We may not be successful in all regions and markets in which we invest or where we establish operations, which may be costly to us. We are subject to a number of risks and challenges that relate to our global operations, decentralization, and expansion, including, among others:</w:t>
      </w:r>
    </w:p>
    <w:p>
      <w:pPr>
        <w:spacing w:after="0" w:line="20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25"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improve and adapt our financial and operational controls to manage our decentralized business and comply with our legal obligations;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82" w:right="239" w:bottom="1440" w:gutter="0" w:footer="0" w:header="0"/>
        </w:sectPr>
      </w:pPr>
    </w:p>
    <w:bookmarkStart w:id="49" w:name="page50"/>
    <w:bookmarkEnd w:id="49"/>
    <w:p>
      <w:pPr>
        <w:ind w:left="660" w:right="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countries and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challenges of working with local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and attributes appropriate for local tastes;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corrupt business practices, such as bribery or the willful infringement of intellectual property rights, that may be common in some countries or in some sales channels and markets;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There is considerable uncertainty about the economic and regulatory effects of the United Kingdom's exit from the European Union (commonly referred to as "Brexit"). The UK is one of our largest markets in Europe, but we currently ship products to UK customers primarily from continental Europe. If Brexit results in greater restrictions on imports and exports between the UK and the EU or increased regulatory complexity, then our operations and financial results could be negatively impacted.</w:t>
      </w:r>
    </w:p>
    <w:p>
      <w:pPr>
        <w:spacing w:after="0" w:line="20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revenues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investments may be disruptive to our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strategic investments may fail to achieve our goals.</w:t>
      </w:r>
    </w:p>
    <w:p>
      <w:pPr>
        <w:spacing w:after="0" w:line="247"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for a number of reasons including the following:</w:t>
      </w:r>
    </w:p>
    <w:p>
      <w:pPr>
        <w:spacing w:after="0" w:line="19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as well as we expected.</w:t>
      </w:r>
    </w:p>
    <w:p>
      <w:pPr>
        <w:spacing w:after="0" w:line="225" w:lineRule="exact"/>
        <w:rPr>
          <w:rFonts w:ascii="Arial" w:cs="Arial" w:eastAsia="Arial" w:hAnsi="Arial"/>
          <w:sz w:val="18"/>
          <w:szCs w:val="18"/>
          <w:color w:val="auto"/>
        </w:rPr>
      </w:pPr>
    </w:p>
    <w:p>
      <w:pPr>
        <w:ind w:left="5620" w:right="1180" w:hanging="5288"/>
        <w:spacing w:after="0" w:line="543" w:lineRule="auto"/>
        <w:tabs>
          <w:tab w:leader="none" w:pos="6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overpay for acquired businesses, which can, among other things, negatively affect our intrinsic value per share. 48</w:t>
      </w:r>
    </w:p>
    <w:p>
      <w:pPr>
        <w:sectPr>
          <w:pgSz w:w="11900" w:h="16838" w:orient="portrait"/>
          <w:cols w:equalWidth="0" w:num="1">
            <w:col w:w="11380"/>
          </w:cols>
          <w:pgMar w:left="240" w:top="598" w:right="279" w:bottom="1440" w:gutter="0" w:footer="0" w:header="0"/>
        </w:sectPr>
      </w:pPr>
    </w:p>
    <w:bookmarkStart w:id="50" w:name="page51"/>
    <w:bookmarkEnd w:id="50"/>
    <w:p>
      <w:pPr>
        <w:ind w:left="660" w:right="26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fail to integrate acquired businesses, technologies, services, or internal systems effectively, or the integration may be more expensive or take more time than we anticipated.</w:t>
      </w:r>
    </w:p>
    <w:p>
      <w:pPr>
        <w:spacing w:after="0" w:line="196"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management of our minority investments and joint ventures may be more expensive or may take more resources than we expected.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realize the anticipated benefits of integrating acquired businesses into our mass customization platform.</w:t>
      </w:r>
    </w:p>
    <w:p>
      <w:pPr>
        <w:spacing w:after="0" w:line="225"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encounter unexpected cultural or language challenges in integrating an acquired business or managing our minority investment in a business.</w:t>
      </w:r>
    </w:p>
    <w:p>
      <w:pPr>
        <w:spacing w:after="0" w:line="196"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businesses we acquire or invest in may not be able to cross sell products and services to each other's customers.</w:t>
      </w:r>
    </w:p>
    <w:p>
      <w:pPr>
        <w:spacing w:after="0" w:line="19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generally assume the liabilities of businesses we acquire, which could include liability for an acquired business' violation of law that occurred before we acquired it. In addition, we have historically acquired smaller, privately held companies that may not have as strong a culture of legal compliance or as robust financial controls as a larger, publicly traded company like Cimpress, and if we fail to implement adequate training, controls, and monitoring of the acquired companies, we could also be liable for post-acquisition legal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minority investments can negatively impact our financial results.</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Acquisitions and minority investments can be costly, and some of our acquisitions and investments may be dilutive, leading to reduced earnings. Acquisitions and investments can result in increased expenses including impairments of goodwill and intangible assets if financial goals are not achieved, assumptions of contingent or unanticipated liabilities, amortization of acquired intangible assets, and increased tax costs.</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addition, the accounting for our acquisitions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to purchase non-controlling interests in our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20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Furthermore, earn-out provisions can lead to disputes with the sellers about the achievement of the earn-out performance targets, earn-out performance targets can sometimes create inadvertent incentives for the acquired company's management to take short-term actions designed to maximize the earn out instead of benefiting the business, and strong performance of the underlying business could result in material payments pursuant to earn-out provisions or future purchase obligations that may or may not reflect the fair market value of the asset at that time.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598" w:right="299" w:bottom="1440" w:gutter="0" w:footer="0" w:header="0"/>
        </w:sectPr>
      </w:pPr>
    </w:p>
    <w:bookmarkStart w:id="51" w:name="page52"/>
    <w:bookmarkEnd w:id="51"/>
    <w:p>
      <w:pPr>
        <w:ind w:right="240"/>
        <w:spacing w:after="0" w:line="287" w:lineRule="auto"/>
        <w:rPr>
          <w:sz w:val="20"/>
          <w:szCs w:val="20"/>
          <w:color w:val="auto"/>
        </w:rPr>
      </w:pPr>
      <w:r>
        <w:rPr>
          <w:rFonts w:ascii="Arial" w:cs="Arial" w:eastAsia="Arial" w:hAnsi="Arial"/>
          <w:sz w:val="18"/>
          <w:szCs w:val="18"/>
          <w:b w:val="1"/>
          <w:bCs w:val="1"/>
          <w:color w:val="auto"/>
        </w:rPr>
        <w:t>If we are unable to attract visitors to our websites and convert those visitors to customers, our business and results of operations could be harmed.</w:t>
      </w:r>
    </w:p>
    <w:p>
      <w:pPr>
        <w:spacing w:after="0" w:line="14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success depends on our ability to attract new and repeat customers in a cost-effective manner. We rely on a variety of methods to draw visitors to our websites and promote our products and services, such as purchased search results from online search engines such as Google and Yahoo!, email, direct mail, advertising banners and other online links, broadcast media, and word-of-mouth customer referrals. If the search engines on which we rely modify their algorithms, terminate their relationships with us, or increase the prices at which we may purchase listings, our costs could increase, and fewer customers may click through to our websites. If we are not effective at reaching new and repeat customers, if fewer customers click through to our websites, or if the costs of attracting customers using our current methods significantly increase, then traffic to our websites would be reduced, our revenue and net income could decline, and our business and results of operations would be harmed.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profitability has historically been highly seasonal. Our second fiscal quarter includes the majority of the holiday shopping season and accounts for a disproportionately high portion of our earnings for the year, primarily due to higher sales of home and family products such as holiday cards, calendars, photo books, and personalized gifts. In addition, the National Pen business we acquired in December 2016 has historically generated nearly all of its profits during the December quarter. Our operating income during the second fiscal quarter represented more than 60% of annual operating income in the years ended June 30, 2016 and 2015, and during the year ended June 30, 2017, in a period we recognized a loss from operations, the second quarter was the only profitable quarter of the year. In anticipation of increased sales activity during our second fiscal quarter holiday season, we typically incur significant additional capacity related expenses each year to meet our seasonal needs, including facility expansions, equipment purchases and leases, and increases in the number of temporary and permanent employees. Lower than expected sales during the second quarter would likely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then our costs may be significantly higher, and we and our customers can experience delays in order fulfillment and delivery and other disruptions. If we are unable to accurately forecast and respond to seasonality in our business, our business and results of operations may be materially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This could result in our having to borrow to settle a loss on a derivative without an offsetting cash inflow, potentially causing volatility in our cash or debt balances and therefore our leverage.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interruption of our operations and lack of redundancy.</w:t>
      </w:r>
    </w:p>
    <w:p>
      <w:pPr>
        <w:spacing w:after="0" w:line="24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production facilities, websites, infrastructure, supply chain, customer service centers, and operations may be vulnerable to interruptions, and we do not have redundancies or alternatives in all cases to carry on these operations in the event of an interruption. In addition, because we are dependent in part on third parties for the implementation and maintenance of certain aspects of our communications and production systems, we may not be able to remedy interruptions to these systems in a timely manner or at all due to factors outside of our control. Some of the events that could cause interruptions in our operations or systems are, among others:</w:t>
      </w:r>
    </w:p>
    <w:p>
      <w:pPr>
        <w:spacing w:after="0" w:line="20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fire, natural disasters, or extreme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49" w:right="279" w:bottom="1440" w:gutter="0" w:footer="0" w:header="0"/>
        </w:sectPr>
      </w:pPr>
    </w:p>
    <w:bookmarkStart w:id="52" w:name="page53"/>
    <w:bookmarkEnd w:id="52"/>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human error, including poor managerial judgment or oversight</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Any interruptions to our systems or operations could result in lost revenue, increased costs, negative publicity, damage to our reputation and brands, and an adverse effect on our business and results of operations. Building redundancies into our infrastructure, systems, and supply chain to mitigate these risks may require us to commit substantial financial, operational, and technical resources, in some cases before the volume of our business increases with no assurance that our revenues will increase.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we expect our competition to continue to increase.</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continues to change as new e-commerce businesses are introduced and traditional “bricks and mortar” businesses establish an online presence. Competition may result in price pressure, reduced profit margins, and loss of market share and brand recognition, any of which could substantially harm our business and financial results. Current and potential competitors include (in no particular order):</w:t>
      </w:r>
    </w:p>
    <w:p>
      <w:pPr>
        <w:spacing w:after="0" w:line="20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and gifts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or loyalty, more focus on a given subset of our business, or significantly greater financial, marketing, and other resources. Many of our competitors currently work together, and additional competitors may do so in the future through strategic business agreements or acquisitions. In addition, we have in the past and may in the future choose to collaborate with some of our existing and potential competitors in strategic partnerships that we believe will improve our competitive position and financial results. It is possible, however, that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98" w:right="259" w:bottom="1440" w:gutter="0" w:footer="0" w:header="0"/>
        </w:sectPr>
      </w:pPr>
    </w:p>
    <w:bookmarkStart w:id="53" w:name="page54"/>
    <w:bookmarkEnd w:id="53"/>
    <w:p>
      <w:pPr>
        <w:ind w:right="760"/>
        <w:spacing w:after="0" w:line="262" w:lineRule="auto"/>
        <w:rPr>
          <w:sz w:val="20"/>
          <w:szCs w:val="20"/>
          <w:color w:val="auto"/>
        </w:rPr>
      </w:pPr>
      <w:r>
        <w:rPr>
          <w:rFonts w:ascii="Arial" w:cs="Arial" w:eastAsia="Arial" w:hAnsi="Arial"/>
          <w:sz w:val="18"/>
          <w:szCs w:val="18"/>
          <w:color w:val="auto"/>
        </w:rPr>
        <w:t>such ventures will be unsuccessful and that our competitive position and financial results will be adversely affected as a result of such collaboration.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revenues, profitability, and results of operations. Many factors can significantly impact our pricing and marketing strategies, including the costs of running our business, our competitors' pricing and marketing strategies, and the effects of inflation. If we fail to meet our customers' price expectations, our business and results of operations may suffer.</w:t>
      </w:r>
    </w:p>
    <w:p>
      <w:pPr>
        <w:spacing w:after="0" w:line="18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9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Our information systems and those of third parties with which we share information are vulnerable to an increasing threat of cyber security risks, including physical and electronic break-ins, computer viruses, and phishing and other social engineering scams, among other risks.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expend significant resources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1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expose us to losses, remediation costs, litigation, enforcement actions, and possible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lead to the misuse of our and our customers' confidential or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cause interruptions in our operations; and</w:t>
      </w:r>
    </w:p>
    <w:p>
      <w:pPr>
        <w:spacing w:after="0" w:line="225"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19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any of which could have an adverse effect on our business. In addition, the regulatory landscape is constantly changing, as various regulatory bodies throughout the world enact new laws concerning privacy, data retention, data transfer and data protection. For example, the recent General Data Protection Regulation in Europe includes operational and compliance requirements that are different than those currently in place and also includes significant penalties for non-compliance. Complying with these varying and changing requirements could cause us to incur substantial costs or require us to change our business practices in a manner adverse to our business and operating results.</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382" w:right="279" w:bottom="1440" w:gutter="0" w:footer="0" w:header="0"/>
        </w:sectPr>
      </w:pPr>
    </w:p>
    <w:bookmarkStart w:id="54" w:name="page55"/>
    <w:bookmarkEnd w:id="54"/>
    <w:p>
      <w:pPr>
        <w:ind w:right="380"/>
        <w:spacing w:after="0" w:line="287" w:lineRule="auto"/>
        <w:rPr>
          <w:sz w:val="20"/>
          <w:szCs w:val="20"/>
          <w:color w:val="auto"/>
        </w:rPr>
      </w:pPr>
      <w:r>
        <w:rPr>
          <w:rFonts w:ascii="Arial" w:cs="Arial" w:eastAsia="Arial" w:hAnsi="Arial"/>
          <w:sz w:val="18"/>
          <w:szCs w:val="18"/>
          <w:b w:val="1"/>
          <w:bCs w:val="1"/>
          <w:color w:val="auto"/>
        </w:rPr>
        <w:t>We rely heavily on email to market to and communicate with customers, and email communications are subject to regulatory and reputation risks.</w:t>
      </w:r>
    </w:p>
    <w:p>
      <w:pPr>
        <w:spacing w:after="0" w:line="17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Various private entities attempt to regulate the use of commercial email solicitation by blacklisting companies that the entities believe do not meet their standards, which results in those companies' emails being blocked from some Internet domains and addresses. From time to time some of our Internet protocol addresses appear on blacklists, which can interfere with our ability to market our products and services, communicate with our customers, and operate and manage our websites and corporate email accounts. Further, we have contractual relationships with partners that market our products and services on our behalf, and some of our marketing partners engage third-party email marketers with which we do not have any contractual or other relationship. If we or our partners were to fail to comply with all applicable laws relating to email solicitations, including if one of our partners or another third party were to send emails marketing our products and services in violation of applicable anti-spam or other laws, then our reputation could be harmed and we could potentially be liable for their actions.</w:t>
      </w:r>
    </w:p>
    <w:p>
      <w:pPr>
        <w:spacing w:after="0" w:line="18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SHE requirements, or new, more stringent SHE requirements applicable to us are imposed,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2"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highly dependent upon the continued service and performance of our senior management and key technical, marketing, and production personnel, any of whom may cease their employment with us at any time with minimal advance notice. We face intense competition for qualified individuals from many other companies in diverse industries. The loss of one or more of our key employees may significantly delay or prevent the achievement of our business objectives, and our failure to attract and retain suitably qualified individuals or to adequately plan for succession could have an adverse effect on our ability to implement our business plan.</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Our credit facility and the indenture that governs our senior notes restrict our current and future operations, particularly our ability to respond to changes or to take certain actions.</w:t>
      </w:r>
    </w:p>
    <w:p>
      <w:pPr>
        <w:spacing w:after="0" w:line="17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senior secured credit facility, which we refer to as our credit facility, and the indenture that governs our 7.0% senior unsecured notes due 2022, which we refer to as our senior notes, contain a number of restrictive covenants that impose significant operating and financial restrictions on us and may limit our ability to engage in acts that may be in our best interest, including restrictions on our ability to:</w:t>
      </w:r>
    </w:p>
    <w:p>
      <w:pPr>
        <w:spacing w:after="0" w:line="310" w:lineRule="exact"/>
        <w:rPr>
          <w:sz w:val="20"/>
          <w:szCs w:val="20"/>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prepay, redeem, or repurchase certain subordinated debt;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0" w:right="239" w:bottom="1440" w:gutter="0" w:footer="0" w:header="0"/>
        </w:sectPr>
      </w:pPr>
    </w:p>
    <w:bookmarkStart w:id="55" w:name="page56"/>
    <w:bookmarkEnd w:id="55"/>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a result of these restrictions, we may be limited in how we conduct our business, grow in accordance with our strategy, compete effectively, or take advantage of new business opportunities. In addition, the restrictive covenants in the credit facility require us to maintain specified financial ratios and satisfy other financial condition tests. Our ability to meet those financial ratios and tests can be affected by events beyond our control, and we may be unable to meet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our indenture or credit facility would have a material, adverse effect on our business.</w:t>
      </w:r>
    </w:p>
    <w:p>
      <w:pPr>
        <w:spacing w:after="0" w:line="247"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the indenture that governs our senior notes or under our credit facility could result in an event of default under the applicable indebtedness. Such a default would have a material, adverse effect on our business and financial condition, including the following, among others:</w:t>
      </w:r>
    </w:p>
    <w:p>
      <w:pPr>
        <w:spacing w:after="0" w:line="202" w:lineRule="exact"/>
        <w:rPr>
          <w:sz w:val="20"/>
          <w:szCs w:val="20"/>
          <w:color w:val="auto"/>
        </w:rPr>
      </w:pPr>
    </w:p>
    <w:p>
      <w:pPr>
        <w:ind w:left="660" w:right="420" w:hanging="247"/>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lenders under the credit facility could terminate all commitments to extend further credit under that facility.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4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As of March 31, 2018, our total debt was $820.2 million, made up of $275.0 million of senior notes, $537.3 million of loan obligations under our credit facility and $7.9 million of other debt. We had unused commitments of $494.2 million under our credit facility (after giving effect to letter of credit obligations).</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the limits contained in the credit facility, the indenture that governs our senior notes, and our other debt instruments, we may be able to incur substantial additional debt from time to time to finance working capital, capital expenditures, investments or acquisitions, or for other purposes. If we do so, the risks related to our level of debt could intensify. Specifically, our level of debt could have important consequences, including the following:</w:t>
      </w:r>
    </w:p>
    <w:p>
      <w:pPr>
        <w:spacing w:after="0" w:line="204" w:lineRule="exact"/>
        <w:rPr>
          <w:sz w:val="20"/>
          <w:szCs w:val="20"/>
          <w:color w:val="auto"/>
        </w:rPr>
      </w:pPr>
    </w:p>
    <w:p>
      <w:pPr>
        <w:ind w:left="660" w:hanging="247"/>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25" w:lineRule="exact"/>
        <w:rPr>
          <w:rFonts w:ascii="Arial" w:cs="Arial" w:eastAsia="Arial" w:hAnsi="Arial"/>
          <w:sz w:val="18"/>
          <w:szCs w:val="18"/>
          <w:color w:val="auto"/>
        </w:rPr>
      </w:pPr>
    </w:p>
    <w:p>
      <w:pPr>
        <w:ind w:left="660" w:right="520" w:hanging="247"/>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96" w:lineRule="exact"/>
        <w:rPr>
          <w:rFonts w:ascii="Arial" w:cs="Arial" w:eastAsia="Arial" w:hAnsi="Arial"/>
          <w:sz w:val="18"/>
          <w:szCs w:val="18"/>
          <w:color w:val="auto"/>
        </w:rPr>
      </w:pPr>
    </w:p>
    <w:p>
      <w:pPr>
        <w:ind w:left="660" w:right="80" w:hanging="247"/>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598" w:right="299" w:bottom="1440" w:gutter="0" w:footer="0" w:header="0"/>
        </w:sectPr>
      </w:pPr>
    </w:p>
    <w:bookmarkStart w:id="56" w:name="page57"/>
    <w:bookmarkEnd w:id="56"/>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8" w:lineRule="exact"/>
        <w:rPr>
          <w:rFonts w:ascii="Arial" w:cs="Arial" w:eastAsia="Arial" w:hAnsi="Arial"/>
          <w:sz w:val="18"/>
          <w:szCs w:val="18"/>
          <w:color w:val="auto"/>
        </w:rPr>
      </w:pPr>
    </w:p>
    <w:p>
      <w:pPr>
        <w:ind w:left="660" w:right="460" w:hanging="247"/>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and marketplaces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which may not be successful.</w:t>
      </w:r>
    </w:p>
    <w:p>
      <w:pPr>
        <w:spacing w:after="0" w:line="175"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Our ability to make scheduled payments on or refinance our debt obligations depends on our financial condition and operating performance, which are subject to economic and competitive conditions and to various financial, business, legislative, regulatory, and other factors beyond our control. We may be unable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w:t>
      </w:r>
    </w:p>
    <w:p>
      <w:pPr>
        <w:spacing w:after="0" w:line="20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If we cannot make scheduled payments on our debt, we will be in default. 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8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March 31, 2018, a hypothetical 100 basis point increase in rates, inclusive of our outstanding interest rate swaps, would result in an increase of interest expense of approximately $4.0 million over the next 12 months.</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382"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Border controls and duties and restrictions on cross-border commerce may negatively impact our business.</w:t>
      </w:r>
    </w:p>
    <w:p>
      <w:pPr>
        <w:spacing w:after="0" w:line="247"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Many governments impose restrictions on shipping goods into their countries, as well as protectionist measures such as customs duties and tariffs that may apply directly to product categories comprising a material portion of our revenues. The customs laws, rules and regulations that we are required to comply with are complex and subject to unpredictable enforcement and modification. As a result of these restrictions, we have from time to time experienced delays in shipping our manufactured products into certain countries, and changes in cross-border regulations could have a significant negative effect on our business. For example, the current United States administration has signaled the possibility of major changes in trade policy between the United States and other countries, such as the imposition of additional tariffs or duties on imported products. Because we produce most physical products for our United States customers at our facilities in Canada and Mexico and we source most materials for our products outside the United States, including large amounts of sourcing from China, major changes in tax policy or trade relations could adversely affect our business and results of operations.</w:t>
      </w:r>
    </w:p>
    <w:p>
      <w:pPr>
        <w:spacing w:after="0" w:line="16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8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Due to our dependence on the Internet for most of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60"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contract with multiple business partners in an increasing number of jurisdictions worldwide, including sourcing the raw materials for the products we sell from an expanding number of suppliers and contracting with third-party merchants and manufacturers for the placement and fulfillment of customer orders. We require our suppliers, fulfillers, and merchants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19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Because of our focus on automation and high volumes, the vast majority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were to become legally obligated to perform manual screening of customer orders, our costs would increase significantly, and we could be required to pay substantial penalties or monetary damages for any failure in our screening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customer payment-related risks.</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accept payments for our products and services on our websites by a variety of methods, including credit or debit card, PayPal, check, wire transfer, or other methods. In some geographic regions, we rely on one or two third party companies to provide payment processing services. If any of the payment processing or other companies with which we have contractual arrangements became unwilling or unable to provide these services to us or they or we are unable to comply with our contractual requirements under such arrangements, then we would need to find and engage replacement providers, which we may not be able to do on terms that are acceptable to us or at all, or to process the payments ourselves. Any of these scenarios could be disruptive to our business as they could be costly and time consuming and may unfavorably impact our customers.</w:t>
      </w:r>
    </w:p>
    <w:p>
      <w:pPr>
        <w:spacing w:after="0" w:line="20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As we offer new payment options to our customers, we may be subject to additional regulations, compliance requirements and fraud risk. For some payment methods, including credit and debit cards, we pay interchange and other fees, which may increase over time and raise our operating costs and lower our profit margins or require that we charge our customers more for our products. We are also subject to payment card association and similar operating rules and requirements, which could change or be reinterpreted to make it difficult or impossible for us to comply. If we fail to comply with these rules and requirements, we may be subject to fines and higher transaction fees and lose our ability to accept credit and debit card payments from our customers or facilitate other types of online payments, and our business and operating results could be materially adversely affected.</w:t>
      </w:r>
    </w:p>
    <w:p>
      <w:pPr>
        <w:spacing w:after="0" w:line="20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addition, we may be liable for fraudulent transactions conducted on our websites, such as through the use of stolen credit card numbers. To date, quarterly losses from payment fraud have not exceeded 1% of total revenues in any quarter, but we continue to face the risk of significant losses from this type of fraud.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0" w:right="239" w:bottom="1440" w:gutter="0" w:footer="0" w:header="0"/>
        </w:sectPr>
      </w:pPr>
    </w:p>
    <w:bookmarkStart w:id="59" w:name="page60"/>
    <w:bookmarkEnd w:id="59"/>
    <w:p>
      <w:pPr>
        <w:ind w:right="60"/>
        <w:spacing w:after="0" w:line="287" w:lineRule="auto"/>
        <w:rPr>
          <w:sz w:val="20"/>
          <w:szCs w:val="20"/>
          <w:color w:val="auto"/>
        </w:rPr>
      </w:pPr>
      <w:r>
        <w:rPr>
          <w:rFonts w:ascii="Arial" w:cs="Arial" w:eastAsia="Arial" w:hAnsi="Arial"/>
          <w:sz w:val="18"/>
          <w:szCs w:val="18"/>
          <w:b w:val="1"/>
          <w:bCs w:val="1"/>
          <w:color w:val="auto"/>
        </w:rPr>
        <w:t>We may be subject to product liability or environmental compliance claims if people, property, or the environment are harmed by the products we sell.</w:t>
      </w:r>
    </w:p>
    <w:p>
      <w:pPr>
        <w:spacing w:after="0" w:line="17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Some of the products we sell may expose us to product liability or environmental compliance claims relating to issues such as personal injury, death, property damage, or the use or disposal of environmentally harmful substances and may require product recalls or other actions. Any claims, litigation, or recalls could be costly to us and damage our brands and reputation.</w:t>
      </w:r>
    </w:p>
    <w:p>
      <w:pPr>
        <w:spacing w:after="0" w:line="18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Our inability to use or maintain domain names in each country or region where we currently or intend to do business could negatively impact our brands and our ability to sell our products and services in that country or region.</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may not be able to prevent third parties from acquiring domain names that use our brand names or other trademarks or that otherwise infringe or decrease the value of our trademarks and other proprietary rights. If we are unable to use or maintain a domain name in a particular country or region, then we could be forced to purchase the domain name from an entity that owns or controls it, which we may not be able to do on commercially acceptable terms or at all; we may incur significant additional expenses to develop a new brand to market our products within that country; or we may elect not to sell products in that country.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collect indirect taxes in all jurisdictions, which could expose us to tax liabilities.</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In some of the jurisdictions where we sell products and services, we do not collect or have imposed upon us sales, value added or other consumption taxes, which we refer to as indirect taxes. The application of indirect taxes to e-commerce businesses such as Cimpress is a complex and evolving issue, and in many cases, it is not clear how existing tax statutes apply to the Internet or e-commerce. For example, some state governments in the United States have imposed or are seeking to impose indirect taxes on Internet sales. If a government entity claims that we should have been collecting indirect taxes on the sale of our products in a jurisdiction where we have not been doing so, then we could incur substantial tax liabilities for past sales.</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If we are unable to retain security authentication certificates, which are supplied by a limited number of third party providers over which we exercise little or no control, our business could be harmed.</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dependent on a limited number of third party providers of website security authentication certificates that are necessary for conducting secure transactions over the Internet. Despite any contractual protections we may have, these third party providers can disable or revoke, and in the past have disabled or revoked, our security certificates without our consent, which would render our websites inaccessible to some of our customers and could discourage other customers from accessing our sites. Any interruption in our customers' ability or willingness to access our websites if we do not have adequate security certificates could result in a material loss of revenue and profits and damage to our brands.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Dutch limited liability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N.V. group should be subject to income or other tax in their respective jurisdictions, which could result in an increase to our effective tax rate and adversely affect our results of operations.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6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In addition to the passage of the Tax Cuts and Jobs Act in the United States, there are currently multiple initiatives for comprehensive tax reform underway in other key jurisdictions where we have operations. We continue to assess the impact of the U.S. Tax Cuts and Jobs Act as well as various international tax reform proposals and modifications to existing tax treaties in all jurisdictions where we have operations that could result in a material impact on our income taxes. We cannot predict whether any other specific legislation will be enacted or the terms of any such legislation. However, if such proposals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19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7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operate pursuant to written transfer pricing agreements among Cimpress N.V.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1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Our Articles of Association, Dutch law and the independent foundation, </w:t>
      </w:r>
      <w:r>
        <w:rPr>
          <w:rFonts w:ascii="Arial" w:cs="Arial" w:eastAsia="Arial" w:hAnsi="Arial"/>
          <w:sz w:val="18"/>
          <w:szCs w:val="18"/>
          <w:b w:val="1"/>
          <w:bCs w:val="1"/>
          <w:i w:val="1"/>
          <w:iCs w:val="1"/>
          <w:color w:val="auto"/>
        </w:rPr>
        <w:t>Stichting Continuïteit Cimpress</w:t>
      </w:r>
      <w:r>
        <w:rPr>
          <w:rFonts w:ascii="Arial" w:cs="Arial" w:eastAsia="Arial" w:hAnsi="Arial"/>
          <w:sz w:val="18"/>
          <w:szCs w:val="18"/>
          <w:b w:val="1"/>
          <w:bCs w:val="1"/>
          <w:color w:val="auto"/>
        </w:rPr>
        <w:t>, may make it difficult to replace or remove management, may inhibit or delay a change of control or may dilute shareholder voting power.</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Articles of Association, or Articles, as governed by Dutch law, limit our shareholders' ability to suspend or dismiss the members of our management board and supervisory board or to overrule our supervisory board's nominees to our management board and supervisory board by requiring a supermajority vote to do so under most circumstances. As a result, there may be circumstances in which shareholders may not be able to remove members of our management board or supervisory board even if holders of a majority of our ordinary shares favor doing so.</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addition, an independent foundation, </w:t>
      </w:r>
      <w:r>
        <w:rPr>
          <w:rFonts w:ascii="Arial" w:cs="Arial" w:eastAsia="Arial" w:hAnsi="Arial"/>
          <w:sz w:val="17"/>
          <w:szCs w:val="17"/>
          <w:i w:val="1"/>
          <w:iCs w:val="1"/>
          <w:color w:val="auto"/>
        </w:rPr>
        <w:t>Stichting Continuïteit Cimpress</w:t>
      </w:r>
      <w:r>
        <w:rPr>
          <w:rFonts w:ascii="Arial" w:cs="Arial" w:eastAsia="Arial" w:hAnsi="Arial"/>
          <w:sz w:val="17"/>
          <w:szCs w:val="17"/>
          <w:color w:val="auto"/>
        </w:rPr>
        <w:t>, or the Foundation, exists to safeguard the interests of Cimpress N.V. and its stakeholders, which include but are not limited to our shareholders, and to assist in maintaining Cimpress' continuity and independence. To this end, we have granted the Foundation a call option pursuant to which the Foundation may acquire a number of preferred shares equal to the same number of ordinary shares then outstanding, which is designed to provide a protective measure against unsolicited take-over bids for Cimpress and other hostile threats. If the Foundation were to exercise the call option, it may prevent a change of control or delay or prevent a takeover attempt, including a takeover attempt that might result in a premium over the market price for our ordinary shares. Exercise of the preferred share option would also effectively dilute the voting power of our outstanding ordinary shares by one half.</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6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We have limited flexibility with respect to certain aspects of capital management and certain corporate transactions.</w:t>
      </w:r>
    </w:p>
    <w:p>
      <w:pPr>
        <w:spacing w:after="0" w:line="247" w:lineRule="exact"/>
        <w:rPr>
          <w:sz w:val="20"/>
          <w:szCs w:val="20"/>
          <w:color w:val="auto"/>
        </w:rPr>
      </w:pPr>
    </w:p>
    <w:p>
      <w:pPr>
        <w:ind w:right="480" w:firstLine="648"/>
        <w:spacing w:after="0" w:line="252" w:lineRule="auto"/>
        <w:rPr>
          <w:sz w:val="20"/>
          <w:szCs w:val="20"/>
          <w:color w:val="auto"/>
        </w:rPr>
      </w:pPr>
      <w:r>
        <w:rPr>
          <w:rFonts w:ascii="Arial" w:cs="Arial" w:eastAsia="Arial" w:hAnsi="Arial"/>
          <w:sz w:val="18"/>
          <w:szCs w:val="18"/>
          <w:color w:val="auto"/>
        </w:rPr>
        <w:t>Dutch law imposes limitations and requirements on corporate actions such as the payment of dividends, issuance of new shares, repurchase of outstanding shares, and corporate acquisitions of a certain size, among other actions. For example, Dutch law requires shareholder approval for many corporate actions that would not be subject to shareholder approval if we were incorporated in the United States. Situations may arise where the flexibility to issue shares, pay dividends, purchase shares, acquire other companies, or take other corporate actions would be beneficial to us, but is subject to limitations, subject to delay due to shareholder approval requirements, or unavailable under Dutch law.</w:t>
      </w:r>
    </w:p>
    <w:p>
      <w:pPr>
        <w:spacing w:after="0" w:line="18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pursue legal remedies against the members of our supervisory board or management board.</w:t>
      </w:r>
    </w:p>
    <w:p>
      <w:pPr>
        <w:spacing w:after="0" w:line="17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Articles and our internal corporate affairs are governed by Dutch law, and the rights of our shareholders and the responsibilities of our supervisory board and management board are different from those established under United States laws. For example, under Dutch law derivative lawsuits are generally not available, and our supervisory board and management board are responsible for acting in the best interests of the company, its business and all of its stakeholders generally (including employees, customers and creditors), not just shareholders. As a result, our shareholders may find it more difficult to protect their interests against actions by members of our supervisory board or management board than they would if we were a U.S. corporation.</w:t>
      </w:r>
    </w:p>
    <w:p>
      <w:pPr>
        <w:spacing w:after="0" w:line="18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incorporated under the laws of the Netherlands, and the vast majority of our assets are located outside of the United States. In addition, some of our officers and management reside outside of the United States. In most cases, a final judgment for the payment of money rendered by a U.S. federal or state court would not be directly enforceable in the Netherlands. Although there is a process under Dutch law for petitioning a Dutch court to enforce a judgment rendered in the United States, there can be no assurance that a Dutch court would impose civil liability on us or our management team in any lawsuit predicated solely upon U.S. securities or other laws. In addition, because most of our assets are located outside of the United States, it could be difficult for investors to place a lien on our assets in connection with a claim of liability under U.S. laws. As a result, it may be difficult for investors to enforce U.S. court judgments or rights predicated upon U.S. laws against us or our management team outside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make distributions or purchase shares without subjecting our shareholders to Dutch withholding tax.</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Dutch withholding tax may be levied on dividends and similar distributions made by Cimpress N.V. to its shareholders at the statutory rate of 15% if we cannot structure such distributions as being made to shareholders in relation to a reduction of par value, which would be non-taxable for Dutch withholding tax purposes. We have purchased our shares and may seek to purchase additional shares in the future. Under our Dutch Advanced Tax Ruling, a purchase of shares should not result in any Dutch withholding tax if we hold the purchased shares in treasury for the purpose of issuing shares pursuant to employee share awards or for the funding of acquisitions. However, if the shares cannot be used for these purposes, or the Dutch tax authorities successfully challenge the use of the shares for these purposes, such a purchase of shares may be treated as a partial liquidation subject to the 15% Dutch withholding tax to be levied on the difference between our average paid in capital per share for Dutch tax purposes and the redemption price per share, if higher.</w:t>
      </w:r>
    </w:p>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360" w:right="279" w:bottom="1440" w:gutter="0" w:footer="0" w:header="0"/>
        </w:sectPr>
      </w:pPr>
    </w:p>
    <w:bookmarkStart w:id="62" w:name="page63"/>
    <w:bookmarkEnd w:id="62"/>
    <w:p>
      <w:pPr>
        <w:ind w:right="200" w:firstLine="648"/>
        <w:spacing w:after="0" w:line="256" w:lineRule="auto"/>
        <w:rPr>
          <w:sz w:val="20"/>
          <w:szCs w:val="20"/>
          <w:color w:val="auto"/>
        </w:rPr>
      </w:pPr>
      <w:r>
        <w:rPr>
          <w:rFonts w:ascii="Arial" w:cs="Arial" w:eastAsia="Arial" w:hAnsi="Arial"/>
          <w:sz w:val="18"/>
          <w:szCs w:val="18"/>
          <w:color w:val="auto"/>
        </w:rPr>
        <w:t>We believe that we were not a PFIC for the tax year ended June 30, 2017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If a United States shareholder acquires 10% or more of our ordinary shares, it may be subject to increased United States taxation under the “controlled foreign corporation” rules. Additionally, this may negatively impact the demand for our ordinary shares.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of a non-U.S. corporation, or “10% U.S. Shareholder,” and if such non-U.S. corporation is a “controlled foreign corporation,” or “CFC,” for an uninterrupted period of 30 days or more during a taxable year,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17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for an uninterrupted period of 30 days or more, each of our 10% U.S. Shareholders will be required to include in its gross income for United States federal income tax purposes its pro rata share of our "subpart F income," even if the subpart F income is not distributed by us.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16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pay taxes even if we are not profitable on a consolidated basis, which could harm our results of operations.</w:t>
      </w:r>
    </w:p>
    <w:p>
      <w:pPr>
        <w:spacing w:after="0" w:line="24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intercompany service and related agreements among Cimpress N.V. and its direct and indirect subsidiaries ensure that many of the subsidiaries realize profits on an individual legal entity basis. As a result, if the Cimpress group is less profitable, or even not profitable on a consolidated basis, many of our subsidiaries will be profitable and incur income taxes in their respective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4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More than 75% of our ordinary shares are held by our top 10 shareholders, and we may repurchase shares in the future,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382" w:right="279" w:bottom="1440" w:gutter="0" w:footer="0" w:header="0"/>
        </w:sectPr>
      </w:pPr>
    </w:p>
    <w:bookmarkStart w:id="63" w:name="page64"/>
    <w:bookmarkEnd w:id="6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On November 14, 2017, our Supervisory Board authorized the repurchase of up to 6,300,000 of our issued and outstanding ordinary shares on the open market (including block trades that satisfy the safe harbor provisions of Rule 10b-18 pursuant to the U.S. Securities Exchange Act of 1934), through privately negotiated transactions, or in one or more self-tender offers. This share repurchase program expires on May 14, 2019. The following table outlines the purchase of our ordinary shares during the three months ended March 31,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Total Number of</w:t>
            </w:r>
          </w:p>
        </w:tc>
        <w:tc>
          <w:tcPr>
            <w:tcW w:w="13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Average Price Paid</w:t>
            </w:r>
          </w:p>
        </w:tc>
        <w:tc>
          <w:tcPr>
            <w:tcW w:w="260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Number of Shares Purchased as</w:t>
            </w:r>
          </w:p>
        </w:tc>
        <w:tc>
          <w:tcPr>
            <w:tcW w:w="2500" w:type="dxa"/>
            <w:vAlign w:val="bottom"/>
          </w:tcPr>
          <w:p>
            <w:pPr>
              <w:jc w:val="right"/>
              <w:spacing w:after="0"/>
              <w:rPr>
                <w:sz w:val="20"/>
                <w:szCs w:val="20"/>
                <w:color w:val="auto"/>
              </w:rPr>
            </w:pPr>
            <w:r>
              <w:rPr>
                <w:rFonts w:ascii="Arial" w:cs="Arial" w:eastAsia="Arial" w:hAnsi="Arial"/>
                <w:sz w:val="13"/>
                <w:szCs w:val="13"/>
                <w:b w:val="1"/>
                <w:bCs w:val="1"/>
                <w:color w:val="auto"/>
                <w:w w:val="97"/>
              </w:rPr>
              <w:t>Approximate Number of Shares that May</w:t>
            </w: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Shares Purchased</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Per Share (1)</w:t>
            </w:r>
          </w:p>
        </w:tc>
        <w:tc>
          <w:tcPr>
            <w:tcW w:w="2600" w:type="dxa"/>
            <w:vAlign w:val="bottom"/>
            <w:gridSpan w:val="2"/>
          </w:tcPr>
          <w:p>
            <w:pPr>
              <w:ind w:left="100"/>
              <w:spacing w:after="0"/>
              <w:rPr>
                <w:sz w:val="20"/>
                <w:szCs w:val="20"/>
                <w:color w:val="auto"/>
              </w:rPr>
            </w:pPr>
            <w:r>
              <w:rPr>
                <w:rFonts w:ascii="Arial" w:cs="Arial" w:eastAsia="Arial" w:hAnsi="Arial"/>
                <w:sz w:val="13"/>
                <w:szCs w:val="13"/>
                <w:b w:val="1"/>
                <w:bCs w:val="1"/>
                <w:color w:val="auto"/>
              </w:rPr>
              <w:t>Part of a Publicly Announced Program</w:t>
            </w:r>
          </w:p>
        </w:tc>
        <w:tc>
          <w:tcPr>
            <w:tcW w:w="2500" w:type="dxa"/>
            <w:vAlign w:val="bottom"/>
          </w:tcPr>
          <w:p>
            <w:pPr>
              <w:jc w:val="right"/>
              <w:ind w:right="59"/>
              <w:spacing w:after="0"/>
              <w:rPr>
                <w:sz w:val="20"/>
                <w:szCs w:val="20"/>
                <w:color w:val="auto"/>
              </w:rPr>
            </w:pPr>
            <w:r>
              <w:rPr>
                <w:rFonts w:ascii="Arial" w:cs="Arial" w:eastAsia="Arial" w:hAnsi="Arial"/>
                <w:sz w:val="13"/>
                <w:szCs w:val="13"/>
                <w:b w:val="1"/>
                <w:bCs w:val="1"/>
                <w:color w:val="auto"/>
              </w:rPr>
              <w:t>Yet be Purchased Under the Program</w:t>
            </w:r>
          </w:p>
        </w:tc>
        <w:tc>
          <w:tcPr>
            <w:tcW w:w="0" w:type="dxa"/>
            <w:vAlign w:val="bottom"/>
          </w:tcPr>
          <w:p>
            <w:pPr>
              <w:spacing w:after="0"/>
              <w:rPr>
                <w:sz w:val="1"/>
                <w:szCs w:val="1"/>
                <w:color w:val="auto"/>
              </w:rPr>
            </w:pP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 through January 31, 2018</w:t>
            </w:r>
          </w:p>
        </w:tc>
        <w:tc>
          <w:tcPr>
            <w:tcW w:w="1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321,113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123.23</w:t>
            </w:r>
          </w:p>
        </w:tc>
        <w:tc>
          <w:tcPr>
            <w:tcW w:w="120" w:type="dxa"/>
            <w:vAlign w:val="bottom"/>
            <w:tcBorders>
              <w:top w:val="single" w:sz="8" w:color="CCEEFF"/>
            </w:tcBorders>
            <w:shd w:val="clear" w:color="auto" w:fill="CCEEFF"/>
          </w:tcPr>
          <w:p>
            <w:pPr>
              <w:spacing w:after="0"/>
              <w:rPr>
                <w:sz w:val="22"/>
                <w:szCs w:val="22"/>
                <w:color w:val="auto"/>
              </w:rPr>
            </w:pPr>
          </w:p>
        </w:tc>
        <w:tc>
          <w:tcPr>
            <w:tcW w:w="2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442,557</w:t>
            </w:r>
          </w:p>
        </w:tc>
        <w:tc>
          <w:tcPr>
            <w:tcW w:w="100" w:type="dxa"/>
            <w:vAlign w:val="bottom"/>
            <w:tcBorders>
              <w:top w:val="single" w:sz="8" w:color="CCEEFF"/>
            </w:tcBorders>
            <w:shd w:val="clear" w:color="auto" w:fill="CCEEFF"/>
          </w:tcPr>
          <w:p>
            <w:pPr>
              <w:spacing w:after="0"/>
              <w:rPr>
                <w:sz w:val="22"/>
                <w:szCs w:val="22"/>
                <w:color w:val="auto"/>
              </w:rPr>
            </w:pPr>
          </w:p>
        </w:tc>
        <w:tc>
          <w:tcPr>
            <w:tcW w:w="2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5,857,443</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February 1, 2018 through February 28,</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8"/>
                <w:szCs w:val="18"/>
                <w:color w:val="auto"/>
              </w:rPr>
              <w:t>2018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19"/>
              <w:spacing w:after="0"/>
              <w:rPr>
                <w:sz w:val="20"/>
                <w:szCs w:val="20"/>
                <w:color w:val="auto"/>
              </w:rPr>
            </w:pPr>
            <w:r>
              <w:rPr>
                <w:rFonts w:ascii="Arial" w:cs="Arial" w:eastAsia="Arial" w:hAnsi="Arial"/>
                <w:sz w:val="18"/>
                <w:szCs w:val="18"/>
                <w:color w:val="auto"/>
              </w:rPr>
              <w:t>5,857,443</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 2018 through March 31, 2018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5,857,443</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321,113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123.23</w:t>
            </w:r>
          </w:p>
        </w:tc>
        <w:tc>
          <w:tcPr>
            <w:tcW w:w="120" w:type="dxa"/>
            <w:vAlign w:val="bottom"/>
          </w:tcPr>
          <w:p>
            <w:pPr>
              <w:spacing w:after="0"/>
              <w:rPr>
                <w:sz w:val="22"/>
                <w:szCs w:val="22"/>
                <w:color w:val="auto"/>
              </w:rPr>
            </w:pPr>
          </w:p>
        </w:tc>
        <w:tc>
          <w:tcPr>
            <w:tcW w:w="2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442,557</w:t>
            </w:r>
          </w:p>
        </w:tc>
        <w:tc>
          <w:tcPr>
            <w:tcW w:w="100" w:type="dxa"/>
            <w:vAlign w:val="bottom"/>
          </w:tcPr>
          <w:p>
            <w:pPr>
              <w:spacing w:after="0"/>
              <w:rPr>
                <w:sz w:val="22"/>
                <w:szCs w:val="22"/>
                <w:color w:val="auto"/>
              </w:rPr>
            </w:pPr>
          </w:p>
        </w:tc>
        <w:tc>
          <w:tcPr>
            <w:tcW w:w="2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5,857,443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color w:val="auto"/>
              </w:rPr>
              <w:t>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5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Average Price paid per share includes commissions paid.</w:t>
      </w:r>
    </w:p>
    <w:p>
      <w:pPr>
        <w:spacing w:after="0" w:line="1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09"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21" w:lineRule="exact"/>
        <w:rPr>
          <w:sz w:val="20"/>
          <w:szCs w:val="20"/>
          <w:color w:val="auto"/>
        </w:rPr>
      </w:pPr>
    </w:p>
    <w:p>
      <w:pPr>
        <w:ind w:left="180"/>
        <w:spacing w:after="0"/>
        <w:tabs>
          <w:tab w:leader="none" w:pos="1060" w:val="left"/>
        </w:tabs>
        <w:rPr>
          <w:rFonts w:ascii="Arial" w:cs="Arial" w:eastAsia="Arial" w:hAnsi="Arial"/>
          <w:sz w:val="18"/>
          <w:szCs w:val="18"/>
          <w:color w:val="0000FF"/>
        </w:rPr>
      </w:pPr>
      <w:hyperlink w:anchor="page65">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pursuant to Section 302 of the Sarbanes-Oxley Act of 2002, Rule 13a-14(a)/15d-14(a), by Chief Executive Officer</w:t>
      </w:r>
    </w:p>
    <w:p>
      <w:pPr>
        <w:spacing w:after="0" w:line="63" w:lineRule="exact"/>
        <w:rPr>
          <w:sz w:val="20"/>
          <w:szCs w:val="20"/>
          <w:color w:val="auto"/>
        </w:rPr>
      </w:pPr>
    </w:p>
    <w:p>
      <w:pPr>
        <w:ind w:left="180"/>
        <w:spacing w:after="0"/>
        <w:tabs>
          <w:tab w:leader="none" w:pos="1060" w:val="left"/>
        </w:tabs>
        <w:rPr>
          <w:rFonts w:ascii="Arial" w:cs="Arial" w:eastAsia="Arial" w:hAnsi="Arial"/>
          <w:sz w:val="18"/>
          <w:szCs w:val="18"/>
          <w:color w:val="0000FF"/>
        </w:rPr>
      </w:pPr>
      <w:hyperlink w:anchor="page66">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pursuant to Section 302 of the Sarbanes-Oxley Act of 2002, Rule 13a-14(a)/15d-14(a), by Chief Financial Officer</w:t>
      </w:r>
    </w:p>
    <w:p>
      <w:pPr>
        <w:spacing w:after="0" w:line="63" w:lineRule="exact"/>
        <w:rPr>
          <w:sz w:val="20"/>
          <w:szCs w:val="20"/>
          <w:color w:val="auto"/>
        </w:rPr>
      </w:pPr>
    </w:p>
    <w:p>
      <w:pPr>
        <w:ind w:left="1080" w:right="300" w:hanging="890"/>
        <w:spacing w:after="0" w:line="260" w:lineRule="auto"/>
        <w:tabs>
          <w:tab w:leader="none" w:pos="1060" w:val="left"/>
        </w:tabs>
        <w:rPr>
          <w:rFonts w:ascii="Arial" w:cs="Arial" w:eastAsia="Arial" w:hAnsi="Arial"/>
          <w:sz w:val="18"/>
          <w:szCs w:val="18"/>
          <w:color w:val="0000FF"/>
        </w:rPr>
      </w:pPr>
      <w:hyperlink w:anchor="page67">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Certification pursuant to 18 U.S.C. Section 1350, as adopted pursuant to Section 906 of the Sarbanes-Oxley Act of 2002, by Chief Executive Officer and Chief Financial Officer</w:t>
      </w:r>
    </w:p>
    <w:p>
      <w:pPr>
        <w:spacing w:after="0" w:line="36" w:lineRule="exact"/>
        <w:rPr>
          <w:sz w:val="20"/>
          <w:szCs w:val="20"/>
          <w:color w:val="auto"/>
        </w:rPr>
      </w:pPr>
    </w:p>
    <w:p>
      <w:pPr>
        <w:ind w:left="1080" w:right="300" w:hanging="896"/>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6"/>
          <w:szCs w:val="16"/>
          <w:color w:val="auto"/>
        </w:rPr>
        <w:t>The following materials from this Quarterly Report on Form 10-Q, formatted in Extensible Business Reporting Language (XBRL): (i) Condensed Consolidated Balance Sheets, (ii) Condensed Consolidated Statements of Operations, (iii) Condensed Consolidated Statements of Cash Flows, and (iv) Notes to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right="420" w:firstLine="66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May 3, 2018</w:t>
      </w:r>
      <w:r>
        <w:rPr>
          <w:sz w:val="20"/>
          <w:szCs w:val="20"/>
          <w:color w:val="auto"/>
        </w:rPr>
        <w:tab/>
      </w:r>
      <w:r>
        <w:rPr>
          <w:rFonts w:ascii="Arial" w:cs="Arial" w:eastAsia="Arial" w:hAnsi="Arial"/>
          <w:sz w:val="17"/>
          <w:szCs w:val="17"/>
          <w:color w:val="auto"/>
        </w:rPr>
        <w:t>Cimpress N.V.</w:t>
      </w:r>
    </w:p>
    <w:p>
      <w:pPr>
        <w:spacing w:after="0" w:line="200" w:lineRule="exact"/>
        <w:rPr>
          <w:sz w:val="20"/>
          <w:szCs w:val="20"/>
          <w:color w:val="auto"/>
        </w:rPr>
      </w:pPr>
    </w:p>
    <w:p>
      <w:pPr>
        <w:spacing w:after="0" w:line="201" w:lineRule="exact"/>
        <w:rPr>
          <w:sz w:val="20"/>
          <w:szCs w:val="20"/>
          <w:color w:val="auto"/>
        </w:rPr>
      </w:pPr>
    </w:p>
    <w:p>
      <w:pPr>
        <w:ind w:left="570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71"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Chief Financial Officer</w:t>
      </w:r>
    </w:p>
    <w:p>
      <w:pPr>
        <w:spacing w:after="0" w:line="19"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3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144" w:lineRule="exact"/>
        <w:rPr>
          <w:sz w:val="20"/>
          <w:szCs w:val="20"/>
          <w:color w:val="auto"/>
        </w:rPr>
      </w:pPr>
    </w:p>
    <w:p>
      <w:pPr>
        <w:ind w:left="580" w:hanging="410"/>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1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In connection with the Quarterly Report on Form 10-Q of Cimpress N.V. (the “Company”) for the fiscal quarter ended March 31, 2018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tabs>
          <w:tab w:leader="none" w:pos="700" w:val="left"/>
          <w:tab w:leader="none" w:pos="7880" w:val="left"/>
        </w:tabs>
        <w:rPr>
          <w:sz w:val="20"/>
          <w:szCs w:val="20"/>
          <w:color w:val="auto"/>
        </w:rPr>
      </w:pPr>
      <w:r>
        <w:rPr>
          <w:rFonts w:ascii="Arial" w:cs="Arial" w:eastAsia="Arial" w:hAnsi="Arial"/>
          <w:sz w:val="18"/>
          <w:szCs w:val="18"/>
          <w:color w:val="auto"/>
        </w:rPr>
        <w:t>Date:</w:t>
        <w:tab/>
        <w:t>May 3, 2018</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Robert S. Keane</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355" w:lineRule="exact"/>
        <w:rPr>
          <w:sz w:val="20"/>
          <w:szCs w:val="20"/>
          <w:color w:val="auto"/>
        </w:rPr>
      </w:pPr>
    </w:p>
    <w:p>
      <w:pPr>
        <w:ind w:left="40"/>
        <w:spacing w:after="0"/>
        <w:tabs>
          <w:tab w:leader="none" w:pos="700" w:val="left"/>
          <w:tab w:leader="none" w:pos="7960" w:val="left"/>
        </w:tabs>
        <w:rPr>
          <w:sz w:val="20"/>
          <w:szCs w:val="20"/>
          <w:color w:val="auto"/>
        </w:rPr>
      </w:pPr>
      <w:r>
        <w:rPr>
          <w:rFonts w:ascii="Arial" w:cs="Arial" w:eastAsia="Arial" w:hAnsi="Arial"/>
          <w:sz w:val="18"/>
          <w:szCs w:val="18"/>
          <w:color w:val="auto"/>
        </w:rPr>
        <w:t>Date:</w:t>
        <w:tab/>
        <w:t>May 3, 2018</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Sean E. Quinn</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lvl w:ilvl="1">
      <w:lvlJc w:val="left"/>
      <w:lvlText w:val="•"/>
      <w:numFmt w:val="bullet"/>
      <w:start w:val="1"/>
    </w:lvl>
  </w:abstractNum>
  <w:abstractNum w:abstractNumId="23">
    <w:nsid w:val="153EA438"/>
    <w:multiLevelType w:val="hybridMultilevel"/>
    <w:lvl w:ilvl="0">
      <w:lvlJc w:val="left"/>
      <w:lvlText w:val="(%1)"/>
      <w:numFmt w:val="decimal"/>
      <w:start w:val="1"/>
    </w:lvl>
    <w:lvl w:ilvl="1">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decimal"/>
      <w:start w:val="10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lowerLetter"/>
      <w:start w:val="3"/>
    </w:lvl>
  </w:abstractNum>
  <w:abstractNum w:abstractNumId="53">
    <w:nsid w:val="275AC794"/>
    <w:multiLevelType w:val="hybridMultilevel"/>
    <w:lvl w:ilvl="0">
      <w:lvlJc w:val="left"/>
      <w:lvlText w:val="%1."/>
      <w:numFmt w:val="decimal"/>
      <w:start w:val="5"/>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lowerLetter"/>
      <w:start w:val="3"/>
    </w:lvl>
  </w:abstractNum>
  <w:abstractNum w:abstractNumId="56">
    <w:nsid w:val="180115BE"/>
    <w:multiLevelType w:val="hybridMultilevel"/>
    <w:lvl w:ilvl="0">
      <w:lvlJc w:val="left"/>
      <w:lvlText w:val="%1."/>
      <w:numFmt w:val="decimal"/>
      <w:start w:val="5"/>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2019-12-28T23:08:11Z</dcterms:created>
  <dcterms:modified xsi:type="dcterms:W3CDTF">2019-12-28T23:08:11Z</dcterms:modified>
</cp:coreProperties>
</file>