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641.xml.htm"/>
      <w:bookmarkStart w:id="1" w:name="kswkform4_17870846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Keane Robert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COUNTY LOUTH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6"/>
        <w:gridCol w:w="931"/>
        <w:gridCol w:w="799"/>
        <w:gridCol w:w="618"/>
        <w:gridCol w:w="345"/>
        <w:gridCol w:w="921"/>
        <w:gridCol w:w="427"/>
        <w:gridCol w:w="757"/>
        <w:gridCol w:w="1131"/>
        <w:gridCol w:w="979"/>
        <w:gridCol w:w="12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85,756</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85,902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89,289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89,636</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30,376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120,012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120,791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94.46</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103,167</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28,375</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RHS Delaware Holdings LLC</w:t>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43,128</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Eastern Irrevocable, LLC</w:t>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47,088</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Western Irrevocable, LLC</w:t>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51,900</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Delaware 2001 Investment Trust</w:t>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780,000</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Second Delaware 2003, LLC</w:t>
            </w:r>
          </w:p>
        </w:tc>
      </w:tr>
      <w:tr>
        <w:trPr/>
        <w:tc>
          <w:tcPr>
            <w:tcW w:w="20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986,785</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Third Delaware 2011, LLC</w:t>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9,579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08/15/2024</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08/15/2027</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08/15/2024</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08/15/2027</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08/15/2025</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08/15/2025</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91,127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acquired automatically vested pursuant to an award of performance share units (PSUs), with each PSU representing Cimpress' commitment to issue one ordinary share following the determination of the number of shares issuable pursuant to the award based on the level of achievement against the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28,375 shares held by RHS Delaware Holdings LLC, of which Eastern Irrevocable, LLC and Western Irrevocable, LLC are the sole owners.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PSUs vest over the following four-year period: 25% of the number of shares determined to be issuable pursuant to the award based on the level of achievement against the performance conditions vest on the Date Exercisable shown in Table II and 6.25% of such number of shares vest quarterly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PSUs vest over the following four-year period: 25% of the number of shares determined to be issuable pursuant to the award based on the level of achievement against the performance conditions vest on the Date Exercisable shown in Table II and 25% of such number of shares vest yearly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 as attorney-in-fact for Robert S. Keane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7084"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949</Words>
  <Characters>5137</Characters>
  <CharactersWithSpaces>5871</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