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6287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287135"/>
                    </a:xfrm>
                    <a:prstGeom prst="rect">
                      <a:avLst/>
                    </a:prstGeom>
                    <a:noFill/>
                  </pic:spPr>
                </pic:pic>
              </a:graphicData>
            </a:graphic>
          </wp:anchor>
        </w:drawing>
      </w:r>
    </w:p>
    <w:p>
      <w:pPr>
        <w:spacing w:after="0" w:line="1224" w:lineRule="exact"/>
        <w:rPr>
          <w:sz w:val="24"/>
          <w:szCs w:val="24"/>
          <w:color w:val="auto"/>
        </w:rPr>
      </w:pPr>
    </w:p>
    <w:p>
      <w:pPr>
        <w:sectPr>
          <w:pgSz w:w="11900" w:h="16838" w:orient="portrait"/>
          <w:cols w:equalWidth="0" w:num="2">
            <w:col w:w="2300" w:space="300"/>
            <w:col w:w="8480"/>
          </w:cols>
          <w:pgMar w:left="460" w:top="217" w:right="359" w:bottom="218"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Baumgartner Florian</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6" w:lineRule="auto"/>
        <w:rPr>
          <w:sz w:val="20"/>
          <w:szCs w:val="20"/>
          <w:color w:val="auto"/>
        </w:rPr>
      </w:pPr>
      <w:r>
        <w:rPr>
          <w:rFonts w:ascii="Times New Roman" w:cs="Times New Roman" w:eastAsia="Times New Roman" w:hAnsi="Times New Roman"/>
          <w:sz w:val="16"/>
          <w:szCs w:val="16"/>
          <w:color w:val="0000FF"/>
        </w:rPr>
        <w:t>C/O CIMPRESS PLC, FIRST FLOOR BUILDING 3 FINNABAIR BUSINESS &amp; TECHNOLOGY PARK</w:t>
      </w:r>
    </w:p>
    <w:p>
      <w:pPr>
        <w:spacing w:after="0" w:line="1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181" w:lineRule="auto"/>
        <w:tabs>
          <w:tab w:leader="none" w:pos="1320" w:val="left"/>
        </w:tabs>
        <w:rPr>
          <w:sz w:val="20"/>
          <w:szCs w:val="20"/>
          <w:color w:val="auto"/>
        </w:rPr>
      </w:pPr>
      <w:r>
        <w:rPr>
          <w:rFonts w:ascii="Times New Roman" w:cs="Times New Roman" w:eastAsia="Times New Roman" w:hAnsi="Times New Roman"/>
          <w:sz w:val="15"/>
          <w:szCs w:val="15"/>
          <w:color w:val="0000FF"/>
        </w:rPr>
        <w:t>DUNDALK,</w:t>
      </w:r>
      <w:r>
        <w:rPr>
          <w:sz w:val="20"/>
          <w:szCs w:val="20"/>
          <w:color w:val="auto"/>
        </w:rPr>
        <w:tab/>
      </w:r>
      <w:r>
        <w:rPr>
          <w:rFonts w:ascii="Times New Roman" w:cs="Times New Roman" w:eastAsia="Times New Roman" w:hAnsi="Times New Roman"/>
          <w:sz w:val="29"/>
          <w:szCs w:val="29"/>
          <w:color w:val="0000FF"/>
          <w:vertAlign w:val="subscript"/>
        </w:rPr>
        <w:t>L2</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LOUTH</w:t>
      </w:r>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4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CIMPRESS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CMPR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32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7"/>
                <w:szCs w:val="17"/>
                <w:color w:val="0000FF"/>
              </w:rPr>
              <w:t>EVP and CEO, Vista</w:t>
            </w:r>
          </w:p>
        </w:tc>
        <w:tc>
          <w:tcPr>
            <w:tcW w:w="0" w:type="dxa"/>
            <w:vAlign w:val="bottom"/>
          </w:tcPr>
          <w:p>
            <w:pPr>
              <w:spacing w:after="0"/>
              <w:rPr>
                <w:sz w:val="1"/>
                <w:szCs w:val="1"/>
                <w:color w:val="auto"/>
              </w:rPr>
            </w:pPr>
          </w:p>
        </w:tc>
      </w:tr>
      <w:tr>
        <w:trPr>
          <w:trHeight w:val="127"/>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2480" w:type="dxa"/>
            <w:vAlign w:val="bottom"/>
          </w:tcPr>
          <w:p>
            <w:pPr>
              <w:spacing w:after="0"/>
              <w:rPr>
                <w:sz w:val="11"/>
                <w:szCs w:val="11"/>
                <w:color w:val="auto"/>
              </w:rPr>
            </w:pPr>
          </w:p>
        </w:tc>
        <w:tc>
          <w:tcPr>
            <w:tcW w:w="3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360" w:type="dxa"/>
            <w:vAlign w:val="bottom"/>
            <w:gridSpan w:val="3"/>
            <w:vMerge w:val="continue"/>
          </w:tcPr>
          <w:p>
            <w:pPr>
              <w:spacing w:after="0"/>
              <w:rPr>
                <w:sz w:val="7"/>
                <w:szCs w:val="7"/>
                <w:color w:val="auto"/>
              </w:rPr>
            </w:pPr>
          </w:p>
        </w:tc>
        <w:tc>
          <w:tcPr>
            <w:tcW w:w="2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1" w:lineRule="exact"/>
        <w:rPr>
          <w:sz w:val="24"/>
          <w:szCs w:val="24"/>
          <w:color w:val="auto"/>
        </w:rPr>
      </w:pPr>
    </w:p>
    <w:p>
      <w:pPr>
        <w:sectPr>
          <w:pgSz w:w="11900" w:h="16838" w:orient="portrait"/>
          <w:cols w:equalWidth="0" w:num="2">
            <w:col w:w="3680" w:space="160"/>
            <w:col w:w="7240"/>
          </w:cols>
          <w:pgMar w:left="460" w:top="217" w:right="359" w:bottom="21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72"/>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8"/>
              </w:rPr>
              <w:t>05/15/2026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1,691</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5"/>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70,411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8"/>
              </w:rPr>
              <w:t>05/15/2026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3,550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5"/>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73,961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8"/>
              </w:rPr>
              <w:t>05/15/2026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1,303</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5"/>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75,264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Pr>
          <w:p>
            <w:pPr>
              <w:spacing w:after="0"/>
              <w:rPr>
                <w:sz w:val="22"/>
                <w:szCs w:val="22"/>
                <w:color w:val="auto"/>
              </w:rPr>
            </w:pPr>
          </w:p>
        </w:tc>
        <w:tc>
          <w:tcPr>
            <w:tcW w:w="1680" w:type="dxa"/>
            <w:vAlign w:val="bottom"/>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8"/>
              </w:rPr>
              <w:t>05/15/2026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3,108</w:t>
            </w:r>
          </w:p>
        </w:tc>
        <w:tc>
          <w:tcPr>
            <w:tcW w:w="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93.25</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72,156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62"/>
              <w:spacing w:after="0" w:line="128"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right"/>
              <w:ind w:right="32"/>
              <w:spacing w:after="0" w:line="128" w:lineRule="exact"/>
              <w:rPr>
                <w:sz w:val="20"/>
                <w:szCs w:val="20"/>
                <w:color w:val="auto"/>
              </w:rPr>
            </w:pPr>
            <w:r>
              <w:rPr>
                <w:rFonts w:ascii="Arial" w:cs="Arial" w:eastAsia="Arial" w:hAnsi="Arial"/>
                <w:sz w:val="12"/>
                <w:szCs w:val="12"/>
                <w:b w:val="1"/>
                <w:bCs w:val="1"/>
                <w:color w:val="auto"/>
                <w:w w:val="91"/>
              </w:rPr>
              <w:t>Expiration</w:t>
            </w: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jc w:val="right"/>
              <w:ind w:right="332"/>
              <w:spacing w:after="0"/>
              <w:rPr>
                <w:sz w:val="20"/>
                <w:szCs w:val="20"/>
                <w:color w:val="auto"/>
              </w:rPr>
            </w:pPr>
            <w:r>
              <w:rPr>
                <w:rFonts w:ascii="Arial" w:cs="Arial" w:eastAsia="Arial" w:hAnsi="Arial"/>
                <w:sz w:val="12"/>
                <w:szCs w:val="12"/>
                <w:b w:val="1"/>
                <w:bCs w:val="1"/>
                <w:color w:val="auto"/>
                <w:w w:val="92"/>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Pr>
          <w:p>
            <w:pPr>
              <w:ind w:left="260"/>
              <w:spacing w:after="0" w:line="204"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1,691</w:t>
            </w:r>
          </w:p>
        </w:tc>
        <w:tc>
          <w:tcPr>
            <w:tcW w:w="88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3"/>
                <w:szCs w:val="13"/>
                <w:color w:val="0000FF"/>
              </w:rPr>
              <w:t>08/15/2023</w:t>
            </w:r>
            <w:r>
              <w:rPr>
                <w:rFonts w:ascii="Times New Roman" w:cs="Times New Roman" w:eastAsia="Times New Roman" w:hAnsi="Times New Roman"/>
                <w:sz w:val="21"/>
                <w:szCs w:val="21"/>
                <w:color w:val="008000"/>
                <w:vertAlign w:val="superscript"/>
              </w:rPr>
              <w:t>(3)</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0000FF"/>
                <w:w w:val="94"/>
              </w:rPr>
              <w:t>08/15/2026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1,691</w:t>
            </w:r>
          </w:p>
        </w:tc>
        <w:tc>
          <w:tcPr>
            <w:tcW w:w="40" w:type="dxa"/>
            <w:vAlign w:val="bottom"/>
          </w:tcPr>
          <w:p>
            <w:pPr>
              <w:spacing w:after="0"/>
              <w:rPr>
                <w:sz w:val="17"/>
                <w:szCs w:val="17"/>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rPr>
              <w:t>1,691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ind w:left="120"/>
              <w:spacing w:after="0" w:line="77" w:lineRule="exact"/>
              <w:rPr>
                <w:sz w:val="20"/>
                <w:szCs w:val="20"/>
                <w:color w:val="auto"/>
              </w:rPr>
            </w:pPr>
            <w:r>
              <w:rPr>
                <w:rFonts w:ascii="Times New Roman" w:cs="Times New Roman" w:eastAsia="Times New Roman" w:hAnsi="Times New Roman"/>
                <w:sz w:val="7"/>
                <w:szCs w:val="7"/>
                <w:color w:val="0000FF"/>
              </w:rPr>
              <w:t>Shares</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acquire)</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260"/>
              <w:spacing w:after="0" w:line="244"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1"/>
                <w:szCs w:val="21"/>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3,550</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08/15/2024</w:t>
            </w:r>
            <w:r>
              <w:rPr>
                <w:rFonts w:ascii="Times New Roman" w:cs="Times New Roman" w:eastAsia="Times New Roman" w:hAnsi="Times New Roman"/>
                <w:sz w:val="21"/>
                <w:szCs w:val="21"/>
                <w:color w:val="008000"/>
                <w:vertAlign w:val="superscript"/>
              </w:rPr>
              <w:t>(4)</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0000FF"/>
                <w:w w:val="94"/>
              </w:rPr>
              <w:t>08/15/2027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3,550</w:t>
            </w:r>
          </w:p>
        </w:tc>
        <w:tc>
          <w:tcPr>
            <w:tcW w:w="40" w:type="dxa"/>
            <w:vAlign w:val="bottom"/>
          </w:tcPr>
          <w:p>
            <w:pPr>
              <w:spacing w:after="0"/>
              <w:rPr>
                <w:sz w:val="21"/>
                <w:szCs w:val="21"/>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w w:val="94"/>
              </w:rPr>
              <w:t>17,750</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2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260"/>
              <w:spacing w:after="0" w:line="244"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1"/>
                <w:szCs w:val="21"/>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1,303</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08/15/2025</w:t>
            </w:r>
            <w:r>
              <w:rPr>
                <w:rFonts w:ascii="Times New Roman" w:cs="Times New Roman" w:eastAsia="Times New Roman" w:hAnsi="Times New Roman"/>
                <w:sz w:val="21"/>
                <w:szCs w:val="21"/>
                <w:color w:val="008000"/>
                <w:vertAlign w:val="superscript"/>
              </w:rPr>
              <w:t>(4)</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3"/>
                <w:szCs w:val="13"/>
                <w:color w:val="0000FF"/>
                <w:w w:val="94"/>
              </w:rPr>
              <w:t>08/15/2028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1,303</w:t>
            </w:r>
          </w:p>
        </w:tc>
        <w:tc>
          <w:tcPr>
            <w:tcW w:w="40" w:type="dxa"/>
            <w:vAlign w:val="bottom"/>
          </w:tcPr>
          <w:p>
            <w:pPr>
              <w:spacing w:after="0"/>
              <w:rPr>
                <w:sz w:val="21"/>
                <w:szCs w:val="21"/>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w w:val="94"/>
              </w:rPr>
              <w:t>11,727</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2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-2687320</wp:posOffset>
            </wp:positionV>
            <wp:extent cx="29210" cy="2693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930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acquired automatically vested pursuant to an award of restricted share units (RSUs), with each RSU representing Cimpress' commitment to issue one ordinary share.</w:t>
      </w:r>
    </w:p>
    <w:p>
      <w:pPr>
        <w:spacing w:after="0" w:line="42" w:lineRule="exact"/>
        <w:rPr>
          <w:rFonts w:ascii="Times New Roman" w:cs="Times New Roman" w:eastAsia="Times New Roman" w:hAnsi="Times New Roman"/>
          <w:sz w:val="13"/>
          <w:szCs w:val="13"/>
          <w:color w:val="008000"/>
        </w:rPr>
      </w:pPr>
    </w:p>
    <w:p>
      <w:pPr>
        <w:ind w:left="40" w:right="1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acquired automatically vested pursuant to an award of performance share units (PSUs), with each PSU representing Cimpress' commitment to issue one ordinary share following the determination of the number of shares issuable pursuant to the award based on the level of achievement against the performance conditions.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over the following four-year period: 25% of the original number of RSUs granted vest on the Date Exercisable in Table II and 25% of such number of RSUs vest yearly thereafter.</w:t>
      </w:r>
    </w:p>
    <w:p>
      <w:pPr>
        <w:spacing w:after="0" w:line="42" w:lineRule="exact"/>
        <w:rPr>
          <w:rFonts w:ascii="Times New Roman" w:cs="Times New Roman" w:eastAsia="Times New Roman" w:hAnsi="Times New Roman"/>
          <w:sz w:val="13"/>
          <w:szCs w:val="13"/>
          <w:color w:val="008000"/>
        </w:rPr>
      </w:pPr>
    </w:p>
    <w:p>
      <w:pPr>
        <w:ind w:left="40" w:right="2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PSUs vest over the following four-year period: 25% of the number of shares determined to be issuable pursuant to the award based on the level of achievement against the performance conditions vest on the Date Exercisable shown in Table II and 6.25% of such number of shares vest quarterly thereafter.</w:t>
      </w:r>
    </w:p>
    <w:p>
      <w:pPr>
        <w:sectPr>
          <w:pgSz w:w="11900" w:h="16838" w:orient="portrait"/>
          <w:cols w:equalWidth="0" w:num="1">
            <w:col w:w="11080"/>
          </w:cols>
          <w:pgMar w:left="460" w:top="217" w:right="359" w:bottom="218"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Sean E. Quinn,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8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 for Florian Baumgartner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35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4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700" w:space="100"/>
            <w:col w:w="2280"/>
          </w:cols>
          <w:pgMar w:left="460" w:top="217" w:right="359" w:bottom="218"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4743" TargetMode="External"/><Relationship Id="rId14" Type="http://schemas.openxmlformats.org/officeDocument/2006/relationships/hyperlink" Target="http://www.sec.gov/cgi-bin/browse-edgar?action=getcompany&amp;CIK=0001262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2026-05-18T15:38:16Z</dcterms:created>
  <dcterms:modified xsi:type="dcterms:W3CDTF">2026-05-18T15:38:16Z</dcterms:modified>
</cp:coreProperties>
</file>