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420" w:hanging="273"/>
        <w:spacing w:after="0"/>
        <w:tabs>
          <w:tab w:leader="none" w:pos="4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420"/>
        <w:spacing w:after="0"/>
        <w:tabs>
          <w:tab w:leader="none" w:pos="324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September 30, 2025</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20" w:hanging="273"/>
        <w:spacing w:after="0" w:line="207" w:lineRule="auto"/>
        <w:tabs>
          <w:tab w:leader="none" w:pos="4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420"/>
        <w:spacing w:after="0"/>
        <w:tabs>
          <w:tab w:leader="none" w:pos="30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80" w:space="720"/>
            <w:col w:w="288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30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27, 2025, there were 24,671,784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September 30, 2025 and June 30, 2025</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months ended September 30,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Income (Loss) for the three months ended September 30,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months ended September 30,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three months ended September 30,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3.</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21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200,505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233,982</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receivable, net of allowances of $7,776 and $7,957, respectively</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78,731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68,289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119,469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112,870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90,566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87,465</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489,271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502,606</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315,406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302,494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88,201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83,951</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106,455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104,764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61,086</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826,363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826,156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58,348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28,824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28,739</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1,966,541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1,968,144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317,815</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332,110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308,496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304,085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57,024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47,975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9,085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21,984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22,064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40,343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43,343</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754,644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758,662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22,961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23,308</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1,573,862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1,576,178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71,159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66,196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96,240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107,246</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2,518,866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2,531,590</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 (Note 10)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18,370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19,057</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24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Ordinary shares, nominal value €0.01 per share, 100,000,000 shares authorized; 42,638,697 and 42,448,572</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respectively; 24,667,450 and 24,477,325 shares outstanding, respectively</w:t>
            </w: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599,916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592,315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230,703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225,117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(37,969)</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(571,256)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(583,490)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10)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(582,503)</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1,966,541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1,968,144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804,969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460,476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422,736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81,861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210,398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203,847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51,932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5,155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 (1)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39,339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24,358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Net loss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ind w:left="20"/>
              <w:spacing w:after="0" w:line="180" w:lineRule="exact"/>
              <w:rPr>
                <w:sz w:val="20"/>
                <w:szCs w:val="20"/>
                <w:color w:val="auto"/>
              </w:rPr>
            </w:pPr>
            <w:r>
              <w:rPr>
                <w:rFonts w:ascii="Arial" w:cs="Arial" w:eastAsia="Arial" w:hAnsi="Arial"/>
                <w:sz w:val="16"/>
                <w:szCs w:val="16"/>
                <w:color w:val="auto"/>
              </w:rPr>
              <w:t>Diluted net income (loss) per share attributable to Cimpress plc</w:t>
            </w: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0.30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24,574,455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25,167,845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ind w:left="20"/>
              <w:spacing w:after="0" w:line="180" w:lineRule="exact"/>
              <w:rPr>
                <w:sz w:val="20"/>
                <w:szCs w:val="20"/>
                <w:color w:val="auto"/>
              </w:rPr>
            </w:pPr>
            <w:r>
              <w:rPr>
                <w:rFonts w:ascii="Arial" w:cs="Arial" w:eastAsia="Arial" w:hAnsi="Arial"/>
                <w:sz w:val="16"/>
                <w:szCs w:val="16"/>
                <w:color w:val="auto"/>
              </w:rPr>
              <w:t>Weighted average shares outstanding — diluted</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25,051,742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25,167,845</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804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8,599</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gains, net of hedges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6,712</w:t>
            </w:r>
          </w:p>
        </w:tc>
      </w:tr>
      <w:tr>
        <w:trPr>
          <w:trHeight w:val="207"/>
        </w:trPr>
        <w:tc>
          <w:tcPr>
            <w:tcW w:w="8020" w:type="dxa"/>
            <w:vAlign w:val="bottom"/>
          </w:tcPr>
          <w:p>
            <w:pPr>
              <w:ind w:left="200"/>
              <w:spacing w:after="0"/>
              <w:rPr>
                <w:sz w:val="20"/>
                <w:szCs w:val="20"/>
                <w:color w:val="auto"/>
              </w:rPr>
            </w:pPr>
            <w:r>
              <w:rPr>
                <w:rFonts w:ascii="Arial" w:cs="Arial" w:eastAsia="Arial" w:hAnsi="Arial"/>
                <w:sz w:val="16"/>
                <w:szCs w:val="16"/>
                <w:color w:val="auto"/>
              </w:rPr>
              <w:t>Net unrealized gains (losses) on derivative instruments designated and qualifying as cash flow hedges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(8,399)</w:t>
            </w:r>
          </w:p>
        </w:tc>
      </w:tr>
      <w:tr>
        <w:trPr>
          <w:trHeight w:val="209"/>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Amounts reclassified from accumulated other comprehensive loss to net income (loss) for derivative instruments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284</w:t>
            </w: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(13,787)</w:t>
            </w:r>
          </w:p>
        </w:tc>
      </w:tr>
      <w:tr>
        <w:trPr>
          <w:trHeight w:val="208"/>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Total comprehensive income (loss) attributable to Cimpress plc</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20" w:type="dxa"/>
            <w:vAlign w:val="bottom"/>
            <w:gridSpan w:val="5"/>
          </w:tcPr>
          <w:p>
            <w:pPr>
              <w:ind w:left="540"/>
              <w:spacing w:after="0"/>
              <w:rPr>
                <w:sz w:val="20"/>
                <w:szCs w:val="20"/>
                <w:color w:val="auto"/>
              </w:rPr>
            </w:pPr>
            <w:r>
              <w:rPr>
                <w:rFonts w:ascii="Arial" w:cs="Arial" w:eastAsia="Arial" w:hAnsi="Arial"/>
                <w:sz w:val="12"/>
                <w:szCs w:val="12"/>
                <w:b w:val="1"/>
                <w:bCs w:val="1"/>
                <w:color w:val="auto"/>
              </w:rPr>
              <w:t>Ordinary Shares</w:t>
            </w:r>
          </w:p>
        </w:tc>
        <w:tc>
          <w:tcPr>
            <w:tcW w:w="228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1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6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6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1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Shares Issued</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1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2024</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43,051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570,283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(12,948)</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16,573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43,232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573,192</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250,923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(32,160)</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8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20"/>
              <w:spacing w:after="0"/>
              <w:rPr>
                <w:sz w:val="20"/>
                <w:szCs w:val="20"/>
                <w:color w:val="auto"/>
              </w:rPr>
            </w:pPr>
            <w:r>
              <w:rPr>
                <w:rFonts w:ascii="Arial" w:cs="Arial" w:eastAsia="Arial" w:hAnsi="Arial"/>
                <w:sz w:val="14"/>
                <w:szCs w:val="14"/>
                <w:color w:val="auto"/>
              </w:rPr>
              <w:t>Balance at June 30, 2025</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42,449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960" w:type="dxa"/>
            <w:vAlign w:val="bottom"/>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592,315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(37,969)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(583,490)</w:t>
            </w:r>
          </w:p>
        </w:tc>
        <w:tc>
          <w:tcPr>
            <w:tcW w:w="0" w:type="dxa"/>
            <w:vAlign w:val="bottom"/>
          </w:tcPr>
          <w:p>
            <w:pPr>
              <w:spacing w:after="0"/>
              <w:rPr>
                <w:sz w:val="1"/>
                <w:szCs w:val="1"/>
                <w:color w:val="auto"/>
              </w:rPr>
            </w:pPr>
          </w:p>
        </w:tc>
      </w:tr>
      <w:tr>
        <w:trPr>
          <w:trHeight w:val="154"/>
        </w:trPr>
        <w:tc>
          <w:tcPr>
            <w:tcW w:w="18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Issuance of ordinary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ordinary shares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Restricted and performance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share units vested, net of</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14,474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14,474</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7,637</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42,639</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599,916</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230,703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(38,925)</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(571,256)</w:t>
            </w:r>
          </w:p>
        </w:tc>
        <w:tc>
          <w:tcPr>
            <w:tcW w:w="0" w:type="dxa"/>
            <w:vAlign w:val="bottom"/>
          </w:tcPr>
          <w:p>
            <w:pPr>
              <w:spacing w:after="0"/>
              <w:rPr>
                <w:sz w:val="1"/>
                <w:szCs w:val="1"/>
                <w:color w:val="auto"/>
              </w:rPr>
            </w:pPr>
          </w:p>
        </w:tc>
      </w:tr>
      <w:tr>
        <w:trPr>
          <w:trHeight w:val="154"/>
        </w:trPr>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8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6,520</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(12,384)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36,618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35,546</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14,793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15,633</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2,772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2,951</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Unrealized (gain) loss on derivatives not designated as hedging instruments included in net income (loss)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(6,143)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18,337</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(10,370)</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2,092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1,328</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(7,775)</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(10,309)</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(3,430)</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(36,946)</w:t>
            </w:r>
          </w:p>
        </w:tc>
      </w:tr>
      <w:tr>
        <w:trPr>
          <w:trHeight w:val="207"/>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9,660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12,063</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25,059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4,384</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(17,001)</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(14,571)</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4,500</w:t>
            </w:r>
          </w:p>
        </w:tc>
      </w:tr>
      <w:tr>
        <w:trPr>
          <w:trHeight w:val="202"/>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(42,818)</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(25,502)</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7.375% Senior Notes due 2032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525,000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for early redemption or purchase of 7.0% Senior Notes due 2026</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(522,135)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(12,948)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02"/>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(14,656)</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(35,416)</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5,710</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(50,824)</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233,982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203,775</w:t>
            </w: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200,505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152,951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76"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2024</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37,480</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35,248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3,712</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(received) for income taxes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12,813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1,381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339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10,909</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356</w:t>
            </w: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8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8"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5"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and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18"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During the three months ended September 30, 2025, we repurchased 45,000 of our ordinary shares on the open market for $2,726. The repurchased shares were immediately cancelled after repurchase and therefore have been classified as authorized and unissued shares as of September 30, 2025.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Equity Option Awards</w:t>
      </w:r>
    </w:p>
    <w:p>
      <w:pPr>
        <w:spacing w:after="0" w:line="118"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During the second quarter of fiscal 2025, we granted subsidiary-level option awards, which provide the founders of one of our businesses with the option to purchase a 5.25% minority equity interest in each of the principal businesses that are included in our PrintBrothers reportable segment. The option awards have an expiration date of January 15, 2026, and upon exercise the underlying shares are subject to a ten-year lockup period, while the holders are subjected to non-compete provisions over the period in which they are shareholders, plus an additional two years. No material expense was recognized for any period presented.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r>
      <w:tr>
        <w:trPr>
          <w:trHeight w:val="164"/>
        </w:trPr>
        <w:tc>
          <w:tcPr>
            <w:tcW w:w="7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derivatives not designated as hedging instruments (1)</w:t>
            </w:r>
          </w:p>
        </w:tc>
        <w:tc>
          <w:tcPr>
            <w:tcW w:w="1060" w:type="dxa"/>
            <w:vAlign w:val="bottom"/>
            <w:shd w:val="clear" w:color="auto" w:fill="CCEEFF"/>
          </w:tcPr>
          <w:p>
            <w:pPr>
              <w:jc w:val="right"/>
              <w:ind w:right="89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(20,569)</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Currency-related (losses) gains, net (2)</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8,667</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w:t>
            </w:r>
          </w:p>
        </w:tc>
      </w:tr>
      <w:tr>
        <w:trPr>
          <w:trHeight w:val="202"/>
        </w:trPr>
        <w:tc>
          <w:tcPr>
            <w:tcW w:w="784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1060" w:type="dxa"/>
            <w:vAlign w:val="bottom"/>
            <w:tcBorders>
              <w:bottom w:val="single" w:sz="8" w:color="auto"/>
            </w:tcBorders>
          </w:tcPr>
          <w:p>
            <w:pPr>
              <w:jc w:val="right"/>
              <w:ind w:right="89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(11,492)</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 w:name="page10"/>
    <w:bookmarkEnd w:id="9"/>
    <w:p>
      <w:pPr>
        <w:ind w:left="240" w:right="20" w:hanging="236"/>
        <w:spacing w:after="0" w:line="25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losses of $2,692 and $2,232 for the three months ended September 30, 2025 and 2024, respectively. Refer to Note 4 for additional details relating to our derivative contracts.</w:t>
      </w:r>
    </w:p>
    <w:p>
      <w:pPr>
        <w:spacing w:after="0" w:line="68" w:lineRule="exact"/>
        <w:rPr>
          <w:rFonts w:ascii="Arial" w:cs="Arial" w:eastAsia="Arial" w:hAnsi="Arial"/>
          <w:sz w:val="14"/>
          <w:szCs w:val="14"/>
          <w:color w:val="auto"/>
        </w:rPr>
      </w:pPr>
    </w:p>
    <w:p>
      <w:pPr>
        <w:ind w:left="240" w:right="320" w:hanging="236"/>
        <w:spacing w:after="0" w:line="281"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(losses) gains, net primarily relates to significant non-functional currency intercompany financing relationships that we may change at times and are subject to currency exchange rate volatility.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 Per Share Attributable to Cimpress plc</w:t>
      </w:r>
    </w:p>
    <w:p>
      <w:pPr>
        <w:spacing w:after="0" w:line="209"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Basic net income (loss) per share attributable to Cimpress plc is computed by dividing net income (loss) attributable to Cimpress plc by the weighted-average number of ordinary shares outstanding for the respective period. Diluted net income (loss)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64"/>
        </w:trPr>
        <w:tc>
          <w:tcPr>
            <w:tcW w:w="79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basic</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24,574,455</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25,167,845</w:t>
            </w:r>
          </w:p>
        </w:tc>
        <w:tc>
          <w:tcPr>
            <w:tcW w:w="0" w:type="dxa"/>
            <w:vAlign w:val="bottom"/>
          </w:tcPr>
          <w:p>
            <w:pPr>
              <w:spacing w:after="0"/>
              <w:rPr>
                <w:sz w:val="1"/>
                <w:szCs w:val="1"/>
                <w:color w:val="auto"/>
              </w:rPr>
            </w:pPr>
          </w:p>
        </w:tc>
      </w:tr>
      <w:tr>
        <w:trPr>
          <w:trHeight w:val="157"/>
        </w:trPr>
        <w:tc>
          <w:tcPr>
            <w:tcW w:w="7900" w:type="dxa"/>
            <w:vAlign w:val="bottom"/>
          </w:tcPr>
          <w:p>
            <w:pPr>
              <w:ind w:left="20"/>
              <w:spacing w:after="0" w:line="157" w:lineRule="exact"/>
              <w:rPr>
                <w:sz w:val="20"/>
                <w:szCs w:val="20"/>
                <w:color w:val="auto"/>
              </w:rPr>
            </w:pPr>
            <w:r>
              <w:rPr>
                <w:rFonts w:ascii="Arial" w:cs="Arial" w:eastAsia="Arial" w:hAnsi="Arial"/>
                <w:sz w:val="16"/>
                <w:szCs w:val="16"/>
                <w:color w:val="auto"/>
                <w:w w:val="99"/>
              </w:rPr>
              <w:t>Weighted-average shares issuable upon exercise/vesting of outstanding share options/PSUs/RSUs/warrants (1)</w:t>
            </w: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477,287</w:t>
            </w:r>
          </w:p>
        </w:tc>
        <w:tc>
          <w:tcPr>
            <w:tcW w:w="10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w:t>
            </w: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computing diluted net income (loss) per share attributable to Cimpress plc</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25,051,742</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25,167,845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8"/>
              </w:rPr>
              <w:t>Weighted-average anti-dilutive shares excluded from diluted net income (loss) per share attributable to Cimpress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900" w:type="dxa"/>
            <w:vAlign w:val="bottom"/>
            <w:vMerge w:val="continue"/>
          </w:tcPr>
          <w:p>
            <w:pPr>
              <w:spacing w:after="0"/>
              <w:rPr>
                <w:sz w:val="8"/>
                <w:szCs w:val="8"/>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1,955,243</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1,224,628</w:t>
            </w: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6"/>
                <w:szCs w:val="16"/>
                <w:color w:val="auto"/>
              </w:rPr>
              <w:t>plc (1)(2)</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1" w:lineRule="exact"/>
        <w:rPr>
          <w:sz w:val="20"/>
          <w:szCs w:val="20"/>
          <w:color w:val="auto"/>
        </w:rPr>
      </w:pPr>
    </w:p>
    <w:p>
      <w:pPr>
        <w:ind w:left="240" w:right="80" w:hanging="236"/>
        <w:spacing w:after="0" w:line="281"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loss per share as it is anti-dilutive.</w:t>
      </w:r>
    </w:p>
    <w:p>
      <w:pPr>
        <w:spacing w:after="0" w:line="51" w:lineRule="exact"/>
        <w:rPr>
          <w:rFonts w:ascii="Arial" w:cs="Arial" w:eastAsia="Arial" w:hAnsi="Arial"/>
          <w:sz w:val="14"/>
          <w:szCs w:val="14"/>
          <w:color w:val="auto"/>
        </w:rPr>
      </w:pPr>
    </w:p>
    <w:p>
      <w:pPr>
        <w:ind w:left="240" w:right="20" w:hanging="236"/>
        <w:spacing w:after="0" w:line="280" w:lineRule="auto"/>
        <w:tabs>
          <w:tab w:leader="none" w:pos="214"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May 1, 2020, we entered into a financing arrangement which included 7-year warrants to purchase 1,055,377 of our ordinary shares with a strike price of $60 that have a potentially dilutive impact on our weighted-average shares outstanding. For the three months ended September 30, 2025, the average share price was below the strike price for the quarter; therefore, the total outstanding warrants of 1,055,377 were considered anti-dilutive. For the three months ended September 30, 2024, the average market price of our ordinary shares was higher than the strike price of the warrants, and the weighted-average anti-dilutive effect of the warrants (anti-dilutive due to our net loss position) was 341,158.</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to be Adopted</w:t>
      </w:r>
    </w:p>
    <w:p>
      <w:pPr>
        <w:spacing w:after="0" w:line="168"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w:t>
      </w:r>
    </w:p>
    <w:p>
      <w:pPr>
        <w:spacing w:after="0" w:line="113"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jc w:val="center"/>
        <w:ind w:left="5580" w:right="1060" w:hanging="5265"/>
        <w:spacing w:after="0" w:line="594" w:lineRule="auto"/>
        <w:tabs>
          <w:tab w:leader="none" w:pos="62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358140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0" w:name="page11"/>
    <w:bookmarkEnd w:id="10"/>
    <w:p>
      <w:pPr>
        <w:ind w:left="620" w:right="160" w:hanging="305"/>
        <w:spacing w:after="0" w:line="27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rPr>
              <w:t>September 30, 2025</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8,600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8,600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(26,150)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9"/>
              </w:rPr>
              <w:t>June 30, 2025</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10,688</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10,688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(32,529)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(70,312)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(70,312)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right="20" w:firstLine="623"/>
        <w:spacing w:after="0" w:line="295" w:lineRule="auto"/>
        <w:rPr>
          <w:sz w:val="20"/>
          <w:szCs w:val="20"/>
          <w:color w:val="auto"/>
        </w:rPr>
      </w:pPr>
      <w:r>
        <w:rPr>
          <w:rFonts w:ascii="Arial" w:cs="Arial" w:eastAsia="Arial" w:hAnsi="Arial"/>
          <w:sz w:val="17"/>
          <w:szCs w:val="17"/>
          <w:color w:val="auto"/>
        </w:rPr>
        <w:t>During the three months ended September 30, 2025 and 2024, there were no significant transfers in or out of Level 1, Level 2, and Level 3 classifications.</w:t>
      </w:r>
    </w:p>
    <w:p>
      <w:pPr>
        <w:spacing w:after="0" w:line="130"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1" w:name="page12"/>
    <w:bookmarkEnd w:id="11"/>
    <w:p>
      <w:pPr>
        <w:ind w:right="100" w:firstLine="623"/>
        <w:spacing w:after="0" w:line="263"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September 30, 2025,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4"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As of September 30, 2025 and June 30, 2025, the carrying amounts of our cash and cash equivalents, accounts receivable, accounts payable, and other current liabilities approximated their estimated fair values. As of September 30, 2025 and June 30, 2025, the carrying value of our debt, excluding debt issuance costs and debt premiums and discounts, was $1,600,870 and $1,604,513, respectively, and the fair value was $1,601,419 and $ 1,582,599, respectively. Our debt at September 30, 2025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196"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(expense), net.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209"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47"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As of September 30, 2025, we estimate that $3,273 of income will be reclassified from accumulated other comprehensive loss to interest expense, net during the twelve months ending September 30, 2026. As of September 30, 2025, we had seven effective outstanding interest rate swap contracts that were indexed to Term or Daily SOFR. Our interest rate swap contracts have varying start and maturity dates through April 2028.</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September 30, 2025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ind w:left="240" w:right="100" w:hanging="236"/>
        <w:spacing w:after="0" w:line="281"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contracts outstanding as of September 30, 2025, the notional value of our contracted interest rate swaps accruing interest will fluctuate between $250,000 and $380,000 through April 2028 based on layered start dates and maturities.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3"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Cross-currency swap contracts designated as net investment hedges are executed to mitigate our currency exposure of net investments in subsidiaries that have reporting currencies other than the U.S. dollar. As of September 30, 2025,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The impact of net investment hedges is recognized in accumulated other comprehensive loss as a component of translation adjustments, net of hedges, and would only be reclassified to earnings if the hedged subsidiaries were no longer consolidated entities.</w:t>
      </w:r>
    </w:p>
    <w:p>
      <w:pPr>
        <w:spacing w:after="0" w:line="154"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months ended September 30, 2025 and 2024,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143"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162"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As of September 30, 2025,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$863,991</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December 2023 through</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September 2025</w:t>
            </w:r>
          </w:p>
        </w:tc>
        <w:tc>
          <w:tcPr>
            <w:tcW w:w="2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2027</w:t>
            </w: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September 30, 2025 and June 30, 2025. Our derivative asset and liability balances fluctuate with interest rate and currency exchange rate volatility.</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September 30, 2025</w:t>
            </w: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740"/>
              <w:spacing w:after="0"/>
              <w:rPr>
                <w:sz w:val="20"/>
                <w:szCs w:val="20"/>
                <w:color w:val="auto"/>
              </w:rPr>
            </w:pPr>
            <w:r>
              <w:rPr>
                <w:rFonts w:ascii="Arial" w:cs="Arial" w:eastAsia="Arial" w:hAnsi="Arial"/>
                <w:sz w:val="12"/>
                <w:szCs w:val="12"/>
                <w:b w:val="1"/>
                <w:bCs w:val="1"/>
                <w:color w:val="auto"/>
              </w:rPr>
              <w:t>Asset Derivatives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Liability Derivatives</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40" w:type="dxa"/>
            <w:vAlign w:val="bottom"/>
          </w:tcPr>
          <w:p>
            <w:pPr>
              <w:spacing w:after="0"/>
              <w:rPr>
                <w:sz w:val="9"/>
                <w:szCs w:val="9"/>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Balance Sheet</w:t>
            </w:r>
          </w:p>
        </w:tc>
        <w:tc>
          <w:tcPr>
            <w:tcW w:w="114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Balance Sheet</w:t>
            </w:r>
          </w:p>
        </w:tc>
        <w:tc>
          <w:tcPr>
            <w:tcW w:w="122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rPr>
              <w:t>Gross amounts</w:t>
            </w:r>
          </w:p>
        </w:tc>
        <w:tc>
          <w:tcPr>
            <w:tcW w:w="140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4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of recognized</w:t>
            </w:r>
          </w:p>
        </w:tc>
        <w:tc>
          <w:tcPr>
            <w:tcW w:w="13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in Consolidated</w:t>
            </w:r>
          </w:p>
        </w:tc>
        <w:tc>
          <w:tcPr>
            <w:tcW w:w="10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Net amount</w:t>
            </w:r>
          </w:p>
        </w:tc>
        <w:tc>
          <w:tcPr>
            <w:tcW w:w="1060" w:type="dxa"/>
            <w:vAlign w:val="bottom"/>
            <w:gridSpan w:val="2"/>
            <w:vMerge w:val="continue"/>
          </w:tcPr>
          <w:p>
            <w:pPr>
              <w:spacing w:after="0"/>
              <w:rPr>
                <w:sz w:val="10"/>
                <w:szCs w:val="10"/>
                <w:color w:val="auto"/>
              </w:rPr>
            </w:pPr>
          </w:p>
        </w:tc>
        <w:tc>
          <w:tcPr>
            <w:tcW w:w="12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40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in Consolidated</w:t>
            </w:r>
          </w:p>
        </w:tc>
        <w:tc>
          <w:tcPr>
            <w:tcW w:w="9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line item</w:t>
            </w:r>
          </w:p>
        </w:tc>
        <w:tc>
          <w:tcPr>
            <w:tcW w:w="11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assets</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Balance Sheet</w:t>
            </w:r>
          </w:p>
        </w:tc>
        <w:tc>
          <w:tcPr>
            <w:tcW w:w="1060" w:type="dxa"/>
            <w:vAlign w:val="bottom"/>
            <w:gridSpan w:val="2"/>
            <w:vMerge w:val="continue"/>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line item</w:t>
            </w:r>
          </w:p>
        </w:tc>
        <w:tc>
          <w:tcPr>
            <w:tcW w:w="12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liabilities</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Balance Sheet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40" w:type="dxa"/>
            <w:vAlign w:val="bottom"/>
          </w:tcPr>
          <w:p>
            <w:pPr>
              <w:spacing w:after="0" w:line="104" w:lineRule="exact"/>
              <w:rPr>
                <w:sz w:val="20"/>
                <w:szCs w:val="20"/>
                <w:color w:val="auto"/>
              </w:rPr>
            </w:pPr>
            <w:r>
              <w:rPr>
                <w:rFonts w:ascii="Arial" w:cs="Arial" w:eastAsia="Arial" w:hAnsi="Arial"/>
                <w:sz w:val="12"/>
                <w:szCs w:val="12"/>
                <w:b w:val="1"/>
                <w:bCs w:val="1"/>
                <w:color w:val="auto"/>
              </w:rPr>
              <w:t>Derivatives designated as</w:t>
            </w: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940" w:type="dxa"/>
            <w:vAlign w:val="bottom"/>
            <w:gridSpan w:val="3"/>
          </w:tcPr>
          <w:p>
            <w:pPr>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gridSpan w:val="3"/>
          </w:tcPr>
          <w:p>
            <w:pPr>
              <w:spacing w:after="0"/>
              <w:rPr>
                <w:sz w:val="20"/>
                <w:szCs w:val="20"/>
                <w:color w:val="auto"/>
              </w:rPr>
            </w:pPr>
            <w:r>
              <w:rPr>
                <w:rFonts w:ascii="Arial" w:cs="Arial" w:eastAsia="Arial" w:hAnsi="Arial"/>
                <w:sz w:val="12"/>
                <w:szCs w:val="12"/>
                <w:b w:val="1"/>
                <w:bCs w:val="1"/>
                <w:color w:val="auto"/>
              </w:rPr>
              <w:t>relationships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shd w:val="clear" w:color="auto" w:fill="CCEEFF"/>
          </w:tcPr>
          <w:p>
            <w:pPr>
              <w:spacing w:after="0"/>
              <w:rPr>
                <w:sz w:val="14"/>
                <w:szCs w:val="1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assets / other</w:t>
            </w:r>
          </w:p>
        </w:tc>
        <w:tc>
          <w:tcPr>
            <w:tcW w:w="3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8,726</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1160" w:type="dxa"/>
            <w:vAlign w:val="bottom"/>
            <w:shd w:val="clear" w:color="auto" w:fill="CCEEFF"/>
          </w:tcPr>
          <w:p>
            <w:pPr>
              <w:ind w:left="120"/>
              <w:spacing w:after="0" w:line="137" w:lineRule="exact"/>
              <w:rPr>
                <w:sz w:val="20"/>
                <w:szCs w:val="20"/>
                <w:color w:val="auto"/>
              </w:rPr>
            </w:pPr>
            <w:r>
              <w:rPr>
                <w:rFonts w:ascii="Arial" w:cs="Arial" w:eastAsia="Arial" w:hAnsi="Arial"/>
                <w:sz w:val="14"/>
                <w:szCs w:val="14"/>
                <w:color w:val="auto"/>
              </w:rPr>
              <w:t>liabilities /</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40" w:type="dxa"/>
            <w:vAlign w:val="bottom"/>
          </w:tcPr>
          <w:p>
            <w:pPr>
              <w:ind w:left="20"/>
              <w:spacing w:after="0" w:line="117" w:lineRule="exact"/>
              <w:rPr>
                <w:sz w:val="20"/>
                <w:szCs w:val="20"/>
                <w:color w:val="auto"/>
              </w:rPr>
            </w:pPr>
            <w:r>
              <w:rPr>
                <w:rFonts w:ascii="Arial" w:cs="Arial" w:eastAsia="Arial" w:hAnsi="Arial"/>
                <w:sz w:val="12"/>
                <w:szCs w:val="12"/>
                <w:b w:val="1"/>
                <w:bCs w:val="1"/>
                <w:color w:val="auto"/>
              </w:rPr>
              <w:t>Derivatives in Net Investment</w:t>
            </w: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(31,032)</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(31,032)</w:t>
            </w:r>
          </w:p>
        </w:tc>
        <w:tc>
          <w:tcPr>
            <w:tcW w:w="0" w:type="dxa"/>
            <w:vAlign w:val="bottom"/>
          </w:tcPr>
          <w:p>
            <w:pPr>
              <w:spacing w:after="0"/>
              <w:rPr>
                <w:sz w:val="1"/>
                <w:szCs w:val="1"/>
                <w:color w:val="auto"/>
              </w:rPr>
            </w:pPr>
          </w:p>
        </w:tc>
      </w:tr>
      <w:tr>
        <w:trPr>
          <w:trHeight w:val="176"/>
        </w:trPr>
        <w:tc>
          <w:tcPr>
            <w:tcW w:w="19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vMerge w:val="restart"/>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8"/>
              </w:rPr>
              <w:t>Total derivatives designated as</w:t>
            </w:r>
          </w:p>
        </w:tc>
        <w:tc>
          <w:tcPr>
            <w:tcW w:w="102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8,783</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8,657</w:t>
            </w:r>
          </w:p>
        </w:tc>
        <w:tc>
          <w:tcPr>
            <w:tcW w:w="1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(31,032)</w:t>
            </w:r>
          </w:p>
        </w:tc>
        <w:tc>
          <w:tcPr>
            <w:tcW w:w="6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(31,032)</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10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9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spacing w:after="0"/>
              <w:rPr>
                <w:sz w:val="13"/>
                <w:szCs w:val="13"/>
                <w:color w:val="auto"/>
              </w:rPr>
            </w:pPr>
          </w:p>
        </w:tc>
        <w:tc>
          <w:tcPr>
            <w:tcW w:w="10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6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assets / other</w:t>
            </w:r>
          </w:p>
        </w:tc>
        <w:tc>
          <w:tcPr>
            <w:tcW w:w="3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160" w:type="dxa"/>
            <w:vAlign w:val="bottom"/>
            <w:shd w:val="clear" w:color="auto" w:fill="CCEEFF"/>
          </w:tcPr>
          <w:p>
            <w:pPr>
              <w:ind w:left="120"/>
              <w:spacing w:after="0" w:line="137" w:lineRule="exact"/>
              <w:rPr>
                <w:sz w:val="20"/>
                <w:szCs w:val="20"/>
                <w:color w:val="auto"/>
              </w:rPr>
            </w:pPr>
            <w:r>
              <w:rPr>
                <w:rFonts w:ascii="Arial" w:cs="Arial" w:eastAsia="Arial" w:hAnsi="Arial"/>
                <w:sz w:val="14"/>
                <w:szCs w:val="14"/>
                <w:color w:val="auto"/>
              </w:rPr>
              <w:t>liabilities /</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(27,946)</w:t>
            </w:r>
          </w:p>
        </w:tc>
        <w:tc>
          <w:tcPr>
            <w:tcW w:w="6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(26,150)</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Arial" w:cs="Arial" w:eastAsia="Arial" w:hAnsi="Arial"/>
                <w:sz w:val="14"/>
                <w:szCs w:val="14"/>
                <w:color w:val="auto"/>
              </w:rPr>
              <w:t>Other current</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ind w:left="120"/>
              <w:spacing w:after="0" w:line="149" w:lineRule="exact"/>
              <w:rPr>
                <w:sz w:val="20"/>
                <w:szCs w:val="20"/>
                <w:color w:val="auto"/>
              </w:rPr>
            </w:pPr>
            <w:r>
              <w:rPr>
                <w:rFonts w:ascii="Arial" w:cs="Arial" w:eastAsia="Arial" w:hAnsi="Arial"/>
                <w:sz w:val="14"/>
                <w:szCs w:val="14"/>
                <w:color w:val="auto"/>
              </w:rPr>
              <w:t>Other current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20" w:type="dxa"/>
            <w:vAlign w:val="bottom"/>
          </w:tcPr>
          <w:p>
            <w:pPr>
              <w:ind w:left="20"/>
              <w:spacing w:after="0" w:line="137" w:lineRule="exact"/>
              <w:rPr>
                <w:sz w:val="20"/>
                <w:szCs w:val="20"/>
                <w:color w:val="auto"/>
              </w:rPr>
            </w:pPr>
            <w:r>
              <w:rPr>
                <w:rFonts w:ascii="Arial" w:cs="Arial" w:eastAsia="Arial" w:hAnsi="Arial"/>
                <w:sz w:val="14"/>
                <w:szCs w:val="14"/>
                <w:color w:val="auto"/>
              </w:rPr>
              <w:t>assets / other</w:t>
            </w:r>
          </w:p>
        </w:tc>
        <w:tc>
          <w:tcPr>
            <w:tcW w:w="3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ind w:left="120"/>
              <w:spacing w:after="0" w:line="137" w:lineRule="exact"/>
              <w:rPr>
                <w:sz w:val="20"/>
                <w:szCs w:val="20"/>
                <w:color w:val="auto"/>
              </w:rPr>
            </w:pPr>
            <w:r>
              <w:rPr>
                <w:rFonts w:ascii="Arial" w:cs="Arial" w:eastAsia="Arial" w:hAnsi="Arial"/>
                <w:sz w:val="14"/>
                <w:szCs w:val="14"/>
                <w:color w:val="auto"/>
              </w:rPr>
              <w:t>liabilities /</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(5,566)</w:t>
            </w:r>
          </w:p>
        </w:tc>
        <w:tc>
          <w:tcPr>
            <w:tcW w:w="1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(5,542)</w:t>
            </w:r>
          </w:p>
        </w:tc>
        <w:tc>
          <w:tcPr>
            <w:tcW w:w="0" w:type="dxa"/>
            <w:vAlign w:val="bottom"/>
          </w:tcPr>
          <w:p>
            <w:pPr>
              <w:spacing w:after="0"/>
              <w:rPr>
                <w:sz w:val="1"/>
                <w:szCs w:val="1"/>
                <w:color w:val="auto"/>
              </w:rPr>
            </w:pPr>
          </w:p>
        </w:tc>
      </w:tr>
      <w:tr>
        <w:trPr>
          <w:trHeight w:val="182"/>
        </w:trPr>
        <w:tc>
          <w:tcPr>
            <w:tcW w:w="1940" w:type="dxa"/>
            <w:vAlign w:val="bottom"/>
            <w:vMerge w:val="continue"/>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i w:val="1"/>
                <w:iCs w:val="1"/>
                <w:color w:val="auto"/>
              </w:rPr>
              <w:t>—</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10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as hedging</w:t>
            </w:r>
          </w:p>
        </w:tc>
        <w:tc>
          <w:tcPr>
            <w:tcW w:w="102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(33,512)</w:t>
            </w:r>
          </w:p>
        </w:tc>
        <w:tc>
          <w:tcPr>
            <w:tcW w:w="6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(31,692)</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instruments</w:t>
            </w:r>
          </w:p>
        </w:tc>
        <w:tc>
          <w:tcPr>
            <w:tcW w:w="102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60"/>
              <w:spacing w:after="0"/>
              <w:rPr>
                <w:sz w:val="20"/>
                <w:szCs w:val="20"/>
                <w:color w:val="auto"/>
              </w:rPr>
            </w:pPr>
            <w:r>
              <w:rPr>
                <w:rFonts w:ascii="Arial" w:cs="Arial" w:eastAsia="Arial" w:hAnsi="Arial"/>
                <w:sz w:val="12"/>
                <w:szCs w:val="12"/>
                <w:b w:val="1"/>
                <w:bCs w:val="1"/>
                <w:color w:val="auto"/>
              </w:rPr>
              <w:t>June 30, 2025</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740"/>
              <w:spacing w:after="0"/>
              <w:rPr>
                <w:sz w:val="20"/>
                <w:szCs w:val="20"/>
                <w:color w:val="auto"/>
              </w:rPr>
            </w:pPr>
            <w:r>
              <w:rPr>
                <w:rFonts w:ascii="Arial" w:cs="Arial" w:eastAsia="Arial" w:hAnsi="Arial"/>
                <w:sz w:val="12"/>
                <w:szCs w:val="12"/>
                <w:b w:val="1"/>
                <w:bCs w:val="1"/>
                <w:color w:val="auto"/>
              </w:rPr>
              <w:t>Asset Derivatives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2"/>
                <w:szCs w:val="12"/>
                <w:b w:val="1"/>
                <w:bCs w:val="1"/>
                <w:color w:val="auto"/>
              </w:rPr>
              <w:t>Liability Derivatives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40" w:type="dxa"/>
            <w:vAlign w:val="bottom"/>
          </w:tcPr>
          <w:p>
            <w:pPr>
              <w:spacing w:after="0"/>
              <w:rPr>
                <w:sz w:val="9"/>
                <w:szCs w:val="9"/>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9"/>
              </w:rPr>
              <w:t>Balance Sheet</w:t>
            </w: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Gross amount offset</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Gross amount offset</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in Consolidated</w:t>
            </w:r>
          </w:p>
        </w:tc>
        <w:tc>
          <w:tcPr>
            <w:tcW w:w="10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Net amount</w:t>
            </w:r>
          </w:p>
        </w:tc>
        <w:tc>
          <w:tcPr>
            <w:tcW w:w="106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of recognized</w:t>
            </w:r>
          </w:p>
        </w:tc>
        <w:tc>
          <w:tcPr>
            <w:tcW w:w="13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in Consolidated</w:t>
            </w:r>
          </w:p>
        </w:tc>
        <w:tc>
          <w:tcPr>
            <w:tcW w:w="10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line item</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assets</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Balance Sheet</w:t>
            </w:r>
          </w:p>
        </w:tc>
        <w:tc>
          <w:tcPr>
            <w:tcW w:w="1080" w:type="dxa"/>
            <w:vAlign w:val="bottom"/>
            <w:gridSpan w:val="2"/>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line item</w:t>
            </w: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liabilities</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Balance Sheet</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40" w:type="dxa"/>
            <w:vAlign w:val="bottom"/>
          </w:tcPr>
          <w:p>
            <w:pPr>
              <w:spacing w:after="0" w:line="104"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960" w:type="dxa"/>
            <w:vAlign w:val="bottom"/>
            <w:gridSpan w:val="3"/>
          </w:tcPr>
          <w:p>
            <w:pPr>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60" w:type="dxa"/>
            <w:vAlign w:val="bottom"/>
            <w:gridSpan w:val="3"/>
          </w:tcPr>
          <w:p>
            <w:pPr>
              <w:spacing w:after="0"/>
              <w:rPr>
                <w:sz w:val="20"/>
                <w:szCs w:val="20"/>
                <w:color w:val="auto"/>
              </w:rPr>
            </w:pPr>
            <w:r>
              <w:rPr>
                <w:rFonts w:ascii="Arial" w:cs="Arial" w:eastAsia="Arial" w:hAnsi="Arial"/>
                <w:sz w:val="12"/>
                <w:szCs w:val="12"/>
                <w:b w:val="1"/>
                <w:bCs w:val="1"/>
                <w:color w:val="auto"/>
              </w:rPr>
              <w:t>relationships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40" w:type="dxa"/>
            <w:vAlign w:val="bottom"/>
            <w:shd w:val="clear" w:color="auto" w:fill="CCEEFF"/>
          </w:tcPr>
          <w:p>
            <w:pPr>
              <w:spacing w:after="0"/>
              <w:rPr>
                <w:sz w:val="13"/>
                <w:szCs w:val="13"/>
                <w:color w:val="auto"/>
              </w:rPr>
            </w:pPr>
          </w:p>
        </w:tc>
        <w:tc>
          <w:tcPr>
            <w:tcW w:w="10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Other current</w:t>
            </w: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rPr>
              <w:t>assets / other</w:t>
            </w:r>
          </w:p>
        </w:tc>
        <w:tc>
          <w:tcPr>
            <w:tcW w:w="380" w:type="dxa"/>
            <w:vAlign w:val="bottom"/>
            <w:vMerge w:val="restart"/>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9,497</w:t>
            </w:r>
          </w:p>
        </w:tc>
        <w:tc>
          <w:tcPr>
            <w:tcW w:w="11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liabilities /</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940" w:type="dxa"/>
            <w:vAlign w:val="bottom"/>
          </w:tcPr>
          <w:p>
            <w:pPr>
              <w:ind w:left="20"/>
              <w:spacing w:after="0" w:line="117" w:lineRule="exact"/>
              <w:rPr>
                <w:sz w:val="20"/>
                <w:szCs w:val="20"/>
                <w:color w:val="auto"/>
              </w:rPr>
            </w:pPr>
            <w:r>
              <w:rPr>
                <w:rFonts w:ascii="Arial" w:cs="Arial" w:eastAsia="Arial" w:hAnsi="Arial"/>
                <w:sz w:val="12"/>
                <w:szCs w:val="12"/>
                <w:b w:val="1"/>
                <w:bCs w:val="1"/>
                <w:color w:val="auto"/>
              </w:rPr>
              <w:t>Derivatives in net investment</w:t>
            </w: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3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(31,982)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(31,982)</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vMerge w:val="restart"/>
          </w:tcPr>
          <w:p>
            <w:pPr>
              <w:ind w:left="4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160" w:type="dxa"/>
            <w:vAlign w:val="bottom"/>
          </w:tcPr>
          <w:p>
            <w:pPr>
              <w:ind w:left="120"/>
              <w:spacing w:after="0" w:line="143"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liabilities</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w w:val="98"/>
              </w:rPr>
              <w:t>Total derivatives designated as</w:t>
            </w:r>
          </w:p>
        </w:tc>
        <w:tc>
          <w:tcPr>
            <w:tcW w:w="104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9,497</w:t>
            </w:r>
          </w:p>
        </w:tc>
        <w:tc>
          <w:tcPr>
            <w:tcW w:w="1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(32,130)</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(32,130)</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hedging instruments</w:t>
            </w:r>
          </w:p>
        </w:tc>
        <w:tc>
          <w:tcPr>
            <w:tcW w:w="104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Other current</w:t>
            </w: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6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vMerge w:val="continue"/>
            <w:shd w:val="clear" w:color="auto" w:fill="CCEEFF"/>
          </w:tcPr>
          <w:p>
            <w:pPr>
              <w:spacing w:after="0"/>
              <w:rPr>
                <w:sz w:val="12"/>
                <w:szCs w:val="12"/>
                <w:color w:val="auto"/>
              </w:rPr>
            </w:pPr>
          </w:p>
        </w:tc>
        <w:tc>
          <w:tcPr>
            <w:tcW w:w="380" w:type="dxa"/>
            <w:vAlign w:val="bottom"/>
            <w:vMerge w:val="restart"/>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1,191</w:t>
            </w:r>
          </w:p>
        </w:tc>
        <w:tc>
          <w:tcPr>
            <w:tcW w:w="116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liabilities /</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(34,941)</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(32,381)</w:t>
            </w:r>
          </w:p>
        </w:tc>
        <w:tc>
          <w:tcPr>
            <w:tcW w:w="0" w:type="dxa"/>
            <w:vAlign w:val="bottom"/>
          </w:tcPr>
          <w:p>
            <w:pPr>
              <w:spacing w:after="0"/>
              <w:rPr>
                <w:sz w:val="1"/>
                <w:szCs w:val="1"/>
                <w:color w:val="auto"/>
              </w:rPr>
            </w:pPr>
          </w:p>
        </w:tc>
      </w:tr>
      <w:tr>
        <w:trPr>
          <w:trHeight w:val="182"/>
        </w:trPr>
        <w:tc>
          <w:tcPr>
            <w:tcW w:w="1940" w:type="dxa"/>
            <w:vAlign w:val="bottom"/>
            <w:vMerge w:val="continue"/>
            <w:shd w:val="clear" w:color="auto" w:fill="CCEEFF"/>
          </w:tcPr>
          <w:p>
            <w:pPr>
              <w:spacing w:after="0"/>
              <w:rPr>
                <w:sz w:val="15"/>
                <w:szCs w:val="15"/>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1040" w:type="dxa"/>
            <w:vAlign w:val="bottom"/>
          </w:tcPr>
          <w:p>
            <w:pPr>
              <w:ind w:left="40"/>
              <w:spacing w:after="0" w:line="143" w:lineRule="exact"/>
              <w:rPr>
                <w:sz w:val="20"/>
                <w:szCs w:val="20"/>
                <w:color w:val="auto"/>
              </w:rPr>
            </w:pPr>
            <w:r>
              <w:rPr>
                <w:rFonts w:ascii="Arial" w:cs="Arial" w:eastAsia="Arial" w:hAnsi="Arial"/>
                <w:sz w:val="14"/>
                <w:szCs w:val="14"/>
                <w:color w:val="auto"/>
              </w:rPr>
              <w:t>Other current</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ind w:left="120"/>
              <w:spacing w:after="0" w:line="143" w:lineRule="exact"/>
              <w:rPr>
                <w:sz w:val="20"/>
                <w:szCs w:val="20"/>
                <w:color w:val="auto"/>
              </w:rPr>
            </w:pPr>
            <w:r>
              <w:rPr>
                <w:rFonts w:ascii="Arial" w:cs="Arial" w:eastAsia="Arial" w:hAnsi="Arial"/>
                <w:sz w:val="14"/>
                <w:szCs w:val="14"/>
                <w:color w:val="auto"/>
              </w:rPr>
              <w:t>Other current</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tcPr>
          <w:p>
            <w:pPr>
              <w:ind w:left="40"/>
              <w:spacing w:after="0" w:line="135" w:lineRule="exact"/>
              <w:rPr>
                <w:sz w:val="20"/>
                <w:szCs w:val="20"/>
                <w:color w:val="auto"/>
              </w:rPr>
            </w:pPr>
            <w:r>
              <w:rPr>
                <w:rFonts w:ascii="Arial" w:cs="Arial" w:eastAsia="Arial" w:hAnsi="Arial"/>
                <w:sz w:val="14"/>
                <w:szCs w:val="14"/>
                <w:color w:val="auto"/>
              </w:rPr>
              <w:t>assets / other</w:t>
            </w:r>
          </w:p>
        </w:tc>
        <w:tc>
          <w:tcPr>
            <w:tcW w:w="3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160" w:type="dxa"/>
            <w:vAlign w:val="bottom"/>
          </w:tcPr>
          <w:p>
            <w:pPr>
              <w:ind w:left="120"/>
              <w:spacing w:after="0" w:line="135" w:lineRule="exact"/>
              <w:rPr>
                <w:sz w:val="20"/>
                <w:szCs w:val="20"/>
                <w:color w:val="auto"/>
              </w:rPr>
            </w:pPr>
            <w:r>
              <w:rPr>
                <w:rFonts w:ascii="Arial" w:cs="Arial" w:eastAsia="Arial" w:hAnsi="Arial"/>
                <w:sz w:val="14"/>
                <w:szCs w:val="14"/>
                <w:color w:val="auto"/>
              </w:rPr>
              <w:t>liabilities /</w:t>
            </w: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(5,801)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185"/>
        </w:trPr>
        <w:tc>
          <w:tcPr>
            <w:tcW w:w="1940" w:type="dxa"/>
            <w:vAlign w:val="bottom"/>
            <w:vMerge w:val="continue"/>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assets</w:t>
            </w:r>
          </w:p>
        </w:tc>
        <w:tc>
          <w:tcPr>
            <w:tcW w:w="3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94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color w:val="auto"/>
              </w:rPr>
              <w:t>Total derivatives not</w:t>
            </w:r>
          </w:p>
        </w:tc>
        <w:tc>
          <w:tcPr>
            <w:tcW w:w="10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designated as hedging</w:t>
            </w:r>
          </w:p>
        </w:tc>
        <w:tc>
          <w:tcPr>
            <w:tcW w:w="104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1,191</w:t>
            </w:r>
          </w:p>
        </w:tc>
        <w:tc>
          <w:tcPr>
            <w:tcW w:w="1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(40,742)</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(38,182)</w:t>
            </w:r>
          </w:p>
        </w:tc>
        <w:tc>
          <w:tcPr>
            <w:tcW w:w="0" w:type="dxa"/>
            <w:vAlign w:val="bottom"/>
          </w:tcPr>
          <w:p>
            <w:pPr>
              <w:spacing w:after="0"/>
              <w:rPr>
                <w:sz w:val="1"/>
                <w:szCs w:val="1"/>
                <w:color w:val="auto"/>
              </w:rPr>
            </w:pPr>
          </w:p>
        </w:tc>
      </w:tr>
      <w:tr>
        <w:trPr>
          <w:trHeight w:val="183"/>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0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30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net of tax, for the three months ended September 30, 2025 and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485"/>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8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2024</w:t>
            </w: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jc w:val="right"/>
              <w:ind w:right="83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(8,399)</w:t>
            </w: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forward contracts</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5" w:name="page16"/>
    <w:bookmarkEnd w:id="15"/>
    <w:p>
      <w:pPr>
        <w:spacing w:after="0" w:line="254" w:lineRule="exact"/>
        <w:rPr>
          <w:sz w:val="20"/>
          <w:szCs w:val="20"/>
          <w:color w:val="auto"/>
        </w:rPr>
      </w:pPr>
    </w:p>
    <w:p>
      <w:pPr>
        <w:ind w:right="36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months ended September 30, 2025 and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4"/>
          </w:tcPr>
          <w:p>
            <w:pPr>
              <w:jc w:val="center"/>
              <w:ind w:right="46"/>
              <w:spacing w:after="0"/>
              <w:rPr>
                <w:sz w:val="20"/>
                <w:szCs w:val="20"/>
                <w:color w:val="auto"/>
              </w:rPr>
            </w:pPr>
            <w:r>
              <w:rPr>
                <w:rFonts w:ascii="Arial" w:cs="Arial" w:eastAsia="Arial" w:hAnsi="Arial"/>
                <w:sz w:val="12"/>
                <w:szCs w:val="12"/>
                <w:b w:val="1"/>
                <w:bCs w:val="1"/>
                <w:color w:val="auto"/>
              </w:rPr>
              <w:t>Amount of Net (Gain) Loss Reclassified from</w:t>
            </w:r>
          </w:p>
        </w:tc>
        <w:tc>
          <w:tcPr>
            <w:tcW w:w="28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gridSpan w:val="4"/>
          </w:tcPr>
          <w:p>
            <w:pPr>
              <w:jc w:val="center"/>
              <w:ind w:right="46"/>
              <w:spacing w:after="0" w:line="122" w:lineRule="exact"/>
              <w:rPr>
                <w:sz w:val="20"/>
                <w:szCs w:val="20"/>
                <w:color w:val="auto"/>
              </w:rPr>
            </w:pPr>
            <w:r>
              <w:rPr>
                <w:rFonts w:ascii="Arial" w:cs="Arial" w:eastAsia="Arial" w:hAnsi="Arial"/>
                <w:sz w:val="12"/>
                <w:szCs w:val="12"/>
                <w:b w:val="1"/>
                <w:bCs w:val="1"/>
                <w:color w:val="auto"/>
              </w:rPr>
              <w:t>Accumulated Other Comprehensive Loss into</w:t>
            </w: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852"/>
              <w:spacing w:after="0"/>
              <w:rPr>
                <w:sz w:val="20"/>
                <w:szCs w:val="20"/>
                <w:color w:val="auto"/>
              </w:rPr>
            </w:pPr>
            <w:r>
              <w:rPr>
                <w:rFonts w:ascii="Arial" w:cs="Arial" w:eastAsia="Arial" w:hAnsi="Arial"/>
                <w:sz w:val="12"/>
                <w:szCs w:val="12"/>
                <w:b w:val="1"/>
                <w:bCs w:val="1"/>
                <w:color w:val="auto"/>
              </w:rPr>
              <w:t>Income</w:t>
            </w:r>
          </w:p>
        </w:tc>
        <w:tc>
          <w:tcPr>
            <w:tcW w:w="10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center"/>
              <w:ind w:right="26"/>
              <w:spacing w:after="0"/>
              <w:rPr>
                <w:sz w:val="20"/>
                <w:szCs w:val="20"/>
                <w:color w:val="auto"/>
              </w:rPr>
            </w:pPr>
            <w:r>
              <w:rPr>
                <w:rFonts w:ascii="Arial" w:cs="Arial" w:eastAsia="Arial" w:hAnsi="Arial"/>
                <w:sz w:val="12"/>
                <w:szCs w:val="12"/>
                <w:b w:val="1"/>
                <w:bCs w:val="1"/>
                <w:color w:val="auto"/>
              </w:rPr>
              <w:t>Three Months Ended September 30,</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2024</w:t>
            </w: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center"/>
              <w:ind w:left="812"/>
              <w:spacing w:after="0"/>
              <w:rPr>
                <w:sz w:val="20"/>
                <w:szCs w:val="20"/>
                <w:color w:val="auto"/>
              </w:rPr>
            </w:pPr>
            <w:r>
              <w:rPr>
                <w:rFonts w:ascii="Arial" w:cs="Arial" w:eastAsia="Arial" w:hAnsi="Arial"/>
                <w:sz w:val="16"/>
                <w:szCs w:val="16"/>
                <w:color w:val="auto"/>
                <w:w w:val="96"/>
              </w:rPr>
              <w:t>(882)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Interest expense, net</w:t>
            </w:r>
          </w:p>
        </w:tc>
        <w:tc>
          <w:tcPr>
            <w:tcW w:w="0" w:type="dxa"/>
            <w:vAlign w:val="bottom"/>
          </w:tcPr>
          <w:p>
            <w:pPr>
              <w:spacing w:after="0"/>
              <w:rPr>
                <w:sz w:val="1"/>
                <w:szCs w:val="1"/>
                <w:color w:val="auto"/>
              </w:rPr>
            </w:pPr>
          </w:p>
        </w:tc>
      </w:tr>
      <w:tr>
        <w:trPr>
          <w:trHeight w:val="200"/>
        </w:trPr>
        <w:tc>
          <w:tcPr>
            <w:tcW w:w="5500" w:type="dxa"/>
            <w:vAlign w:val="bottom"/>
          </w:tcPr>
          <w:p>
            <w:pPr>
              <w:ind w:left="20"/>
              <w:spacing w:after="0"/>
              <w:rPr>
                <w:sz w:val="20"/>
                <w:szCs w:val="20"/>
                <w:color w:val="auto"/>
              </w:rPr>
            </w:pPr>
            <w:r>
              <w:rPr>
                <w:rFonts w:ascii="Arial" w:cs="Arial" w:eastAsia="Arial" w:hAnsi="Arial"/>
                <w:sz w:val="16"/>
                <w:szCs w:val="16"/>
                <w:color w:val="auto"/>
              </w:rPr>
              <w:t>Total before income tax</w:t>
            </w:r>
          </w:p>
        </w:tc>
        <w:tc>
          <w:tcPr>
            <w:tcW w:w="120" w:type="dxa"/>
            <w:vAlign w:val="bottom"/>
          </w:tcPr>
          <w:p>
            <w:pPr>
              <w:spacing w:after="0"/>
              <w:rPr>
                <w:sz w:val="17"/>
                <w:szCs w:val="17"/>
                <w:color w:val="auto"/>
              </w:rPr>
            </w:pPr>
          </w:p>
        </w:tc>
        <w:tc>
          <w:tcPr>
            <w:tcW w:w="1280" w:type="dxa"/>
            <w:vAlign w:val="bottom"/>
          </w:tcPr>
          <w:p>
            <w:pPr>
              <w:jc w:val="center"/>
              <w:ind w:left="812"/>
              <w:spacing w:after="0"/>
              <w:rPr>
                <w:sz w:val="20"/>
                <w:szCs w:val="20"/>
                <w:color w:val="auto"/>
              </w:rPr>
            </w:pPr>
            <w:r>
              <w:rPr>
                <w:rFonts w:ascii="Arial" w:cs="Arial" w:eastAsia="Arial" w:hAnsi="Arial"/>
                <w:sz w:val="16"/>
                <w:szCs w:val="16"/>
                <w:color w:val="auto"/>
                <w:w w:val="96"/>
              </w:rPr>
              <w:t>(882)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c>
          <w:tcPr>
            <w:tcW w:w="2820" w:type="dxa"/>
            <w:vAlign w:val="bottom"/>
          </w:tcPr>
          <w:p>
            <w:pPr>
              <w:jc w:val="center"/>
              <w:spacing w:after="0"/>
              <w:rPr>
                <w:sz w:val="20"/>
                <w:szCs w:val="20"/>
                <w:color w:val="auto"/>
              </w:rPr>
            </w:pPr>
            <w:r>
              <w:rPr>
                <w:rFonts w:ascii="Arial" w:cs="Arial" w:eastAsia="Arial" w:hAnsi="Arial"/>
                <w:sz w:val="14"/>
                <w:szCs w:val="14"/>
                <w:color w:val="auto"/>
                <w:w w:val="99"/>
              </w:rPr>
              <w:t>Income (loss) before income taxes</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832"/>
              <w:spacing w:after="0"/>
              <w:rPr>
                <w:sz w:val="20"/>
                <w:szCs w:val="20"/>
                <w:color w:val="auto"/>
              </w:rPr>
            </w:pPr>
            <w:r>
              <w:rPr>
                <w:rFonts w:ascii="Arial" w:cs="Arial" w:eastAsia="Arial" w:hAnsi="Arial"/>
                <w:sz w:val="16"/>
                <w:szCs w:val="16"/>
                <w:color w:val="auto"/>
                <w:w w:val="97"/>
              </w:rPr>
              <w:t>162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center"/>
              <w:ind w:left="812"/>
              <w:spacing w:after="0"/>
              <w:rPr>
                <w:sz w:val="20"/>
                <w:szCs w:val="20"/>
                <w:color w:val="auto"/>
              </w:rPr>
            </w:pPr>
            <w:r>
              <w:rPr>
                <w:rFonts w:ascii="Arial" w:cs="Arial" w:eastAsia="Arial" w:hAnsi="Arial"/>
                <w:sz w:val="16"/>
                <w:szCs w:val="16"/>
                <w:color w:val="auto"/>
                <w:w w:val="96"/>
              </w:rPr>
              <w:t>(720)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months ended September 30, 2025 and 2024 for derivative instruments for which we did not elect hedge accounting.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292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Amount of Gain (Loss) Recognized in Net Income</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2920" w:type="dxa"/>
            <w:vAlign w:val="bottom"/>
            <w:tcBorders>
              <w:bottom w:val="single" w:sz="8" w:color="auto"/>
            </w:tcBorders>
            <w:gridSpan w:val="5"/>
            <w:vMerge w:val="continue"/>
          </w:tcPr>
          <w:p>
            <w:pPr>
              <w:spacing w:after="0"/>
              <w:rPr>
                <w:sz w:val="15"/>
                <w:szCs w:val="15"/>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55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2"/>
                <w:szCs w:val="12"/>
                <w:b w:val="1"/>
                <w:bCs w:val="1"/>
                <w:color w:val="auto"/>
              </w:rPr>
              <w:t>Three Months Ended September 30,</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2024</w:t>
            </w:r>
          </w:p>
        </w:tc>
        <w:tc>
          <w:tcPr>
            <w:tcW w:w="2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Other income (expense), net</w:t>
            </w:r>
          </w:p>
        </w:tc>
        <w:tc>
          <w:tcPr>
            <w:tcW w:w="0" w:type="dxa"/>
            <w:vAlign w:val="bottom"/>
          </w:tcPr>
          <w:p>
            <w:pPr>
              <w:spacing w:after="0"/>
              <w:rPr>
                <w:sz w:val="1"/>
                <w:szCs w:val="1"/>
                <w:color w:val="auto"/>
              </w:rPr>
            </w:pPr>
          </w:p>
        </w:tc>
      </w:tr>
      <w:tr>
        <w:trPr>
          <w:trHeight w:val="202"/>
        </w:trPr>
        <w:tc>
          <w:tcPr>
            <w:tcW w:w="5500" w:type="dxa"/>
            <w:vAlign w:val="bottom"/>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$(35), for the three months ended September 30, 2025</w:t>
      </w:r>
      <w:r>
        <w:rPr>
          <w:rFonts w:ascii="Times New Roman" w:cs="Times New Roman" w:eastAsia="Times New Roman" w:hAnsi="Times New Roman"/>
          <w:sz w:val="17"/>
          <w:szCs w:val="17"/>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Gains (losses) on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pension benefit</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cash flow hedges (1)</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3,269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(37,969)</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58"/>
        </w:trPr>
        <w:tc>
          <w:tcPr>
            <w:tcW w:w="5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7"/>
              </w:rPr>
              <w:t>Amounts reclassified from accumulated other comprehensive loss to net income</w:t>
            </w: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25" w:lineRule="exact"/>
        <w:rPr>
          <w:sz w:val="20"/>
          <w:szCs w:val="20"/>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contracts designated in cash flow hedging relationships.</w:t>
      </w:r>
    </w:p>
    <w:p>
      <w:pPr>
        <w:spacing w:after="0" w:line="46" w:lineRule="exact"/>
        <w:rPr>
          <w:rFonts w:ascii="Arial" w:cs="Arial" w:eastAsia="Arial" w:hAnsi="Arial"/>
          <w:sz w:val="14"/>
          <w:szCs w:val="14"/>
          <w:color w:val="auto"/>
        </w:rPr>
      </w:pPr>
    </w:p>
    <w:p>
      <w:pPr>
        <w:ind w:left="240" w:right="280" w:hanging="236"/>
        <w:spacing w:after="0" w:line="261"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2025 and June 30, 2025, the translation adjustment is inclusive of both the realized and unrealized effects of our net investment hedges. Gains (losses) on currency forward and cross-currency swap contracts designated as net investment hedges, net of tax, of $8,251 and $(9,406) have been included in accumulated other comprehensive loss as of September 30, 2025 and June 30, 2025, respectively. Intercompany loan hedge gains, net of tax, which is associated with a previously settled loan of $42,159 have been included in accumulated other comprehensive loss for both periods presented.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6. Goodwill</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September 30, 2025 and June 30, 2025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304,806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161,649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826,156</w:t>
            </w:r>
          </w:p>
        </w:tc>
        <w:tc>
          <w:tcPr>
            <w:tcW w:w="0" w:type="dxa"/>
            <w:vAlign w:val="bottom"/>
          </w:tcPr>
          <w:p>
            <w:pPr>
              <w:spacing w:after="0"/>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27"/>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2025</w:t>
            </w: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304,887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826,363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660" w:type="dxa"/>
            <w:vAlign w:val="bottom"/>
            <w:gridSpan w:val="4"/>
          </w:tcPr>
          <w:p>
            <w:pPr>
              <w:spacing w:after="0"/>
              <w:rPr>
                <w:sz w:val="20"/>
                <w:szCs w:val="20"/>
                <w:color w:val="auto"/>
              </w:rPr>
            </w:pPr>
            <w:r>
              <w:rPr>
                <w:rFonts w:ascii="Arial" w:cs="Arial" w:eastAsia="Arial" w:hAnsi="Arial"/>
                <w:sz w:val="14"/>
                <w:szCs w:val="14"/>
                <w:color w:val="auto"/>
                <w:w w:val="99"/>
              </w:rPr>
              <w:t>(1) Related to goodwill held by subsidiaries whose functional currency is not the U.S. dollar.</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2025</w:t>
            </w:r>
          </w:p>
        </w:tc>
        <w:tc>
          <w:tcPr>
            <w:tcW w:w="260" w:type="dxa"/>
            <w:vAlign w:val="bottom"/>
          </w:tcPr>
          <w:p>
            <w:pPr>
              <w:spacing w:after="0"/>
              <w:rPr>
                <w:sz w:val="14"/>
                <w:szCs w:val="14"/>
                <w:color w:val="auto"/>
              </w:rPr>
            </w:pPr>
          </w:p>
        </w:tc>
        <w:tc>
          <w:tcPr>
            <w:tcW w:w="1400" w:type="dxa"/>
            <w:vAlign w:val="bottom"/>
          </w:tcPr>
          <w:p>
            <w:pPr>
              <w:jc w:val="right"/>
              <w:ind w:right="363"/>
              <w:spacing w:after="0"/>
              <w:rPr>
                <w:sz w:val="20"/>
                <w:szCs w:val="20"/>
                <w:color w:val="auto"/>
              </w:rPr>
            </w:pPr>
            <w:r>
              <w:rPr>
                <w:rFonts w:ascii="Arial" w:cs="Arial" w:eastAsia="Arial" w:hAnsi="Arial"/>
                <w:sz w:val="12"/>
                <w:szCs w:val="12"/>
                <w:b w:val="1"/>
                <w:bCs w:val="1"/>
                <w:color w:val="auto"/>
              </w:rPr>
              <w:t>June 30, 2025</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88,629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87,781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67,544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63,667</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25,428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20,018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12,796</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12,416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12,346</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Sales returns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5,413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3,061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3,090</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58,069</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304,085</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2025</w:t>
            </w:r>
          </w:p>
        </w:tc>
        <w:tc>
          <w:tcPr>
            <w:tcW w:w="260" w:type="dxa"/>
            <w:vAlign w:val="bottom"/>
          </w:tcPr>
          <w:p>
            <w:pPr>
              <w:spacing w:after="0"/>
              <w:rPr>
                <w:sz w:val="14"/>
                <w:szCs w:val="14"/>
                <w:color w:val="auto"/>
              </w:rPr>
            </w:pPr>
          </w:p>
        </w:tc>
        <w:tc>
          <w:tcPr>
            <w:tcW w:w="1400" w:type="dxa"/>
            <w:vAlign w:val="bottom"/>
          </w:tcPr>
          <w:p>
            <w:pPr>
              <w:jc w:val="right"/>
              <w:ind w:right="365"/>
              <w:spacing w:after="0"/>
              <w:rPr>
                <w:sz w:val="20"/>
                <w:szCs w:val="20"/>
                <w:color w:val="auto"/>
              </w:rPr>
            </w:pPr>
            <w:r>
              <w:rPr>
                <w:rFonts w:ascii="Arial" w:cs="Arial" w:eastAsia="Arial" w:hAnsi="Arial"/>
                <w:sz w:val="12"/>
                <w:szCs w:val="12"/>
                <w:b w:val="1"/>
                <w:bCs w:val="1"/>
                <w:color w:val="auto"/>
              </w:rPr>
              <w:t>June 30, 2025</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20,969</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6"/>
                <w:szCs w:val="16"/>
                <w:color w:val="auto"/>
              </w:rPr>
              <w:t>10,673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9,121</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2,580</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43,343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2025</w:t>
            </w:r>
          </w:p>
        </w:tc>
        <w:tc>
          <w:tcPr>
            <w:tcW w:w="2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2025</w:t>
            </w:r>
          </w:p>
        </w:tc>
      </w:tr>
      <w:tr>
        <w:trPr>
          <w:trHeight w:val="205"/>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52,089</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24,501</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16,919</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13,737</w:t>
            </w:r>
          </w:p>
        </w:tc>
      </w:tr>
      <w:tr>
        <w:trPr>
          <w:trHeight w:val="22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107,246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2025</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2025</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525,000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1,070,116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1,072,818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6,695</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(19,250)</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1,582,844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1,585,263</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9,085</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1,573,862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1,576,178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jc w:val="center"/>
        <w:ind w:right="560"/>
        <w:spacing w:after="0"/>
        <w:rPr>
          <w:sz w:val="20"/>
          <w:szCs w:val="20"/>
          <w:color w:val="auto"/>
        </w:rPr>
      </w:pPr>
      <w:r>
        <w:rPr>
          <w:rFonts w:ascii="Arial" w:cs="Arial" w:eastAsia="Arial" w:hAnsi="Arial"/>
          <w:sz w:val="13"/>
          <w:szCs w:val="13"/>
          <w:color w:val="auto"/>
        </w:rPr>
        <w:t>(1) Balances as of September 30, 2025 and June 30, 2025 are inclusive of short-term debt issuance costs, debt premiums and discounts of $4,895 for both periods presented.</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we were in compliance with all covenants in those debt contracts, including our amended and restated senior secured credit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May 17, 2021 (as further amended from time to time, the "Restated Credit Agreement") and the indenture governing our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7.375% senior unsecured notes due September 15, 2032 (the "2032 Notes").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December 16, 2024, we entered into a Restated Credit Agreement which consists of the following as of September 30, 2025:</w:t>
      </w:r>
    </w:p>
    <w:p>
      <w:pPr>
        <w:spacing w:after="0" w:line="103" w:lineRule="exact"/>
        <w:rPr>
          <w:sz w:val="20"/>
          <w:szCs w:val="20"/>
          <w:color w:val="auto"/>
        </w:rPr>
      </w:pPr>
    </w:p>
    <w:p>
      <w:pPr>
        <w:ind w:left="620" w:right="280" w:hanging="305"/>
        <w:spacing w:after="0" w:line="251" w:lineRule="auto"/>
        <w:tabs>
          <w:tab w:leader="none" w:pos="609" w:val="left"/>
        </w:tabs>
        <w:numPr>
          <w:ilvl w:val="0"/>
          <w:numId w:val="10"/>
        </w:numPr>
        <w:rPr>
          <w:rFonts w:ascii="Arial" w:cs="Arial" w:eastAsia="Arial" w:hAnsi="Arial"/>
          <w:sz w:val="19"/>
          <w:szCs w:val="19"/>
          <w:color w:val="auto"/>
        </w:rPr>
      </w:pPr>
      <w:r>
        <w:rPr>
          <w:rFonts w:ascii="Arial" w:cs="Arial" w:eastAsia="Arial" w:hAnsi="Arial"/>
          <w:sz w:val="17"/>
          <w:szCs w:val="17"/>
          <w:color w:val="auto"/>
        </w:rPr>
        <w:t>a $1,070,116 USD Tranche that bears interest at Term SOFR (with a Term SOFR rate floor of 0.50%) plus 2.50%, which amortizes over the loan period, with a final maturity date of May 17, 2028, and</w:t>
      </w:r>
    </w:p>
    <w:p>
      <w:pPr>
        <w:spacing w:after="0" w:line="8" w:lineRule="exact"/>
        <w:rPr>
          <w:rFonts w:ascii="Arial" w:cs="Arial" w:eastAsia="Arial" w:hAnsi="Arial"/>
          <w:sz w:val="19"/>
          <w:szCs w:val="19"/>
          <w:color w:val="auto"/>
        </w:rPr>
      </w:pPr>
    </w:p>
    <w:p>
      <w:pPr>
        <w:ind w:left="620" w:right="400" w:hanging="305"/>
        <w:spacing w:after="0" w:line="270"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$250,000 senior secured revolving credit facility with a maturity date of September 26, 2029 (the “Revolving Credit Facility”), with no outstanding borrowings for any periods presented.</w:t>
      </w:r>
    </w:p>
    <w:p>
      <w:pPr>
        <w:spacing w:after="0" w:line="1" w:lineRule="exact"/>
        <w:rPr>
          <w:rFonts w:ascii="Arial" w:cs="Arial" w:eastAsia="Arial" w:hAnsi="Arial"/>
          <w:sz w:val="17"/>
          <w:szCs w:val="17"/>
          <w:color w:val="auto"/>
        </w:rPr>
      </w:pPr>
    </w:p>
    <w:p>
      <w:pPr>
        <w:ind w:left="1240" w:right="380" w:hanging="302"/>
        <w:spacing w:after="0" w:line="259" w:lineRule="auto"/>
        <w:tabs>
          <w:tab w:leader="none" w:pos="1236" w:val="left"/>
        </w:tabs>
        <w:numPr>
          <w:ilvl w:val="1"/>
          <w:numId w:val="10"/>
        </w:numPr>
        <w:rPr>
          <w:rFonts w:ascii="Arial" w:cs="Arial" w:eastAsia="Arial" w:hAnsi="Arial"/>
          <w:sz w:val="17"/>
          <w:szCs w:val="17"/>
          <w:color w:val="auto"/>
        </w:rPr>
      </w:pPr>
      <w:r>
        <w:rPr>
          <w:rFonts w:ascii="Arial" w:cs="Arial" w:eastAsia="Arial" w:hAnsi="Arial"/>
          <w:sz w:val="17"/>
          <w:szCs w:val="17"/>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172" w:lineRule="exact"/>
        <w:rPr>
          <w:sz w:val="20"/>
          <w:szCs w:val="20"/>
          <w:color w:val="auto"/>
        </w:rPr>
      </w:pPr>
    </w:p>
    <w:p>
      <w:pPr>
        <w:ind w:firstLine="623"/>
        <w:spacing w:after="0" w:line="250"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6.26%, inclusive of interest rate swap rates. We are also required to pay a commitment fee for our Revolving Credit Facility on unused balances of</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0.30% to 0.45% depending on our First Lien Leverage Ratio. We have pledged the assets and/or share capital of a number of our subsidiaries as collateral under our Restated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w:t>
      </w:r>
    </w:p>
    <w:p>
      <w:pPr>
        <w:spacing w:after="0" w:line="168"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We have issued $525,000 in 7.375% Senior Notes due 2032 ("2032 Notes"), which are unsecured. We can redeem some or all of the 2032 Notes at the redemption prices specified in the indenture that governs the 2032 Notes, plus accrued and unpaid interest to, but not including, the redemption date. As of September 30, 2025, we have not redeemed any of the 2032 Notes.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207" w:lineRule="exact"/>
        <w:rPr>
          <w:sz w:val="20"/>
          <w:szCs w:val="20"/>
          <w:color w:val="auto"/>
        </w:rPr>
      </w:pPr>
    </w:p>
    <w:p>
      <w:pPr>
        <w:ind w:right="400"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September 30, 2025 and June 30, 2025, we had $5,754 and $6,695, respectively, outstanding for those obligations that are payable through September 2028.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9. Income Taxes</w:t>
      </w:r>
    </w:p>
    <w:p>
      <w:pPr>
        <w:spacing w:after="0" w:line="183" w:lineRule="exact"/>
        <w:rPr>
          <w:sz w:val="20"/>
          <w:szCs w:val="20"/>
          <w:color w:val="auto"/>
        </w:rPr>
      </w:pPr>
    </w:p>
    <w:p>
      <w:pPr>
        <w:ind w:right="180" w:firstLine="623"/>
        <w:spacing w:after="0" w:line="263" w:lineRule="auto"/>
        <w:rPr>
          <w:sz w:val="20"/>
          <w:szCs w:val="20"/>
          <w:color w:val="auto"/>
        </w:rPr>
      </w:pPr>
      <w:r>
        <w:rPr>
          <w:rFonts w:ascii="Arial" w:cs="Arial" w:eastAsia="Arial" w:hAnsi="Arial"/>
          <w:sz w:val="17"/>
          <w:szCs w:val="17"/>
          <w:color w:val="auto"/>
        </w:rPr>
        <w:t>Our income tax expense was $17,838 and $8,995 for the three months ended September 30, 2025 and 2024, respectively. Income tax expense increased versus the prior comparative period primarily due to increased income (loss) before income taxes and various immaterial discrete items in both periods. Our effective tax rate continues to be negatively impacted by losses in certain jurisdictions where we are unable to recognize a tax benefit in the current period. These losses with no tax benefit were excluded in calculating income tax expense for the three months ended September 30, 2025 and 2024, in accordance with GAAP. We continuously analyze our valuation allowance positions and the weight of objective and verifiable evidence of actual results against the more subjective evidence of anticipated future income.</w:t>
      </w:r>
    </w:p>
    <w:p>
      <w:pPr>
        <w:spacing w:after="0" w:line="194"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As of September 30, 2025, we had unrecognized tax benefits of $12,720, including accrued interest and penalties of $19. We recognize interest and, if applicable, penalties related to unrecognized tax benefits in the provision for income taxes. If recognized, $373 of unrecognized tax benefits would reduce our tax expense. It is reasonably possible that a reduction in unrecognized tax benefits may occur within the next twelve months in the range of $425 to $525 related to the lapse of applicable statutes of limitations or settlement.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2025 remain open for examination by the U.S. Internal Revenue Service and the years 2015 through 2025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55"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On July 4, 2025, the U.S. enacted the One Big Beautiful Bill Act ("the Act"), which, among other provisions, makes permanent certain measures originally enacted under the Tax Cuts and Jobs Act of 2017 that were set to expire at the end of 2025. Among other provisions, the Act reinstates 100% bonus depreciation, immediate expensing of U.S. research and development costs and modifies the calculation for the interest expense limitation under U.S. Internal Revenue Code §163(j). The Act did not have a material impact on our financial statements.</w:t>
      </w:r>
    </w:p>
    <w:p>
      <w:pPr>
        <w:spacing w:after="0" w:line="189" w:lineRule="exact"/>
        <w:rPr>
          <w:sz w:val="20"/>
          <w:szCs w:val="20"/>
          <w:color w:val="auto"/>
        </w:rPr>
      </w:pPr>
    </w:p>
    <w:p>
      <w:pPr>
        <w:ind w:right="8160" w:firstLine="4"/>
        <w:spacing w:after="0" w:line="463" w:lineRule="auto"/>
        <w:tabs>
          <w:tab w:leader="none" w:pos="289"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 Redeemable Noncontrolling Interests</w:t>
      </w:r>
    </w:p>
    <w:p>
      <w:pPr>
        <w:spacing w:after="0" w:line="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Redeemable</w:t>
            </w:r>
          </w:p>
        </w:tc>
        <w:tc>
          <w:tcPr>
            <w:tcW w:w="140" w:type="dxa"/>
            <w:vAlign w:val="bottom"/>
          </w:tcPr>
          <w:p>
            <w:pPr>
              <w:spacing w:after="0"/>
              <w:rPr>
                <w:sz w:val="12"/>
                <w:szCs w:val="12"/>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7"/>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5"/>
                <w:szCs w:val="15"/>
                <w:color w:val="auto"/>
              </w:rPr>
            </w:pPr>
          </w:p>
        </w:tc>
        <w:tc>
          <w:tcPr>
            <w:tcW w:w="1120" w:type="dxa"/>
            <w:vAlign w:val="bottom"/>
          </w:tcPr>
          <w:p>
            <w:pPr>
              <w:jc w:val="right"/>
              <w:ind w:right="348"/>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08"/>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6"/>
                <w:szCs w:val="16"/>
                <w:color w:val="auto"/>
              </w:rPr>
              <w:t>Balance as of September 30, 2025 (1)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p>
    <w:p>
      <w:pPr>
        <w:ind w:left="240" w:right="80" w:hanging="236"/>
        <w:spacing w:after="0" w:line="263"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October 2025, the minority equity interest holders for one of our smaller businesses within the PrintBrothers reportable segment exercised their put option, which will require us to purchase their outstanding equity interest during the second quarter of fiscal 2026 for approximately $10,267.</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09"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200" w:firstLine="623"/>
        <w:spacing w:after="0" w:line="295" w:lineRule="auto"/>
        <w:rPr>
          <w:sz w:val="20"/>
          <w:szCs w:val="20"/>
          <w:color w:val="auto"/>
        </w:rPr>
      </w:pPr>
      <w:r>
        <w:rPr>
          <w:rFonts w:ascii="Arial" w:cs="Arial" w:eastAsia="Arial" w:hAnsi="Arial"/>
          <w:sz w:val="17"/>
          <w:szCs w:val="17"/>
          <w:color w:val="auto"/>
        </w:rPr>
        <w:t>As of September 30, 2025, we have numerous operating segments under our management reporting structure which are reported in the following five reportable segments:</w:t>
      </w:r>
    </w:p>
    <w:p>
      <w:pPr>
        <w:spacing w:after="0" w:line="117" w:lineRule="exact"/>
        <w:rPr>
          <w:sz w:val="20"/>
          <w:szCs w:val="20"/>
          <w:color w:val="auto"/>
        </w:rPr>
      </w:pPr>
    </w:p>
    <w:p>
      <w:pPr>
        <w:ind w:left="620" w:hanging="305"/>
        <w:spacing w:after="0" w:line="268"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Vista </w:t>
      </w:r>
      <w:r>
        <w:rPr>
          <w:rFonts w:ascii="Arial" w:cs="Arial" w:eastAsia="Arial" w:hAnsi="Arial"/>
          <w:sz w:val="17"/>
          <w:szCs w:val="17"/>
          <w:color w:val="auto"/>
        </w:rPr>
        <w:t>- Consists of the operations of our VistaPrint branded websites in North America, Western Europe, Australia, New Zealand, India,</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spacing w:after="0" w:line="152" w:lineRule="exact"/>
        <w:rPr>
          <w:rFonts w:ascii="Arial" w:cs="Arial" w:eastAsia="Arial" w:hAnsi="Arial"/>
          <w:sz w:val="17"/>
          <w:szCs w:val="17"/>
          <w:color w:val="auto"/>
        </w:rPr>
      </w:pPr>
    </w:p>
    <w:p>
      <w:pPr>
        <w:ind w:left="620" w:right="540" w:hanging="305"/>
        <w:spacing w:after="0" w:line="29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druck.at, Printdeal, and WIRmachenDRUCK, a group of Upload &amp; Print businesses that serve</w:t>
      </w:r>
      <w:r>
        <w:rPr>
          <w:rFonts w:ascii="Arial" w:cs="Arial" w:eastAsia="Arial" w:hAnsi="Arial"/>
          <w:sz w:val="17"/>
          <w:szCs w:val="17"/>
          <w:i w:val="1"/>
          <w:iCs w:val="1"/>
          <w:color w:val="auto"/>
        </w:rPr>
        <w:t xml:space="preserve"> </w:t>
      </w:r>
      <w:r>
        <w:rPr>
          <w:rFonts w:ascii="Arial" w:cs="Arial" w:eastAsia="Arial" w:hAnsi="Arial"/>
          <w:sz w:val="17"/>
          <w:szCs w:val="17"/>
          <w:color w:val="auto"/>
        </w:rPr>
        <w:t>graphic professionals throughout Europe, primarily in Austria, Belgium, Germany, the Netherlands, and Switzerland.</w:t>
      </w:r>
    </w:p>
    <w:p>
      <w:pPr>
        <w:spacing w:after="0" w:line="129" w:lineRule="exact"/>
        <w:rPr>
          <w:rFonts w:ascii="Arial" w:cs="Arial" w:eastAsia="Arial" w:hAnsi="Arial"/>
          <w:sz w:val="17"/>
          <w:szCs w:val="17"/>
          <w:color w:val="auto"/>
        </w:rPr>
      </w:pPr>
    </w:p>
    <w:p>
      <w:pPr>
        <w:ind w:left="620" w:right="80" w:hanging="305"/>
        <w:spacing w:after="0" w:line="268"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Easyflyer, Exaprint, Packstyle, Pixartprinting, and Tradeprint, a group of Upload &amp; Print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serve graphic professionals throughout Europe, primarily in France, Italy, Spain, and the United Kingdom. Pixartprinting's U.S. facility went live in March 2025, fulfilling orders for other Cimpress businesses as the business expands its offerings and launches its brand in North America.</w:t>
      </w:r>
    </w:p>
    <w:p>
      <w:pPr>
        <w:spacing w:after="0" w:line="139" w:lineRule="exact"/>
        <w:rPr>
          <w:rFonts w:ascii="Arial" w:cs="Arial" w:eastAsia="Arial" w:hAnsi="Arial"/>
          <w:sz w:val="17"/>
          <w:szCs w:val="17"/>
          <w:color w:val="auto"/>
        </w:rPr>
      </w:pPr>
    </w:p>
    <w:p>
      <w:pPr>
        <w:ind w:left="620" w:right="200" w:hanging="305"/>
        <w:spacing w:after="0" w:line="27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Serves small businesses across geographies including North America, Europe, and Australia. The pens.com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sells through their ecommerce site and is supported by digital marketing methods as well as direct mail and telesales. National Pen focuses on customized writing instruments and promotional products, apparel, and gifts for small- and medium-sized businesses.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w:t>
      </w:r>
    </w:p>
    <w:p>
      <w:pPr>
        <w:spacing w:after="0" w:line="64"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BuildASign is a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Printi, a smaller business that is an online printing leader in Brazil.</w:t>
      </w:r>
    </w:p>
    <w:p>
      <w:pPr>
        <w:spacing w:after="0" w:line="207" w:lineRule="exact"/>
        <w:rPr>
          <w:sz w:val="20"/>
          <w:szCs w:val="20"/>
          <w:color w:val="auto"/>
        </w:rPr>
      </w:pPr>
    </w:p>
    <w:p>
      <w:pPr>
        <w:ind w:firstLine="623"/>
        <w:spacing w:after="0" w:line="247" w:lineRule="auto"/>
        <w:rPr>
          <w:sz w:val="20"/>
          <w:szCs w:val="20"/>
          <w:color w:val="auto"/>
        </w:rPr>
      </w:pPr>
      <w:r>
        <w:rPr>
          <w:rFonts w:ascii="Arial" w:cs="Arial" w:eastAsia="Arial" w:hAnsi="Arial"/>
          <w:sz w:val="17"/>
          <w:szCs w:val="17"/>
          <w:color w:val="auto"/>
        </w:rPr>
        <w:t>During the first quarter of fiscal year 2026, we made updates to our previously implemented methodology for inter-segment transactions, which is used for purposes of measuring and reporting our segment financial performance. These transactions occur when one Cimpress business chooses to buy from or sell to another Cimpress business. Under the updated methodology, a merchant business (the buyer) is cross charged the variable cost of fulfillment that includes labor, materials and shipping costs, but excludes the overhead allocation that was previously included. A fulfiller business (the seller) receives inter-segment revenue that includes the variable cost of fulfillment plus a markup, as well as the shipping costs. The fulfiller profit is included in the fulfiller’s segment results, but eliminated from consolidated reporting through an inter-segment EBITDA elimination</w:t>
      </w:r>
      <w:r>
        <w:rPr>
          <w:rFonts w:ascii="Times New Roman" w:cs="Times New Roman" w:eastAsia="Times New Roman" w:hAnsi="Times New Roman"/>
          <w:sz w:val="15"/>
          <w:szCs w:val="15"/>
          <w:color w:val="auto"/>
        </w:rPr>
        <w:t>.</w:t>
      </w:r>
      <w:r>
        <w:rPr>
          <w:rFonts w:ascii="Arial" w:cs="Arial" w:eastAsia="Arial" w:hAnsi="Arial"/>
          <w:sz w:val="17"/>
          <w:szCs w:val="17"/>
          <w:color w:val="auto"/>
        </w:rPr>
        <w:t xml:space="preserve"> The updated approach allows our merchant businesses to access the ultimate Cimpress variable cost of fulfillment for a given product and therefore that ultimate Cimpress variable cost can be used to determine pricing, advertising spend, and other operational decisions. We made this change to simplify the inputs required for our businesses to transact with each other, and also to set the right incentives to drive increased use of our internal production capabilities. We have recast our historical segment results for all periods presented to ensure comparability with the updated methodology. These changes in methodology have no impact on our consolidated financial results.</w:t>
      </w:r>
    </w:p>
    <w:p>
      <w:pPr>
        <w:spacing w:after="0" w:line="162" w:lineRule="exact"/>
        <w:rPr>
          <w:sz w:val="20"/>
          <w:szCs w:val="20"/>
          <w:color w:val="auto"/>
        </w:rPr>
      </w:pPr>
    </w:p>
    <w:p>
      <w:pPr>
        <w:jc w:val="both"/>
        <w:ind w:right="60" w:firstLine="623"/>
        <w:spacing w:after="0" w:line="267" w:lineRule="auto"/>
        <w:rPr>
          <w:sz w:val="20"/>
          <w:szCs w:val="20"/>
          <w:color w:val="auto"/>
        </w:rPr>
      </w:pPr>
      <w:r>
        <w:rPr>
          <w:rFonts w:ascii="Arial" w:cs="Arial" w:eastAsia="Arial" w:hAnsi="Arial"/>
          <w:sz w:val="17"/>
          <w:szCs w:val="17"/>
          <w:color w:val="auto"/>
        </w:rPr>
        <w:t>During the first quarter of fiscal year 2026, we updated our internal organizational structure which included the transfer of two teams from our Vista reportable segment into our central functions. The change is intended to drive efficiencies through those functions. We have updated our segment presentation of all periods presented to reflect these changes.</w:t>
      </w:r>
    </w:p>
    <w:p>
      <w:pPr>
        <w:spacing w:after="0" w:line="139"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real estate, corporate communications,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jc w:val="both"/>
        <w:ind w:right="100" w:firstLine="623"/>
        <w:spacing w:after="0" w:line="275"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value measurement of the PSUs and the accelerated expense profile of the awards is recognized within central and corporate costs.</w:t>
      </w:r>
    </w:p>
    <w:p>
      <w:pPr>
        <w:spacing w:after="0" w:line="194" w:lineRule="exact"/>
        <w:rPr>
          <w:sz w:val="20"/>
          <w:szCs w:val="20"/>
          <w:color w:val="auto"/>
        </w:rPr>
      </w:pPr>
    </w:p>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54"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584"/>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7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2024 (1)</w:t>
            </w: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7780" w:type="dxa"/>
            <w:vAlign w:val="bottom"/>
          </w:tcPr>
          <w:p>
            <w:pPr>
              <w:ind w:left="320"/>
              <w:spacing w:after="0"/>
              <w:rPr>
                <w:sz w:val="20"/>
                <w:szCs w:val="20"/>
                <w:color w:val="auto"/>
              </w:rPr>
            </w:pPr>
            <w:r>
              <w:rPr>
                <w:rFonts w:ascii="Arial" w:cs="Arial" w:eastAsia="Arial" w:hAnsi="Arial"/>
                <w:sz w:val="16"/>
                <w:szCs w:val="16"/>
                <w:color w:val="auto"/>
              </w:rPr>
              <w:t>Vista</w:t>
            </w:r>
          </w:p>
        </w:tc>
        <w:tc>
          <w:tcPr>
            <w:tcW w:w="960" w:type="dxa"/>
            <w:vAlign w:val="bottom"/>
          </w:tcPr>
          <w:p>
            <w:pPr>
              <w:jc w:val="right"/>
              <w:ind w:right="814"/>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454,909</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429,576</w:t>
            </w:r>
          </w:p>
        </w:tc>
      </w:tr>
      <w:tr>
        <w:trPr>
          <w:trHeight w:val="209"/>
        </w:trPr>
        <w:tc>
          <w:tcPr>
            <w:tcW w:w="7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160,424</w:t>
            </w:r>
          </w:p>
        </w:tc>
      </w:tr>
      <w:tr>
        <w:trPr>
          <w:trHeight w:val="207"/>
        </w:trPr>
        <w:tc>
          <w:tcPr>
            <w:tcW w:w="778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96,710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84,202</w:t>
            </w:r>
          </w:p>
        </w:tc>
      </w:tr>
      <w:tr>
        <w:trPr>
          <w:trHeight w:val="209"/>
        </w:trPr>
        <w:tc>
          <w:tcPr>
            <w:tcW w:w="7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93,590</w:t>
            </w:r>
          </w:p>
        </w:tc>
      </w:tr>
      <w:tr>
        <w:trPr>
          <w:trHeight w:val="207"/>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57,240</w:t>
            </w:r>
          </w:p>
        </w:tc>
      </w:tr>
      <w:tr>
        <w:trPr>
          <w:trHeight w:val="202"/>
        </w:trPr>
        <w:tc>
          <w:tcPr>
            <w:tcW w:w="7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segment revenue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825,032</w:t>
            </w:r>
          </w:p>
        </w:tc>
      </w:tr>
      <w:tr>
        <w:trPr>
          <w:trHeight w:val="207"/>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Inter-segment eliminations (2)</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(20,063)</w:t>
            </w:r>
          </w:p>
        </w:tc>
      </w:tr>
      <w:tr>
        <w:trPr>
          <w:trHeight w:val="227"/>
        </w:trPr>
        <w:tc>
          <w:tcPr>
            <w:tcW w:w="7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consolidated revenue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863,277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804,969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120" w:hanging="236"/>
        <w:spacing w:after="0" w:line="242"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updated methodology used for inter-segment transactions. Refer to the discussion above for further details.</w:t>
      </w:r>
    </w:p>
    <w:p>
      <w:pPr>
        <w:spacing w:after="0" w:line="25" w:lineRule="exact"/>
        <w:rPr>
          <w:rFonts w:ascii="Arial" w:cs="Arial" w:eastAsia="Arial" w:hAnsi="Arial"/>
          <w:sz w:val="14"/>
          <w:szCs w:val="14"/>
          <w:color w:val="auto"/>
        </w:rPr>
      </w:pPr>
    </w:p>
    <w:p>
      <w:pPr>
        <w:ind w:left="220" w:hanging="216"/>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2025</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317,720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53,431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41,942</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413,711</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109,482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36,951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413,611</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26,255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8,047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35,955</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11,567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38,004</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454,909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103,209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61,742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901,281</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(38,004)</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453,457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181,449</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86,161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92,035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50,175</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863,277</w:t>
            </w:r>
          </w:p>
        </w:tc>
      </w:tr>
      <w:tr>
        <w:trPr>
          <w:trHeight w:val="20"/>
        </w:trPr>
        <w:tc>
          <w:tcPr>
            <w:tcW w:w="3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2024</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309,175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52,287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43,368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404,830</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367,939</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23,759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32,200</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20,063</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429,576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93,590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57,240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825,032</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(20,063)</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428,591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159,368</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80,907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85,736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50,367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804,969</w:t>
            </w:r>
          </w:p>
        </w:tc>
      </w:tr>
      <w:tr>
        <w:trPr>
          <w:trHeight w:val="20"/>
        </w:trPr>
        <w:tc>
          <w:tcPr>
            <w:tcW w:w="3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120" w:hanging="236"/>
        <w:spacing w:after="0" w:line="262"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updated methodology used for inter-segment transactions. Refer to the discussion above for further details.</w:t>
      </w:r>
    </w:p>
    <w:p>
      <w:pPr>
        <w:spacing w:after="0" w:line="200" w:lineRule="exact"/>
        <w:rPr>
          <w:sz w:val="20"/>
          <w:szCs w:val="20"/>
          <w:color w:val="auto"/>
        </w:rPr>
      </w:pPr>
    </w:p>
    <w:p>
      <w:pPr>
        <w:spacing w:after="0" w:line="231"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The following tables include segment revenue and significant segment expenses by reportable segment, as well as our reported measure of segment profit or loss, EBITDA, by reportable segment for the three months ended September 30, 2025 and 2024. Total segment EBITDA shown in the tables below is prior to inter-segment eliminations. Refer to the subsequent table for a reconciliation of total segment EBITDA to income from operations and income (loss) before income taxes.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2"/>
                <w:szCs w:val="12"/>
                <w:b w:val="1"/>
                <w:bCs w:val="1"/>
                <w:color w:val="auto"/>
              </w:rPr>
              <w:t>Three Months Ended September 30, 2025</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PrintBrothers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2"/>
                <w:szCs w:val="12"/>
                <w:b w:val="1"/>
                <w:bCs w:val="1"/>
                <w:color w:val="auto"/>
              </w:rPr>
              <w:t>All Other</w:t>
            </w:r>
          </w:p>
        </w:tc>
      </w:tr>
      <w:tr>
        <w:trPr>
          <w:trHeight w:val="228"/>
        </w:trPr>
        <w:tc>
          <w:tcPr>
            <w:tcW w:w="46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Total segment revenue (1)</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454,909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184,711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96,710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103,209</w:t>
            </w:r>
          </w:p>
        </w:tc>
        <w:tc>
          <w:tcPr>
            <w:tcW w:w="1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61,742</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 (1)</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201,921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61,031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34,185</w:t>
            </w:r>
          </w:p>
        </w:tc>
      </w:tr>
      <w:tr>
        <w:trPr>
          <w:trHeight w:val="200"/>
        </w:trPr>
        <w:tc>
          <w:tcPr>
            <w:tcW w:w="460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252,988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52,575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35,679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27,557</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10,574</w:t>
            </w: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Less: Other operating expenses (2)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111,171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16,110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12,314</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r>
      <w:tr>
        <w:trPr>
          <w:trHeight w:val="20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(3)</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(4)</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89,986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18,671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09"/>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2"/>
                <w:szCs w:val="12"/>
                <w:b w:val="1"/>
                <w:bCs w:val="1"/>
                <w:color w:val="auto"/>
              </w:rPr>
              <w:t>Three Months Ended September 30, 2024</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4"/>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8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PrintBrothers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2"/>
                <w:szCs w:val="12"/>
                <w:b w:val="1"/>
                <w:bCs w:val="1"/>
                <w:color w:val="auto"/>
              </w:rPr>
              <w:t>All Other</w:t>
            </w:r>
          </w:p>
        </w:tc>
      </w:tr>
      <w:tr>
        <w:trPr>
          <w:trHeight w:val="228"/>
        </w:trPr>
        <w:tc>
          <w:tcPr>
            <w:tcW w:w="46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Total segment revenue (1)</w:t>
            </w: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429,576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160,424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84,202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93,590</w:t>
            </w:r>
          </w:p>
        </w:tc>
        <w:tc>
          <w:tcPr>
            <w:tcW w:w="1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57,240</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 (1)</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192,037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115,233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52,090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31,294</w:t>
            </w:r>
          </w:p>
        </w:tc>
      </w:tr>
      <w:tr>
        <w:trPr>
          <w:trHeight w:val="200"/>
        </w:trPr>
        <w:tc>
          <w:tcPr>
            <w:tcW w:w="460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237,539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49,937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25,946</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10,234</w:t>
            </w:r>
          </w:p>
        </w:tc>
      </w:tr>
      <w:tr>
        <w:trPr>
          <w:trHeight w:val="207"/>
        </w:trPr>
        <w:tc>
          <w:tcPr>
            <w:tcW w:w="4600" w:type="dxa"/>
            <w:vAlign w:val="bottom"/>
          </w:tcPr>
          <w:p>
            <w:pPr>
              <w:ind w:left="20"/>
              <w:spacing w:after="0"/>
              <w:rPr>
                <w:sz w:val="20"/>
                <w:szCs w:val="20"/>
                <w:color w:val="auto"/>
              </w:rPr>
            </w:pPr>
            <w:r>
              <w:rPr>
                <w:rFonts w:ascii="Arial" w:cs="Arial" w:eastAsia="Arial" w:hAnsi="Arial"/>
                <w:sz w:val="16"/>
                <w:szCs w:val="16"/>
                <w:color w:val="auto"/>
              </w:rPr>
              <w:t>Less: Other operating expenses (2)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104,861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13,604</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r>
      <w:tr>
        <w:trPr>
          <w:trHeight w:val="20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(3)</w:t>
            </w: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22"/>
        </w:trPr>
        <w:tc>
          <w:tcPr>
            <w:tcW w:w="4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Segment EBITDA (4)</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240" w:right="220" w:hanging="236"/>
        <w:spacing w:after="0" w:line="250"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updated methodology used for inter-segment transactions and the transfer of two functions between our Vista reportable segment and central and corporate costs. Refer to the discussion above for further details.</w:t>
      </w:r>
    </w:p>
    <w:p>
      <w:pPr>
        <w:spacing w:after="0" w:line="1" w:lineRule="exact"/>
        <w:rPr>
          <w:rFonts w:ascii="Arial" w:cs="Arial" w:eastAsia="Arial" w:hAnsi="Arial"/>
          <w:sz w:val="14"/>
          <w:szCs w:val="14"/>
          <w:color w:val="auto"/>
        </w:rPr>
      </w:pPr>
    </w:p>
    <w:p>
      <w:pPr>
        <w:ind w:left="240" w:hanging="236"/>
        <w:spacing w:after="0" w:line="251"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each reportable segment, other operating expenses consists primarily of marketing and selling expense (excluding advertising expenses), technology and development expense and general and administrative expense.</w:t>
      </w:r>
    </w:p>
    <w:p>
      <w:pPr>
        <w:ind w:left="240" w:right="140" w:hanging="236"/>
        <w:spacing w:after="0" w:line="247"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segment items primarily includes certain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240" w:hanging="236"/>
        <w:spacing w:after="0" w:line="266"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three months ended September 30, 2025 and 2024 total segment EBITDA was $141,084 and $121,688,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(loss) before income taxes as outlined below.</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includes a reconciliation of total segment EBITDA to income from operations and income (loss) before income</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564"/>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5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2024 (1)</w:t>
            </w:r>
          </w:p>
        </w:tc>
      </w:tr>
      <w:tr>
        <w:trPr>
          <w:trHeight w:val="20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EBITDA</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141,084</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121,688</w:t>
            </w:r>
          </w:p>
        </w:tc>
      </w:tr>
      <w:tr>
        <w:trPr>
          <w:trHeight w:val="207"/>
        </w:trPr>
        <w:tc>
          <w:tcPr>
            <w:tcW w:w="7540" w:type="dxa"/>
            <w:vAlign w:val="bottom"/>
          </w:tcPr>
          <w:p>
            <w:pPr>
              <w:ind w:left="160"/>
              <w:spacing w:after="0"/>
              <w:rPr>
                <w:sz w:val="20"/>
                <w:szCs w:val="20"/>
                <w:color w:val="auto"/>
              </w:rPr>
            </w:pPr>
            <w:r>
              <w:rPr>
                <w:rFonts w:ascii="Arial" w:cs="Arial" w:eastAsia="Arial" w:hAnsi="Arial"/>
                <w:sz w:val="16"/>
                <w:szCs w:val="16"/>
                <w:color w:val="auto"/>
              </w:rPr>
              <w:t>Central and corporate costs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(38,635)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(38,859)</w:t>
            </w:r>
          </w:p>
        </w:tc>
      </w:tr>
      <w:tr>
        <w:trPr>
          <w:trHeight w:val="209"/>
        </w:trPr>
        <w:tc>
          <w:tcPr>
            <w:tcW w:w="7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Elimination (2)</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(15,835)</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r>
      <w:tr>
        <w:trPr>
          <w:trHeight w:val="207"/>
        </w:trPr>
        <w:tc>
          <w:tcPr>
            <w:tcW w:w="7540" w:type="dxa"/>
            <w:vAlign w:val="bottom"/>
          </w:tcPr>
          <w:p>
            <w:pPr>
              <w:ind w:left="160"/>
              <w:spacing w:after="0"/>
              <w:rPr>
                <w:sz w:val="20"/>
                <w:szCs w:val="20"/>
                <w:color w:val="auto"/>
              </w:rPr>
            </w:pPr>
            <w:r>
              <w:rPr>
                <w:rFonts w:ascii="Arial" w:cs="Arial" w:eastAsia="Arial" w:hAnsi="Arial"/>
                <w:sz w:val="16"/>
                <w:szCs w:val="16"/>
                <w:color w:val="auto"/>
              </w:rPr>
              <w:t>Depreciation and amortization (3)</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(36,618)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(35,546)</w:t>
            </w:r>
          </w:p>
        </w:tc>
      </w:tr>
      <w:tr>
        <w:trPr>
          <w:trHeight w:val="209"/>
        </w:trPr>
        <w:tc>
          <w:tcPr>
            <w:tcW w:w="7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impairment and other adjustments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07"/>
        </w:trPr>
        <w:tc>
          <w:tcPr>
            <w:tcW w:w="75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Restructuring-related charges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from operations</w:t>
            </w: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48,971</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39,339</w:t>
            </w:r>
          </w:p>
        </w:tc>
      </w:tr>
      <w:tr>
        <w:trPr>
          <w:trHeight w:val="200"/>
        </w:trPr>
        <w:tc>
          <w:tcPr>
            <w:tcW w:w="7540" w:type="dxa"/>
            <w:vAlign w:val="bottom"/>
          </w:tcPr>
          <w:p>
            <w:pPr>
              <w:ind w:left="16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3,453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(11,492)</w:t>
            </w:r>
          </w:p>
        </w:tc>
      </w:tr>
      <w:tr>
        <w:trPr>
          <w:trHeight w:val="209"/>
        </w:trPr>
        <w:tc>
          <w:tcPr>
            <w:tcW w:w="7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(31,415)</w:t>
            </w:r>
          </w:p>
        </w:tc>
      </w:tr>
      <w:tr>
        <w:trPr>
          <w:trHeight w:val="207"/>
        </w:trPr>
        <w:tc>
          <w:tcPr>
            <w:tcW w:w="75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Gain on early extinguishment of debt</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24,358</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40" w:right="200" w:hanging="236"/>
        <w:spacing w:after="0" w:line="250" w:lineRule="auto"/>
        <w:tabs>
          <w:tab w:leader="none" w:pos="2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updated methodology used for inter-segment transactions and the transfer of two functions between our Vista reportable segment and central and corporate costs. Refer to the discussion above for further details.</w:t>
      </w:r>
    </w:p>
    <w:p>
      <w:pPr>
        <w:spacing w:after="0" w:line="1" w:lineRule="exact"/>
        <w:rPr>
          <w:rFonts w:ascii="Arial" w:cs="Arial" w:eastAsia="Arial" w:hAnsi="Arial"/>
          <w:sz w:val="14"/>
          <w:szCs w:val="14"/>
          <w:color w:val="auto"/>
        </w:rPr>
      </w:pPr>
    </w:p>
    <w:p>
      <w:pPr>
        <w:ind w:left="240" w:right="140" w:hanging="236"/>
        <w:spacing w:after="0" w:line="251" w:lineRule="auto"/>
        <w:tabs>
          <w:tab w:leader="none" w:pos="2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elimination of inter-segment profit that relates to cross-Cimpress transactions, in which the merchant business is cross charged the variable cost of fulfillment and the fulfiller business receives a markup on the cost to fulfill the related orders. These inter-segment profits are eliminated at a consolidated level. Refer to the discussion above regarding our updated methodology for inter-segment transactions for additional details.</w:t>
      </w:r>
    </w:p>
    <w:p>
      <w:pPr>
        <w:spacing w:after="0" w:line="1" w:lineRule="exact"/>
        <w:rPr>
          <w:rFonts w:ascii="Arial" w:cs="Arial" w:eastAsia="Arial" w:hAnsi="Arial"/>
          <w:sz w:val="14"/>
          <w:szCs w:val="14"/>
          <w:color w:val="auto"/>
        </w:rPr>
      </w:pPr>
    </w:p>
    <w:p>
      <w:pPr>
        <w:ind w:left="220" w:hanging="216"/>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the three months ended September 30, 2025 and 2024, depreciation and amortization includes costs within our central and corporate costs of $5,785 and $5,920, respectively.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6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r>
      <w:tr>
        <w:trPr>
          <w:trHeight w:val="189"/>
        </w:trPr>
        <w:tc>
          <w:tcPr>
            <w:tcW w:w="60" w:type="dxa"/>
            <w:vAlign w:val="bottom"/>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Vista</w:t>
            </w:r>
          </w:p>
        </w:tc>
        <w:tc>
          <w:tcPr>
            <w:tcW w:w="4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10,616</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7,526</w:t>
            </w:r>
          </w:p>
        </w:tc>
      </w:tr>
      <w:tr>
        <w:trPr>
          <w:trHeight w:val="209"/>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1,367</w:t>
            </w: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9,090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3,767</w:t>
            </w:r>
          </w:p>
        </w:tc>
      </w:tr>
      <w:tr>
        <w:trPr>
          <w:trHeight w:val="209"/>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1,363</w:t>
            </w:r>
          </w:p>
        </w:tc>
      </w:tr>
      <w:tr>
        <w:trPr>
          <w:trHeight w:val="207"/>
        </w:trPr>
        <w:tc>
          <w:tcPr>
            <w:tcW w:w="6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6"/>
                <w:szCs w:val="16"/>
                <w:color w:val="auto"/>
              </w:rPr>
              <w:t>All Other Businesses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2,511</w:t>
            </w:r>
          </w:p>
        </w:tc>
      </w:tr>
      <w:tr>
        <w:trPr>
          <w:trHeight w:val="208"/>
        </w:trPr>
        <w:tc>
          <w:tcPr>
            <w:tcW w:w="6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Central and corporate costs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467</w:t>
            </w:r>
          </w:p>
        </w:tc>
      </w:tr>
      <w:tr>
        <w:trPr>
          <w:trHeight w:val="202"/>
        </w:trPr>
        <w:tc>
          <w:tcPr>
            <w:tcW w:w="60" w:type="dxa"/>
            <w:vAlign w:val="bottom"/>
          </w:tcPr>
          <w:p>
            <w:pPr>
              <w:spacing w:after="0"/>
              <w:rPr>
                <w:sz w:val="17"/>
                <w:szCs w:val="17"/>
                <w:color w:val="auto"/>
              </w:rPr>
            </w:pPr>
          </w:p>
        </w:tc>
        <w:tc>
          <w:tcPr>
            <w:tcW w:w="7540" w:type="dxa"/>
            <w:vAlign w:val="bottom"/>
          </w:tcPr>
          <w:p>
            <w:pPr>
              <w:ind w:left="620"/>
              <w:spacing w:after="0"/>
              <w:rPr>
                <w:sz w:val="20"/>
                <w:szCs w:val="20"/>
                <w:color w:val="auto"/>
              </w:rPr>
            </w:pPr>
            <w:r>
              <w:rPr>
                <w:rFonts w:ascii="Arial" w:cs="Arial" w:eastAsia="Arial" w:hAnsi="Arial"/>
                <w:sz w:val="16"/>
                <w:szCs w:val="16"/>
                <w:color w:val="auto"/>
              </w:rPr>
              <w:t>Total purchases of property, plant and equipment</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26,353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17,001</w:t>
            </w:r>
          </w:p>
        </w:tc>
      </w:tr>
      <w:tr>
        <w:trPr>
          <w:trHeight w:val="20"/>
        </w:trPr>
        <w:tc>
          <w:tcPr>
            <w:tcW w:w="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650"/>
        </w:trPr>
        <w:tc>
          <w:tcPr>
            <w:tcW w:w="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7"/>
          </w:tcPr>
          <w:p>
            <w:pPr>
              <w:jc w:val="right"/>
              <w:ind w:right="920"/>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60" w:type="dxa"/>
            <w:vAlign w:val="bottom"/>
            <w:tcBorders>
              <w:bottom w:val="single" w:sz="8" w:color="CCEEFF"/>
            </w:tcBorders>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c>
          <w:tcPr>
            <w:tcW w:w="280" w:type="dxa"/>
            <w:vAlign w:val="bottom"/>
          </w:tcPr>
          <w:p>
            <w:pPr>
              <w:spacing w:after="0"/>
              <w:rPr>
                <w:sz w:val="14"/>
                <w:szCs w:val="14"/>
                <w:color w:val="auto"/>
              </w:rPr>
            </w:pPr>
          </w:p>
        </w:tc>
      </w:tr>
      <w:tr>
        <w:trPr>
          <w:trHeight w:val="18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Vista</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6,563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6,057</w:t>
            </w:r>
          </w:p>
        </w:tc>
        <w:tc>
          <w:tcPr>
            <w:tcW w:w="2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PrintBrothers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80" w:type="dxa"/>
            <w:vAlign w:val="bottom"/>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The Print Group</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w:t>
            </w:r>
          </w:p>
        </w:tc>
        <w:tc>
          <w:tcPr>
            <w:tcW w:w="2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National Pen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80" w:type="dxa"/>
            <w:vAlign w:val="bottom"/>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6"/>
                <w:szCs w:val="16"/>
                <w:color w:val="auto"/>
              </w:rPr>
              <w:t>All Other Businesses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1,499</w:t>
            </w:r>
          </w:p>
        </w:tc>
        <w:tc>
          <w:tcPr>
            <w:tcW w:w="280" w:type="dxa"/>
            <w:vAlign w:val="bottom"/>
          </w:tcPr>
          <w:p>
            <w:pPr>
              <w:spacing w:after="0"/>
              <w:rPr>
                <w:sz w:val="17"/>
                <w:szCs w:val="17"/>
                <w:color w:val="auto"/>
              </w:rPr>
            </w:pPr>
          </w:p>
        </w:tc>
      </w:tr>
      <w:tr>
        <w:trPr>
          <w:trHeight w:val="208"/>
        </w:trPr>
        <w:tc>
          <w:tcPr>
            <w:tcW w:w="6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Central and corporate costs</w:t>
            </w:r>
          </w:p>
        </w:tc>
        <w:tc>
          <w:tcPr>
            <w:tcW w:w="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w:t>
            </w:r>
          </w:p>
        </w:tc>
        <w:tc>
          <w:tcPr>
            <w:tcW w:w="28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7540" w:type="dxa"/>
            <w:vAlign w:val="bottom"/>
          </w:tcPr>
          <w:p>
            <w:pPr>
              <w:ind w:left="580"/>
              <w:spacing w:after="0"/>
              <w:rPr>
                <w:sz w:val="20"/>
                <w:szCs w:val="20"/>
                <w:color w:val="auto"/>
              </w:rPr>
            </w:pPr>
            <w:r>
              <w:rPr>
                <w:rFonts w:ascii="Arial" w:cs="Arial" w:eastAsia="Arial" w:hAnsi="Arial"/>
                <w:sz w:val="16"/>
                <w:szCs w:val="16"/>
                <w:color w:val="auto"/>
              </w:rPr>
              <w:t>Total capitalization of software and website development costs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14,571</w:t>
            </w:r>
          </w:p>
        </w:tc>
        <w:tc>
          <w:tcPr>
            <w:tcW w:w="2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3" w:name="page24"/>
    <w:bookmarkEnd w:id="23"/>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2025</w:t>
            </w:r>
          </w:p>
        </w:tc>
        <w:tc>
          <w:tcPr>
            <w:tcW w:w="260" w:type="dxa"/>
            <w:vAlign w:val="bottom"/>
          </w:tcPr>
          <w:p>
            <w:pPr>
              <w:spacing w:after="0"/>
              <w:rPr>
                <w:sz w:val="14"/>
                <w:szCs w:val="14"/>
                <w:color w:val="auto"/>
              </w:rPr>
            </w:pPr>
          </w:p>
        </w:tc>
        <w:tc>
          <w:tcPr>
            <w:tcW w:w="138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2025</w:t>
            </w:r>
          </w:p>
        </w:tc>
      </w:tr>
      <w:tr>
        <w:trPr>
          <w:trHeight w:val="205"/>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70,559</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64,615</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77,236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72,971</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70,453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67,396</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66,725</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45,589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41,496</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38,908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37,331</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Tunisia</w:t>
            </w:r>
          </w:p>
        </w:tc>
        <w:tc>
          <w:tcPr>
            <w:tcW w:w="18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33,069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29,868</w:t>
            </w:r>
          </w:p>
        </w:tc>
      </w:tr>
      <w:tr>
        <w:trPr>
          <w:trHeight w:val="20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31,095</w:t>
            </w:r>
          </w:p>
        </w:tc>
      </w:tr>
      <w:tr>
        <w:trPr>
          <w:trHeight w:val="207"/>
        </w:trPr>
        <w:tc>
          <w:tcPr>
            <w:tcW w:w="778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25,843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23,915</w:t>
            </w:r>
          </w:p>
        </w:tc>
      </w:tr>
      <w:tr>
        <w:trPr>
          <w:trHeight w:val="208"/>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81,352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112,586</w:t>
            </w:r>
          </w:p>
        </w:tc>
      </w:tr>
      <w:tr>
        <w:trPr>
          <w:trHeight w:val="202"/>
        </w:trPr>
        <w:tc>
          <w:tcPr>
            <w:tcW w:w="7780" w:type="dxa"/>
            <w:vAlign w:val="bottom"/>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537,054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547,998</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ind w:left="240" w:right="460" w:hanging="236"/>
        <w:spacing w:after="0" w:line="281"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goodwill of $826,363 and $826,156, intangible assets, net of $54,116 and $58,348, and deferred tax assets of $57,905 and $61,086 as of September 30, 2025 and June 30, 2025, respectively.</w:t>
      </w:r>
    </w:p>
    <w:p>
      <w:pPr>
        <w:spacing w:after="0" w:line="235" w:lineRule="exact"/>
        <w:rPr>
          <w:sz w:val="20"/>
          <w:szCs w:val="20"/>
          <w:color w:val="auto"/>
        </w:rPr>
      </w:pPr>
    </w:p>
    <w:p>
      <w:pPr>
        <w:ind w:right="8180" w:firstLine="4"/>
        <w:spacing w:after="0" w:line="415" w:lineRule="auto"/>
        <w:tabs>
          <w:tab w:leader="none" w:pos="289"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Supply Chain Finance Program</w:t>
      </w:r>
    </w:p>
    <w:p>
      <w:pPr>
        <w:spacing w:after="0" w:line="1" w:lineRule="exact"/>
        <w:rPr>
          <w:sz w:val="20"/>
          <w:szCs w:val="20"/>
          <w:color w:val="auto"/>
        </w:rPr>
      </w:pPr>
    </w:p>
    <w:p>
      <w:pPr>
        <w:ind w:right="4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121"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September 30, 2025 and June 30, 2025 were $68,611 and $64,854,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Obligations</w:t>
      </w:r>
    </w:p>
    <w:p>
      <w:pPr>
        <w:spacing w:after="0" w:line="207"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At September 30, 2025, we had unrecorded commitments under contract of $ 429,237, including third-party cloud services of $253,194; inventory, third-party fulfillment and digital service purchase commitments of $87,690; software of $40,064; insurance costs of $ 18,410; production-related temporary labor of $11,940; professional and consulting fees of $7,579; production and computer equipment purchases of $4,038; advertising of $3,725; and other unrecorded purchase commitments of $2,597.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07"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We are not currently party to any legal proceedings we believe to be material.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firstLine="623"/>
        <w:spacing w:after="0" w:line="25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duration, and severity of supply chain constraints and fluctuating inflation; our inability to make investments in our businesses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that affect our businesses, or in their enforcement or interpretation,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2025 fiscal year, this Quarterly Report on Form 10-Q and subsequent documents we periodically file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right="18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55" w:lineRule="exact"/>
        <w:rPr>
          <w:sz w:val="20"/>
          <w:szCs w:val="20"/>
          <w:color w:val="auto"/>
        </w:rPr>
      </w:pPr>
    </w:p>
    <w:p>
      <w:pPr>
        <w:ind w:right="80" w:firstLine="623"/>
        <w:spacing w:after="0" w:line="259" w:lineRule="auto"/>
        <w:rPr>
          <w:sz w:val="20"/>
          <w:szCs w:val="20"/>
          <w:color w:val="auto"/>
        </w:rPr>
      </w:pPr>
      <w:r>
        <w:rPr>
          <w:rFonts w:ascii="Arial" w:cs="Arial" w:eastAsia="Arial" w:hAnsi="Arial"/>
          <w:sz w:val="17"/>
          <w:szCs w:val="17"/>
          <w:color w:val="auto"/>
        </w:rPr>
        <w:t>As of September 30, 2025, we have numerous operating segments under our management reporting structure that are reported in the following five reportable segments: Vista, PrintBrothers, The Print Group, National Pen, and All Other Businesses. For purposes of measuring and reporting our segment financial performance, we made updates to our previously implemented methodology for inter-segment transactions during the first quarter of fiscal 2026. These transactions occur when one Cimpress business buys from or sells to another Cimpress business. Under the updated methodology, a merchant business (the buyer) is cross charged the variable cost of fulfillment that includes labor, materials and shipping costs, which excludes the previously included overhead allocation. We also updated our internal organizational structure, which included the transfer of two teams from our Vista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11 in our accompanying consolidated financial statements for additional information relating to our reportable segments and our segment financial measures.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Tariffs</w:t>
      </w:r>
    </w:p>
    <w:p>
      <w:pPr>
        <w:spacing w:after="0" w:line="155" w:lineRule="exact"/>
        <w:rPr>
          <w:sz w:val="20"/>
          <w:szCs w:val="20"/>
          <w:color w:val="auto"/>
        </w:rPr>
      </w:pPr>
    </w:p>
    <w:p>
      <w:pPr>
        <w:ind w:right="100" w:firstLine="623"/>
        <w:spacing w:after="0" w:line="267" w:lineRule="auto"/>
        <w:rPr>
          <w:sz w:val="20"/>
          <w:szCs w:val="20"/>
          <w:color w:val="auto"/>
        </w:rPr>
      </w:pPr>
      <w:r>
        <w:rPr>
          <w:rFonts w:ascii="Arial" w:cs="Arial" w:eastAsia="Arial" w:hAnsi="Arial"/>
          <w:sz w:val="17"/>
          <w:szCs w:val="17"/>
          <w:color w:val="auto"/>
        </w:rPr>
        <w:t>The U.S. tariff environment remains fluid. Cimpress businesses operate in the U.S., and we have fulfillment operations for U.S. customers in multiple locations in the U.S., Canada and Mexico. Cimpress has multiple exemptions and exclusions from paying tariffs on many of the products we fulfill for U.S. customers in Canada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5" w:name="page26"/>
    <w:bookmarkEnd w:id="25"/>
    <w:p>
      <w:pPr>
        <w:ind w:right="40"/>
        <w:spacing w:after="0" w:line="257" w:lineRule="auto"/>
        <w:rPr>
          <w:sz w:val="20"/>
          <w:szCs w:val="20"/>
          <w:color w:val="auto"/>
        </w:rPr>
      </w:pPr>
      <w:r>
        <w:rPr>
          <w:rFonts w:ascii="Arial" w:cs="Arial" w:eastAsia="Arial" w:hAnsi="Arial"/>
          <w:sz w:val="17"/>
          <w:szCs w:val="17"/>
          <w:color w:val="auto"/>
        </w:rPr>
        <w:t>Mexico. The primary impact of tariffs on Cimpress continues to be for promotional products that we source from China and several other countries. After the elimination of the de minimis exemption for shipments under $800 per day to individual U.S. customers in May 2025 for Chinese-sourced goods and August 2025 for goods from other countries, we increased our pricing on impacted products. To date, we have been able to minimize the impact of the new tariffs through supply chain optimization and pricing changes.</w:t>
      </w:r>
    </w:p>
    <w:p>
      <w:pPr>
        <w:spacing w:after="0" w:line="175" w:lineRule="exact"/>
        <w:rPr>
          <w:sz w:val="20"/>
          <w:szCs w:val="20"/>
          <w:color w:val="auto"/>
        </w:rPr>
      </w:pPr>
    </w:p>
    <w:p>
      <w:pPr>
        <w:ind w:right="40" w:firstLine="623"/>
        <w:spacing w:after="0" w:line="247" w:lineRule="auto"/>
        <w:rPr>
          <w:sz w:val="20"/>
          <w:szCs w:val="20"/>
          <w:color w:val="auto"/>
        </w:rPr>
      </w:pPr>
      <w:r>
        <w:rPr>
          <w:rFonts w:ascii="Arial" w:cs="Arial" w:eastAsia="Arial" w:hAnsi="Arial"/>
          <w:sz w:val="17"/>
          <w:szCs w:val="17"/>
          <w:color w:val="auto"/>
        </w:rPr>
        <w:t>We are monitoring the status of tariffs, and we will remain nimble in our sourcing and pricing responses. Most of the computed value of the products we produce in Canada and Mexico for U.S. customers remains covered by exemptions due to their compliance with the US-Mexico-Canada (USMCA) trade agreement and the International Emergency Economic Powers Act (IEEPA) carve out for informational materials. Furthermore, we continue to believe that our scale-based advantages and the assets of our manufacturing, supply chain and procurement, and flexible technology infrastructure have become even clearer through this turbulence. We remain confident that we can manage this effectively, even as facts and circumstances continue to change.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81"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income (loss),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months ended September 30, 2025 as compared to the three months ended September 30, 2024 follows:</w:t>
      </w:r>
    </w:p>
    <w:p>
      <w:pPr>
        <w:spacing w:after="0" w:line="173" w:lineRule="exact"/>
        <w:rPr>
          <w:sz w:val="20"/>
          <w:szCs w:val="20"/>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Revenue increased by 7% to $863.3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4%.</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income increased by $9.6 million to $49.0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income increased by $18.9 million to $6.5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 non-GAAP financial measure) increased by $10.9 million to $98.7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Diluted net income per share attributable to Cimpress plc increased by $0.80 to $0.30.</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provided by operating activities increased by $20.7 million to $25.1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increased by $7.9 million to $(17.8) million.</w:t>
      </w:r>
    </w:p>
    <w:p>
      <w:pPr>
        <w:spacing w:after="0" w:line="207" w:lineRule="exact"/>
        <w:rPr>
          <w:sz w:val="20"/>
          <w:szCs w:val="20"/>
          <w:color w:val="auto"/>
        </w:rPr>
      </w:pPr>
    </w:p>
    <w:p>
      <w:pPr>
        <w:ind w:right="200" w:firstLine="623"/>
        <w:spacing w:after="0" w:line="265" w:lineRule="auto"/>
        <w:rPr>
          <w:sz w:val="20"/>
          <w:szCs w:val="20"/>
          <w:color w:val="auto"/>
        </w:rPr>
      </w:pPr>
      <w:r>
        <w:rPr>
          <w:rFonts w:ascii="Arial" w:cs="Arial" w:eastAsia="Arial" w:hAnsi="Arial"/>
          <w:sz w:val="17"/>
          <w:szCs w:val="17"/>
          <w:color w:val="auto"/>
        </w:rPr>
        <w:t>For the three months ended September 30, 2025, the increase in reported consolidated revenue was primarily driven by revenue growth across most of our reportable segments. The largest contributors of the revenue growth came from our Vista and PrintBrothers reportable segments. Revenue growth in Vista was led by strong performance in promotional products, apparel and gifts (PPAG) and packaging and labels, which delivered growth across all major markets. Our PrintBrothers reportable segment delivered revenue growth across all of their businesses, driven by the combination of increases in new customers and order volume growth.</w:t>
      </w:r>
    </w:p>
    <w:p>
      <w:pPr>
        <w:spacing w:after="0" w:line="154"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The increase to operating income of $9.6 million during the three months ended September 30, 2025 was primarily driven by incremental gross profit due to revenue growth discussed above. Across many of our businesses we continue to drive year-over-year advertising and operating expense efficiencies. These efficiencies, including from reductions in the second half of the prior fiscal year, helped offset the overall increase in operating expenses as compared to the prior year period, in part due to higher cash compensation costs driven by the timing of our annual merit cycle.</w:t>
      </w:r>
    </w:p>
    <w:p>
      <w:pPr>
        <w:spacing w:after="0" w:line="141"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For the three months ended September 30, 2025, net income increased by $ 18.9 million to $ 6.5 million due to the operating income increase described above as well as an increase in other income (expense) of $14.9 million primarily due to unrealized hedging gains of $3.5 million as compared to losses of $20.6 million in the prior-year period. This was partially offset by $8.8 million of higher income tax expense due primarily to increased income (loss) before income taxes.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p>
      <w:pPr>
        <w:ind w:right="820" w:firstLine="623"/>
        <w:spacing w:after="0" w:line="295" w:lineRule="auto"/>
        <w:rPr>
          <w:sz w:val="20"/>
          <w:szCs w:val="20"/>
          <w:color w:val="auto"/>
        </w:rPr>
      </w:pPr>
      <w:r>
        <w:rPr>
          <w:rFonts w:ascii="Arial" w:cs="Arial" w:eastAsia="Arial" w:hAnsi="Arial"/>
          <w:sz w:val="17"/>
          <w:szCs w:val="17"/>
          <w:color w:val="auto"/>
        </w:rPr>
        <w:t>Adjusted EBITDA increased during the three months ended September 30, 2025, for similar reasons described above as well as $2.9 million in year-over-year currency benefits, net of realized losses on certain currency hedge contracts.</w:t>
      </w:r>
    </w:p>
    <w:p>
      <w:pPr>
        <w:spacing w:after="0" w:line="117" w:lineRule="exact"/>
        <w:rPr>
          <w:sz w:val="20"/>
          <w:szCs w:val="20"/>
          <w:color w:val="auto"/>
        </w:rPr>
      </w:pPr>
    </w:p>
    <w:p>
      <w:pPr>
        <w:jc w:val="both"/>
        <w:ind w:right="100" w:firstLine="623"/>
        <w:spacing w:after="0" w:line="275" w:lineRule="auto"/>
        <w:rPr>
          <w:sz w:val="20"/>
          <w:szCs w:val="20"/>
          <w:color w:val="auto"/>
        </w:rPr>
      </w:pPr>
      <w:r>
        <w:rPr>
          <w:rFonts w:ascii="Arial" w:cs="Arial" w:eastAsia="Arial" w:hAnsi="Arial"/>
          <w:sz w:val="17"/>
          <w:szCs w:val="17"/>
          <w:color w:val="auto"/>
        </w:rPr>
        <w:t>During the three months ended September 30, 2025, cash from operations increased $20.7 million year over year, primarily driven by the higher net income as described above, as well as favorable changes in net working capital year over year of $16.3 million partially offset by higher cash taxes.</w:t>
      </w:r>
    </w:p>
    <w:p>
      <w:pPr>
        <w:spacing w:after="0" w:line="146"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Adjusted free cash flow increased by $7.9 million for the three months ended September 30, 2025, due to the operating cash flow increase described above, partially offset by a $9.4 million increase in capitalized expenditures due to planned investments in new production equipment and facility expansion and a $2.7 million increase in capitalized software and website development costs, primarily driven by investments in our mass customization platform and related technology enhancements.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2" w:lineRule="exact"/>
        <w:rPr>
          <w:sz w:val="20"/>
          <w:szCs w:val="20"/>
          <w:color w:val="auto"/>
        </w:rPr>
      </w:pPr>
    </w:p>
    <w:p>
      <w:pPr>
        <w:jc w:val="both"/>
        <w:ind w:right="36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Total revenue and revenue growth by reportable segment for the three months ended September 30, 2025 and 2024 are shown in the following tables. The revenue by reportable segment includes inter-segment transactions, which is when one Cimpress business chooses to buy from or sell to another Cimpress business that is part of a different reportable segment. These transactions are then eliminated in the inter-segment elimination line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2300" w:type="dxa"/>
            <w:vAlign w:val="bottom"/>
            <w:gridSpan w:val="4"/>
            <w:vMerge w:val="restart"/>
          </w:tcPr>
          <w:p>
            <w:pPr>
              <w:jc w:val="right"/>
              <w:ind w:right="124"/>
              <w:spacing w:after="0"/>
              <w:rPr>
                <w:sz w:val="20"/>
                <w:szCs w:val="20"/>
                <w:color w:val="auto"/>
              </w:rPr>
            </w:pPr>
            <w:r>
              <w:rPr>
                <w:rFonts w:ascii="Arial" w:cs="Arial" w:eastAsia="Arial" w:hAnsi="Arial"/>
                <w:sz w:val="12"/>
                <w:szCs w:val="12"/>
                <w:b w:val="1"/>
                <w:bCs w:val="1"/>
                <w:color w:val="auto"/>
              </w:rPr>
              <w:t>Three Months Ended September 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72"/>
        </w:trPr>
        <w:tc>
          <w:tcPr>
            <w:tcW w:w="20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2024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454,909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429,576</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184,711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160,424</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9"/>
              </w:rPr>
              <w:t>15%</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96,710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84,202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9"/>
              </w:rPr>
              <w:t>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103,209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93,590</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61,742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57,240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Inter-segment eliminations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863,277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804,969</w:t>
            </w:r>
          </w:p>
        </w:tc>
        <w:tc>
          <w:tcPr>
            <w:tcW w:w="8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34" w:lineRule="exact"/>
        <w:rPr>
          <w:sz w:val="20"/>
          <w:szCs w:val="20"/>
          <w:color w:val="auto"/>
        </w:rPr>
      </w:pPr>
    </w:p>
    <w:p>
      <w:pPr>
        <w:ind w:left="240" w:right="760" w:hanging="236"/>
        <w:spacing w:after="0" w:line="280"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updated methodology used for inter-segment transactions. Refer to Note 11 of the accompanying consolidated financial statements for additional details.</w:t>
      </w:r>
    </w:p>
    <w:p>
      <w:pPr>
        <w:ind w:left="240" w:right="140" w:hanging="236"/>
        <w:spacing w:after="0" w:line="256"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6" w:lineRule="exact"/>
        <w:rPr>
          <w:rFonts w:ascii="Arial" w:cs="Arial" w:eastAsia="Arial" w:hAnsi="Arial"/>
          <w:sz w:val="14"/>
          <w:szCs w:val="14"/>
          <w:color w:val="auto"/>
        </w:rPr>
      </w:pPr>
    </w:p>
    <w:p>
      <w:pPr>
        <w:ind w:left="240" w:right="240" w:hanging="236"/>
        <w:spacing w:after="0" w:line="262"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2" w:lineRule="exact"/>
        <w:rPr>
          <w:sz w:val="20"/>
          <w:szCs w:val="20"/>
          <w:color w:val="auto"/>
        </w:rPr>
      </w:pPr>
    </w:p>
    <w:p>
      <w:pPr>
        <w:ind w:left="240" w:right="40"/>
        <w:spacing w:after="0" w:line="26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right="100" w:firstLine="623"/>
        <w:spacing w:after="0" w:line="232" w:lineRule="auto"/>
        <w:rPr>
          <w:sz w:val="20"/>
          <w:szCs w:val="20"/>
          <w:color w:val="auto"/>
        </w:rPr>
      </w:pPr>
      <w:r>
        <w:rPr>
          <w:rFonts w:ascii="Arial" w:cs="Arial" w:eastAsia="Arial" w:hAnsi="Arial"/>
          <w:sz w:val="17"/>
          <w:szCs w:val="17"/>
          <w:color w:val="auto"/>
        </w:rPr>
        <w:t>For the three months ended September 30, 2025, the reported revenue growth of $58.3 million was primarily driven by revenue growth in our Vista and PrintBrothers reportable segments and $23.2 million of positive effects from currency exchange rate fluctuations as compared to the prior year. Excluding the effect of changes in currency exchange rates and inter-segment revenue, the largest increase in revenue was from our Vista business with an increase of $19.7 million for the three months ended September 30, 2025. Vista revenue was higher year over year across</w:t>
      </w:r>
    </w:p>
    <w:p>
      <w:pPr>
        <w:ind w:right="60"/>
        <w:spacing w:after="0" w:line="228" w:lineRule="auto"/>
        <w:rPr>
          <w:sz w:val="20"/>
          <w:szCs w:val="20"/>
          <w:color w:val="auto"/>
        </w:rPr>
      </w:pPr>
      <w:r>
        <w:rPr>
          <w:rFonts w:ascii="Arial" w:cs="Arial" w:eastAsia="Arial" w:hAnsi="Arial"/>
          <w:sz w:val="17"/>
          <w:szCs w:val="17"/>
          <w:color w:val="auto"/>
        </w:rPr>
        <w:t>all major markets, with the most significant growth in the PPAG and packaging and label product categories. Our PrintBrothers reportable segment also contributed $11.1 million of increased revenue for the three months ended September 30, 2025, excluding the effect of changes in currency exchange rates and inter-segment revenue, primarily driven by new customer and order volume growth, partially offset by customers purchasing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lower quantities in certain product categories.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additional discussion relating to segment revenue results, refer to the "Reportable Segment Results" section included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5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5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2024</w:t>
            </w: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460,476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422,736</w:t>
            </w:r>
          </w:p>
        </w:tc>
      </w:tr>
      <w:tr>
        <w:trPr>
          <w:trHeight w:val="206"/>
        </w:trPr>
        <w:tc>
          <w:tcPr>
            <w:tcW w:w="7560" w:type="dxa"/>
            <w:vAlign w:val="bottom"/>
          </w:tcPr>
          <w:p>
            <w:pPr>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53.3 %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52.5 %</w:t>
            </w:r>
          </w:p>
        </w:tc>
      </w:tr>
    </w:tbl>
    <w:p>
      <w:pPr>
        <w:spacing w:after="0" w:line="180"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For the three months ended September 30, 2025, cost of revenue increased by $37.7 million year over year, driven by increases in third-party fulfillment costs of $14.2 million, due in part to product mix shifts toward faster-growing product categories that leverage our third-party fulfillment network. In addition, internal variable manufacturing and shipping costs increased by $12.0 million and $5.0 million, respectively, primarily driven by volume-related increases. For both third-party and internal fulfillment costs, a smaller portion of the increase is also impacted by tariff-related cost increases in the U.S., which have largely been offset by price increases. Currency exchange rate fluctuations also increased the cost of revenue by $14.0 million, as compared to the prior 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00" w:type="dxa"/>
            <w:vAlign w:val="bottom"/>
          </w:tcPr>
          <w:p>
            <w:pPr>
              <w:spacing w:after="0"/>
              <w:rPr>
                <w:sz w:val="17"/>
                <w:szCs w:val="17"/>
                <w:color w:val="auto"/>
              </w:rPr>
            </w:pPr>
          </w:p>
        </w:tc>
      </w:tr>
      <w:tr>
        <w:trPr>
          <w:trHeight w:val="161"/>
        </w:trPr>
        <w:tc>
          <w:tcPr>
            <w:tcW w:w="68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84,886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81,861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10.2 %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210,398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203,847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24.4 %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25.3 %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53,996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51,932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4,252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0.5 %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201%</w:t>
            </w:r>
          </w:p>
        </w:tc>
      </w:tr>
      <w:tr>
        <w:trPr>
          <w:trHeight w:val="206"/>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8" w:name="page29"/>
    <w:bookmarkEnd w:id="28"/>
    <w:p>
      <w:pPr>
        <w:ind w:firstLine="623"/>
        <w:spacing w:after="0" w:line="268" w:lineRule="auto"/>
        <w:rPr>
          <w:sz w:val="20"/>
          <w:szCs w:val="20"/>
          <w:color w:val="auto"/>
        </w:rPr>
      </w:pPr>
      <w:r>
        <w:rPr>
          <w:rFonts w:ascii="Arial" w:cs="Arial" w:eastAsia="Arial" w:hAnsi="Arial"/>
          <w:sz w:val="17"/>
          <w:szCs w:val="17"/>
          <w:color w:val="auto"/>
        </w:rPr>
        <w:t>Technology and development expense increased by $3.0 million for the three months ended September 30, 2025, as compared to the prior year period. This increase was primarily driven by a $3.1 million increase in third-party technology costs, most of which related to further adoption of certain products offered through our mass customization platform, as well as increased business volume, which has collectively increased consumption of those services and related infrastructure costs.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20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right="260" w:firstLine="623"/>
        <w:spacing w:after="0" w:line="268" w:lineRule="auto"/>
        <w:rPr>
          <w:sz w:val="20"/>
          <w:szCs w:val="20"/>
          <w:color w:val="auto"/>
        </w:rPr>
      </w:pPr>
      <w:r>
        <w:rPr>
          <w:rFonts w:ascii="Arial" w:cs="Arial" w:eastAsia="Arial" w:hAnsi="Arial"/>
          <w:sz w:val="17"/>
          <w:szCs w:val="17"/>
          <w:color w:val="auto"/>
        </w:rPr>
        <w:t>For the three months ended September 30, 2025, marketing and selling expenses increased by $6.6 million, partly due to higher cash compensation costs of $3.9 million, driven by our annual merit cycle, as well as hiring in our Vista business. In addition, advertising spend increased by $1.8 million, as compared to the prior year period, largely due to volume-driven increases to advertising spend, as well as targeted advertising investments in certain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ind w:right="120" w:firstLine="623"/>
        <w:spacing w:after="0" w:line="263" w:lineRule="auto"/>
        <w:rPr>
          <w:sz w:val="20"/>
          <w:szCs w:val="20"/>
          <w:color w:val="auto"/>
        </w:rPr>
      </w:pPr>
      <w:r>
        <w:rPr>
          <w:rFonts w:ascii="Arial" w:cs="Arial" w:eastAsia="Arial" w:hAnsi="Arial"/>
          <w:sz w:val="17"/>
          <w:szCs w:val="17"/>
          <w:color w:val="auto"/>
        </w:rPr>
        <w:t>General and administrative expenses increased by $2.1 million during the three months ended September 30, 2025 as compared to the prior year period, driven by an increase in cash compensation costs of $2.7 million, primarily influenced by the timing of our annual merit cycle, as well as expense recognized during the first quarter of fiscal year 2026 for a sales tax reserve of $1.9 million. These increases were partially offset by lower long-term incentive cash compensation costs of $ 1.3 million due to changes in the estimated payout for certain businesses and lower share-based compensation costs of $1.6 million, driven by fluctuations in the attainment associated with the performance conditions of prior-year performance share units.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07"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7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7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r>
      <w:tr>
        <w:trPr>
          <w:trHeight w:val="202"/>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Gains (losses) on derivatives not designated as hedging instruments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(20,569)</w:t>
            </w: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Currency-related (losses) gains, net</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8,667</w:t>
            </w:r>
          </w:p>
        </w:tc>
      </w:tr>
      <w:tr>
        <w:trPr>
          <w:trHeight w:val="208"/>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Other gains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410</w:t>
            </w:r>
          </w:p>
        </w:tc>
      </w:tr>
      <w:tr>
        <w:trPr>
          <w:trHeight w:val="202"/>
        </w:trPr>
        <w:tc>
          <w:tcPr>
            <w:tcW w:w="7780" w:type="dxa"/>
            <w:vAlign w:val="bottom"/>
          </w:tcPr>
          <w:p>
            <w:pPr>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The changes in other income (expense),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firstLine="623"/>
        <w:spacing w:after="0" w:line="295" w:lineRule="auto"/>
        <w:rPr>
          <w:sz w:val="20"/>
          <w:szCs w:val="20"/>
          <w:color w:val="auto"/>
        </w:rPr>
      </w:pPr>
      <w:r>
        <w:rPr>
          <w:rFonts w:ascii="Arial" w:cs="Arial" w:eastAsia="Arial" w:hAnsi="Arial"/>
          <w:sz w:val="17"/>
          <w:szCs w:val="17"/>
          <w:color w:val="auto"/>
        </w:rPr>
        <w:t>We experience currency-related net gains and losses due to currency exchange rate volatility on our non-functional currency intercompany relationships, which we may alter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7" w:lineRule="exact"/>
        <w:rPr>
          <w:sz w:val="20"/>
          <w:szCs w:val="20"/>
          <w:color w:val="auto"/>
        </w:rPr>
      </w:pPr>
    </w:p>
    <w:p>
      <w:pPr>
        <w:ind w:right="320" w:firstLine="623"/>
        <w:spacing w:after="0" w:line="275" w:lineRule="auto"/>
        <w:rPr>
          <w:sz w:val="20"/>
          <w:szCs w:val="20"/>
          <w:color w:val="auto"/>
        </w:rPr>
      </w:pPr>
      <w:r>
        <w:rPr>
          <w:rFonts w:ascii="Arial" w:cs="Arial" w:eastAsia="Arial" w:hAnsi="Arial"/>
          <w:sz w:val="17"/>
          <w:szCs w:val="17"/>
          <w:color w:val="auto"/>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46" w:lineRule="exact"/>
        <w:rPr>
          <w:sz w:val="20"/>
          <w:szCs w:val="20"/>
          <w:color w:val="auto"/>
        </w:rPr>
      </w:pPr>
    </w:p>
    <w:p>
      <w:pPr>
        <w:ind w:right="300" w:firstLine="623"/>
        <w:spacing w:after="0" w:line="275" w:lineRule="auto"/>
        <w:rPr>
          <w:sz w:val="20"/>
          <w:szCs w:val="20"/>
          <w:color w:val="auto"/>
        </w:rPr>
      </w:pPr>
      <w:r>
        <w:rPr>
          <w:rFonts w:ascii="Arial" w:cs="Arial" w:eastAsia="Arial" w:hAnsi="Arial"/>
          <w:sz w:val="17"/>
          <w:szCs w:val="17"/>
          <w:color w:val="auto"/>
        </w:rPr>
        <w:t>Interest expense, net decreased $ 3.3 million during the three months ended September 30, 2025, primarily due to a year-over-year decrease to our weighted average interest rate (net of interest rate swaps) on our senior secured Term Loan B in part arising from our repricing action in December 2024 that reduced the credit spread on our outstanding debt.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5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5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2024</w:t>
            </w: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17,838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8,995</w:t>
            </w:r>
          </w:p>
        </w:tc>
      </w:tr>
      <w:tr>
        <w:trPr>
          <w:trHeight w:val="206"/>
        </w:trPr>
        <w:tc>
          <w:tcPr>
            <w:tcW w:w="7560" w:type="dxa"/>
            <w:vAlign w:val="bottom"/>
          </w:tcPr>
          <w:p>
            <w:pPr>
              <w:spacing w:after="0"/>
              <w:rPr>
                <w:sz w:val="20"/>
                <w:szCs w:val="20"/>
                <w:color w:val="auto"/>
              </w:rPr>
            </w:pPr>
            <w:r>
              <w:rPr>
                <w:rFonts w:ascii="Arial" w:cs="Arial" w:eastAsia="Arial" w:hAnsi="Arial"/>
                <w:sz w:val="16"/>
                <w:szCs w:val="16"/>
                <w:i w:val="1"/>
                <w:iCs w:val="1"/>
                <w:color w:val="auto"/>
              </w:rPr>
              <w:t>Effective tax rate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73.2 %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(265.4)%</w:t>
            </w:r>
          </w:p>
        </w:tc>
      </w:tr>
    </w:tbl>
    <w:p>
      <w:pPr>
        <w:spacing w:after="0" w:line="258" w:lineRule="exact"/>
        <w:rPr>
          <w:sz w:val="20"/>
          <w:szCs w:val="20"/>
          <w:color w:val="auto"/>
        </w:rPr>
      </w:pPr>
    </w:p>
    <w:p>
      <w:pPr>
        <w:ind w:right="240" w:firstLine="623"/>
        <w:spacing w:after="0" w:line="295" w:lineRule="auto"/>
        <w:rPr>
          <w:sz w:val="20"/>
          <w:szCs w:val="20"/>
          <w:color w:val="auto"/>
        </w:rPr>
      </w:pPr>
      <w:r>
        <w:rPr>
          <w:rFonts w:ascii="Arial" w:cs="Arial" w:eastAsia="Arial" w:hAnsi="Arial"/>
          <w:sz w:val="17"/>
          <w:szCs w:val="17"/>
          <w:color w:val="auto"/>
        </w:rPr>
        <w:t>Income tax expense for the three months ended September 30, 2025 increased versus the prior year primarily due to increased income (loss) before income taxes and various immaterial discrete items in both periods.</w:t>
      </w:r>
    </w:p>
    <w:p>
      <w:pPr>
        <w:spacing w:after="0" w:line="130" w:lineRule="exact"/>
        <w:rPr>
          <w:sz w:val="20"/>
          <w:szCs w:val="20"/>
          <w:color w:val="auto"/>
        </w:rPr>
      </w:pPr>
    </w:p>
    <w:p>
      <w:pPr>
        <w:jc w:val="both"/>
        <w:ind w:right="8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 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4" w:lineRule="exact"/>
        <w:rPr>
          <w:sz w:val="20"/>
          <w:szCs w:val="20"/>
          <w:color w:val="auto"/>
        </w:rPr>
      </w:pPr>
    </w:p>
    <w:p>
      <w:pPr>
        <w:ind w:right="4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previously implemented methodology used for inter-segment transactions during the first quarter of fiscal 2026. These transactions are when one Cimpress business chooses to buy from or sell to another Cimpress business. We also updated our internal organizational structure which included the transfer of two teams from our Vista reportable segment into our central functions. We have recast the prior periods presented for segment revenue and segment EBITDA for both changes to ensure comparability with the current fiscal year. These changes in methodology have no impact on our consolidated financial results. Refer to Note 11 in our accompanying consolidated financial statements for additional details.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Vista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454,909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429,576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6%</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89,986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81,142</w:t>
            </w:r>
          </w:p>
        </w:tc>
        <w:tc>
          <w:tcPr>
            <w:tcW w:w="100" w:type="dxa"/>
            <w:vAlign w:val="bottom"/>
          </w:tcPr>
          <w:p>
            <w:pPr>
              <w:spacing w:after="0"/>
              <w:rPr>
                <w:sz w:val="17"/>
                <w:szCs w:val="17"/>
                <w:color w:val="auto"/>
              </w:rPr>
            </w:pPr>
          </w:p>
        </w:tc>
        <w:tc>
          <w:tcPr>
            <w:tcW w:w="1160" w:type="dxa"/>
            <w:vAlign w:val="bottom"/>
          </w:tcPr>
          <w:p>
            <w:pPr>
              <w:jc w:val="right"/>
              <w:ind w:right="348"/>
              <w:spacing w:after="0"/>
              <w:rPr>
                <w:sz w:val="20"/>
                <w:szCs w:val="20"/>
                <w:color w:val="auto"/>
              </w:rPr>
            </w:pPr>
            <w:r>
              <w:rPr>
                <w:rFonts w:ascii="Arial" w:cs="Arial" w:eastAsia="Arial" w:hAnsi="Arial"/>
                <w:sz w:val="16"/>
                <w:szCs w:val="16"/>
                <w:color w:val="auto"/>
              </w:rPr>
              <w:t>11%</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340" w:hanging="236"/>
        <w:spacing w:after="0" w:line="262"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updated methodology used for inter-segment transactions and organizational changes that transferred two teams to our central functions. Refer to Note 11 of the accompanying consolidated financial statements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Vista's reported revenue growth for the three months ended September 30, 2025 was 6% and was positively affected by currency exchange rate fluctuations of 1%, resulting in constant-currency revenue growth of 5%. Revenue growth for the three months ended September 30, 2025 was stronger for product categories such as PPAG as well as packaging and labels and was supported by bookings growth for both new and repeat customers. Partially offsetting growth in these product categories was a decline in business card and stationery products, although the rate of decline was improved versus the prior year quarter.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months ended September 30, 2025, segment EBITDA increased by $8.8 million, primarily due to gross profit growth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$15.5 million, which was driven by the revenue growth described above. Partially offsetting the increase in gross profit was a $1.4 million increase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advertising spend that was primarily related to increases in performance advertising spend that supported the revenue growth described above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and, as a percentage of segment revenue, was lower year over year. In addition, operating expenses increased by $5.1 million, driven by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compensation increases from our annual merit cycle and improved customer self-service features to improve customer care efficiency.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184,711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160,424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25,739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20,194</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27%</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80" w:hanging="236"/>
        <w:spacing w:after="0" w:line="242"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updated methodology used for inter-segment transactions. Refer to Note 11 of the accompanying consolidated financial statements for additional details.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PrintBrothers' reported revenue growth for the three months ended September 30, 2025 was positively affected by currency exchange rate fluctions of 7%, resulting in organic constant currency revenue growth of 8%. Organic constant-currency revenue growth was driven primarily by customer and order volume growth across the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Segment Profitability</w:t>
      </w:r>
    </w:p>
    <w:p>
      <w:pPr>
        <w:spacing w:after="0" w:line="207"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PrintBrothers' segment EBITDA for the three months ended September 30, 2025 increased $5.5 million, primarily due to the revenue growth described above, as well as positive year-over-year impacts from currency exchange fluctuations of $1.6 million. This was partially offset by increases in advertising spend of $0.6 million, which as a percentage of external revenue is flat year over year, as well as an increases in operating expenses of $2.0 million, which is mostly driven by technology investments.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96,710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84,202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48"/>
              <w:spacing w:after="0"/>
              <w:rPr>
                <w:sz w:val="20"/>
                <w:szCs w:val="20"/>
                <w:color w:val="auto"/>
              </w:rPr>
            </w:pPr>
            <w:r>
              <w:rPr>
                <w:rFonts w:ascii="Arial" w:cs="Arial" w:eastAsia="Arial" w:hAnsi="Arial"/>
                <w:sz w:val="16"/>
                <w:szCs w:val="16"/>
                <w:color w:val="auto"/>
              </w:rPr>
              <w:t>15%</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18,671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18,062</w:t>
            </w:r>
          </w:p>
        </w:tc>
        <w:tc>
          <w:tcPr>
            <w:tcW w:w="100" w:type="dxa"/>
            <w:vAlign w:val="bottom"/>
          </w:tcPr>
          <w:p>
            <w:pPr>
              <w:spacing w:after="0"/>
              <w:rPr>
                <w:sz w:val="17"/>
                <w:szCs w:val="17"/>
                <w:color w:val="auto"/>
              </w:rPr>
            </w:pPr>
          </w:p>
        </w:tc>
        <w:tc>
          <w:tcPr>
            <w:tcW w:w="1160" w:type="dxa"/>
            <w:vAlign w:val="bottom"/>
          </w:tcPr>
          <w:p>
            <w:pPr>
              <w:jc w:val="right"/>
              <w:ind w:right="388"/>
              <w:spacing w:after="0"/>
              <w:rPr>
                <w:sz w:val="20"/>
                <w:szCs w:val="20"/>
                <w:color w:val="auto"/>
              </w:rPr>
            </w:pPr>
            <w:r>
              <w:rPr>
                <w:rFonts w:ascii="Arial" w:cs="Arial" w:eastAsia="Arial" w:hAnsi="Arial"/>
                <w:sz w:val="16"/>
                <w:szCs w:val="16"/>
                <w:color w:val="auto"/>
              </w:rPr>
              <w:t>3%</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80" w:hanging="236"/>
        <w:spacing w:after="0" w:line="262"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updated methodology used for inter-segment transactions. Refer to Note 11 of the accompanying consolidated financial statements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The Print Group's reported revenue growth was positively affected by currency exchange rate fluctuations of 7%, resulting in constant-currency revenue growth for the three months ended September 30, 2025 of 8%, and was primarily driven by increased fulfillment for other Cimpress businesses. External revenue growth was relatively flat year over year, as we continue to experience a shift to lower overall order values in certain product categories.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160" w:firstLine="623"/>
        <w:spacing w:after="0" w:line="266" w:lineRule="auto"/>
        <w:rPr>
          <w:sz w:val="20"/>
          <w:szCs w:val="20"/>
          <w:color w:val="auto"/>
        </w:rPr>
      </w:pPr>
      <w:r>
        <w:rPr>
          <w:rFonts w:ascii="Arial" w:cs="Arial" w:eastAsia="Arial" w:hAnsi="Arial"/>
          <w:sz w:val="17"/>
          <w:szCs w:val="17"/>
          <w:color w:val="auto"/>
        </w:rPr>
        <w:t>The Print Group's segment EBITDA increased $ 0.6 million during the three months ended September 30, 2025 as compared to the prior year, due in part to positive year-over-year impacts from currency exchange fluctuations of $1.1 million. Excluding the effect of currency, segment EBITDA declined by $0.4 million, due to a $2.2 million increase in variable long-term incentive compensation expense, driven by changes year over year in their estimated payouts. This cost increase was offset in part by an increase in gross profit, driven by the revenue growth described above.</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103,209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93,590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89"/>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86"/>
              <w:spacing w:after="0"/>
              <w:rPr>
                <w:sz w:val="20"/>
                <w:szCs w:val="20"/>
                <w:color w:val="auto"/>
              </w:rPr>
            </w:pPr>
            <w:r>
              <w:rPr>
                <w:rFonts w:ascii="Arial" w:cs="Arial" w:eastAsia="Arial" w:hAnsi="Arial"/>
                <w:sz w:val="16"/>
                <w:szCs w:val="16"/>
                <w:color w:val="auto"/>
              </w:rPr>
              <w:t>(4,572)</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48%</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80" w:hanging="236"/>
        <w:spacing w:after="0" w:line="242"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updated methodology used for inter-segment transactions. Refer to Note 11 of the accompanying consolidated financial statements for additional details.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For the three months ended September 30, 2025, National Pen's revenue growth was positively impacted 2% by currency exchange rate fluctuations, resulting in constant-currency revenue growth of 8% as compared to the prior year. National Pen revenue growth was driven by increases in fulfillment for other Cimpress businesses as well as growth in external revenue, mostly from tariff-related pricing increases. These increases were offset by revenue declines in mail order where National Pen continued to reduce and optimize their direct mail advertising spend.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42" w:lineRule="exact"/>
        <w:rPr>
          <w:sz w:val="20"/>
          <w:szCs w:val="20"/>
          <w:color w:val="auto"/>
        </w:rPr>
      </w:pPr>
    </w:p>
    <w:p>
      <w:pPr>
        <w:ind w:right="140" w:firstLine="623"/>
        <w:spacing w:after="0" w:line="275" w:lineRule="auto"/>
        <w:rPr>
          <w:sz w:val="20"/>
          <w:szCs w:val="20"/>
          <w:color w:val="auto"/>
        </w:rPr>
      </w:pPr>
      <w:r>
        <w:rPr>
          <w:rFonts w:ascii="Arial" w:cs="Arial" w:eastAsia="Arial" w:hAnsi="Arial"/>
          <w:sz w:val="17"/>
          <w:szCs w:val="17"/>
          <w:color w:val="auto"/>
        </w:rPr>
        <w:t>National Pen's segment EBITDA increased $2.2 million for the three months ended September 30, 2025, driven by a reduction in advertising spend of $1.1 million, most of which relates to the lower direct mail advertising as described above, as well as a $1.4 million decrease in variable long-term incentive compensation expense, driven by changes year over year in their estimated payouts.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and Printi, a smaller business that is an online printing leader in Brazil.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61,742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57,240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8%</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9,080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7"/>
                <w:szCs w:val="17"/>
                <w:color w:val="auto"/>
              </w:rPr>
            </w:pPr>
          </w:p>
        </w:tc>
        <w:tc>
          <w:tcPr>
            <w:tcW w:w="1160" w:type="dxa"/>
            <w:vAlign w:val="bottom"/>
          </w:tcPr>
          <w:p>
            <w:pPr>
              <w:jc w:val="right"/>
              <w:ind w:right="348"/>
              <w:spacing w:after="0"/>
              <w:rPr>
                <w:sz w:val="20"/>
                <w:szCs w:val="20"/>
                <w:color w:val="auto"/>
              </w:rPr>
            </w:pPr>
            <w:r>
              <w:rPr>
                <w:rFonts w:ascii="Arial" w:cs="Arial" w:eastAsia="Arial" w:hAnsi="Arial"/>
                <w:sz w:val="16"/>
                <w:szCs w:val="16"/>
                <w:color w:val="auto"/>
              </w:rPr>
              <w:t>32%</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80" w:hanging="236"/>
        <w:spacing w:after="0" w:line="262" w:lineRule="auto"/>
        <w:tabs>
          <w:tab w:leader="none" w:pos="21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updated methodology used for inter-segment transactions. Refer to Note 11 of the accompanying consolidated financial statements for additional details.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color w:val="auto"/>
        </w:rPr>
        <w:t>All Other Businesses' reported and constant-currency revenue growth was 8% for the three months ended September 30, 2025. BuildASign, the largest business in this segment, delivered strong growth from fulfillment for other Cimpress businesses as well as growth in the packaging product category, which was partially offset by lower revenue for signage products. Our smaller Printi business delivered constant-currency revenue growth versus the prior year.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300" w:firstLine="623"/>
        <w:spacing w:after="0" w:line="275" w:lineRule="auto"/>
        <w:rPr>
          <w:sz w:val="20"/>
          <w:szCs w:val="20"/>
          <w:color w:val="auto"/>
        </w:rPr>
      </w:pPr>
      <w:r>
        <w:rPr>
          <w:rFonts w:ascii="Arial" w:cs="Arial" w:eastAsia="Arial" w:hAnsi="Arial"/>
          <w:sz w:val="17"/>
          <w:szCs w:val="17"/>
          <w:color w:val="auto"/>
        </w:rPr>
        <w:t>For the three months ended September 30, 2025, segment EBITDA increased $2.2 million versus the prior year, largely driven by the cross-Cimpress revenue growth described above as well as lower variable long-term incentive compensation expense of $1.9 million, driven by changes year over year in estimated payouts.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19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real estate, corporate communications,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During the three months ended September 30, 2025, central and corporate costs decreased by $0.2 million as compared to the prior year, due primarily to a reduction in unallocated share-based compensation expense year over year of $ 1.6 million, driven by fluctuations in the attainment associated with the performance conditions of prior-year performance share units. This decrease was partially offset by higher third-party technology costs as a result of continued adoption and usage of mass customization platform products that are developed by our central technology teams.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7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549"/>
              <w:spacing w:after="0"/>
              <w:rPr>
                <w:sz w:val="20"/>
                <w:szCs w:val="20"/>
                <w:color w:val="auto"/>
              </w:rPr>
            </w:pPr>
            <w:r>
              <w:rPr>
                <w:rFonts w:ascii="Arial" w:cs="Arial" w:eastAsia="Arial" w:hAnsi="Arial"/>
                <w:sz w:val="16"/>
                <w:szCs w:val="16"/>
                <w:color w:val="auto"/>
                <w:w w:val="98"/>
              </w:rPr>
              <w:t>25,059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w:t>
            </w:r>
          </w:p>
        </w:tc>
      </w:tr>
      <w:tr>
        <w:trPr>
          <w:trHeight w:val="207"/>
        </w:trPr>
        <w:tc>
          <w:tcPr>
            <w:tcW w:w="77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7"/>
                <w:szCs w:val="17"/>
                <w:color w:val="auto"/>
              </w:rPr>
            </w:pPr>
          </w:p>
        </w:tc>
        <w:tc>
          <w:tcPr>
            <w:tcW w:w="1260" w:type="dxa"/>
            <w:vAlign w:val="bottom"/>
          </w:tcPr>
          <w:p>
            <w:pPr>
              <w:jc w:val="center"/>
              <w:ind w:left="529"/>
              <w:spacing w:after="0"/>
              <w:rPr>
                <w:sz w:val="20"/>
                <w:szCs w:val="20"/>
                <w:color w:val="auto"/>
              </w:rPr>
            </w:pPr>
            <w:r>
              <w:rPr>
                <w:rFonts w:ascii="Arial" w:cs="Arial" w:eastAsia="Arial" w:hAnsi="Arial"/>
                <w:sz w:val="16"/>
                <w:szCs w:val="16"/>
                <w:color w:val="auto"/>
                <w:w w:val="97"/>
              </w:rPr>
              <w:t>(42,818)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(25,502)</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29"/>
              <w:spacing w:after="0"/>
              <w:rPr>
                <w:sz w:val="20"/>
                <w:szCs w:val="20"/>
                <w:color w:val="auto"/>
              </w:rPr>
            </w:pPr>
            <w:r>
              <w:rPr>
                <w:rFonts w:ascii="Arial" w:cs="Arial" w:eastAsia="Arial" w:hAnsi="Arial"/>
                <w:sz w:val="16"/>
                <w:szCs w:val="16"/>
                <w:color w:val="auto"/>
                <w:w w:val="97"/>
              </w:rPr>
              <w:t>(14,656)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(35,416)</w:t>
            </w:r>
          </w:p>
        </w:tc>
      </w:tr>
    </w:tbl>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three months ended September 30, 2025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income of $6.5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3" w:name="page34"/>
    <w:bookmarkEnd w:id="33"/>
    <w:p>
      <w:pPr>
        <w:ind w:left="620" w:right="160" w:hanging="305"/>
        <w:spacing w:after="0" w:line="27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Adjustments for non-cash items of $48.6 million primarily related to adjustments for depreciation and amortization of $36.6 million, share-based compensation costs of $14.8 million and deferred taxes of $2.8 million, offset in part by unrealized currency-related gains of $7.7 million</w:t>
      </w:r>
    </w:p>
    <w:p>
      <w:pPr>
        <w:spacing w:after="0" w:line="132"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sale of assets of $0.8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exercise of options of $0.5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right="700" w:hanging="305"/>
        <w:spacing w:after="0" w:line="29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working capital outflows of $30.1 million, primarily due to typical fluctuations from seasonal trends that resulted in increases in accounts receivables and inventory levels</w:t>
      </w:r>
    </w:p>
    <w:p>
      <w:pPr>
        <w:spacing w:after="0" w:line="129" w:lineRule="exact"/>
        <w:rPr>
          <w:rFonts w:ascii="Arial" w:cs="Arial" w:eastAsia="Arial" w:hAnsi="Arial"/>
          <w:sz w:val="17"/>
          <w:szCs w:val="17"/>
          <w:color w:val="auto"/>
        </w:rPr>
      </w:pPr>
    </w:p>
    <w:p>
      <w:pPr>
        <w:ind w:left="620" w:right="180" w:hanging="305"/>
        <w:spacing w:after="0" w:line="29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Capital expenditures of $26.4 million, of which the majority is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Internal and external costs of $17.3 million for software and website development that we have capitalized</w:t>
      </w:r>
    </w:p>
    <w:p>
      <w:pPr>
        <w:spacing w:after="0" w:line="193" w:lineRule="exact"/>
        <w:rPr>
          <w:rFonts w:ascii="Arial" w:cs="Arial" w:eastAsia="Arial" w:hAnsi="Arial"/>
          <w:sz w:val="17"/>
          <w:szCs w:val="17"/>
          <w:color w:val="auto"/>
        </w:rPr>
      </w:pPr>
    </w:p>
    <w:p>
      <w:pPr>
        <w:ind w:left="620" w:right="60" w:hanging="305"/>
        <w:spacing w:after="0" w:line="29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$6.7 million, primarily driven by the vesting of restricted and performance share unit grants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repayments of debt of $3.7 million, primarily including our Term Loan B amortization payment</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Purchases of our ordinary shares for $2.7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Payments for finance lease arrangements of $2.0 million</w:t>
      </w:r>
    </w:p>
    <w:p>
      <w:pPr>
        <w:spacing w:after="0" w:line="207"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September 30, 2025, we had $ 200.5 million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$1,600.9 million of debt, excluding debt issuance costs and debt premiums and discounts. During the three months ended September 30, 2025, we financed our operations and strategic investments through internally generated cash flows from operations and cash on hand. We expect to finance our future operations through our cash, operating cash flow, and borrowings under our debt arrangements.</w:t>
      </w:r>
    </w:p>
    <w:p>
      <w:pPr>
        <w:spacing w:after="0" w:line="152"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three months ended September 30, 2025, we purchased and retired 45,000 of our ordinary shares for $2.7 million. We evaluate share repurchases, as any other use of capital, relative to our view of the impact on our intrinsic value per share compared against other opportunities.</w:t>
      </w:r>
    </w:p>
    <w:p>
      <w:pPr>
        <w:spacing w:after="0" w:line="139"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spacing w:after="0" w:line="15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September 30, 2025,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$97.0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September 30, 2025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Less</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w w:val="91"/>
              </w:rPr>
              <w:t>1-3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rPr>
              <w:t>than 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07"/>
              <w:spacing w:after="0"/>
              <w:rPr>
                <w:sz w:val="20"/>
                <w:szCs w:val="20"/>
                <w:color w:val="auto"/>
              </w:rPr>
            </w:pPr>
            <w:r>
              <w:rPr>
                <w:rFonts w:ascii="Arial" w:cs="Arial" w:eastAsia="Arial" w:hAnsi="Arial"/>
                <w:sz w:val="12"/>
                <w:szCs w:val="12"/>
                <w:b w:val="1"/>
                <w:bCs w:val="1"/>
                <w:color w:val="auto"/>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23,499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24,454</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429,237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173,362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138,215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111,421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6,239</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1,242,763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796,033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602,438</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6,056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10,556</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219,701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643,687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2" w:lineRule="exact"/>
        <w:rPr>
          <w:rFonts w:ascii="Arial" w:cs="Arial" w:eastAsia="Arial" w:hAnsi="Arial"/>
          <w:sz w:val="14"/>
          <w:szCs w:val="14"/>
          <w:color w:val="auto"/>
        </w:rPr>
      </w:pPr>
    </w:p>
    <w:p>
      <w:pPr>
        <w:ind w:left="240" w:right="80" w:hanging="236"/>
        <w:spacing w:after="0" w:line="256"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September 30, 2025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68"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$0.4 million as of September 30, 2025 have been excluded from the contractual obligations table above. See Note 9 in our accompanying consolidated financial statements for additional information on uncertain tax positions.</w:t>
      </w:r>
    </w:p>
    <w:p>
      <w:pPr>
        <w:spacing w:after="0" w:line="163" w:lineRule="exact"/>
        <w:rPr>
          <w:sz w:val="20"/>
          <w:szCs w:val="20"/>
          <w:color w:val="auto"/>
        </w:rPr>
      </w:pPr>
    </w:p>
    <w:p>
      <w:pPr>
        <w:jc w:val="both"/>
        <w:ind w:right="16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2037.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$4.5 million in the aggregate outstanding as of September 30, 2025.</w:t>
      </w:r>
    </w:p>
    <w:p>
      <w:pPr>
        <w:spacing w:after="0" w:line="133"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September 30, 2025, we had unrecorded commitments under contract of $ 429.2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cloud services of $253.2 million; third-party fulfillment and digital services of $87.7 million; software of $40.1 million; insurance costs of $18.4 million; production-related temporary labor of $11.9 million; professional and consulting fees of $7.6 million; production and computer equipment purchases of $4.0 million; advertising of $3.7 million; and other commitments of $2.6 million.</w:t>
      </w:r>
    </w:p>
    <w:p>
      <w:pPr>
        <w:spacing w:after="0" w:line="15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On September 26, 2024, we entered into an amendment to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$232.0 million unused as of September 30, 2025.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September 26, 2029. Interest payable included in the above table is based on the interest rate as of September 30, 2025 and assumes all Term SOFR-based revolving loan amounts outstanding will not be paid until maturity but that the term loan amortization payments will be made according to our defined schedule. As of September 30, 2025, we have borrowings under our Restated Credit Agreement of $1,070.1 million, consisting of the Term Loan B, which amortizes over the loan period, with a final maturity date of May 17, 2028.</w:t>
      </w:r>
    </w:p>
    <w:p>
      <w:pPr>
        <w:spacing w:after="0" w:line="165"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i w:val="1"/>
          <w:iCs w:val="1"/>
          <w:color w:val="auto"/>
        </w:rPr>
        <w:t xml:space="preserve">2032 Senior Notes and Interest Payments. </w:t>
      </w:r>
      <w:r>
        <w:rPr>
          <w:rFonts w:ascii="Arial" w:cs="Arial" w:eastAsia="Arial" w:hAnsi="Arial"/>
          <w:sz w:val="17"/>
          <w:szCs w:val="17"/>
          <w:color w:val="auto"/>
        </w:rPr>
        <w:t>On September 26, 2024, we completed a private placement of $525.0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March 15 and September 15 of each year. Refer to Note 8 in the accompanying consolidated financial statements for additional information.</w:t>
      </w:r>
    </w:p>
    <w:p>
      <w:pPr>
        <w:spacing w:after="0" w:line="194"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2032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September 30, 2025, we were in compliance with all covenants under our Restated Credit Agreement and the indenture governing our 2032 Notes. Refer to Note 8 in the accompanying consolidated financial statements for additional information.</w:t>
      </w:r>
    </w:p>
    <w:p>
      <w:pPr>
        <w:spacing w:after="0" w:line="152" w:lineRule="exact"/>
        <w:rPr>
          <w:sz w:val="20"/>
          <w:szCs w:val="20"/>
          <w:color w:val="auto"/>
        </w:rPr>
      </w:pPr>
    </w:p>
    <w:p>
      <w:pPr>
        <w:jc w:val="both"/>
        <w:ind w:right="30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September 30, 2025, we had $5.8 million outstanding for those obligations that have repayments due on various dates through September 2028.</w:t>
      </w:r>
    </w:p>
    <w:p>
      <w:pPr>
        <w:spacing w:after="0" w:line="14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assets under finance leases included in property, plant and equipment, net in our consolidated balance sheet at September 30, 2025 is $29.5 million, net of accumulated depreciation of $35.9 million. The present value of lease installments not yet due included in other current liabilities and other liabilities in our consolidated balance sheet at September 30, 2025 amounts to $33.7 million.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09"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154"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Adjusted EBITDA is defined as net income (loss) plus income tax expense plus (gain) loss on early extinguishment of debt plus interest expense, net plus other expense (income), net plus depreciation and amortization plus share-based compensation expense plus earn-out related charges plus certain impairments plus restructuring 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spacing w:after="0" w:line="14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spacing w:after="0" w:line="154" w:lineRule="exact"/>
        <w:rPr>
          <w:sz w:val="20"/>
          <w:szCs w:val="20"/>
          <w:color w:val="auto"/>
        </w:rPr>
      </w:pPr>
    </w:p>
    <w:p>
      <w:pPr>
        <w:ind w:right="80" w:firstLine="623"/>
        <w:spacing w:after="0" w:line="260"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adjusted free cash flow measure has limitations as it may omit certain components of the overall cash</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ind w:right="140"/>
        <w:spacing w:after="0" w:line="268" w:lineRule="auto"/>
        <w:rPr>
          <w:sz w:val="20"/>
          <w:szCs w:val="20"/>
          <w:color w:val="auto"/>
        </w:rPr>
      </w:pPr>
      <w:r>
        <w:rPr>
          <w:rFonts w:ascii="Arial" w:cs="Arial" w:eastAsia="Arial" w:hAnsi="Arial"/>
          <w:sz w:val="17"/>
          <w:szCs w:val="17"/>
          <w:color w:val="auto"/>
        </w:rPr>
        <w:t>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net income (loss) and adjusted EBITDA for the three months ended September 30, 2025 and 2024:</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78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7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r>
      <w:tr>
        <w:trPr>
          <w:trHeight w:val="202"/>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w:t>
            </w: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8,995</w:t>
            </w:r>
          </w:p>
        </w:tc>
      </w:tr>
      <w:tr>
        <w:trPr>
          <w:trHeight w:val="207"/>
        </w:trPr>
        <w:tc>
          <w:tcPr>
            <w:tcW w:w="7780" w:type="dxa"/>
            <w:vAlign w:val="bottom"/>
          </w:tcPr>
          <w:p>
            <w:pPr>
              <w:ind w:left="120"/>
              <w:spacing w:after="0"/>
              <w:rPr>
                <w:sz w:val="20"/>
                <w:szCs w:val="20"/>
                <w:color w:val="auto"/>
              </w:rPr>
            </w:pPr>
            <w:r>
              <w:rPr>
                <w:rFonts w:ascii="Arial" w:cs="Arial" w:eastAsia="Arial" w:hAnsi="Arial"/>
                <w:sz w:val="16"/>
                <w:szCs w:val="16"/>
                <w:color w:val="auto"/>
              </w:rPr>
              <w:t>Gain on early extinguishment of debt</w:t>
            </w:r>
          </w:p>
        </w:tc>
        <w:tc>
          <w:tcPr>
            <w:tcW w:w="3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09"/>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31,415</w:t>
            </w:r>
          </w:p>
        </w:tc>
      </w:tr>
      <w:tr>
        <w:trPr>
          <w:trHeight w:val="207"/>
        </w:trPr>
        <w:tc>
          <w:tcPr>
            <w:tcW w:w="77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11,492</w:t>
            </w:r>
          </w:p>
        </w:tc>
      </w:tr>
      <w:tr>
        <w:trPr>
          <w:trHeight w:val="209"/>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35,546</w:t>
            </w:r>
          </w:p>
        </w:tc>
      </w:tr>
      <w:tr>
        <w:trPr>
          <w:trHeight w:val="207"/>
        </w:trPr>
        <w:tc>
          <w:tcPr>
            <w:tcW w:w="778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15,633</w:t>
            </w:r>
          </w:p>
        </w:tc>
      </w:tr>
      <w:tr>
        <w:trPr>
          <w:trHeight w:val="209"/>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Certain impairments and other adjustments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07"/>
        </w:trPr>
        <w:tc>
          <w:tcPr>
            <w:tcW w:w="7780" w:type="dxa"/>
            <w:vAlign w:val="bottom"/>
          </w:tcPr>
          <w:p>
            <w:pPr>
              <w:ind w:left="120"/>
              <w:spacing w:after="0"/>
              <w:rPr>
                <w:sz w:val="20"/>
                <w:szCs w:val="20"/>
                <w:color w:val="auto"/>
              </w:rPr>
            </w:pPr>
            <w:r>
              <w:rPr>
                <w:rFonts w:ascii="Arial" w:cs="Arial" w:eastAsia="Arial" w:hAnsi="Arial"/>
                <w:sz w:val="16"/>
                <w:szCs w:val="16"/>
                <w:color w:val="auto"/>
              </w:rPr>
              <w:t>Restructuring-related charges</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99</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 certain items that are a part of other income (expense),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Realized losses on currency derivatives (1)</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r>
      <w:tr>
        <w:trPr>
          <w:trHeight w:val="22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98,715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87,771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7" w:lineRule="exact"/>
        <w:rPr>
          <w:sz w:val="20"/>
          <w:szCs w:val="20"/>
          <w:color w:val="auto"/>
        </w:rPr>
      </w:pPr>
    </w:p>
    <w:p>
      <w:pPr>
        <w:ind w:left="240" w:right="40" w:hanging="236"/>
        <w:spacing w:after="0" w:line="281" w:lineRule="auto"/>
        <w:tabs>
          <w:tab w:leader="none" w:pos="2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realized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89"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three months ended September 30,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7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2024</w:t>
            </w: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25,059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4,384</w:t>
            </w:r>
          </w:p>
        </w:tc>
      </w:tr>
      <w:tr>
        <w:trPr>
          <w:trHeight w:val="207"/>
        </w:trPr>
        <w:tc>
          <w:tcPr>
            <w:tcW w:w="778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(17,001)</w:t>
            </w:r>
          </w:p>
        </w:tc>
      </w:tr>
      <w:tr>
        <w:trPr>
          <w:trHeight w:val="20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(14,571)</w:t>
            </w:r>
          </w:p>
        </w:tc>
      </w:tr>
      <w:tr>
        <w:trPr>
          <w:trHeight w:val="207"/>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1,570</w:t>
            </w:r>
          </w:p>
        </w:tc>
      </w:tr>
      <w:tr>
        <w:trPr>
          <w:trHeight w:val="22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As of September 30, 2025,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6" w:lineRule="exact"/>
        <w:rPr>
          <w:sz w:val="20"/>
          <w:szCs w:val="20"/>
          <w:color w:val="auto"/>
        </w:rPr>
      </w:pPr>
    </w:p>
    <w:p>
      <w:pPr>
        <w:ind w:right="200" w:firstLine="623"/>
        <w:spacing w:after="0" w:line="263" w:lineRule="auto"/>
        <w:rPr>
          <w:sz w:val="20"/>
          <w:szCs w:val="20"/>
          <w:color w:val="auto"/>
        </w:rPr>
      </w:pPr>
      <w:r>
        <w:rPr>
          <w:rFonts w:ascii="Arial" w:cs="Arial" w:eastAsia="Arial" w:hAnsi="Arial"/>
          <w:sz w:val="17"/>
          <w:szCs w:val="17"/>
          <w:color w:val="auto"/>
        </w:rPr>
        <w:t>As of September 30, 2025, we had $1,070.1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September 30, 2025, a hypothetical 100 basis point increase in rates, inclusive of the impact of our outstanding interest rate swaps that are accruing interest as of September 30, 2025, would result in an $8.0 million impact to interest expense over the next 12 months. This does not include any yield from cash and marketable securities.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7" w:name="page38"/>
    <w:bookmarkEnd w:id="37"/>
    <w:p>
      <w:pPr>
        <w:ind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41" w:lineRule="exact"/>
        <w:rPr>
          <w:sz w:val="20"/>
          <w:szCs w:val="20"/>
          <w:color w:val="auto"/>
        </w:rPr>
      </w:pPr>
    </w:p>
    <w:p>
      <w:pPr>
        <w:ind w:left="620" w:right="120" w:hanging="305"/>
        <w:spacing w:after="0" w:line="26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dollar could result in higher or lower net income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52" w:lineRule="exact"/>
        <w:rPr>
          <w:rFonts w:ascii="Arial" w:cs="Arial" w:eastAsia="Arial" w:hAnsi="Arial"/>
          <w:sz w:val="17"/>
          <w:szCs w:val="17"/>
          <w:color w:val="auto"/>
        </w:rPr>
      </w:pPr>
    </w:p>
    <w:p>
      <w:pPr>
        <w:ind w:left="620" w:right="8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British Pound.</w:t>
      </w:r>
    </w:p>
    <w:p>
      <w:pPr>
        <w:spacing w:after="0" w:line="152" w:lineRule="exact"/>
        <w:rPr>
          <w:rFonts w:ascii="Arial" w:cs="Arial" w:eastAsia="Arial" w:hAnsi="Arial"/>
          <w:sz w:val="17"/>
          <w:szCs w:val="17"/>
          <w:color w:val="auto"/>
        </w:rPr>
      </w:pPr>
    </w:p>
    <w:p>
      <w:pPr>
        <w:ind w:left="620" w:right="22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39" w:lineRule="exact"/>
        <w:rPr>
          <w:rFonts w:ascii="Arial" w:cs="Arial" w:eastAsia="Arial" w:hAnsi="Arial"/>
          <w:sz w:val="17"/>
          <w:szCs w:val="17"/>
          <w:color w:val="auto"/>
        </w:rPr>
      </w:pPr>
    </w:p>
    <w:p>
      <w:pPr>
        <w:ind w:left="620" w:hanging="305"/>
        <w:spacing w:after="0" w:line="265"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53" w:lineRule="exact"/>
        <w:rPr>
          <w:rFonts w:ascii="Arial" w:cs="Arial" w:eastAsia="Arial" w:hAnsi="Arial"/>
          <w:sz w:val="17"/>
          <w:szCs w:val="17"/>
          <w:color w:val="auto"/>
        </w:rPr>
      </w:pPr>
    </w:p>
    <w:p>
      <w:pPr>
        <w:ind w:left="620" w:right="20" w:hanging="305"/>
        <w:spacing w:after="0" w:line="25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are non-U.S. dollar loans that we hedge with cross-currency swap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$25.1 million on our income (loss) before income taxes for the three months ended September 30,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5"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2025.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17"/>
          <w:szCs w:val="17"/>
          <w:color w:val="auto"/>
        </w:rPr>
        <w:t>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5"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September 30, 2025 that materially affected, or are reasonably likely to materially affect, our internal control over financial reporting.</w:t>
      </w:r>
    </w:p>
    <w:p>
      <w:pPr>
        <w:spacing w:after="0" w:line="370"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PART II. OTHER INFORMATION</w:t>
      </w:r>
    </w:p>
    <w:p>
      <w:pPr>
        <w:spacing w:after="0" w:line="18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48" w:lineRule="exact"/>
        <w:rPr>
          <w:sz w:val="20"/>
          <w:szCs w:val="20"/>
          <w:color w:val="auto"/>
        </w:rPr>
      </w:pPr>
    </w:p>
    <w:p>
      <w:pPr>
        <w:ind w:firstLine="192"/>
        <w:spacing w:after="0" w:line="268" w:lineRule="auto"/>
        <w:rPr>
          <w:sz w:val="20"/>
          <w:szCs w:val="20"/>
          <w:color w:val="auto"/>
        </w:rPr>
      </w:pPr>
      <w:r>
        <w:rPr>
          <w:rFonts w:ascii="Arial" w:cs="Arial" w:eastAsia="Arial" w:hAnsi="Arial"/>
          <w:sz w:val="17"/>
          <w:szCs w:val="17"/>
          <w:color w:val="auto"/>
        </w:rPr>
        <w:t>On May 29, 2024, we announced that our Board had authorized the repurchase of up to an additional $200.0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repurchase program, and we may suspend or discontinue our share repurchases at any time.</w:t>
      </w:r>
    </w:p>
    <w:p>
      <w:pPr>
        <w:spacing w:after="0" w:line="191" w:lineRule="exact"/>
        <w:rPr>
          <w:sz w:val="20"/>
          <w:szCs w:val="20"/>
          <w:color w:val="auto"/>
        </w:rPr>
      </w:pPr>
    </w:p>
    <w:p>
      <w:pPr>
        <w:ind w:right="100" w:firstLine="623"/>
        <w:spacing w:after="0" w:line="278" w:lineRule="auto"/>
        <w:rPr>
          <w:sz w:val="20"/>
          <w:szCs w:val="20"/>
          <w:color w:val="auto"/>
        </w:rPr>
      </w:pPr>
      <w:r>
        <w:rPr>
          <w:rFonts w:ascii="Arial" w:cs="Arial" w:eastAsia="Arial" w:hAnsi="Arial"/>
          <w:sz w:val="17"/>
          <w:szCs w:val="17"/>
          <w:color w:val="auto"/>
        </w:rPr>
        <w:t>The following table outlines the repurchase of our ordinary shares during the three months ended September 30, 2025 under the program described above:</w:t>
      </w:r>
    </w:p>
    <w:tbl>
      <w:tblPr>
        <w:tblLayout w:type="fixed"/>
        <w:tblInd w:w="0" w:type="dxa"/>
        <w:tblCellMar>
          <w:top w:w="0" w:type="dxa"/>
          <w:left w:w="0" w:type="dxa"/>
          <w:bottom w:w="0" w:type="dxa"/>
          <w:right w:w="0" w:type="dxa"/>
        </w:tblCellMar>
      </w:tblPr>
      <w:tr>
        <w:trPr>
          <w:trHeight w:val="122"/>
        </w:trPr>
        <w:tc>
          <w:tcPr>
            <w:tcW w:w="4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Total Number of Shares</w:t>
            </w:r>
          </w:p>
        </w:tc>
        <w:tc>
          <w:tcPr>
            <w:tcW w:w="1620" w:type="dxa"/>
            <w:vAlign w:val="bottom"/>
            <w:gridSpan w:val="2"/>
          </w:tcPr>
          <w:p>
            <w:pPr>
              <w:jc w:val="right"/>
              <w:ind w:right="10"/>
              <w:spacing w:after="0" w:line="122" w:lineRule="exact"/>
              <w:rPr>
                <w:sz w:val="20"/>
                <w:szCs w:val="20"/>
                <w:color w:val="auto"/>
              </w:rPr>
            </w:pPr>
            <w:r>
              <w:rPr>
                <w:rFonts w:ascii="Arial" w:cs="Arial" w:eastAsia="Arial" w:hAnsi="Arial"/>
                <w:sz w:val="12"/>
                <w:szCs w:val="12"/>
                <w:b w:val="1"/>
                <w:bCs w:val="1"/>
                <w:color w:val="auto"/>
              </w:rPr>
              <w:t>Approximate Dollar Value</w:t>
            </w:r>
          </w:p>
        </w:tc>
        <w:tc>
          <w:tcPr>
            <w:tcW w:w="0" w:type="dxa"/>
            <w:vAlign w:val="bottom"/>
          </w:tcPr>
          <w:p>
            <w:pPr>
              <w:spacing w:after="0"/>
              <w:rPr>
                <w:sz w:val="1"/>
                <w:szCs w:val="1"/>
                <w:color w:val="auto"/>
              </w:rPr>
            </w:pPr>
          </w:p>
        </w:tc>
      </w:tr>
      <w:tr>
        <w:trPr>
          <w:trHeight w:val="130"/>
        </w:trPr>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20" w:type="dxa"/>
            <w:vAlign w:val="bottom"/>
            <w:gridSpan w:val="2"/>
          </w:tcPr>
          <w:p>
            <w:pPr>
              <w:jc w:val="right"/>
              <w:ind w:right="10"/>
              <w:spacing w:after="0" w:line="130" w:lineRule="exact"/>
              <w:rPr>
                <w:sz w:val="20"/>
                <w:szCs w:val="20"/>
                <w:color w:val="auto"/>
              </w:rPr>
            </w:pPr>
            <w:r>
              <w:rPr>
                <w:rFonts w:ascii="Arial" w:cs="Arial" w:eastAsia="Arial" w:hAnsi="Arial"/>
                <w:sz w:val="12"/>
                <w:szCs w:val="12"/>
                <w:b w:val="1"/>
                <w:bCs w:val="1"/>
                <w:color w:val="auto"/>
              </w:rPr>
              <w:t>of Shares that May Yet be</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Total Number of Shares</w:t>
            </w:r>
          </w:p>
        </w:tc>
        <w:tc>
          <w:tcPr>
            <w:tcW w:w="120" w:type="dxa"/>
            <w:vAlign w:val="bottom"/>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Average Price Paid Per</w:t>
            </w:r>
          </w:p>
        </w:tc>
        <w:tc>
          <w:tcPr>
            <w:tcW w:w="16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Purchased as Part of a</w:t>
            </w:r>
          </w:p>
        </w:tc>
        <w:tc>
          <w:tcPr>
            <w:tcW w:w="160" w:type="dxa"/>
            <w:vAlign w:val="bottom"/>
          </w:tcPr>
          <w:p>
            <w:pPr>
              <w:spacing w:after="0"/>
              <w:rPr>
                <w:sz w:val="10"/>
                <w:szCs w:val="10"/>
                <w:color w:val="auto"/>
              </w:rPr>
            </w:pPr>
          </w:p>
        </w:tc>
        <w:tc>
          <w:tcPr>
            <w:tcW w:w="1460" w:type="dxa"/>
            <w:vAlign w:val="bottom"/>
          </w:tcPr>
          <w:p>
            <w:pPr>
              <w:jc w:val="center"/>
              <w:ind w:right="90"/>
              <w:spacing w:after="0" w:line="117" w:lineRule="exact"/>
              <w:rPr>
                <w:sz w:val="20"/>
                <w:szCs w:val="20"/>
                <w:color w:val="auto"/>
              </w:rPr>
            </w:pPr>
            <w:r>
              <w:rPr>
                <w:rFonts w:ascii="Arial" w:cs="Arial" w:eastAsia="Arial" w:hAnsi="Arial"/>
                <w:sz w:val="12"/>
                <w:szCs w:val="12"/>
                <w:b w:val="1"/>
                <w:bCs w:val="1"/>
                <w:color w:val="auto"/>
              </w:rPr>
              <w:t>Purchased Under the</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68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rPr>
              <w:t>Publicly Announced</w:t>
            </w:r>
          </w:p>
        </w:tc>
        <w:tc>
          <w:tcPr>
            <w:tcW w:w="160" w:type="dxa"/>
            <w:vAlign w:val="bottom"/>
          </w:tcPr>
          <w:p>
            <w:pPr>
              <w:spacing w:after="0"/>
              <w:rPr>
                <w:sz w:val="10"/>
                <w:szCs w:val="10"/>
                <w:color w:val="auto"/>
              </w:rPr>
            </w:pPr>
          </w:p>
        </w:tc>
        <w:tc>
          <w:tcPr>
            <w:tcW w:w="1460" w:type="dxa"/>
            <w:vAlign w:val="bottom"/>
          </w:tcPr>
          <w:p>
            <w:pPr>
              <w:jc w:val="center"/>
              <w:ind w:right="90"/>
              <w:spacing w:after="0" w:line="117" w:lineRule="exact"/>
              <w:rPr>
                <w:sz w:val="20"/>
                <w:szCs w:val="20"/>
                <w:color w:val="auto"/>
              </w:rPr>
            </w:pPr>
            <w:r>
              <w:rPr>
                <w:rFonts w:ascii="Arial" w:cs="Arial" w:eastAsia="Arial" w:hAnsi="Arial"/>
                <w:sz w:val="12"/>
                <w:szCs w:val="12"/>
                <w:b w:val="1"/>
                <w:bCs w:val="1"/>
                <w:color w:val="auto"/>
              </w:rPr>
              <w:t>Program</w:t>
            </w:r>
          </w:p>
        </w:tc>
        <w:tc>
          <w:tcPr>
            <w:tcW w:w="0" w:type="dxa"/>
            <w:vAlign w:val="bottom"/>
          </w:tcPr>
          <w:p>
            <w:pPr>
              <w:spacing w:after="0"/>
              <w:rPr>
                <w:sz w:val="1"/>
                <w:szCs w:val="1"/>
                <w:color w:val="auto"/>
              </w:rPr>
            </w:pPr>
          </w:p>
        </w:tc>
      </w:tr>
      <w:tr>
        <w:trPr>
          <w:trHeight w:val="178"/>
        </w:trPr>
        <w:tc>
          <w:tcPr>
            <w:tcW w:w="45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68"/>
              <w:spacing w:after="0"/>
              <w:rPr>
                <w:sz w:val="20"/>
                <w:szCs w:val="20"/>
                <w:color w:val="auto"/>
              </w:rPr>
            </w:pPr>
            <w:r>
              <w:rPr>
                <w:rFonts w:ascii="Arial" w:cs="Arial" w:eastAsia="Arial" w:hAnsi="Arial"/>
                <w:sz w:val="12"/>
                <w:szCs w:val="12"/>
                <w:b w:val="1"/>
                <w:bCs w:val="1"/>
                <w:color w:val="auto"/>
              </w:rPr>
              <w:t>Share</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2025 through July 31, 2025</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August 1, 2025 through August 31, 2025</w:t>
            </w:r>
          </w:p>
        </w:tc>
        <w:tc>
          <w:tcPr>
            <w:tcW w:w="1580" w:type="dxa"/>
            <w:vAlign w:val="bottom"/>
          </w:tcPr>
          <w:p>
            <w:pPr>
              <w:jc w:val="right"/>
              <w:ind w:right="6"/>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6"/>
                <w:szCs w:val="16"/>
                <w:color w:val="auto"/>
              </w:rPr>
              <w:t>60.58</w:t>
            </w:r>
          </w:p>
        </w:tc>
        <w:tc>
          <w:tcPr>
            <w:tcW w:w="120" w:type="dxa"/>
            <w:vAlign w:val="bottom"/>
          </w:tcPr>
          <w:p>
            <w:pPr>
              <w:spacing w:after="0"/>
              <w:rPr>
                <w:sz w:val="17"/>
                <w:szCs w:val="17"/>
                <w:color w:val="auto"/>
              </w:rPr>
            </w:pPr>
          </w:p>
        </w:tc>
        <w:tc>
          <w:tcPr>
            <w:tcW w:w="1580" w:type="dxa"/>
            <w:vAlign w:val="bottom"/>
          </w:tcPr>
          <w:p>
            <w:pPr>
              <w:jc w:val="right"/>
              <w:ind w:right="11"/>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2025 through September 30, 2025</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rPr>
              <w:t>60.58</w:t>
            </w: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340" w:type="dxa"/>
            <w:vAlign w:val="bottom"/>
            <w:gridSpan w:val="6"/>
            <w:vMerge w:val="restart"/>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3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line="168" w:lineRule="exact"/>
              <w:rPr>
                <w:sz w:val="20"/>
                <w:szCs w:val="20"/>
                <w:color w:val="auto"/>
              </w:rPr>
            </w:pPr>
            <w:r>
              <w:rPr>
                <w:rFonts w:ascii="Arial" w:cs="Arial" w:eastAsia="Arial" w:hAnsi="Arial"/>
                <w:sz w:val="16"/>
                <w:szCs w:val="16"/>
                <w:color w:val="auto"/>
              </w:rPr>
              <w:t>10.1*</w:t>
            </w:r>
          </w:p>
        </w:tc>
        <w:tc>
          <w:tcPr>
            <w:tcW w:w="10180" w:type="dxa"/>
            <w:vAlign w:val="bottom"/>
            <w:gridSpan w:val="8"/>
          </w:tcPr>
          <w:p>
            <w:pPr>
              <w:spacing w:after="0" w:line="168" w:lineRule="exact"/>
              <w:rPr>
                <w:sz w:val="20"/>
                <w:szCs w:val="20"/>
                <w:color w:val="auto"/>
              </w:rPr>
            </w:pPr>
            <w:r>
              <w:rPr>
                <w:rFonts w:ascii="Arial" w:cs="Arial" w:eastAsia="Arial" w:hAnsi="Arial"/>
                <w:sz w:val="16"/>
                <w:szCs w:val="16"/>
                <w:color w:val="0000FF"/>
                <w:w w:val="98"/>
              </w:rPr>
              <w:t>Form of Performance-Based Restricted Share Unit Agreement based on annual fiscal year Cimpress financial performance under the 2020 Equity</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98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4"/>
                <w:szCs w:val="14"/>
                <w:color w:val="0000FF"/>
              </w:rPr>
              <w:t>Incentive Plan</w:t>
            </w:r>
          </w:p>
        </w:tc>
        <w:tc>
          <w:tcPr>
            <w:tcW w:w="9060" w:type="dxa"/>
            <w:vAlign w:val="bottom"/>
            <w:tcBorders>
              <w:top w:val="single" w:sz="8" w:color="0000FF"/>
            </w:tcBorders>
            <w:gridSpan w:val="5"/>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10180" w:type="dxa"/>
            <w:vAlign w:val="bottom"/>
            <w:gridSpan w:val="8"/>
          </w:tcPr>
          <w:p>
            <w:pPr>
              <w:spacing w:after="0"/>
              <w:rPr>
                <w:sz w:val="20"/>
                <w:szCs w:val="20"/>
                <w:color w:val="auto"/>
              </w:rPr>
            </w:pPr>
            <w:r>
              <w:rPr>
                <w:rFonts w:ascii="Arial" w:cs="Arial" w:eastAsia="Arial" w:hAnsi="Arial"/>
                <w:sz w:val="16"/>
                <w:szCs w:val="16"/>
                <w:color w:val="0000FF"/>
              </w:rPr>
              <w:t>Form of Performance-Based Restricted Share Unit Agreement based on annual fiscal year Vista financial performance under the 2020 Equity</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98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4"/>
                <w:szCs w:val="14"/>
                <w:color w:val="0000FF"/>
              </w:rPr>
              <w:t>Incentive Plan</w:t>
            </w:r>
          </w:p>
        </w:tc>
        <w:tc>
          <w:tcPr>
            <w:tcW w:w="8740" w:type="dxa"/>
            <w:vAlign w:val="bottom"/>
            <w:tcBorders>
              <w:top w:val="single" w:sz="8" w:color="0000FF"/>
            </w:tcBorders>
            <w:gridSpan w:val="4"/>
          </w:tcPr>
          <w:p>
            <w:pPr>
              <w:spacing w:after="0"/>
              <w:rPr>
                <w:sz w:val="11"/>
                <w:szCs w:val="11"/>
                <w:color w:val="auto"/>
              </w:rPr>
            </w:pPr>
          </w:p>
        </w:tc>
        <w:tc>
          <w:tcPr>
            <w:tcW w:w="4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86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7"/>
              </w:rPr>
              <w:t>Certification pursuant to Section 302 of the Sarbanes-Oxley Act of 2002, Rule 13a-14(a)/15d-14(a), by Chief Executive Officer</w:t>
            </w:r>
          </w:p>
        </w:tc>
        <w:tc>
          <w:tcPr>
            <w:tcW w:w="15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gridSpan w:val="8"/>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676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gridSpan w:val="8"/>
          </w:tcPr>
          <w:p>
            <w:pPr>
              <w:spacing w:after="0"/>
              <w:rPr>
                <w:sz w:val="20"/>
                <w:szCs w:val="20"/>
                <w:color w:val="auto"/>
              </w:rPr>
            </w:pPr>
            <w:r>
              <w:rPr>
                <w:rFonts w:ascii="Arial" w:cs="Arial" w:eastAsia="Arial" w:hAnsi="Arial"/>
                <w:sz w:val="16"/>
                <w:szCs w:val="16"/>
                <w:color w:val="0000FF"/>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2"/>
          </w:tcPr>
          <w:p>
            <w:pPr>
              <w:spacing w:after="0" w:line="136" w:lineRule="exact"/>
              <w:rPr>
                <w:sz w:val="20"/>
                <w:szCs w:val="20"/>
                <w:color w:val="auto"/>
              </w:rPr>
            </w:pPr>
            <w:r>
              <w:rPr>
                <w:rFonts w:ascii="Arial" w:cs="Arial" w:eastAsia="Arial" w:hAnsi="Arial"/>
                <w:sz w:val="14"/>
                <w:szCs w:val="14"/>
                <w:color w:val="0000FF"/>
              </w:rPr>
              <w:t>and Chief Financial Officer</w:t>
            </w:r>
          </w:p>
        </w:tc>
        <w:tc>
          <w:tcPr>
            <w:tcW w:w="83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*Management contract or compensatory plan or arrangement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9" w:name="page40"/>
    <w:bookmarkEnd w:id="39"/>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October 30, 2025</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80"/>
          </w:cols>
          <w:pgMar w:left="320" w:top="1068" w:right="49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Performance-Based Restricted Share Unit Agreement</w:t>
      </w:r>
    </w:p>
    <w:p>
      <w:pPr>
        <w:spacing w:after="0" w:line="225"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9"/>
          <w:szCs w:val="19"/>
          <w:b w:val="1"/>
          <w:bCs w:val="1"/>
          <w:color w:val="auto"/>
        </w:rPr>
        <w:t>Name of Participant:</w:t>
      </w:r>
      <w:r>
        <w:rPr>
          <w:sz w:val="20"/>
          <w:szCs w:val="20"/>
          <w:color w:val="auto"/>
        </w:rPr>
        <w:tab/>
      </w:r>
      <w:r>
        <w:rPr>
          <w:rFonts w:ascii="Times New Roman" w:cs="Times New Roman" w:eastAsia="Times New Roman" w:hAnsi="Times New Roman"/>
          <w:sz w:val="19"/>
          <w:szCs w:val="19"/>
          <w:color w:val="auto"/>
        </w:rPr>
        <w:t>%%FIRST_NAME%-% %%LAST_NAME%-%</w:t>
      </w:r>
    </w:p>
    <w:p>
      <w:pPr>
        <w:spacing w:after="0" w:line="24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9"/>
          <w:szCs w:val="19"/>
          <w:b w:val="1"/>
          <w:bCs w:val="1"/>
          <w:color w:val="auto"/>
        </w:rPr>
        <w:t>Number of Units:</w:t>
      </w:r>
      <w:r>
        <w:rPr>
          <w:sz w:val="20"/>
          <w:szCs w:val="20"/>
          <w:color w:val="auto"/>
        </w:rPr>
        <w:tab/>
      </w:r>
      <w:r>
        <w:rPr>
          <w:rFonts w:ascii="Times New Roman" w:cs="Times New Roman" w:eastAsia="Times New Roman" w:hAnsi="Times New Roman"/>
          <w:sz w:val="18"/>
          <w:szCs w:val="18"/>
          <w:color w:val="auto"/>
        </w:rPr>
        <w:t>%%TOTAL_SHARES_GRANTED%-%</w:t>
      </w:r>
    </w:p>
    <w:p>
      <w:pPr>
        <w:spacing w:after="0" w:line="2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Date of Award:</w:t>
      </w:r>
      <w:r>
        <w:rPr>
          <w:sz w:val="20"/>
          <w:szCs w:val="20"/>
          <w:color w:val="auto"/>
        </w:rPr>
        <w:tab/>
      </w:r>
      <w:r>
        <w:rPr>
          <w:rFonts w:ascii="Times New Roman" w:cs="Times New Roman" w:eastAsia="Times New Roman" w:hAnsi="Times New Roman"/>
          <w:sz w:val="18"/>
          <w:szCs w:val="18"/>
          <w:color w:val="auto"/>
        </w:rPr>
        <w:t>%%OPTION_DATE,'MONTH DD, YYYY'%-%</w:t>
      </w:r>
    </w:p>
    <w:p>
      <w:pPr>
        <w:spacing w:after="0" w:line="24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9"/>
          <w:szCs w:val="19"/>
          <w:b w:val="1"/>
          <w:bCs w:val="1"/>
          <w:color w:val="auto"/>
        </w:rPr>
        <w:t>Initial Vesting Date:</w:t>
      </w:r>
      <w:r>
        <w:rPr>
          <w:sz w:val="20"/>
          <w:szCs w:val="20"/>
          <w:color w:val="auto"/>
        </w:rPr>
        <w:tab/>
      </w:r>
      <w:r>
        <w:rPr>
          <w:rFonts w:ascii="Times New Roman" w:cs="Times New Roman" w:eastAsia="Times New Roman" w:hAnsi="Times New Roman"/>
          <w:sz w:val="18"/>
          <w:szCs w:val="18"/>
          <w:color w:val="auto"/>
        </w:rPr>
        <w:t>%%VEST_DATE_PERIOD1,’MONTH DD, YYYY’%-%</w:t>
      </w:r>
    </w:p>
    <w:p>
      <w:pPr>
        <w:spacing w:after="0" w:line="236"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9"/>
          <w:szCs w:val="19"/>
          <w:b w:val="1"/>
          <w:bCs w:val="1"/>
          <w:color w:val="auto"/>
        </w:rPr>
        <w:t>Applicable Fiscal Year:</w:t>
      </w:r>
      <w:r>
        <w:rPr>
          <w:sz w:val="20"/>
          <w:szCs w:val="20"/>
          <w:color w:val="auto"/>
        </w:rPr>
        <w:tab/>
      </w:r>
      <w:r>
        <w:rPr>
          <w:rFonts w:ascii="Times New Roman" w:cs="Times New Roman" w:eastAsia="Times New Roman" w:hAnsi="Times New Roman"/>
          <w:sz w:val="18"/>
          <w:szCs w:val="18"/>
          <w:color w:val="auto"/>
        </w:rPr>
        <w:t>Fiscal Year ____</w:t>
      </w:r>
    </w:p>
    <w:p>
      <w:pPr>
        <w:spacing w:after="0" w:line="251" w:lineRule="exact"/>
        <w:rPr>
          <w:sz w:val="20"/>
          <w:szCs w:val="20"/>
          <w:color w:val="auto"/>
        </w:rPr>
      </w:pPr>
    </w:p>
    <w:p>
      <w:pPr>
        <w:ind w:right="100" w:firstLine="4"/>
        <w:spacing w:after="0" w:line="274" w:lineRule="auto"/>
        <w:tabs>
          <w:tab w:leader="none" w:pos="3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xml:space="preserve">. This Agreement, including any country-specific addendum to this Agreement, evidences the grant by Cimpress plc, an Irish public limited company (the “Company”), on the Date of Award set forth above to the Participant named above of the number of performance-based restricted share units (the “Units”) set forth above on the terms of this Agreement and the Company’s 2020 Equity Incentive Plan (the “Plan”). Each Unit represents a right to receive between 0 and 1.6 ordinary shares of the Company, €0.01 nominal value per share (the “Shares”), with the number of Shares subject to this award determined based on the level of achievement of the performance conditions relating to the Company’s financial metrics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for the applicable fiscal year set forth above (the “Applicable Fiscal Year”).</w:t>
      </w:r>
    </w:p>
    <w:p>
      <w:pPr>
        <w:spacing w:after="0" w:line="192" w:lineRule="exact"/>
        <w:rPr>
          <w:sz w:val="20"/>
          <w:szCs w:val="20"/>
          <w:color w:val="auto"/>
        </w:rPr>
      </w:pPr>
    </w:p>
    <w:p>
      <w:pPr>
        <w:ind w:right="100" w:firstLine="623"/>
        <w:spacing w:after="0" w:line="266" w:lineRule="auto"/>
        <w:rPr>
          <w:sz w:val="20"/>
          <w:szCs w:val="20"/>
          <w:color w:val="auto"/>
        </w:rPr>
      </w:pPr>
      <w:r>
        <w:rPr>
          <w:rFonts w:ascii="Times New Roman" w:cs="Times New Roman" w:eastAsia="Times New Roman" w:hAnsi="Times New Roman"/>
          <w:sz w:val="19"/>
          <w:szCs w:val="19"/>
          <w:color w:val="auto"/>
        </w:rPr>
        <w:t>Except as otherwise indicated by the context, the term “Participant,” as used in this award, is deemed to include any person who acquires rights under this award validly under its terms. Capitalized terms that are used but not defined in this Agreement have the meanings assigned to such terms in the Plan.</w:t>
      </w:r>
    </w:p>
    <w:p>
      <w:pPr>
        <w:spacing w:after="0" w:line="182" w:lineRule="exact"/>
        <w:rPr>
          <w:sz w:val="20"/>
          <w:szCs w:val="20"/>
          <w:color w:val="auto"/>
        </w:rPr>
      </w:pPr>
    </w:p>
    <w:p>
      <w:pPr>
        <w:ind w:left="340" w:hanging="336"/>
        <w:spacing w:after="0"/>
        <w:tabs>
          <w:tab w:leader="none" w:pos="3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Conditions</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right="40" w:firstLine="627"/>
        <w:spacing w:after="0" w:line="258" w:lineRule="auto"/>
        <w:tabs>
          <w:tab w:leader="none" w:pos="1021"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45 days after the end of the Company’s Applicable Fiscal Year, the Company shall calculate the multiplier used to determine the number of Shares issuable per Unit in accordance with the formula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and the Company’s Compensation Committee shall review and approve such calculation (as so approved, the “Final Multiplier”). The Compensation Committee will have the discretion to account for non-recurring items in determining the Final Multiplier. The number of Shares subject to this award shall be the number of Units subject to this award multiplied by the Final Multiplier, rounded to the nearest whole Share.</w:t>
      </w:r>
    </w:p>
    <w:p>
      <w:pPr>
        <w:spacing w:after="0" w:line="201" w:lineRule="exact"/>
        <w:rPr>
          <w:rFonts w:ascii="Times New Roman" w:cs="Times New Roman" w:eastAsia="Times New Roman" w:hAnsi="Times New Roman"/>
          <w:sz w:val="19"/>
          <w:szCs w:val="19"/>
          <w:color w:val="auto"/>
        </w:rPr>
      </w:pPr>
    </w:p>
    <w:p>
      <w:pPr>
        <w:ind w:right="100" w:firstLine="627"/>
        <w:spacing w:after="0" w:line="276" w:lineRule="auto"/>
        <w:tabs>
          <w:tab w:leader="none" w:pos="1035"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Final Multiplier is equal to 0, then this award expires in its entirety on the date on which the Final Multiplier is determined by the Compensation Committee, all Units are forfeited, and no Shares will be issued or issuable with respect to this award.</w:t>
      </w:r>
    </w:p>
    <w:p>
      <w:pPr>
        <w:spacing w:after="0" w:line="185"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Service-Based Vesting</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firstLine="627"/>
        <w:spacing w:after="0" w:line="258" w:lineRule="auto"/>
        <w:tabs>
          <w:tab w:leader="none" w:pos="1021"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Throughout this Agreement, the term “vest” refers only to the satisfaction of the service-based condition described in this Section 3 and does not refer to the performance conditions described in Section 2 above, the satisfaction of which is also necessary for any issuance of Shares with respect to this award. If the Final Multiplier is greater than 0, then subject to the terms and conditions of this award, the Shares subject to this award vest in accordance with the applicable schedule described in Section 3(b) or 3(c) below, so long as the Participant is, and has been at all times since the date in Section 1 above on which the Units were granted, an employee, officer or director of, or consultant or advisor to, the</w:t>
      </w:r>
    </w:p>
    <w:p>
      <w:pPr>
        <w:sectPr>
          <w:pgSz w:w="11900" w:h="16838" w:orient="portrait"/>
          <w:cols w:equalWidth="0" w:num="1">
            <w:col w:w="11160"/>
          </w:cols>
          <w:pgMar w:left="320" w:top="1114" w:right="419" w:bottom="1440" w:gutter="0" w:footer="0" w:header="0"/>
        </w:sectPr>
      </w:pPr>
    </w:p>
    <w:bookmarkStart w:id="41" w:name="page42"/>
    <w:bookmarkEnd w:id="41"/>
    <w:p>
      <w:pPr>
        <w:ind w:right="60"/>
        <w:spacing w:after="0" w:line="257" w:lineRule="auto"/>
        <w:rPr>
          <w:sz w:val="20"/>
          <w:szCs w:val="20"/>
          <w:color w:val="auto"/>
        </w:rPr>
      </w:pPr>
      <w:r>
        <w:rPr>
          <w:rFonts w:ascii="Times New Roman" w:cs="Times New Roman" w:eastAsia="Times New Roman" w:hAnsi="Times New Roman"/>
          <w:sz w:val="19"/>
          <w:szCs w:val="19"/>
          <w:color w:val="auto"/>
        </w:rPr>
        <w:t>Company or any parent or subsidiary of the Company (an “Eligible Participant”), as “parent” and “subsidiary” are defined in Section 424(e) or (f) of the United States Internal Revenue Code of 1986, as amended, and any regulations promulgated thereunder (the “Code”). On each vesting date, each Unit becoming vested is automatically converted into Shares at a rate determined based on the application of the Final Multiplier. If the Final Multiplier has not yet been determined on the date a Unit vests, then such vested Unit remains outstanding until the Final Multiplier has been determined, at which time such vested Unit is automatically converted into Shares at a rate determined based on the application of the Final Multiplier.</w:t>
      </w:r>
    </w:p>
    <w:p>
      <w:pPr>
        <w:spacing w:after="0" w:line="193" w:lineRule="exact"/>
        <w:rPr>
          <w:sz w:val="20"/>
          <w:szCs w:val="20"/>
          <w:color w:val="auto"/>
        </w:rPr>
      </w:pPr>
    </w:p>
    <w:p>
      <w:pPr>
        <w:ind w:left="1040" w:hanging="413"/>
        <w:spacing w:after="0"/>
        <w:tabs>
          <w:tab w:leader="none" w:pos="104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Shares subject to this award following the application of the Final Multiplier is greater than 16, then this award vests</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follows:</w:t>
      </w:r>
    </w:p>
    <w:p>
      <w:pPr>
        <w:spacing w:after="0" w:line="232" w:lineRule="exact"/>
        <w:rPr>
          <w:rFonts w:ascii="Times New Roman" w:cs="Times New Roman" w:eastAsia="Times New Roman" w:hAnsi="Times New Roman"/>
          <w:sz w:val="19"/>
          <w:szCs w:val="19"/>
          <w:color w:val="auto"/>
        </w:rPr>
      </w:pPr>
    </w:p>
    <w:p>
      <w:pPr>
        <w:ind w:left="1300" w:right="20" w:hanging="312"/>
        <w:spacing w:after="0" w:line="258" w:lineRule="auto"/>
        <w:tabs>
          <w:tab w:leader="none" w:pos="1298"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of the total number of Shares subject to this award vest on the initial vesting date set forth above (the “Initial Vesting Date”), and</w:t>
      </w:r>
    </w:p>
    <w:p>
      <w:pPr>
        <w:ind w:left="1300" w:right="400" w:hanging="312"/>
        <w:spacing w:after="0" w:line="259" w:lineRule="auto"/>
        <w:tabs>
          <w:tab w:leader="none" w:pos="1298"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additional 6.25% of the total number of Shares subject to this award vest at the end of each successive three-month period following such date until the third anniversary of such date.</w:t>
      </w:r>
    </w:p>
    <w:p>
      <w:pPr>
        <w:spacing w:after="0" w:line="200" w:lineRule="exact"/>
        <w:rPr>
          <w:rFonts w:ascii="Times New Roman" w:cs="Times New Roman" w:eastAsia="Times New Roman" w:hAnsi="Times New Roman"/>
          <w:sz w:val="19"/>
          <w:szCs w:val="19"/>
          <w:color w:val="auto"/>
        </w:rPr>
      </w:pPr>
    </w:p>
    <w:p>
      <w:pPr>
        <w:ind w:left="1080" w:hanging="453"/>
        <w:spacing w:after="0"/>
        <w:tabs>
          <w:tab w:leader="none" w:pos="108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Shares subject to this award following the application of the Final Multiplier is 16 or fewer, then this award vests as</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follows:</w:t>
      </w:r>
    </w:p>
    <w:p>
      <w:pPr>
        <w:spacing w:after="0" w:line="219" w:lineRule="exact"/>
        <w:rPr>
          <w:rFonts w:ascii="Times New Roman" w:cs="Times New Roman" w:eastAsia="Times New Roman" w:hAnsi="Times New Roman"/>
          <w:sz w:val="19"/>
          <w:szCs w:val="19"/>
          <w:color w:val="auto"/>
        </w:rPr>
      </w:pPr>
    </w:p>
    <w:p>
      <w:pPr>
        <w:ind w:left="1300" w:hanging="312"/>
        <w:spacing w:after="0"/>
        <w:tabs>
          <w:tab w:leader="none" w:pos="1300"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of the total number of Shares subject to this award vest on the Initial Vesting Date, and</w:t>
      </w:r>
    </w:p>
    <w:p>
      <w:pPr>
        <w:spacing w:after="0" w:line="31" w:lineRule="exact"/>
        <w:rPr>
          <w:rFonts w:ascii="Times New Roman" w:cs="Times New Roman" w:eastAsia="Times New Roman" w:hAnsi="Times New Roman"/>
          <w:sz w:val="19"/>
          <w:szCs w:val="19"/>
          <w:color w:val="auto"/>
        </w:rPr>
      </w:pPr>
    </w:p>
    <w:p>
      <w:pPr>
        <w:ind w:left="1300" w:hanging="312"/>
        <w:spacing w:after="0"/>
        <w:tabs>
          <w:tab w:leader="none" w:pos="1300"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 of the total number of Shares subject to this award vest on the first anniversary of the Initial Vesting Date.</w:t>
      </w:r>
    </w:p>
    <w:p>
      <w:pPr>
        <w:spacing w:after="0" w:line="219" w:lineRule="exact"/>
        <w:rPr>
          <w:rFonts w:ascii="Times New Roman" w:cs="Times New Roman" w:eastAsia="Times New Roman" w:hAnsi="Times New Roman"/>
          <w:sz w:val="19"/>
          <w:szCs w:val="19"/>
          <w:color w:val="auto"/>
        </w:rPr>
      </w:pPr>
    </w:p>
    <w:p>
      <w:pPr>
        <w:ind w:right="20" w:firstLine="627"/>
        <w:spacing w:after="0" w:line="254" w:lineRule="auto"/>
        <w:tabs>
          <w:tab w:leader="none" w:pos="101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the Participant ceases to be an Eligible Participant for any reason or (ii) the Participant violates the non-competition or confidentiality obligations of any employment contract, confidentiality agreement or other agreement between the Participant and the Company or a parent or subsidiary of the Company, then the vesting of Units ceases, the unvested Units are forfeited on the date of occurrence of the applicable event described in clause (i) or (ii) above, and the Participant has no further rights with respect to any unvested Units or Shares, but the Participant retains any Units that have vested as of the last day on which they were an Eligible Participant until such time as Shares have been issued with respect to such vested Units or this award expires by its terms. The Company has the exclusive discretion to determine when the Participant is no longer an Eligible Participant for purposes of this Agreement and the Plan, including but not limited to the exclusive discretion to determine whether the Participant remains an Eligible Participant during an unpaid leave of absence and when the Participant ceases to be an Eligible Participant during any such leave (regardless of whether the Participant’s employment or other relationship with the Company is considered terminated in the Company’s human resources systems or for other purposes). If the Participant is employed by a parent or subsidiary of the Company, any references in this Agreement to employment by or with the Company or termination of employment by or with the Company are instead deemed to refer to such parent or subsidiary.</w:t>
      </w:r>
    </w:p>
    <w:p>
      <w:pPr>
        <w:spacing w:after="0" w:line="197" w:lineRule="exact"/>
        <w:rPr>
          <w:rFonts w:ascii="Times New Roman" w:cs="Times New Roman" w:eastAsia="Times New Roman" w:hAnsi="Times New Roman"/>
          <w:sz w:val="19"/>
          <w:szCs w:val="19"/>
          <w:color w:val="auto"/>
        </w:rPr>
      </w:pPr>
    </w:p>
    <w:p>
      <w:pPr>
        <w:ind w:right="40" w:firstLine="4"/>
        <w:spacing w:after="0" w:line="257" w:lineRule="auto"/>
        <w:tabs>
          <w:tab w:leader="none" w:pos="33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and Form of Distribution</w:t>
      </w:r>
      <w:r>
        <w:rPr>
          <w:rFonts w:ascii="Times New Roman" w:cs="Times New Roman" w:eastAsia="Times New Roman" w:hAnsi="Times New Roman"/>
          <w:sz w:val="19"/>
          <w:szCs w:val="19"/>
          <w:color w:val="auto"/>
        </w:rPr>
        <w:t>. The Company shall distribute to the Participant the Shares with respect to the Units that become vested as soon as practicable after the later of each vesting date and the determination of the Final Multiplier but in no event later than 45 days after the later of the applicable vesting date and the determination of the Final Multiplier, except that in the case of Participants who are not subject to U.S. income taxes on this award, the Distribution Date may be a later date if required by local law. Each date of distribution of Shares is referred to as the “Distribution Date.” The Participant has no right to a distribution of Shares with respect to unvested Units unless and until such Units vest and the Final Multiplier has been determined. Once a Share with respect to a vested Unit has been distributed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116" w:right="379" w:bottom="1440" w:gutter="0" w:footer="0" w:header="0"/>
        </w:sectPr>
      </w:pPr>
    </w:p>
    <w:bookmarkStart w:id="42" w:name="page43"/>
    <w:bookmarkEnd w:id="42"/>
    <w:p>
      <w:pPr>
        <w:ind w:right="360"/>
        <w:spacing w:after="0" w:line="266" w:lineRule="auto"/>
        <w:rPr>
          <w:sz w:val="20"/>
          <w:szCs w:val="20"/>
          <w:color w:val="auto"/>
        </w:rPr>
      </w:pPr>
      <w:r>
        <w:rPr>
          <w:rFonts w:ascii="Times New Roman" w:cs="Times New Roman" w:eastAsia="Times New Roman" w:hAnsi="Times New Roman"/>
          <w:sz w:val="19"/>
          <w:szCs w:val="19"/>
          <w:color w:val="auto"/>
        </w:rPr>
        <w:t>pursuant to this award, the Participant has no further rights with respect to that Unit. Notwithstanding the foregoing, the Distribution Date with respect to any Units that vest on or before the last day of the Company’s Applicable Fiscal Year shall be no later than two and a half months following the last day of such fiscal year.</w:t>
      </w:r>
    </w:p>
    <w:p>
      <w:pPr>
        <w:spacing w:after="0" w:line="195" w:lineRule="exact"/>
        <w:rPr>
          <w:sz w:val="20"/>
          <w:szCs w:val="20"/>
          <w:color w:val="auto"/>
        </w:rPr>
      </w:pPr>
    </w:p>
    <w:p>
      <w:pPr>
        <w:ind w:right="20" w:firstLine="4"/>
        <w:spacing w:after="0" w:line="255" w:lineRule="auto"/>
        <w:tabs>
          <w:tab w:leader="none" w:pos="3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The Participant is required to satisfy the payment of any Withholding Taxes required to be withheld with respect to the vesting of Units. “Withholding Taxes” includes, as applicable and without limitation, federal, state, local, foreign and provincial income tax, social insurance contributions, payroll tax, payment on account or other tax-related items. The Participant acknowledges that the ultimate liability for all taxes relating to this award is and remains the Participant’s responsibility and may exceed the amount that the Company withholds. The Company has no obligation to structure the terms of this award to reduce or eliminate the Participant’s liability for Withholding Taxes or to achieve any particular tax result. Furthermore, if the Participant is subject to tax in more than one jurisdiction, the Participant acknowledges that the Company may be required to withhold or account for Withholding Taxes in more than one jurisdiction. In order to satisfy the Withholding Taxes owed with respect to the vesting of Units, the Participant agrees as follows:</w:t>
      </w:r>
    </w:p>
    <w:p>
      <w:pPr>
        <w:spacing w:after="0" w:line="193" w:lineRule="exact"/>
        <w:rPr>
          <w:rFonts w:ascii="Times New Roman" w:cs="Times New Roman" w:eastAsia="Times New Roman" w:hAnsi="Times New Roman"/>
          <w:sz w:val="19"/>
          <w:szCs w:val="19"/>
          <w:color w:val="auto"/>
        </w:rPr>
      </w:pPr>
    </w:p>
    <w:p>
      <w:pPr>
        <w:ind w:right="100" w:firstLine="627"/>
        <w:spacing w:after="0" w:line="263" w:lineRule="auto"/>
        <w:tabs>
          <w:tab w:leader="none" w:pos="1024"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in its sole discretion, determines that the procedure set forth in this Section 5(a) is not advisable or sufficient or unless the Participant is subject to Swiss income taxes on any income from this award, at the Distribution Date the Company shall withhold a number of Shares with a Fair Market Value equal to the amount necessary to satisfy the minimum amount of Withholding Taxes due on such Distribution Date.</w:t>
      </w:r>
    </w:p>
    <w:p>
      <w:pPr>
        <w:spacing w:after="0" w:line="197" w:lineRule="exact"/>
        <w:rPr>
          <w:rFonts w:ascii="Times New Roman" w:cs="Times New Roman" w:eastAsia="Times New Roman" w:hAnsi="Times New Roman"/>
          <w:sz w:val="19"/>
          <w:szCs w:val="19"/>
          <w:color w:val="auto"/>
        </w:rPr>
      </w:pPr>
    </w:p>
    <w:p>
      <w:pPr>
        <w:ind w:firstLine="627"/>
        <w:spacing w:after="0" w:line="254" w:lineRule="auto"/>
        <w:tabs>
          <w:tab w:leader="none" w:pos="103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in its sole discretion, determines that the procedure set forth in Section 5(a) is not advisable or sufficient or if the Participant is subject to Swiss income taxes on any income from this award, then the Participant, as a condition to receiving any Shares upon the vesting of Units, shall (i) pay to the Company, by cash or check, or in the sole discretion of the Company, payroll deduction, an amount sufficient to satisfy any Withholding Taxes or otherwise make arrangements satisfactory to the Company for the payment of such amounts (including through offset of any amounts otherwise payable by the Company to the Participant, including salary or other compensation); or (ii) if the Company requires, make an arrangement that is acceptable to the Company with a creditworthy broker to sell the number of Shares that the Company has instructed such broker is necessary to obtain proceeds sufficient to satisfy the Withholding Taxes applicable to the Shares to be distributed to the Participant on the Distribution Date and to remit such proceeds to the Company; or (iii) only if the Participant is subject to Swiss income taxes on any income from this award, instruct the Company to withhold Shares as set forth in Section 5(a) above. The Participant agrees to execute and deliver such documents as may be reasonably required in connection with the sale of any Shares pursuant to this Section 5(b).</w:t>
      </w:r>
    </w:p>
    <w:p>
      <w:pPr>
        <w:spacing w:after="0" w:line="205" w:lineRule="exact"/>
        <w:rPr>
          <w:rFonts w:ascii="Times New Roman" w:cs="Times New Roman" w:eastAsia="Times New Roman" w:hAnsi="Times New Roman"/>
          <w:sz w:val="19"/>
          <w:szCs w:val="19"/>
          <w:color w:val="auto"/>
        </w:rPr>
      </w:pPr>
    </w:p>
    <w:p>
      <w:pPr>
        <w:ind w:right="80" w:firstLine="4"/>
        <w:spacing w:after="0" w:line="253" w:lineRule="auto"/>
        <w:tabs>
          <w:tab w:leader="none" w:pos="3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Nontransferability of Award</w:t>
      </w:r>
      <w:r>
        <w:rPr>
          <w:rFonts w:ascii="Times New Roman" w:cs="Times New Roman" w:eastAsia="Times New Roman" w:hAnsi="Times New Roman"/>
          <w:sz w:val="19"/>
          <w:szCs w:val="19"/>
          <w:color w:val="auto"/>
        </w:rPr>
        <w:t>. The Participant shall not sell, assign, transfer, pledge or otherwise encumber this award, either voluntarily or by operation of law, except by will or the laws of descent and distribution. However, if this award is exempt from the provisions of Section 409A of the Code and the guidance thereunder (“Section 409A”) or if the Participant is not subject to U.S. income taxes on any income from this award, then the Participant may transfer the award (a) pursuant to a qualified domestic relations order or (b) if the Company consents, to or for the benefit of any immediate family member, family trust, family partnership or family limited liability company established solely for the benefit of the holder and/or an immediate family member of the holder, if, in each case, as a condition to the transfer the transferee agrees to be subject to, and bound by, the terms of this Agreement.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116" w:right="339" w:bottom="1440" w:gutter="0" w:footer="0" w:header="0"/>
        </w:sectPr>
      </w:pPr>
    </w:p>
    <w:bookmarkStart w:id="43" w:name="page44"/>
    <w:bookmarkEnd w:id="43"/>
    <w:p>
      <w:pPr>
        <w:ind w:left="-4" w:firstLine="4"/>
        <w:spacing w:after="0" w:line="263" w:lineRule="auto"/>
        <w:tabs>
          <w:tab w:leader="none" w:pos="32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Employment or Other Status</w:t>
      </w:r>
      <w:r>
        <w:rPr>
          <w:rFonts w:ascii="Times New Roman" w:cs="Times New Roman" w:eastAsia="Times New Roman" w:hAnsi="Times New Roman"/>
          <w:sz w:val="19"/>
          <w:szCs w:val="19"/>
          <w:color w:val="auto"/>
        </w:rPr>
        <w:t>. This award shall not be construed as giving the Participant the right to continued employment or any other relationship with the Company or any parent or subsidiary of the Company. The Company and any parent or subsidiary of the Company expressly reserve the right to dismiss or otherwise terminate its relationship with the Participant free from any liability or claim under the Plan or this award, except as expressly provided in this award.</w:t>
      </w:r>
    </w:p>
    <w:p>
      <w:pPr>
        <w:spacing w:after="0" w:line="184" w:lineRule="exact"/>
        <w:rPr>
          <w:rFonts w:ascii="Times New Roman" w:cs="Times New Roman" w:eastAsia="Times New Roman" w:hAnsi="Times New Roman"/>
          <w:sz w:val="19"/>
          <w:szCs w:val="19"/>
          <w:color w:val="auto"/>
        </w:rPr>
      </w:pPr>
    </w:p>
    <w:p>
      <w:pPr>
        <w:ind w:left="-4" w:right="220" w:firstLine="4"/>
        <w:spacing w:after="0" w:line="290" w:lineRule="auto"/>
        <w:tabs>
          <w:tab w:leader="none" w:pos="32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Shareholder</w:t>
      </w:r>
      <w:r>
        <w:rPr>
          <w:rFonts w:ascii="Times New Roman" w:cs="Times New Roman" w:eastAsia="Times New Roman" w:hAnsi="Times New Roman"/>
          <w:sz w:val="19"/>
          <w:szCs w:val="19"/>
          <w:color w:val="auto"/>
        </w:rPr>
        <w:t>. The Participant has no rights as a shareholder with respect to any Shares distributable under this award until such Shares are issued to the Participant.</w:t>
      </w:r>
    </w:p>
    <w:p>
      <w:pPr>
        <w:spacing w:after="0" w:line="159" w:lineRule="exact"/>
        <w:rPr>
          <w:rFonts w:ascii="Times New Roman" w:cs="Times New Roman" w:eastAsia="Times New Roman" w:hAnsi="Times New Roman"/>
          <w:sz w:val="19"/>
          <w:szCs w:val="19"/>
          <w:color w:val="auto"/>
        </w:rPr>
      </w:pPr>
    </w:p>
    <w:p>
      <w:pPr>
        <w:ind w:left="336" w:hanging="336"/>
        <w:spacing w:after="0"/>
        <w:tabs>
          <w:tab w:leader="none" w:pos="33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of the Plan</w:t>
      </w:r>
      <w:r>
        <w:rPr>
          <w:rFonts w:ascii="Times New Roman" w:cs="Times New Roman" w:eastAsia="Times New Roman" w:hAnsi="Times New Roman"/>
          <w:sz w:val="19"/>
          <w:szCs w:val="19"/>
          <w:color w:val="auto"/>
        </w:rPr>
        <w:t>. This award is subject to the provisions of the Plan, a copy of which is furnished to the Participant with this award.</w:t>
      </w:r>
    </w:p>
    <w:p>
      <w:pPr>
        <w:spacing w:after="0" w:line="248" w:lineRule="exact"/>
        <w:rPr>
          <w:rFonts w:ascii="Times New Roman" w:cs="Times New Roman" w:eastAsia="Times New Roman" w:hAnsi="Times New Roman"/>
          <w:sz w:val="19"/>
          <w:szCs w:val="19"/>
          <w:color w:val="auto"/>
        </w:rPr>
      </w:pPr>
    </w:p>
    <w:p>
      <w:pPr>
        <w:ind w:left="436" w:hanging="436"/>
        <w:spacing w:after="0"/>
        <w:tabs>
          <w:tab w:leader="none" w:pos="43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the Grant</w:t>
      </w:r>
      <w:r>
        <w:rPr>
          <w:rFonts w:ascii="Times New Roman" w:cs="Times New Roman" w:eastAsia="Times New Roman" w:hAnsi="Times New Roman"/>
          <w:sz w:val="19"/>
          <w:szCs w:val="19"/>
          <w:color w:val="auto"/>
        </w:rPr>
        <w:t>. By accepting this Agreement, the Participant acknowledges as follows:</w:t>
      </w:r>
    </w:p>
    <w:p>
      <w:pPr>
        <w:spacing w:after="0" w:line="248" w:lineRule="exact"/>
        <w:rPr>
          <w:rFonts w:ascii="Times New Roman" w:cs="Times New Roman" w:eastAsia="Times New Roman" w:hAnsi="Times New Roman"/>
          <w:sz w:val="19"/>
          <w:szCs w:val="19"/>
          <w:color w:val="auto"/>
        </w:rPr>
      </w:pPr>
    </w:p>
    <w:p>
      <w:pPr>
        <w:ind w:left="-4" w:right="760" w:firstLine="627"/>
        <w:spacing w:after="0" w:line="276" w:lineRule="auto"/>
        <w:tabs>
          <w:tab w:leader="none" w:pos="1017"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established voluntarily by the Company, is discretionary in nature and may be modified, amended, suspended or terminated by the Company at any time, to the extent permitted by the Plan.</w:t>
      </w:r>
    </w:p>
    <w:p>
      <w:pPr>
        <w:spacing w:after="0" w:line="185" w:lineRule="exact"/>
        <w:rPr>
          <w:rFonts w:ascii="Times New Roman" w:cs="Times New Roman" w:eastAsia="Times New Roman" w:hAnsi="Times New Roman"/>
          <w:sz w:val="19"/>
          <w:szCs w:val="19"/>
          <w:color w:val="auto"/>
        </w:rPr>
      </w:pPr>
    </w:p>
    <w:p>
      <w:pPr>
        <w:ind w:left="1036" w:hanging="413"/>
        <w:spacing w:after="0"/>
        <w:tabs>
          <w:tab w:leader="none" w:pos="103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voluntarily participating in the Plan.</w:t>
      </w:r>
    </w:p>
    <w:p>
      <w:pPr>
        <w:spacing w:after="0" w:line="235" w:lineRule="exact"/>
        <w:rPr>
          <w:rFonts w:ascii="Times New Roman" w:cs="Times New Roman" w:eastAsia="Times New Roman" w:hAnsi="Times New Roman"/>
          <w:sz w:val="19"/>
          <w:szCs w:val="19"/>
          <w:color w:val="auto"/>
        </w:rPr>
      </w:pPr>
    </w:p>
    <w:p>
      <w:pPr>
        <w:ind w:left="-4" w:right="40" w:firstLine="627"/>
        <w:spacing w:after="0" w:line="257" w:lineRule="auto"/>
        <w:tabs>
          <w:tab w:leader="none" w:pos="1021"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ceases to be an Eligible Participant for any reason whatsoever (including without limitation unfair or objective dismissal, permanent disability, resignation or desistance) and whether or not in breach of applicable labor laws or the Participant’s employment agreement, if any, the Participant’s right to vesting of the Units under this Agreement and the Plan, if any, terminates as set forth in this Agreement and will not be extended by any notice period mandated under applicable law, and the unvested Units and Shares are forfeited, with no compensation whatsoever. The Participant acknowledges and accepts that this is an essential condition of this Agreement and expressly agrees to this condition.</w:t>
      </w:r>
    </w:p>
    <w:p>
      <w:pPr>
        <w:spacing w:after="0" w:line="205" w:lineRule="exact"/>
        <w:rPr>
          <w:rFonts w:ascii="Times New Roman" w:cs="Times New Roman" w:eastAsia="Times New Roman" w:hAnsi="Times New Roman"/>
          <w:sz w:val="19"/>
          <w:szCs w:val="19"/>
          <w:color w:val="auto"/>
        </w:rPr>
      </w:pPr>
    </w:p>
    <w:p>
      <w:pPr>
        <w:ind w:left="-4" w:right="180" w:firstLine="627"/>
        <w:spacing w:after="0" w:line="257" w:lineRule="auto"/>
        <w:tabs>
          <w:tab w:leader="none" w:pos="1031"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the grant of the Units, no claim or entitlement to compensation or damages arises from termination of the Units,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their entitlement to pursue such claim.</w:t>
      </w:r>
    </w:p>
    <w:p>
      <w:pPr>
        <w:spacing w:after="0" w:line="192" w:lineRule="exact"/>
        <w:rPr>
          <w:rFonts w:ascii="Times New Roman" w:cs="Times New Roman" w:eastAsia="Times New Roman" w:hAnsi="Times New Roman"/>
          <w:sz w:val="19"/>
          <w:szCs w:val="19"/>
          <w:color w:val="auto"/>
        </w:rPr>
      </w:pPr>
    </w:p>
    <w:p>
      <w:pPr>
        <w:ind w:left="-4" w:right="160" w:firstLine="627"/>
        <w:spacing w:after="0" w:line="273" w:lineRule="auto"/>
        <w:tabs>
          <w:tab w:leader="none" w:pos="1017"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Units is exceptional, voluntary and occasional and does not create any contractual or other right to receive future awards of Units or Shares or benefits in lieu of Units or Shares even if Units have been awarded repeatedly in the past. All decisions with respect to future grants of Units and/or Shares, if any, are at the Company’s sole discretion.</w:t>
      </w:r>
    </w:p>
    <w:p>
      <w:pPr>
        <w:spacing w:after="0" w:line="176" w:lineRule="exact"/>
        <w:rPr>
          <w:rFonts w:ascii="Times New Roman" w:cs="Times New Roman" w:eastAsia="Times New Roman" w:hAnsi="Times New Roman"/>
          <w:sz w:val="19"/>
          <w:szCs w:val="19"/>
          <w:color w:val="auto"/>
        </w:rPr>
      </w:pPr>
    </w:p>
    <w:p>
      <w:pPr>
        <w:ind w:left="-4" w:right="80" w:firstLine="627"/>
        <w:spacing w:after="0" w:line="261" w:lineRule="auto"/>
        <w:tabs>
          <w:tab w:leader="none" w:pos="99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Units and Shares are extraordinary items that do not constitute compensation of any kind for services of any kind rendered to the Company, and the Units are outside the scope of the Participant’s employment or services contract, if any. The Units, the Shares, and the income and value of the Units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16"/>
          </w:cols>
          <w:pgMar w:left="324" w:top="135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color w:val="auto"/>
        </w:rPr>
        <w:t>payments) and in no event should be considered as compensation for, or relating in any way to, past services for the Company.</w:t>
      </w:r>
    </w:p>
    <w:p>
      <w:pPr>
        <w:spacing w:after="0" w:line="236" w:lineRule="exact"/>
        <w:rPr>
          <w:sz w:val="20"/>
          <w:szCs w:val="20"/>
          <w:color w:val="auto"/>
        </w:rPr>
      </w:pPr>
    </w:p>
    <w:p>
      <w:pPr>
        <w:ind w:right="1000" w:firstLine="627"/>
        <w:spacing w:after="0" w:line="290" w:lineRule="auto"/>
        <w:tabs>
          <w:tab w:leader="none" w:pos="1032"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Units, the Shares, and the income and value of the Units and Shares are not intended to replace any pension rights or compensation.</w:t>
      </w:r>
    </w:p>
    <w:p>
      <w:pPr>
        <w:spacing w:after="0" w:line="172" w:lineRule="exact"/>
        <w:rPr>
          <w:rFonts w:ascii="Times New Roman" w:cs="Times New Roman" w:eastAsia="Times New Roman" w:hAnsi="Times New Roman"/>
          <w:sz w:val="19"/>
          <w:szCs w:val="19"/>
          <w:color w:val="auto"/>
        </w:rPr>
      </w:pPr>
    </w:p>
    <w:p>
      <w:pPr>
        <w:ind w:firstLine="627"/>
        <w:spacing w:after="0" w:line="276" w:lineRule="auto"/>
        <w:tabs>
          <w:tab w:leader="none" w:pos="1035"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parties otherwise agree, the Units, the Shares, and the income and value of the same are not consideration for, or granted in connection with, any service the Participant may provide as a director of a subsidiary of the Company.</w:t>
      </w:r>
    </w:p>
    <w:p>
      <w:pPr>
        <w:spacing w:after="0" w:line="185" w:lineRule="exact"/>
        <w:rPr>
          <w:rFonts w:ascii="Times New Roman" w:cs="Times New Roman" w:eastAsia="Times New Roman" w:hAnsi="Times New Roman"/>
          <w:sz w:val="19"/>
          <w:szCs w:val="19"/>
          <w:color w:val="auto"/>
        </w:rPr>
      </w:pPr>
    </w:p>
    <w:p>
      <w:pPr>
        <w:ind w:right="80" w:firstLine="627"/>
        <w:spacing w:after="0" w:line="276" w:lineRule="auto"/>
        <w:tabs>
          <w:tab w:leader="none" w:pos="989"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future value of the Shares is unknown and cannot be predicted with certainty. If the Participant receives Shares, the value of such Shares may increase or decrease in value.</w:t>
      </w:r>
    </w:p>
    <w:p>
      <w:pPr>
        <w:spacing w:after="0" w:line="185" w:lineRule="exact"/>
        <w:rPr>
          <w:rFonts w:ascii="Times New Roman" w:cs="Times New Roman" w:eastAsia="Times New Roman" w:hAnsi="Times New Roman"/>
          <w:sz w:val="19"/>
          <w:szCs w:val="19"/>
          <w:color w:val="auto"/>
        </w:rPr>
      </w:pPr>
    </w:p>
    <w:p>
      <w:pPr>
        <w:jc w:val="both"/>
        <w:ind w:right="60" w:firstLine="194"/>
        <w:spacing w:after="0" w:line="266" w:lineRule="auto"/>
        <w:tabs>
          <w:tab w:leader="none" w:pos="557"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acknowledges and agrees that neither the Company nor any of its affiliates or agents is liable for any foreign exchange rate fluctuation between the Participant’s local currency and the United States Dollar that may affect the value of the Units or Shares or of any amounts due to the Participant pursuant to the vesting of the Units or the subsequent sale of any Shares acquired upon vesting.</w:t>
      </w:r>
    </w:p>
    <w:p>
      <w:pPr>
        <w:spacing w:after="0" w:line="195" w:lineRule="exact"/>
        <w:rPr>
          <w:rFonts w:ascii="Times New Roman" w:cs="Times New Roman" w:eastAsia="Times New Roman" w:hAnsi="Times New Roman"/>
          <w:sz w:val="19"/>
          <w:szCs w:val="19"/>
          <w:color w:val="auto"/>
        </w:rPr>
      </w:pPr>
    </w:p>
    <w:p>
      <w:pPr>
        <w:ind w:right="240" w:firstLine="4"/>
        <w:spacing w:after="0" w:line="258" w:lineRule="auto"/>
        <w:tabs>
          <w:tab w:leader="none" w:pos="42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 Participant’s participation in the Plan, on the Units and on any Shares acquired under the Plan to the extent the Company determines it is necessary or advisable for legal or administrative reasons, except that with respect to awards that are subject to Section 409A, to the extent so permitted under Section 409A. Furthermore, the parties hereto agree to execute such further instruments and to take such further action as may reasonably be necessary to carry out the intent of this Agreement and the Plan.</w:t>
      </w:r>
    </w:p>
    <w:p>
      <w:pPr>
        <w:spacing w:after="0" w:line="201" w:lineRule="exact"/>
        <w:rPr>
          <w:rFonts w:ascii="Times New Roman" w:cs="Times New Roman" w:eastAsia="Times New Roman" w:hAnsi="Times New Roman"/>
          <w:sz w:val="19"/>
          <w:szCs w:val="19"/>
          <w:color w:val="auto"/>
        </w:rPr>
      </w:pPr>
    </w:p>
    <w:p>
      <w:pPr>
        <w:ind w:left="440" w:hanging="436"/>
        <w:spacing w:after="0"/>
        <w:tabs>
          <w:tab w:leader="none" w:pos="4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19"/>
          <w:szCs w:val="19"/>
          <w:color w:val="auto"/>
        </w:rPr>
      </w:pPr>
    </w:p>
    <w:p>
      <w:pPr>
        <w:ind w:right="220" w:firstLine="627"/>
        <w:spacing w:after="0" w:line="261" w:lineRule="auto"/>
        <w:tabs>
          <w:tab w:leader="none" w:pos="1021" w:val="left"/>
        </w:tabs>
        <w:numPr>
          <w:ilvl w:val="2"/>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that Cimpress plc will collect from the Participant through their employer (if not employed by Cimpress plc) certain personal information about the Participant, including the Participant’s personal data, such as their name, home address and telephone number, email address, date of birth, social security/insurance number, passport or other identification number, salary, nationality, job title, any ordinary shares or directorships held in the Company, details of all Units or any other entitlement to ordinary shares awarded, canceled, exercised, vested, unvested or outstanding in the Participant’s favor (“Data”).</w:t>
      </w:r>
    </w:p>
    <w:p>
      <w:pPr>
        <w:spacing w:after="0" w:line="187" w:lineRule="exact"/>
        <w:rPr>
          <w:rFonts w:ascii="Times New Roman" w:cs="Times New Roman" w:eastAsia="Times New Roman" w:hAnsi="Times New Roman"/>
          <w:sz w:val="19"/>
          <w:szCs w:val="19"/>
          <w:color w:val="auto"/>
        </w:rPr>
      </w:pPr>
    </w:p>
    <w:p>
      <w:pPr>
        <w:ind w:right="40" w:firstLine="627"/>
        <w:spacing w:after="0" w:line="257" w:lineRule="auto"/>
        <w:tabs>
          <w:tab w:leader="none" w:pos="1032" w:val="left"/>
        </w:tabs>
        <w:numPr>
          <w:ilvl w:val="2"/>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12 for the term of this Agreement and after its termination for a period as required by the Plan, by law or as necessary for the protection of the Company’s legitimate interests.</w:t>
      </w:r>
    </w:p>
    <w:p>
      <w:pPr>
        <w:spacing w:after="0" w:line="205" w:lineRule="exact"/>
        <w:rPr>
          <w:rFonts w:ascii="Times New Roman" w:cs="Times New Roman" w:eastAsia="Times New Roman" w:hAnsi="Times New Roman"/>
          <w:sz w:val="19"/>
          <w:szCs w:val="19"/>
          <w:color w:val="auto"/>
        </w:rPr>
      </w:pPr>
    </w:p>
    <w:p>
      <w:pPr>
        <w:ind w:right="100" w:firstLine="627"/>
        <w:spacing w:after="0" w:line="263" w:lineRule="auto"/>
        <w:tabs>
          <w:tab w:leader="none" w:pos="1021" w:val="left"/>
        </w:tabs>
        <w:numPr>
          <w:ilvl w:val="2"/>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will, in connection with the Units and the acquisition, holding and/or transfer of ordinary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or such other stock plan service provider as the Company may select in the future (the “Service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116" w:right="339" w:bottom="1440" w:gutter="0" w:footer="0" w:header="0"/>
        </w:sectPr>
      </w:pPr>
    </w:p>
    <w:bookmarkStart w:id="45" w:name="page46"/>
    <w:bookmarkEnd w:id="45"/>
    <w:p>
      <w:pPr>
        <w:ind w:right="40"/>
        <w:spacing w:after="0" w:line="263" w:lineRule="auto"/>
        <w:rPr>
          <w:sz w:val="20"/>
          <w:szCs w:val="20"/>
          <w:color w:val="auto"/>
        </w:rPr>
      </w:pPr>
      <w:r>
        <w:rPr>
          <w:rFonts w:ascii="Times New Roman" w:cs="Times New Roman" w:eastAsia="Times New Roman" w:hAnsi="Times New Roman"/>
          <w:sz w:val="19"/>
          <w:szCs w:val="19"/>
          <w:color w:val="auto"/>
        </w:rPr>
        <w:t>Provider”). As such, the Participant is hereby informed and aware that Cimpress plc will use and transfer (with assistance of its subsidiary Cimpress USA Incorporated as described below under Section 12(e)), in electronic or other form, the Participant’s Data to the Service Provider insofar as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spacing w:after="0" w:line="185" w:lineRule="exact"/>
        <w:rPr>
          <w:sz w:val="20"/>
          <w:szCs w:val="20"/>
          <w:color w:val="auto"/>
        </w:rPr>
      </w:pPr>
    </w:p>
    <w:p>
      <w:pPr>
        <w:ind w:right="20" w:firstLine="627"/>
        <w:spacing w:after="0" w:line="271" w:lineRule="auto"/>
        <w:tabs>
          <w:tab w:leader="none" w:pos="10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Cimpress plc is assisted by its subsidiary, Cimpress USA Incorporated, in implementing, administering and managing the Plan within the Cimpress group of companies. The Participant is hereby informed and aware that their Data, including their personal data, may be transferred by Cimpress plc/Company to Cimpress USA Incorporated (or any other affiliated company in the Cimpress group providing global equity-related services) when necessary for the legitimate interests of Cimpress plc. This transfer is required for purposes such as global administration and management of the Plan, Cimpress equity strategy, and global human resources, finance, and reporting functions. Additionally, the transfer of the Participant’s Data to Cimpress USA Incorporated, any other involved affiliated company in the Cimpress group, and/or employees responsible for securities, compliance or legal matters, may be necessary to ensure compliance with applicable legal obligations (including, without limitation, disclosures to courts or governmental authorities, tax requirements and responses to subpoenas and other legal processes).</w:t>
      </w:r>
    </w:p>
    <w:p>
      <w:pPr>
        <w:spacing w:after="0" w:line="193" w:lineRule="exact"/>
        <w:rPr>
          <w:rFonts w:ascii="Times New Roman" w:cs="Times New Roman" w:eastAsia="Times New Roman" w:hAnsi="Times New Roman"/>
          <w:sz w:val="18"/>
          <w:szCs w:val="18"/>
          <w:color w:val="auto"/>
        </w:rPr>
      </w:pPr>
    </w:p>
    <w:p>
      <w:pPr>
        <w:ind w:firstLine="627"/>
        <w:spacing w:after="0" w:line="255" w:lineRule="auto"/>
        <w:tabs>
          <w:tab w:leader="none" w:pos="1072"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in accordance with Article 46 of Regulation (EU) 2016/679 (“GDPR”), that any transfer of personal data from Participants employed by an employer with a corporate seat in the European Economic Area (“EEA”), the United Kingdom or Switzerland to data controllers or data processors – such as the Service Provider or Cimpress USA Incorporated – located in a country not recognized as providing an adequate level of data protection (e.g., the United States), is subject to appropriate safeguards. Such safeguards include the use of the Standard Contractual Clauses adopted by the European Commission in Commission Implementing Decision (EU) 2021/914 of 4 June 2021, as may be updated, amended, replaced or superseded from time to time. Equivalent safeguards will be used for transfers from the United Kingdom and Switzerland in accordance with their respective legal requirements.</w:t>
      </w:r>
    </w:p>
    <w:p>
      <w:pPr>
        <w:spacing w:after="0" w:line="205" w:lineRule="exact"/>
        <w:rPr>
          <w:rFonts w:ascii="Times New Roman" w:cs="Times New Roman" w:eastAsia="Times New Roman" w:hAnsi="Times New Roman"/>
          <w:sz w:val="19"/>
          <w:szCs w:val="19"/>
          <w:color w:val="auto"/>
        </w:rPr>
      </w:pPr>
    </w:p>
    <w:p>
      <w:pPr>
        <w:jc w:val="both"/>
        <w:ind w:right="420" w:firstLine="627"/>
        <w:spacing w:after="0" w:line="290" w:lineRule="auto"/>
        <w:tabs>
          <w:tab w:leader="none" w:pos="1003"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that any individual identifiers of the Participant (e.g., a passport or social security number) will only be collected where required for equity award administration and will be processed solely for the purposes set out in this Agreement and the Plan.</w:t>
      </w:r>
    </w:p>
    <w:p>
      <w:pPr>
        <w:spacing w:after="0" w:line="159" w:lineRule="exact"/>
        <w:rPr>
          <w:rFonts w:ascii="Times New Roman" w:cs="Times New Roman" w:eastAsia="Times New Roman" w:hAnsi="Times New Roman"/>
          <w:sz w:val="19"/>
          <w:szCs w:val="19"/>
          <w:color w:val="auto"/>
        </w:rPr>
      </w:pPr>
    </w:p>
    <w:p>
      <w:pPr>
        <w:ind w:right="20" w:firstLine="627"/>
        <w:spacing w:after="0" w:line="261" w:lineRule="auto"/>
        <w:tabs>
          <w:tab w:leader="none" w:pos="1032"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may, when entitled thereto under the GDPR, exercise their data subject rights by requesting the Company for access to their personal data (including a copy of the personal data that Company holds about the Participant) or exercise their right to rectification, erasure, restriction, data portability and objection. The Participant can exercise most of the foregoing data subject rights himself or herself by using the related functionalities in their local human resources system or by accessing their brokerage account with the Service Provider. Alternatively, the Participant can submit such a ‘data subject right’ request to their local HR representative or Cimpress’ LTI Plan Administrator.</w:t>
      </w:r>
    </w:p>
    <w:p>
      <w:pPr>
        <w:spacing w:after="0" w:line="187" w:lineRule="exact"/>
        <w:rPr>
          <w:rFonts w:ascii="Times New Roman" w:cs="Times New Roman" w:eastAsia="Times New Roman" w:hAnsi="Times New Roman"/>
          <w:sz w:val="19"/>
          <w:szCs w:val="19"/>
          <w:color w:val="auto"/>
        </w:rPr>
      </w:pPr>
    </w:p>
    <w:p>
      <w:pPr>
        <w:ind w:left="440" w:hanging="436"/>
        <w:spacing w:after="0"/>
        <w:tabs>
          <w:tab w:leader="none" w:pos="44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Events</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right="20" w:firstLine="627"/>
        <w:spacing w:after="0" w:line="258" w:lineRule="auto"/>
        <w:tabs>
          <w:tab w:leader="none" w:pos="1024"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 Change in Control Event (as defined below), regardless of whether such event also constitutes a Reorganization Event (as defined in the Plan), except to the extent specifically otherwise provided in another agreement between the Company and the Participant, one-half of the number of then unvested Units become vested if, on or before the first anniversary of the date of the consummation of the Change in Control Event, the Participant’s employment with the Company or the acquiring or succeeding entity is terminated for Good Reason (as defined below) by the Participant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20"/>
          </w:cols>
          <w:pgMar w:left="320" w:top="1116" w:right="359" w:bottom="1440" w:gutter="0" w:footer="0" w:header="0"/>
        </w:sectPr>
      </w:pPr>
    </w:p>
    <w:bookmarkStart w:id="46" w:name="page47"/>
    <w:bookmarkEnd w:id="46"/>
    <w:p>
      <w:pPr>
        <w:ind w:right="160"/>
        <w:spacing w:after="0" w:line="257" w:lineRule="auto"/>
        <w:rPr>
          <w:sz w:val="20"/>
          <w:szCs w:val="20"/>
          <w:color w:val="auto"/>
        </w:rPr>
      </w:pPr>
      <w:r>
        <w:rPr>
          <w:rFonts w:ascii="Times New Roman" w:cs="Times New Roman" w:eastAsia="Times New Roman" w:hAnsi="Times New Roman"/>
          <w:sz w:val="19"/>
          <w:szCs w:val="19"/>
          <w:color w:val="auto"/>
        </w:rPr>
        <w:t>is terminated without Cause (as defined below) by the Company or the acquiring or succeeding entity. If the effective date of such termination occurs after the Final Multiplier has been determined, then each Unit becoming vested under this Section 13(a) is automatically converted into Shares at a rate determined based on the application of the Final Multiplier. If the effective date of such termination occurs before the Final Multiplier has been determined, then each Unit becoming vested under this Section 13(a) shall remain outstanding until the Final Multiplier has been determined, at which time such vested Unit is automatically converted into Shares at a rate determined based on the application of the Final Multiplier.</w:t>
      </w:r>
    </w:p>
    <w:p>
      <w:pPr>
        <w:spacing w:after="0" w:line="193" w:lineRule="exact"/>
        <w:rPr>
          <w:sz w:val="20"/>
          <w:szCs w:val="20"/>
          <w:color w:val="auto"/>
        </w:rPr>
      </w:pPr>
    </w:p>
    <w:p>
      <w:pPr>
        <w:ind w:left="1040" w:hanging="413"/>
        <w:spacing w:after="0"/>
        <w:tabs>
          <w:tab w:leader="none" w:pos="10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“Change in Control Event” means:</w:t>
      </w:r>
    </w:p>
    <w:p>
      <w:pPr>
        <w:spacing w:after="0" w:line="248" w:lineRule="exact"/>
        <w:rPr>
          <w:rFonts w:ascii="Times New Roman" w:cs="Times New Roman" w:eastAsia="Times New Roman" w:hAnsi="Times New Roman"/>
          <w:sz w:val="19"/>
          <w:szCs w:val="19"/>
          <w:color w:val="auto"/>
        </w:rPr>
      </w:pPr>
    </w:p>
    <w:p>
      <w:pPr>
        <w:ind w:left="1240" w:firstLine="1256"/>
        <w:spacing w:after="0" w:line="253" w:lineRule="auto"/>
        <w:tabs>
          <w:tab w:leader="none" w:pos="2839"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(1) the then-outstanding ordinary shares of the Company (the “Outstanding Company Ordinary Shares”) or (2) the combined voting power of the then-outstanding securities of the Company entitled to vote generally in the election of the members of the Board of Directors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entity controlled by the Company, or (C) any acquisition by any entity pursuant to a Business Combination (as defined below) that complies with clauses (A) and (B) of subsection (ii) of this definition; or</w:t>
      </w:r>
    </w:p>
    <w:p>
      <w:pPr>
        <w:spacing w:after="0" w:line="211" w:lineRule="exact"/>
        <w:rPr>
          <w:rFonts w:ascii="Times New Roman" w:cs="Times New Roman" w:eastAsia="Times New Roman" w:hAnsi="Times New Roman"/>
          <w:sz w:val="19"/>
          <w:szCs w:val="19"/>
          <w:color w:val="auto"/>
        </w:rPr>
      </w:pPr>
    </w:p>
    <w:p>
      <w:pPr>
        <w:ind w:left="1240" w:firstLine="1256"/>
        <w:spacing w:after="0" w:line="252" w:lineRule="auto"/>
        <w:tabs>
          <w:tab w:leader="none" w:pos="2909"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(A)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common equity interests and the combined voting power of the then-outstanding securities entitled to vote generally in the election of the members of the Board of Directors (or equivalent) of the resulting or acquiring entity in such Business Combination (which includes, without limitation, an entity that as a result of such transaction owns the Company or substantially all of the Company’s assets either directly or through one or more subsidiaries) (such resulting or acquiring entity is referred to as the “Acquiring Entity”) in substantially the same proportions as their ownership of the Outstanding Company Ordinary Shares and Outstanding Company Voting Securities immediately before such Business Combination and (B) no Person (excluding the Acquiring Entity or any employee benefit plan or related trust maintained or sponsored by the Company or by the Acquiring Entity) beneficially owns, directly or indirectly, 30% or more of the then-outstanding common equity interests of the Acquiring Entity, or of the combined voting power of the then-outstanding securities of such entity entitled to vote generally in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00"/>
          </w:cols>
          <w:pgMar w:left="320" w:top="1116" w:right="379" w:bottom="1440" w:gutter="0" w:footer="0" w:header="0"/>
        </w:sectPr>
      </w:pPr>
    </w:p>
    <w:bookmarkStart w:id="47" w:name="page48"/>
    <w:bookmarkEnd w:id="47"/>
    <w:p>
      <w:pPr>
        <w:ind w:left="1240" w:right="420"/>
        <w:spacing w:after="0" w:line="276" w:lineRule="auto"/>
        <w:rPr>
          <w:sz w:val="20"/>
          <w:szCs w:val="20"/>
          <w:color w:val="auto"/>
        </w:rPr>
      </w:pPr>
      <w:r>
        <w:rPr>
          <w:rFonts w:ascii="Times New Roman" w:cs="Times New Roman" w:eastAsia="Times New Roman" w:hAnsi="Times New Roman"/>
          <w:sz w:val="19"/>
          <w:szCs w:val="19"/>
          <w:color w:val="auto"/>
        </w:rPr>
        <w:t>election of the members of the Board of Directors (or equivalent) (except to the extent that such ownership existed before the Business Combination).</w:t>
      </w:r>
    </w:p>
    <w:p>
      <w:pPr>
        <w:spacing w:after="0" w:line="185" w:lineRule="exact"/>
        <w:rPr>
          <w:sz w:val="20"/>
          <w:szCs w:val="20"/>
          <w:color w:val="auto"/>
        </w:rPr>
      </w:pPr>
    </w:p>
    <w:p>
      <w:pPr>
        <w:ind w:right="140" w:firstLine="627"/>
        <w:spacing w:after="0" w:line="263" w:lineRule="auto"/>
        <w:tabs>
          <w:tab w:leader="none" w:pos="1024"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“Cause” means any (i) willful failure by the Participant to perform their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spacing w:after="0" w:line="184" w:lineRule="exact"/>
        <w:rPr>
          <w:rFonts w:ascii="Times New Roman" w:cs="Times New Roman" w:eastAsia="Times New Roman" w:hAnsi="Times New Roman"/>
          <w:sz w:val="19"/>
          <w:szCs w:val="19"/>
          <w:color w:val="auto"/>
        </w:rPr>
      </w:pPr>
    </w:p>
    <w:p>
      <w:pPr>
        <w:ind w:right="100" w:firstLine="627"/>
        <w:spacing w:after="0" w:line="257" w:lineRule="auto"/>
        <w:tabs>
          <w:tab w:leader="none" w:pos="1035"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“Good Reason” means (i) any significant diminution in the Participant’s duties, authority or responsibilities from and after the Change in Control Event, (ii) any material reduction in base compensation payable to the Participant from and after the Change in Control Event, or (iii) the relocation of the place of business at which the Participant is principally located to a location that is greater than 50 miles from the current site without the Participant’s consent. However, no such event or condition constitutes Good Reason unless</w:t>
      </w:r>
    </w:p>
    <w:p>
      <w:pPr>
        <w:spacing w:after="0" w:line="1" w:lineRule="exact"/>
        <w:rPr>
          <w:rFonts w:ascii="Times New Roman" w:cs="Times New Roman" w:eastAsia="Times New Roman" w:hAnsi="Times New Roman"/>
          <w:sz w:val="19"/>
          <w:szCs w:val="19"/>
          <w:color w:val="auto"/>
        </w:rPr>
      </w:pPr>
    </w:p>
    <w:p>
      <w:pPr>
        <w:jc w:val="both"/>
        <w:ind w:right="400" w:firstLine="4"/>
        <w:spacing w:after="0" w:line="257" w:lineRule="auto"/>
        <w:tabs>
          <w:tab w:leader="none" w:pos="31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gives the Company a written notice of termination for Good Reason not more than 90 days after the initial existence of the condition, (B) the grounds for termination (if susceptible to correction) are not corrected by the Company within 30 days of its receipt of such notice, and (C) the Participant’s termination of employment occurs within six months after the Company’s receipt of such notice.</w:t>
      </w:r>
    </w:p>
    <w:p>
      <w:pPr>
        <w:spacing w:after="0" w:line="204" w:lineRule="exact"/>
        <w:rPr>
          <w:sz w:val="20"/>
          <w:szCs w:val="20"/>
          <w:color w:val="auto"/>
        </w:rPr>
      </w:pPr>
    </w:p>
    <w:p>
      <w:pPr>
        <w:ind w:left="440" w:hanging="436"/>
        <w:spacing w:after="0"/>
        <w:tabs>
          <w:tab w:leader="none" w:pos="4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19"/>
          <w:szCs w:val="19"/>
          <w:color w:val="auto"/>
        </w:rPr>
      </w:pPr>
    </w:p>
    <w:p>
      <w:pPr>
        <w:ind w:right="20" w:firstLine="194"/>
        <w:spacing w:after="0" w:line="257" w:lineRule="auto"/>
        <w:tabs>
          <w:tab w:leader="none" w:pos="58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award is intended to comply with or be exempt from the requirements of Section 409A and shall be construed consistently therewith. Subject to Sections 10(f) and 11(d) of the Plan, the Company reserves the right, to the extent the Company deems necessary or advisable in its sole discretion, to unilaterally amend the Plan or this Agreement to prevent this award from becoming subject to the requirements of Section 409A.</w:t>
      </w:r>
    </w:p>
    <w:p>
      <w:pPr>
        <w:spacing w:after="0" w:line="1" w:lineRule="exact"/>
        <w:rPr>
          <w:rFonts w:ascii="Times New Roman" w:cs="Times New Roman" w:eastAsia="Times New Roman" w:hAnsi="Times New Roman"/>
          <w:sz w:val="19"/>
          <w:szCs w:val="19"/>
          <w:color w:val="auto"/>
        </w:rPr>
      </w:pPr>
    </w:p>
    <w:p>
      <w:pPr>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spacing w:after="0" w:line="203" w:lineRule="exact"/>
        <w:rPr>
          <w:rFonts w:ascii="Times New Roman" w:cs="Times New Roman" w:eastAsia="Times New Roman" w:hAnsi="Times New Roman"/>
          <w:sz w:val="19"/>
          <w:szCs w:val="19"/>
          <w:color w:val="auto"/>
        </w:rPr>
      </w:pPr>
    </w:p>
    <w:p>
      <w:pPr>
        <w:ind w:right="100" w:firstLine="194"/>
        <w:spacing w:after="0" w:line="255" w:lineRule="auto"/>
        <w:tabs>
          <w:tab w:leader="none" w:pos="602"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Units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vesting of Units that occurs upon a termination of employment until the earlier of (i) the six-month and one-day anniversary of the Participant’s termination of employment and (ii) the Participant’s death. In addition, solely to the extent that the Units are considered to be “nonqualified deferred compensation” and solely to the extent that another agreement between the Participant and the Company provides for vesting of the Units and delivery of the Shares upon a “change in control,” such event must constitute a “change in control event” within the meaning of Treasury Regulation Section 1.409A-3(i)(5)(i) in order for the Shares to be delivered.</w:t>
      </w:r>
    </w:p>
    <w:p>
      <w:pPr>
        <w:spacing w:after="0" w:line="193" w:lineRule="exact"/>
        <w:rPr>
          <w:rFonts w:ascii="Times New Roman" w:cs="Times New Roman" w:eastAsia="Times New Roman" w:hAnsi="Times New Roman"/>
          <w:sz w:val="19"/>
          <w:szCs w:val="19"/>
          <w:color w:val="auto"/>
        </w:rPr>
      </w:pPr>
    </w:p>
    <w:p>
      <w:pPr>
        <w:jc w:val="both"/>
        <w:ind w:right="360" w:firstLine="817"/>
        <w:spacing w:after="0" w:line="259" w:lineRule="auto"/>
        <w:tabs>
          <w:tab w:leader="none" w:pos="1215" w:val="left"/>
        </w:tabs>
        <w:numPr>
          <w:ilvl w:val="2"/>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Sections 13(a) and 14(b) of this Agreement, “termination of employment” and similar terms mean “separation from service” within the meaning of Section 409A. The determination of whether and when the Participant’s separation from service from the Company has occurred shall be made in a manner consistent with, and based on the presumptions set forth in, Treasury Regulation</w:t>
      </w:r>
    </w:p>
    <w:p>
      <w:pPr>
        <w:spacing w:after="0" w:line="2" w:lineRule="exact"/>
        <w:rPr>
          <w:rFonts w:ascii="Times New Roman" w:cs="Times New Roman" w:eastAsia="Times New Roman" w:hAnsi="Times New Roman"/>
          <w:sz w:val="19"/>
          <w:szCs w:val="19"/>
          <w:color w:val="auto"/>
        </w:rPr>
      </w:pPr>
    </w:p>
    <w:p>
      <w:pPr>
        <w:ind w:right="180"/>
        <w:spacing w:after="0" w:line="26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1.409A-1(h). Solely for purposes of this Section 14(c), “Company” includes all persons with whom the Company would be considered a single employer under Section 414(b) and 414(c) of the Code.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00"/>
          </w:cols>
          <w:pgMar w:left="320" w:top="1116" w:right="379" w:bottom="1440" w:gutter="0" w:footer="0" w:header="0"/>
        </w:sectPr>
      </w:pPr>
    </w:p>
    <w:bookmarkStart w:id="48" w:name="page49"/>
    <w:bookmarkEnd w:id="48"/>
    <w:p>
      <w:pPr>
        <w:ind w:left="-4" w:right="100" w:firstLine="4"/>
        <w:spacing w:after="0" w:line="276" w:lineRule="auto"/>
        <w:tabs>
          <w:tab w:leader="none" w:pos="42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Language</w:t>
      </w:r>
      <w:r>
        <w:rPr>
          <w:rFonts w:ascii="Times New Roman" w:cs="Times New Roman" w:eastAsia="Times New Roman" w:hAnsi="Times New Roman"/>
          <w:sz w:val="19"/>
          <w:szCs w:val="19"/>
          <w:color w:val="auto"/>
        </w:rPr>
        <w:t>. If the Participant receives this Agreement or any other document related to the Plan translated into a language other than English, the English version controls.</w:t>
      </w:r>
    </w:p>
    <w:p>
      <w:pPr>
        <w:spacing w:after="0" w:line="159" w:lineRule="exact"/>
        <w:rPr>
          <w:rFonts w:ascii="Times New Roman" w:cs="Times New Roman" w:eastAsia="Times New Roman" w:hAnsi="Times New Roman"/>
          <w:sz w:val="19"/>
          <w:szCs w:val="19"/>
          <w:color w:val="auto"/>
        </w:rPr>
      </w:pPr>
    </w:p>
    <w:p>
      <w:pPr>
        <w:ind w:left="-4" w:right="40" w:firstLine="4"/>
        <w:spacing w:after="0" w:line="266" w:lineRule="auto"/>
        <w:tabs>
          <w:tab w:leader="none" w:pos="42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w:t>
      </w:r>
      <w:r>
        <w:rPr>
          <w:rFonts w:ascii="Times New Roman" w:cs="Times New Roman" w:eastAsia="Times New Roman" w:hAnsi="Times New Roman"/>
          <w:sz w:val="19"/>
          <w:szCs w:val="19"/>
          <w:color w:val="auto"/>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spacing w:after="0" w:line="169" w:lineRule="exact"/>
        <w:rPr>
          <w:rFonts w:ascii="Times New Roman" w:cs="Times New Roman" w:eastAsia="Times New Roman" w:hAnsi="Times New Roman"/>
          <w:sz w:val="19"/>
          <w:szCs w:val="19"/>
          <w:color w:val="auto"/>
        </w:rPr>
      </w:pPr>
    </w:p>
    <w:p>
      <w:pPr>
        <w:ind w:left="-4" w:firstLine="4"/>
        <w:spacing w:after="0" w:line="258" w:lineRule="auto"/>
        <w:tabs>
          <w:tab w:leader="none" w:pos="42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Addendum</w:t>
      </w:r>
      <w:r>
        <w:rPr>
          <w:rFonts w:ascii="Times New Roman" w:cs="Times New Roman" w:eastAsia="Times New Roman" w:hAnsi="Times New Roman"/>
          <w:sz w:val="19"/>
          <w:szCs w:val="19"/>
          <w:color w:val="auto"/>
        </w:rPr>
        <w:t>. The Units and the Shares acquired under the Plan are subject to any country-specific terms and conditions set forth in any addendum to this Agreement or the Plan, and in the event of a conflict between this Agreement and any such addendum, the addendum governs. If the Participant relocates their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spacing w:after="0" w:line="175" w:lineRule="exact"/>
        <w:rPr>
          <w:rFonts w:ascii="Times New Roman" w:cs="Times New Roman" w:eastAsia="Times New Roman" w:hAnsi="Times New Roman"/>
          <w:sz w:val="19"/>
          <w:szCs w:val="19"/>
          <w:color w:val="auto"/>
        </w:rPr>
      </w:pPr>
    </w:p>
    <w:p>
      <w:pPr>
        <w:ind w:left="-4" w:right="80" w:firstLine="4"/>
        <w:spacing w:after="0" w:line="257" w:lineRule="auto"/>
        <w:tabs>
          <w:tab w:leader="none" w:pos="42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and Waiver</w:t>
      </w:r>
      <w:r>
        <w:rPr>
          <w:rFonts w:ascii="Times New Roman" w:cs="Times New Roman" w:eastAsia="Times New Roman" w:hAnsi="Times New Roman"/>
          <w:sz w:val="19"/>
          <w:szCs w:val="19"/>
          <w:color w:val="auto"/>
        </w:rPr>
        <w:t>.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except that if the Company and the Participant have entered into or in the future enter into an executive retention agreement, the executive retention agreement governs. 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16"/>
          </w:cols>
          <w:pgMar w:left="324" w:top="1350"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used in this Agreement, the following terms have the following definitions: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Metrics</w:t>
      </w:r>
      <w:r>
        <w:rPr>
          <w:rFonts w:ascii="Times New Roman" w:cs="Times New Roman" w:eastAsia="Times New Roman" w:hAnsi="Times New Roman"/>
          <w:sz w:val="19"/>
          <w:szCs w:val="19"/>
          <w:color w:val="auto"/>
        </w:rPr>
        <w:t>” means Variable Gross Profit and Adjusted EBITDA.</w:t>
      </w:r>
    </w:p>
    <w:p>
      <w:pPr>
        <w:spacing w:after="0" w:line="23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Variable Gross Profit</w:t>
      </w:r>
      <w:r>
        <w:rPr>
          <w:rFonts w:ascii="Times New Roman" w:cs="Times New Roman" w:eastAsia="Times New Roman" w:hAnsi="Times New Roman"/>
          <w:sz w:val="19"/>
          <w:szCs w:val="19"/>
          <w:color w:val="auto"/>
        </w:rPr>
        <w:t>” means Cimpress consolidated revenue for the Applicable Fiscal Year, less the costs associated with producing those goods or services for the Applicable Fiscal Year, such as raw materials, labor, consumables like ink, the use of third-party fulfillers, and outbound shipping costs, excluding, in each case, any revenue and associated costs impact from acquisitions closed during the Applicable Fiscal Year. Cimpress variable gross profit and any adjustments shall be measured at Applicable Fiscal Year budget currency rates.</w:t>
      </w:r>
    </w:p>
    <w:p>
      <w:pPr>
        <w:spacing w:after="0" w:line="19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EBITDA</w:t>
      </w:r>
      <w:r>
        <w:rPr>
          <w:rFonts w:ascii="Times New Roman" w:cs="Times New Roman" w:eastAsia="Times New Roman" w:hAnsi="Times New Roman"/>
          <w:sz w:val="19"/>
          <w:szCs w:val="19"/>
          <w:color w:val="auto"/>
        </w:rPr>
        <w:t>” means Cimpress adjusted EBITDA for the Applicable Fiscal Year as reported in Cimpress’ published earnings document, less any adjusted EBITDA from acquisitions closed during the Applicable Fiscal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 Targets, Weightings, and Multipliers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Variable Gross Profit</w:t>
      </w:r>
      <w:r>
        <w:rPr>
          <w:rFonts w:ascii="Times New Roman" w:cs="Times New Roman" w:eastAsia="Times New Roman" w:hAnsi="Times New Roman"/>
          <w:sz w:val="19"/>
          <w:szCs w:val="19"/>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 Target: $__________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Weighting: 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Multiplier: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ind w:left="40"/>
              <w:spacing w:after="0" w:line="208" w:lineRule="exact"/>
              <w:rPr>
                <w:sz w:val="20"/>
                <w:szCs w:val="20"/>
                <w:color w:val="auto"/>
              </w:rPr>
            </w:pPr>
            <w:r>
              <w:rPr>
                <w:rFonts w:ascii="Times New Roman" w:cs="Times New Roman" w:eastAsia="Times New Roman" w:hAnsi="Times New Roman"/>
                <w:sz w:val="19"/>
                <w:szCs w:val="19"/>
                <w:color w:val="auto"/>
              </w:rPr>
              <w:t>Percentage</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rPr>
              <w:t>&lt;90%</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7"/>
              </w:rPr>
              <w:t>90%</w:t>
            </w:r>
          </w:p>
        </w:tc>
        <w:tc>
          <w:tcPr>
            <w:tcW w:w="226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110% or higher</w:t>
            </w:r>
          </w:p>
        </w:tc>
      </w:tr>
      <w:tr>
        <w:trPr>
          <w:trHeight w:val="279"/>
        </w:trPr>
        <w:tc>
          <w:tcPr>
            <w:tcW w:w="3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Achievement</w:t>
            </w:r>
          </w:p>
        </w:tc>
        <w:tc>
          <w:tcPr>
            <w:tcW w:w="2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9"/>
                <w:szCs w:val="19"/>
                <w:color w:val="auto"/>
              </w:rPr>
              <w:t>(Below Threshold)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(Target)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(Maximum)</w:t>
            </w:r>
          </w:p>
        </w:tc>
      </w:tr>
      <w:tr>
        <w:trPr>
          <w:trHeight w:val="33"/>
        </w:trPr>
        <w:tc>
          <w:tcPr>
            <w:tcW w:w="34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40"/>
        </w:trPr>
        <w:tc>
          <w:tcPr>
            <w:tcW w:w="340" w:type="dxa"/>
            <w:vAlign w:val="bottom"/>
            <w:tcBorders>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60%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160%</w:t>
            </w:r>
          </w:p>
        </w:tc>
      </w:tr>
      <w:tr>
        <w:trPr>
          <w:trHeight w:val="486"/>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Adjusted EBITDA:</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144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43"/>
        </w:trPr>
        <w:tc>
          <w:tcPr>
            <w:tcW w:w="42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Performance Target: $__________</w:t>
            </w:r>
          </w:p>
        </w:tc>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21"/>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Weighting: ___%</w:t>
            </w:r>
          </w:p>
        </w:tc>
        <w:tc>
          <w:tcPr>
            <w:tcW w:w="2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50"/>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66"/>
        </w:trPr>
        <w:tc>
          <w:tcPr>
            <w:tcW w:w="340" w:type="dxa"/>
            <w:vAlign w:val="bottom"/>
          </w:tcPr>
          <w:p>
            <w:pPr>
              <w:spacing w:after="0"/>
              <w:rPr>
                <w:sz w:val="23"/>
                <w:szCs w:val="23"/>
                <w:color w:val="auto"/>
              </w:rPr>
            </w:pPr>
          </w:p>
        </w:tc>
        <w:tc>
          <w:tcPr>
            <w:tcW w:w="1660" w:type="dxa"/>
            <w:vAlign w:val="bottom"/>
            <w:tcBorders>
              <w:bottom w:val="single" w:sz="8" w:color="auto"/>
            </w:tcBorders>
            <w:gridSpan w:val="2"/>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r>
      <w:tr>
        <w:trPr>
          <w:trHeight w:val="188"/>
        </w:trPr>
        <w:tc>
          <w:tcPr>
            <w:tcW w:w="3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9"/>
                <w:szCs w:val="19"/>
                <w:color w:val="auto"/>
              </w:rPr>
              <w:t>Percentage</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rPr>
              <w:t>&lt;85%</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7"/>
              </w:rPr>
              <w:t>85%</w:t>
            </w:r>
          </w:p>
        </w:tc>
        <w:tc>
          <w:tcPr>
            <w:tcW w:w="22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9"/>
              </w:rPr>
              <w:t>115% or higher</w:t>
            </w:r>
          </w:p>
        </w:tc>
      </w:tr>
      <w:tr>
        <w:trPr>
          <w:trHeight w:val="279"/>
        </w:trPr>
        <w:tc>
          <w:tcPr>
            <w:tcW w:w="3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Achievement</w:t>
            </w:r>
          </w:p>
        </w:tc>
        <w:tc>
          <w:tcPr>
            <w:tcW w:w="2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9"/>
                <w:szCs w:val="19"/>
                <w:color w:val="auto"/>
              </w:rPr>
              <w:t>(Below Threshold)</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(Target)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(Maximum)</w:t>
            </w:r>
          </w:p>
        </w:tc>
      </w:tr>
      <w:tr>
        <w:trPr>
          <w:trHeight w:val="33"/>
        </w:trPr>
        <w:tc>
          <w:tcPr>
            <w:tcW w:w="340" w:type="dxa"/>
            <w:vAlign w:val="bottom"/>
            <w:tcBorders>
              <w:right w:val="single" w:sz="8" w:color="auto"/>
            </w:tcBorders>
          </w:tcPr>
          <w:p>
            <w:pPr>
              <w:spacing w:after="0"/>
              <w:rPr>
                <w:sz w:val="2"/>
                <w:szCs w:val="2"/>
                <w:color w:val="auto"/>
              </w:rPr>
            </w:pPr>
          </w:p>
        </w:tc>
        <w:tc>
          <w:tcPr>
            <w:tcW w:w="1660" w:type="dxa"/>
            <w:vAlign w:val="bottom"/>
            <w:tcBorders>
              <w:bottom w:val="single" w:sz="8" w:color="auto"/>
              <w:right w:val="single" w:sz="8" w:color="auto"/>
            </w:tcBorders>
            <w:gridSpan w:val="2"/>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40"/>
        </w:trPr>
        <w:tc>
          <w:tcPr>
            <w:tcW w:w="340" w:type="dxa"/>
            <w:vAlign w:val="bottom"/>
            <w:tcBorders>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60%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160%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Calculation of Final Multiplier</w:t>
      </w:r>
    </w:p>
    <w:p>
      <w:pPr>
        <w:spacing w:after="0" w:line="251" w:lineRule="exact"/>
        <w:rPr>
          <w:sz w:val="20"/>
          <w:szCs w:val="20"/>
          <w:color w:val="auto"/>
        </w:rPr>
      </w:pPr>
    </w:p>
    <w:p>
      <w:pPr>
        <w:ind w:left="620" w:right="520" w:hanging="305"/>
        <w:spacing w:after="0" w:line="290" w:lineRule="auto"/>
        <w:tabs>
          <w:tab w:leader="none" w:pos="61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Financial Metric, the Company shall calculate the percentage achievement against the performance target for that Financial Metric shown above (as applicable, the “Percentage Achievement”).</w:t>
      </w:r>
    </w:p>
    <w:p>
      <w:pPr>
        <w:spacing w:after="0" w:line="159" w:lineRule="exact"/>
        <w:rPr>
          <w:rFonts w:ascii="Times New Roman" w:cs="Times New Roman" w:eastAsia="Times New Roman" w:hAnsi="Times New Roman"/>
          <w:sz w:val="19"/>
          <w:szCs w:val="19"/>
          <w:color w:val="auto"/>
        </w:rPr>
      </w:pPr>
    </w:p>
    <w:p>
      <w:pPr>
        <w:ind w:left="620" w:hanging="305"/>
        <w:spacing w:after="0" w:line="290" w:lineRule="auto"/>
        <w:tabs>
          <w:tab w:leader="none" w:pos="64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or greater than the maximum shown above for that Financial Metric (as applicable, the “Maximum”), then the Multiplier for that Financial Metric is 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114" w:right="339" w:bottom="1440" w:gutter="0" w:footer="0" w:header="0"/>
        </w:sectPr>
      </w:pPr>
    </w:p>
    <w:bookmarkStart w:id="50" w:name="page51"/>
    <w:bookmarkEnd w:id="50"/>
    <w:p>
      <w:pPr>
        <w:ind w:left="305" w:hanging="305"/>
        <w:spacing w:after="0" w:line="276" w:lineRule="auto"/>
        <w:tabs>
          <w:tab w:leader="none" w:pos="31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100% for that Financial Metric (the “Target”), then the Multiplier for that Financial Metric is 100%.</w:t>
      </w:r>
    </w:p>
    <w:p>
      <w:pPr>
        <w:spacing w:after="0" w:line="185" w:lineRule="exact"/>
        <w:rPr>
          <w:rFonts w:ascii="Times New Roman" w:cs="Times New Roman" w:eastAsia="Times New Roman" w:hAnsi="Times New Roman"/>
          <w:sz w:val="19"/>
          <w:szCs w:val="19"/>
          <w:color w:val="auto"/>
        </w:rPr>
      </w:pPr>
    </w:p>
    <w:p>
      <w:pPr>
        <w:ind w:left="305" w:hanging="305"/>
        <w:spacing w:after="0" w:line="290" w:lineRule="auto"/>
        <w:tabs>
          <w:tab w:leader="none" w:pos="30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the threshold shown above for that Financial Metric (as applicable, the “Threshold”), then the Multiplier for that Financial Metric is 60%.</w:t>
      </w:r>
    </w:p>
    <w:p>
      <w:pPr>
        <w:spacing w:after="0" w:line="159" w:lineRule="exact"/>
        <w:rPr>
          <w:rFonts w:ascii="Times New Roman" w:cs="Times New Roman" w:eastAsia="Times New Roman" w:hAnsi="Times New Roman"/>
          <w:sz w:val="19"/>
          <w:szCs w:val="19"/>
          <w:color w:val="auto"/>
        </w:rPr>
      </w:pPr>
    </w:p>
    <w:p>
      <w:pPr>
        <w:ind w:left="305" w:hanging="305"/>
        <w:spacing w:after="0"/>
        <w:tabs>
          <w:tab w:leader="none" w:pos="30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less than the Threshold, then the Multiplier for that Financial Metric is 0%.</w:t>
      </w:r>
    </w:p>
    <w:p>
      <w:pPr>
        <w:spacing w:after="0" w:line="248" w:lineRule="exact"/>
        <w:rPr>
          <w:rFonts w:ascii="Times New Roman" w:cs="Times New Roman" w:eastAsia="Times New Roman" w:hAnsi="Times New Roman"/>
          <w:sz w:val="19"/>
          <w:szCs w:val="19"/>
          <w:color w:val="auto"/>
        </w:rPr>
      </w:pPr>
    </w:p>
    <w:p>
      <w:pPr>
        <w:ind w:left="305" w:right="140" w:hanging="305"/>
        <w:spacing w:after="0" w:line="266" w:lineRule="auto"/>
        <w:tabs>
          <w:tab w:leader="none" w:pos="30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greater than the Target but less than the Maximum, then the Multiplier for that Financial Metric shall be based on the interpolation of two straight lines whose slope and intercept define the relationship of (i) the Percentage Achievement between the Target and the Maximum and (ii) the Multiplier between 100% and 160%.</w:t>
      </w:r>
    </w:p>
    <w:p>
      <w:pPr>
        <w:spacing w:after="0" w:line="195" w:lineRule="exact"/>
        <w:rPr>
          <w:sz w:val="20"/>
          <w:szCs w:val="20"/>
          <w:color w:val="auto"/>
        </w:rPr>
      </w:pPr>
    </w:p>
    <w:p>
      <w:pPr>
        <w:ind w:left="925" w:hanging="302"/>
        <w:spacing w:after="0"/>
        <w:tabs>
          <w:tab w:leader="none" w:pos="925" w:val="left"/>
        </w:tabs>
        <w:numPr>
          <w:ilvl w:val="1"/>
          <w:numId w:val="52"/>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Percentage Achievement for Variable Gross Profit were 102%, then the Multiplier would be ___%.</w:t>
      </w:r>
    </w:p>
    <w:p>
      <w:pPr>
        <w:spacing w:after="0" w:line="232" w:lineRule="exact"/>
        <w:rPr>
          <w:rFonts w:ascii="Courier New" w:cs="Courier New" w:eastAsia="Courier New" w:hAnsi="Courier New"/>
          <w:sz w:val="19"/>
          <w:szCs w:val="19"/>
          <w:color w:val="auto"/>
        </w:rPr>
      </w:pPr>
    </w:p>
    <w:p>
      <w:pPr>
        <w:ind w:left="305" w:right="160" w:hanging="305"/>
        <w:spacing w:after="0" w:line="266" w:lineRule="auto"/>
        <w:tabs>
          <w:tab w:leader="none" w:pos="30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greater than the Threshold but less than the Target, then the Multiplier for that Financial Metric shall be based on the interpolation of two straight lines whose slope and intercept define the relationship of (i) the Percentage Achievement between the Threshold and the Target and (ii) the Multiplier between 60% and 100%.</w:t>
      </w:r>
    </w:p>
    <w:p>
      <w:pPr>
        <w:spacing w:after="0" w:line="195" w:lineRule="exact"/>
        <w:rPr>
          <w:rFonts w:ascii="Times New Roman" w:cs="Times New Roman" w:eastAsia="Times New Roman" w:hAnsi="Times New Roman"/>
          <w:sz w:val="19"/>
          <w:szCs w:val="19"/>
          <w:color w:val="auto"/>
        </w:rPr>
      </w:pPr>
    </w:p>
    <w:p>
      <w:pPr>
        <w:ind w:left="925" w:hanging="302"/>
        <w:spacing w:after="0"/>
        <w:tabs>
          <w:tab w:leader="none" w:pos="925" w:val="left"/>
        </w:tabs>
        <w:numPr>
          <w:ilvl w:val="1"/>
          <w:numId w:val="52"/>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Percentage Achievement for Adjusted EBITDA were 92.5%, then the Multiplier would be ___%.</w:t>
      </w:r>
    </w:p>
    <w:p>
      <w:pPr>
        <w:spacing w:after="0" w:line="245" w:lineRule="exact"/>
        <w:rPr>
          <w:rFonts w:ascii="Courier New" w:cs="Courier New" w:eastAsia="Courier New" w:hAnsi="Courier New"/>
          <w:sz w:val="19"/>
          <w:szCs w:val="19"/>
          <w:color w:val="auto"/>
        </w:rPr>
      </w:pPr>
    </w:p>
    <w:p>
      <w:pPr>
        <w:ind w:left="305" w:right="120" w:hanging="305"/>
        <w:spacing w:after="0" w:line="276" w:lineRule="auto"/>
        <w:tabs>
          <w:tab w:leader="none" w:pos="30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Financial Metric, the Company shall then calculate a weighted multiplier equal to the product of the Multiplier for that Financial Metric and its weighting percentage shown above (as applicable, the “Weighted Multiplier”).</w:t>
      </w:r>
    </w:p>
    <w:p>
      <w:pPr>
        <w:spacing w:after="0" w:line="185" w:lineRule="exact"/>
        <w:rPr>
          <w:rFonts w:ascii="Times New Roman" w:cs="Times New Roman" w:eastAsia="Times New Roman" w:hAnsi="Times New Roman"/>
          <w:sz w:val="19"/>
          <w:szCs w:val="19"/>
          <w:color w:val="auto"/>
        </w:rPr>
      </w:pPr>
    </w:p>
    <w:p>
      <w:pPr>
        <w:ind w:left="925" w:hanging="302"/>
        <w:spacing w:after="0"/>
        <w:tabs>
          <w:tab w:leader="none" w:pos="925" w:val="left"/>
        </w:tabs>
        <w:numPr>
          <w:ilvl w:val="1"/>
          <w:numId w:val="52"/>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Variable Gross Profit Multiplier were 104%, then the Variable Gross Profit Weighted Multiplier would be</w:t>
      </w:r>
    </w:p>
    <w:p>
      <w:pPr>
        <w:spacing w:after="0" w:line="21" w:lineRule="exact"/>
        <w:rPr>
          <w:rFonts w:ascii="Courier New" w:cs="Courier New" w:eastAsia="Courier New" w:hAnsi="Courier New"/>
          <w:sz w:val="19"/>
          <w:szCs w:val="19"/>
          <w:color w:val="auto"/>
        </w:rPr>
      </w:pPr>
    </w:p>
    <w:p>
      <w:pPr>
        <w:ind w:left="925"/>
        <w:spacing w:after="0"/>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___%.</w:t>
      </w:r>
    </w:p>
    <w:p>
      <w:pPr>
        <w:spacing w:after="0" w:line="226" w:lineRule="exact"/>
        <w:rPr>
          <w:rFonts w:ascii="Courier New" w:cs="Courier New" w:eastAsia="Courier New" w:hAnsi="Courier New"/>
          <w:sz w:val="19"/>
          <w:szCs w:val="19"/>
          <w:color w:val="auto"/>
        </w:rPr>
      </w:pPr>
    </w:p>
    <w:p>
      <w:pPr>
        <w:ind w:left="305" w:right="180" w:hanging="305"/>
        <w:spacing w:after="0" w:line="263" w:lineRule="auto"/>
        <w:tabs>
          <w:tab w:leader="none" w:pos="30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Final Multiplier is equal to the sum of the two Weighted Multipliers, provided, however, that notwithstanding the foregoing calculations of the Multipliers, the Weighted Multipliers, and the Final Multiplier, the Final Multiplier shall not be less than 60%, subject the Compensation Committee’s discretion to account for non-recurring items in determining the Final Multiplier pursuant to Section 2(a)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925"/>
          </w:cols>
          <w:pgMar w:left="635" w:top="1116" w:right="339" w:bottom="1440" w:gutter="0" w:footer="0" w:header="0"/>
        </w:sectPr>
      </w:pPr>
    </w:p>
    <w:bookmarkStart w:id="51" w:name="page52"/>
    <w:bookmarkEnd w:id="51"/>
    <w:p>
      <w:pPr>
        <w:jc w:val="center"/>
        <w:ind w:right="-299"/>
        <w:spacing w:after="0"/>
        <w:rPr>
          <w:sz w:val="20"/>
          <w:szCs w:val="20"/>
          <w:color w:val="auto"/>
        </w:rPr>
      </w:pPr>
      <w:r>
        <w:rPr>
          <w:rFonts w:ascii="Times New Roman" w:cs="Times New Roman" w:eastAsia="Times New Roman" w:hAnsi="Times New Roman"/>
          <w:sz w:val="19"/>
          <w:szCs w:val="19"/>
          <w:color w:val="auto"/>
        </w:rPr>
        <w:t>PARTICIPANT’S ACCEPTANCE</w:t>
      </w:r>
    </w:p>
    <w:p>
      <w:pPr>
        <w:spacing w:after="0" w:line="24"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19"/>
          <w:szCs w:val="19"/>
          <w:color w:val="auto"/>
        </w:rPr>
        <w:t>By signing or electronically accepting this Agreement, the Participant agrees to the terms and conditions hereof. The Participant hereby acknowledges receipt of a copy of the Cimpress plc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940"/>
          </w:cols>
          <w:pgMar w:left="320" w:top="1350" w:right="63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Performance-Based Restricted Share Unit Agreement</w:t>
      </w:r>
    </w:p>
    <w:p>
      <w:pPr>
        <w:spacing w:after="0" w:line="225"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9"/>
          <w:szCs w:val="19"/>
          <w:b w:val="1"/>
          <w:bCs w:val="1"/>
          <w:color w:val="auto"/>
        </w:rPr>
        <w:t>Name of Participant:</w:t>
      </w:r>
      <w:r>
        <w:rPr>
          <w:sz w:val="20"/>
          <w:szCs w:val="20"/>
          <w:color w:val="auto"/>
        </w:rPr>
        <w:tab/>
      </w:r>
      <w:r>
        <w:rPr>
          <w:rFonts w:ascii="Times New Roman" w:cs="Times New Roman" w:eastAsia="Times New Roman" w:hAnsi="Times New Roman"/>
          <w:sz w:val="19"/>
          <w:szCs w:val="19"/>
          <w:color w:val="auto"/>
        </w:rPr>
        <w:t>%%FIRST_NAME%-% %%LAST_NAME%-%</w:t>
      </w:r>
    </w:p>
    <w:p>
      <w:pPr>
        <w:spacing w:after="0" w:line="24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9"/>
          <w:szCs w:val="19"/>
          <w:b w:val="1"/>
          <w:bCs w:val="1"/>
          <w:color w:val="auto"/>
        </w:rPr>
        <w:t>Number of Units:</w:t>
      </w:r>
      <w:r>
        <w:rPr>
          <w:sz w:val="20"/>
          <w:szCs w:val="20"/>
          <w:color w:val="auto"/>
        </w:rPr>
        <w:tab/>
      </w:r>
      <w:r>
        <w:rPr>
          <w:rFonts w:ascii="Times New Roman" w:cs="Times New Roman" w:eastAsia="Times New Roman" w:hAnsi="Times New Roman"/>
          <w:sz w:val="18"/>
          <w:szCs w:val="18"/>
          <w:color w:val="auto"/>
        </w:rPr>
        <w:t>%%TOTAL_SHARES_GRANTED%-%</w:t>
      </w:r>
    </w:p>
    <w:p>
      <w:pPr>
        <w:spacing w:after="0" w:line="2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Date of Award:</w:t>
      </w:r>
      <w:r>
        <w:rPr>
          <w:sz w:val="20"/>
          <w:szCs w:val="20"/>
          <w:color w:val="auto"/>
        </w:rPr>
        <w:tab/>
      </w:r>
      <w:r>
        <w:rPr>
          <w:rFonts w:ascii="Times New Roman" w:cs="Times New Roman" w:eastAsia="Times New Roman" w:hAnsi="Times New Roman"/>
          <w:sz w:val="18"/>
          <w:szCs w:val="18"/>
          <w:color w:val="auto"/>
        </w:rPr>
        <w:t>%%OPTION_DATE,'MONTH DD, YYYY'%-%</w:t>
      </w:r>
    </w:p>
    <w:p>
      <w:pPr>
        <w:spacing w:after="0" w:line="24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9"/>
          <w:szCs w:val="19"/>
          <w:b w:val="1"/>
          <w:bCs w:val="1"/>
          <w:color w:val="auto"/>
        </w:rPr>
        <w:t>Initial Vesting Date:</w:t>
      </w:r>
      <w:r>
        <w:rPr>
          <w:sz w:val="20"/>
          <w:szCs w:val="20"/>
          <w:color w:val="auto"/>
        </w:rPr>
        <w:tab/>
      </w:r>
      <w:r>
        <w:rPr>
          <w:rFonts w:ascii="Times New Roman" w:cs="Times New Roman" w:eastAsia="Times New Roman" w:hAnsi="Times New Roman"/>
          <w:sz w:val="18"/>
          <w:szCs w:val="18"/>
          <w:color w:val="auto"/>
        </w:rPr>
        <w:t>%%VEST_DATE_PERIOD1,’MONTH DD, YYYY’%-%</w:t>
      </w:r>
    </w:p>
    <w:p>
      <w:pPr>
        <w:spacing w:after="0" w:line="236"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9"/>
          <w:szCs w:val="19"/>
          <w:b w:val="1"/>
          <w:bCs w:val="1"/>
          <w:color w:val="auto"/>
        </w:rPr>
        <w:t>Applicable Fiscal Year:</w:t>
      </w:r>
      <w:r>
        <w:rPr>
          <w:sz w:val="20"/>
          <w:szCs w:val="20"/>
          <w:color w:val="auto"/>
        </w:rPr>
        <w:tab/>
      </w:r>
      <w:r>
        <w:rPr>
          <w:rFonts w:ascii="Times New Roman" w:cs="Times New Roman" w:eastAsia="Times New Roman" w:hAnsi="Times New Roman"/>
          <w:sz w:val="18"/>
          <w:szCs w:val="18"/>
          <w:color w:val="auto"/>
        </w:rPr>
        <w:t>Fiscal Year ____</w:t>
      </w:r>
    </w:p>
    <w:p>
      <w:pPr>
        <w:spacing w:after="0" w:line="251" w:lineRule="exact"/>
        <w:rPr>
          <w:sz w:val="20"/>
          <w:szCs w:val="20"/>
          <w:color w:val="auto"/>
        </w:rPr>
      </w:pPr>
    </w:p>
    <w:p>
      <w:pPr>
        <w:ind w:right="100" w:firstLine="4"/>
        <w:spacing w:after="0" w:line="274" w:lineRule="auto"/>
        <w:tabs>
          <w:tab w:leader="none" w:pos="3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xml:space="preserve">. This Agreement, including any country-specific addendum to this Agreement, evidences the grant by Cimpress plc, an Irish public limited company (the “Company”), on the Date of Award set forth above to the Participant named above of the number of performance-based restricted share units (the “Units”) set forth above on the terms of this Agreement and the Company’s 2020 Equity Incentive Plan (the “Plan”). Each Unit represents a right to receive between 0 and 1.6 ordinary shares of the Company, €0.01 nominal value per share (the “Shares”), with the number of Shares subject to this award determined based on the level of achievement of the performance conditions relating to the Company’s financial metrics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for the applicable fiscal year set forth above (the “Applicable Fiscal Year”).</w:t>
      </w:r>
    </w:p>
    <w:p>
      <w:pPr>
        <w:spacing w:after="0" w:line="192" w:lineRule="exact"/>
        <w:rPr>
          <w:sz w:val="20"/>
          <w:szCs w:val="20"/>
          <w:color w:val="auto"/>
        </w:rPr>
      </w:pPr>
    </w:p>
    <w:p>
      <w:pPr>
        <w:ind w:right="100" w:firstLine="623"/>
        <w:spacing w:after="0" w:line="266" w:lineRule="auto"/>
        <w:rPr>
          <w:sz w:val="20"/>
          <w:szCs w:val="20"/>
          <w:color w:val="auto"/>
        </w:rPr>
      </w:pPr>
      <w:r>
        <w:rPr>
          <w:rFonts w:ascii="Times New Roman" w:cs="Times New Roman" w:eastAsia="Times New Roman" w:hAnsi="Times New Roman"/>
          <w:sz w:val="19"/>
          <w:szCs w:val="19"/>
          <w:color w:val="auto"/>
        </w:rPr>
        <w:t>Except as otherwise indicated by the context, the term “Participant,” as used in this award, is deemed to include any person who acquires rights under this award validly under its terms. Capitalized terms that are used but not defined in this Agreement have the meanings assigned to such terms in the Plan.</w:t>
      </w:r>
    </w:p>
    <w:p>
      <w:pPr>
        <w:spacing w:after="0" w:line="182" w:lineRule="exact"/>
        <w:rPr>
          <w:sz w:val="20"/>
          <w:szCs w:val="20"/>
          <w:color w:val="auto"/>
        </w:rPr>
      </w:pPr>
    </w:p>
    <w:p>
      <w:pPr>
        <w:ind w:left="340" w:hanging="336"/>
        <w:spacing w:after="0"/>
        <w:tabs>
          <w:tab w:leader="none" w:pos="3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Conditions</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right="40" w:firstLine="627"/>
        <w:spacing w:after="0" w:line="258" w:lineRule="auto"/>
        <w:tabs>
          <w:tab w:leader="none" w:pos="1021"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45 days after the end of the Company’s Applicable Fiscal Year, the Company shall calculate the multiplier used to determine the number of Shares issuable per Unit in accordance with the formula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and the Company’s Compensation Committee shall review and approve such calculation (as so approved, the “Final Multiplier”). The Compensation Committee will have the discretion to account for non-recurring items in determining the Final Multiplier. The number of Shares subject to this award shall be the number of Units subject to this award multiplied by the Final Multiplier, rounded to the nearest whole Share.</w:t>
      </w:r>
    </w:p>
    <w:p>
      <w:pPr>
        <w:spacing w:after="0" w:line="201" w:lineRule="exact"/>
        <w:rPr>
          <w:rFonts w:ascii="Times New Roman" w:cs="Times New Roman" w:eastAsia="Times New Roman" w:hAnsi="Times New Roman"/>
          <w:sz w:val="19"/>
          <w:szCs w:val="19"/>
          <w:color w:val="auto"/>
        </w:rPr>
      </w:pPr>
    </w:p>
    <w:p>
      <w:pPr>
        <w:ind w:right="100" w:firstLine="627"/>
        <w:spacing w:after="0" w:line="276" w:lineRule="auto"/>
        <w:tabs>
          <w:tab w:leader="none" w:pos="1035"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Final Multiplier is equal to 0, then this award expires in its entirety on the date on which the Final Multiplier is determined by the Compensation Committee, all Units are forfeited, and no Shares will be issued or issuable with respect to this award.</w:t>
      </w:r>
    </w:p>
    <w:p>
      <w:pPr>
        <w:spacing w:after="0" w:line="185" w:lineRule="exact"/>
        <w:rPr>
          <w:rFonts w:ascii="Times New Roman" w:cs="Times New Roman" w:eastAsia="Times New Roman" w:hAnsi="Times New Roman"/>
          <w:sz w:val="19"/>
          <w:szCs w:val="19"/>
          <w:color w:val="auto"/>
        </w:rPr>
      </w:pPr>
    </w:p>
    <w:p>
      <w:pPr>
        <w:ind w:left="340" w:hanging="336"/>
        <w:spacing w:after="0"/>
        <w:tabs>
          <w:tab w:leader="none" w:pos="3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Service-Based Vesting</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firstLine="627"/>
        <w:spacing w:after="0" w:line="258" w:lineRule="auto"/>
        <w:tabs>
          <w:tab w:leader="none" w:pos="1021"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Throughout this Agreement, the term “vest” refers only to the satisfaction of the service-based condition described in this Section 3 and does not refer to the performance conditions described in Section 2 above, the satisfaction of which is also necessary for any issuance of Shares with respect to this award. If the Final Multiplier is greater than 0, then subject to the terms and conditions of this award, the Shares subject to this award vest in accordance with the applicable schedule described in Section 3(b) or 3(c) below, so long as the Participant is, and has been at all times since the date in Section 1 above on which the Units were granted, an employee, officer or director of, or consultant or advisor to, the</w:t>
      </w:r>
    </w:p>
    <w:p>
      <w:pPr>
        <w:sectPr>
          <w:pgSz w:w="11900" w:h="16838" w:orient="portrait"/>
          <w:cols w:equalWidth="0" w:num="1">
            <w:col w:w="11160"/>
          </w:cols>
          <w:pgMar w:left="320" w:top="1114" w:right="419" w:bottom="1440" w:gutter="0" w:footer="0" w:header="0"/>
        </w:sectPr>
      </w:pPr>
    </w:p>
    <w:bookmarkStart w:id="53" w:name="page54"/>
    <w:bookmarkEnd w:id="53"/>
    <w:p>
      <w:pPr>
        <w:ind w:right="60"/>
        <w:spacing w:after="0" w:line="257" w:lineRule="auto"/>
        <w:rPr>
          <w:sz w:val="20"/>
          <w:szCs w:val="20"/>
          <w:color w:val="auto"/>
        </w:rPr>
      </w:pPr>
      <w:r>
        <w:rPr>
          <w:rFonts w:ascii="Times New Roman" w:cs="Times New Roman" w:eastAsia="Times New Roman" w:hAnsi="Times New Roman"/>
          <w:sz w:val="19"/>
          <w:szCs w:val="19"/>
          <w:color w:val="auto"/>
        </w:rPr>
        <w:t>Company or any parent or subsidiary of the Company (an “Eligible Participant”), as “parent” and “subsidiary” are defined in Section 424(e) or (f) of the United States Internal Revenue Code of 1986, as amended, and any regulations promulgated thereunder (the “Code”). On each vesting date, each Unit becoming vested is automatically converted into Shares at a rate determined based on the application of the Final Multiplier. If the Final Multiplier has not yet been determined on the date a Unit vests, then such vested Unit remains outstanding until the Final Multiplier has been determined, at which time such vested Unit is automatically converted into Shares at a rate determined based on the application of the Final Multiplier.</w:t>
      </w:r>
    </w:p>
    <w:p>
      <w:pPr>
        <w:spacing w:after="0" w:line="193" w:lineRule="exact"/>
        <w:rPr>
          <w:sz w:val="20"/>
          <w:szCs w:val="20"/>
          <w:color w:val="auto"/>
        </w:rPr>
      </w:pPr>
    </w:p>
    <w:p>
      <w:pPr>
        <w:ind w:left="1040" w:hanging="413"/>
        <w:spacing w:after="0"/>
        <w:tabs>
          <w:tab w:leader="none" w:pos="104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Shares subject to this award following the application of the Final Multiplier is greater than 16, then this award vests</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follows:</w:t>
      </w:r>
    </w:p>
    <w:p>
      <w:pPr>
        <w:spacing w:after="0" w:line="232" w:lineRule="exact"/>
        <w:rPr>
          <w:rFonts w:ascii="Times New Roman" w:cs="Times New Roman" w:eastAsia="Times New Roman" w:hAnsi="Times New Roman"/>
          <w:sz w:val="19"/>
          <w:szCs w:val="19"/>
          <w:color w:val="auto"/>
        </w:rPr>
      </w:pPr>
    </w:p>
    <w:p>
      <w:pPr>
        <w:ind w:left="1300" w:right="20" w:hanging="312"/>
        <w:spacing w:after="0" w:line="258" w:lineRule="auto"/>
        <w:tabs>
          <w:tab w:leader="none" w:pos="1298"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of the total number of Shares subject to this award vest on the initial vesting date set forth above (the “Initial Vesting Date”), and</w:t>
      </w:r>
    </w:p>
    <w:p>
      <w:pPr>
        <w:ind w:left="1300" w:right="400" w:hanging="312"/>
        <w:spacing w:after="0" w:line="259" w:lineRule="auto"/>
        <w:tabs>
          <w:tab w:leader="none" w:pos="1298"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additional 6.25% of the total number of Shares subject to this award vest at the end of each successive three-month period following such date until the third anniversary of such date.</w:t>
      </w:r>
    </w:p>
    <w:p>
      <w:pPr>
        <w:spacing w:after="0" w:line="200" w:lineRule="exact"/>
        <w:rPr>
          <w:rFonts w:ascii="Times New Roman" w:cs="Times New Roman" w:eastAsia="Times New Roman" w:hAnsi="Times New Roman"/>
          <w:sz w:val="19"/>
          <w:szCs w:val="19"/>
          <w:color w:val="auto"/>
        </w:rPr>
      </w:pPr>
    </w:p>
    <w:p>
      <w:pPr>
        <w:ind w:left="1080" w:hanging="453"/>
        <w:spacing w:after="0"/>
        <w:tabs>
          <w:tab w:leader="none" w:pos="108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Shares subject to this award following the application of the Final Multiplier is 16 or fewer, then this award vests as</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follows:</w:t>
      </w:r>
    </w:p>
    <w:p>
      <w:pPr>
        <w:spacing w:after="0" w:line="219" w:lineRule="exact"/>
        <w:rPr>
          <w:rFonts w:ascii="Times New Roman" w:cs="Times New Roman" w:eastAsia="Times New Roman" w:hAnsi="Times New Roman"/>
          <w:sz w:val="19"/>
          <w:szCs w:val="19"/>
          <w:color w:val="auto"/>
        </w:rPr>
      </w:pPr>
    </w:p>
    <w:p>
      <w:pPr>
        <w:ind w:left="1300" w:hanging="312"/>
        <w:spacing w:after="0"/>
        <w:tabs>
          <w:tab w:leader="none" w:pos="1300"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of the total number of Shares subject to this award vest on the Initial Vesting Date, and</w:t>
      </w:r>
    </w:p>
    <w:p>
      <w:pPr>
        <w:spacing w:after="0" w:line="31" w:lineRule="exact"/>
        <w:rPr>
          <w:rFonts w:ascii="Times New Roman" w:cs="Times New Roman" w:eastAsia="Times New Roman" w:hAnsi="Times New Roman"/>
          <w:sz w:val="19"/>
          <w:szCs w:val="19"/>
          <w:color w:val="auto"/>
        </w:rPr>
      </w:pPr>
    </w:p>
    <w:p>
      <w:pPr>
        <w:ind w:left="1300" w:hanging="312"/>
        <w:spacing w:after="0"/>
        <w:tabs>
          <w:tab w:leader="none" w:pos="1300"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 of the total number of Shares subject to this award vest on the first anniversary of the Initial Vesting Date.</w:t>
      </w:r>
    </w:p>
    <w:p>
      <w:pPr>
        <w:spacing w:after="0" w:line="219" w:lineRule="exact"/>
        <w:rPr>
          <w:rFonts w:ascii="Times New Roman" w:cs="Times New Roman" w:eastAsia="Times New Roman" w:hAnsi="Times New Roman"/>
          <w:sz w:val="19"/>
          <w:szCs w:val="19"/>
          <w:color w:val="auto"/>
        </w:rPr>
      </w:pPr>
    </w:p>
    <w:p>
      <w:pPr>
        <w:ind w:right="20" w:firstLine="627"/>
        <w:spacing w:after="0" w:line="254" w:lineRule="auto"/>
        <w:tabs>
          <w:tab w:leader="none" w:pos="1018"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the Participant ceases to be an Eligible Participant for any reason or (ii) the Participant violates the non-competition or confidentiality obligations of any employment contract, confidentiality agreement or other agreement between the Participant and the Company or a parent or subsidiary of the Company, then the vesting of Units ceases, the unvested Units are forfeited on the date of occurrence of the applicable event described in clause (i) or (ii) above, and the Participant has no further rights with respect to any unvested Units or Shares, but the Participant retains any Units that have vested as of the last day on which they were an Eligible Participant until such time as Shares have been issued with respect to such vested Units or this award expires by its terms. The Company has the exclusive discretion to determine when the Participant is no longer an Eligible Participant for purposes of this Agreement and the Plan, including but not limited to the exclusive discretion to determine whether the Participant remains an Eligible Participant during an unpaid leave of absence and when the Participant ceases to be an Eligible Participant during any such leave (regardless of whether the Participant’s employment or other relationship with the Company is considered terminated in the Company’s human resources systems or for other purposes). If the Participant is employed by a parent or subsidiary of the Company, any references in this Agreement to employment by or with the Company or termination of employment by or with the Company are instead deemed to refer to such parent or subsidiary.</w:t>
      </w:r>
    </w:p>
    <w:p>
      <w:pPr>
        <w:spacing w:after="0" w:line="197" w:lineRule="exact"/>
        <w:rPr>
          <w:rFonts w:ascii="Times New Roman" w:cs="Times New Roman" w:eastAsia="Times New Roman" w:hAnsi="Times New Roman"/>
          <w:sz w:val="19"/>
          <w:szCs w:val="19"/>
          <w:color w:val="auto"/>
        </w:rPr>
      </w:pPr>
    </w:p>
    <w:p>
      <w:pPr>
        <w:ind w:right="40" w:firstLine="4"/>
        <w:spacing w:after="0" w:line="257" w:lineRule="auto"/>
        <w:tabs>
          <w:tab w:leader="none" w:pos="33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and Form of Distribution</w:t>
      </w:r>
      <w:r>
        <w:rPr>
          <w:rFonts w:ascii="Times New Roman" w:cs="Times New Roman" w:eastAsia="Times New Roman" w:hAnsi="Times New Roman"/>
          <w:sz w:val="19"/>
          <w:szCs w:val="19"/>
          <w:color w:val="auto"/>
        </w:rPr>
        <w:t>. The Company shall distribute to the Participant the Shares with respect to the Units that become vested as soon as practicable after the later of each vesting date and the determination of the Final Multiplier but in no event later than 45 days after the later of the applicable vesting date and the determination of the Final Multiplier, except that in the case of Participants who are not subject to U.S. income taxes on this award, the Distribution Date may be a later date if required by local law. Each date of distribution of Shares is referred to as the “Distribution Date.” The Participant has no right to a distribution of Shares with respect to unvested Units unless and until such Units vest and the Final Multiplier has been determined. Once a Share with respect to a vested Unit has been distributed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116" w:right="379" w:bottom="1440" w:gutter="0" w:footer="0" w:header="0"/>
        </w:sectPr>
      </w:pPr>
    </w:p>
    <w:bookmarkStart w:id="54" w:name="page55"/>
    <w:bookmarkEnd w:id="54"/>
    <w:p>
      <w:pPr>
        <w:ind w:right="360"/>
        <w:spacing w:after="0" w:line="266" w:lineRule="auto"/>
        <w:rPr>
          <w:sz w:val="20"/>
          <w:szCs w:val="20"/>
          <w:color w:val="auto"/>
        </w:rPr>
      </w:pPr>
      <w:r>
        <w:rPr>
          <w:rFonts w:ascii="Times New Roman" w:cs="Times New Roman" w:eastAsia="Times New Roman" w:hAnsi="Times New Roman"/>
          <w:sz w:val="19"/>
          <w:szCs w:val="19"/>
          <w:color w:val="auto"/>
        </w:rPr>
        <w:t>pursuant to this award, the Participant has no further rights with respect to that Unit. Notwithstanding the foregoing, the Distribution Date with respect to any Units that vest on or before the last day of the Company’s Applicable Fiscal Year shall be no later than two and a half months following the last day of such fiscal year.</w:t>
      </w:r>
    </w:p>
    <w:p>
      <w:pPr>
        <w:spacing w:after="0" w:line="195" w:lineRule="exact"/>
        <w:rPr>
          <w:sz w:val="20"/>
          <w:szCs w:val="20"/>
          <w:color w:val="auto"/>
        </w:rPr>
      </w:pPr>
    </w:p>
    <w:p>
      <w:pPr>
        <w:ind w:right="20" w:firstLine="4"/>
        <w:spacing w:after="0" w:line="255" w:lineRule="auto"/>
        <w:tabs>
          <w:tab w:leader="none" w:pos="333"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The Participant is required to satisfy the payment of any Withholding Taxes required to be withheld with respect to the vesting of Units. “Withholding Taxes” includes, as applicable and without limitation, federal, state, local, foreign and provincial income tax, social insurance contributions, payroll tax, payment on account or other tax-related items. The Participant acknowledges that the ultimate liability for all taxes relating to this award is and remains the Participant’s responsibility and may exceed the amount that the Company withholds. The Company has no obligation to structure the terms of this award to reduce or eliminate the Participant’s liability for Withholding Taxes or to achieve any particular tax result. Furthermore, if the Participant is subject to tax in more than one jurisdiction, the Participant acknowledges that the Company may be required to withhold or account for Withholding Taxes in more than one jurisdiction. In order to satisfy the Withholding Taxes owed with respect to the vesting of Units, the Participant agrees as follows:</w:t>
      </w:r>
    </w:p>
    <w:p>
      <w:pPr>
        <w:spacing w:after="0" w:line="193" w:lineRule="exact"/>
        <w:rPr>
          <w:rFonts w:ascii="Times New Roman" w:cs="Times New Roman" w:eastAsia="Times New Roman" w:hAnsi="Times New Roman"/>
          <w:sz w:val="19"/>
          <w:szCs w:val="19"/>
          <w:color w:val="auto"/>
        </w:rPr>
      </w:pPr>
    </w:p>
    <w:p>
      <w:pPr>
        <w:ind w:right="100" w:firstLine="627"/>
        <w:spacing w:after="0" w:line="263" w:lineRule="auto"/>
        <w:tabs>
          <w:tab w:leader="none" w:pos="1024"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in its sole discretion, determines that the procedure set forth in this Section 5(a) is not advisable or sufficient or unless the Participant is subject to Swiss income taxes on any income from this award, at the Distribution Date the Company shall withhold a number of Shares with a Fair Market Value equal to the amount necessary to satisfy the minimum amount of Withholding Taxes due on such Distribution Date.</w:t>
      </w:r>
    </w:p>
    <w:p>
      <w:pPr>
        <w:spacing w:after="0" w:line="197" w:lineRule="exact"/>
        <w:rPr>
          <w:rFonts w:ascii="Times New Roman" w:cs="Times New Roman" w:eastAsia="Times New Roman" w:hAnsi="Times New Roman"/>
          <w:sz w:val="19"/>
          <w:szCs w:val="19"/>
          <w:color w:val="auto"/>
        </w:rPr>
      </w:pPr>
    </w:p>
    <w:p>
      <w:pPr>
        <w:ind w:firstLine="627"/>
        <w:spacing w:after="0" w:line="254" w:lineRule="auto"/>
        <w:tabs>
          <w:tab w:leader="none" w:pos="103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in its sole discretion, determines that the procedure set forth in Section 5(a) is not advisable or sufficient or if the Participant is subject to Swiss income taxes on any income from this award, then the Participant, as a condition to receiving any Shares upon the vesting of Units, shall (i) pay to the Company, by cash or check, or in the sole discretion of the Company, payroll deduction, an amount sufficient to satisfy any Withholding Taxes or otherwise make arrangements satisfactory to the Company for the payment of such amounts (including through offset of any amounts otherwise payable by the Company to the Participant, including salary or other compensation); or (ii) if the Company requires, make an arrangement that is acceptable to the Company with a creditworthy broker to sell the number of Shares that the Company has instructed such broker is necessary to obtain proceeds sufficient to satisfy the Withholding Taxes applicable to the Shares to be distributed to the Participant on the Distribution Date and to remit such proceeds to the Company; or (iii) only if the Participant is subject to Swiss income taxes on any income from this award, instruct the Company to withhold Shares as set forth in Section 5(a) above. The Participant agrees to execute and deliver such documents as may be reasonably required in connection with the sale of any Shares pursuant to this Section 5(b).</w:t>
      </w:r>
    </w:p>
    <w:p>
      <w:pPr>
        <w:spacing w:after="0" w:line="205" w:lineRule="exact"/>
        <w:rPr>
          <w:rFonts w:ascii="Times New Roman" w:cs="Times New Roman" w:eastAsia="Times New Roman" w:hAnsi="Times New Roman"/>
          <w:sz w:val="19"/>
          <w:szCs w:val="19"/>
          <w:color w:val="auto"/>
        </w:rPr>
      </w:pPr>
    </w:p>
    <w:p>
      <w:pPr>
        <w:ind w:right="80" w:firstLine="4"/>
        <w:spacing w:after="0" w:line="253" w:lineRule="auto"/>
        <w:tabs>
          <w:tab w:leader="none" w:pos="333"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Nontransferability of Award</w:t>
      </w:r>
      <w:r>
        <w:rPr>
          <w:rFonts w:ascii="Times New Roman" w:cs="Times New Roman" w:eastAsia="Times New Roman" w:hAnsi="Times New Roman"/>
          <w:sz w:val="19"/>
          <w:szCs w:val="19"/>
          <w:color w:val="auto"/>
        </w:rPr>
        <w:t>. The Participant shall not sell, assign, transfer, pledge or otherwise encumber this award, either voluntarily or by operation of law, except by will or the laws of descent and distribution. However, if this award is exempt from the provisions of Section 409A of the Code and the guidance thereunder (“Section 409A”) or if the Participant is not subject to U.S. income taxes on any income from this award, then the Participant may transfer the award (a) pursuant to a qualified domestic relations order or (b) if the Company consents, to or for the benefit of any immediate family member, family trust, family partnership or family limited liability company established solely for the benefit of the holder and/or an immediate family member of the holder, if, in each case, as a condition to the transfer the transferee agrees to be subject to, and bound by, the terms of this Agreement.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116" w:right="339" w:bottom="1440" w:gutter="0" w:footer="0" w:header="0"/>
        </w:sectPr>
      </w:pPr>
    </w:p>
    <w:bookmarkStart w:id="55" w:name="page56"/>
    <w:bookmarkEnd w:id="55"/>
    <w:p>
      <w:pPr>
        <w:ind w:left="-4" w:firstLine="4"/>
        <w:spacing w:after="0" w:line="263" w:lineRule="auto"/>
        <w:tabs>
          <w:tab w:leader="none" w:pos="32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Employment or Other Status</w:t>
      </w:r>
      <w:r>
        <w:rPr>
          <w:rFonts w:ascii="Times New Roman" w:cs="Times New Roman" w:eastAsia="Times New Roman" w:hAnsi="Times New Roman"/>
          <w:sz w:val="19"/>
          <w:szCs w:val="19"/>
          <w:color w:val="auto"/>
        </w:rPr>
        <w:t>. This award shall not be construed as giving the Participant the right to continued employment or any other relationship with the Company or any parent or subsidiary of the Company. The Company and any parent or subsidiary of the Company expressly reserve the right to dismiss or otherwise terminate its relationship with the Participant free from any liability or claim under the Plan or this award, except as expressly provided in this award.</w:t>
      </w:r>
    </w:p>
    <w:p>
      <w:pPr>
        <w:spacing w:after="0" w:line="184" w:lineRule="exact"/>
        <w:rPr>
          <w:rFonts w:ascii="Times New Roman" w:cs="Times New Roman" w:eastAsia="Times New Roman" w:hAnsi="Times New Roman"/>
          <w:sz w:val="19"/>
          <w:szCs w:val="19"/>
          <w:color w:val="auto"/>
        </w:rPr>
      </w:pPr>
    </w:p>
    <w:p>
      <w:pPr>
        <w:ind w:left="-4" w:right="220" w:firstLine="4"/>
        <w:spacing w:after="0" w:line="290" w:lineRule="auto"/>
        <w:tabs>
          <w:tab w:leader="none" w:pos="32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Shareholder</w:t>
      </w:r>
      <w:r>
        <w:rPr>
          <w:rFonts w:ascii="Times New Roman" w:cs="Times New Roman" w:eastAsia="Times New Roman" w:hAnsi="Times New Roman"/>
          <w:sz w:val="19"/>
          <w:szCs w:val="19"/>
          <w:color w:val="auto"/>
        </w:rPr>
        <w:t>. The Participant has no rights as a shareholder with respect to any Shares distributable under this award until such Shares are issued to the Participant.</w:t>
      </w:r>
    </w:p>
    <w:p>
      <w:pPr>
        <w:spacing w:after="0" w:line="159" w:lineRule="exact"/>
        <w:rPr>
          <w:rFonts w:ascii="Times New Roman" w:cs="Times New Roman" w:eastAsia="Times New Roman" w:hAnsi="Times New Roman"/>
          <w:sz w:val="19"/>
          <w:szCs w:val="19"/>
          <w:color w:val="auto"/>
        </w:rPr>
      </w:pPr>
    </w:p>
    <w:p>
      <w:pPr>
        <w:ind w:left="336" w:hanging="336"/>
        <w:spacing w:after="0"/>
        <w:tabs>
          <w:tab w:leader="none" w:pos="33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of the Plan</w:t>
      </w:r>
      <w:r>
        <w:rPr>
          <w:rFonts w:ascii="Times New Roman" w:cs="Times New Roman" w:eastAsia="Times New Roman" w:hAnsi="Times New Roman"/>
          <w:sz w:val="19"/>
          <w:szCs w:val="19"/>
          <w:color w:val="auto"/>
        </w:rPr>
        <w:t>. This award is subject to the provisions of the Plan, a copy of which is furnished to the Participant with this award.</w:t>
      </w:r>
    </w:p>
    <w:p>
      <w:pPr>
        <w:spacing w:after="0" w:line="248" w:lineRule="exact"/>
        <w:rPr>
          <w:rFonts w:ascii="Times New Roman" w:cs="Times New Roman" w:eastAsia="Times New Roman" w:hAnsi="Times New Roman"/>
          <w:sz w:val="19"/>
          <w:szCs w:val="19"/>
          <w:color w:val="auto"/>
        </w:rPr>
      </w:pPr>
    </w:p>
    <w:p>
      <w:pPr>
        <w:ind w:left="436" w:hanging="436"/>
        <w:spacing w:after="0"/>
        <w:tabs>
          <w:tab w:leader="none" w:pos="43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the Grant</w:t>
      </w:r>
      <w:r>
        <w:rPr>
          <w:rFonts w:ascii="Times New Roman" w:cs="Times New Roman" w:eastAsia="Times New Roman" w:hAnsi="Times New Roman"/>
          <w:sz w:val="19"/>
          <w:szCs w:val="19"/>
          <w:color w:val="auto"/>
        </w:rPr>
        <w:t>. By accepting this Agreement, the Participant acknowledges as follows:</w:t>
      </w:r>
    </w:p>
    <w:p>
      <w:pPr>
        <w:spacing w:after="0" w:line="248" w:lineRule="exact"/>
        <w:rPr>
          <w:rFonts w:ascii="Times New Roman" w:cs="Times New Roman" w:eastAsia="Times New Roman" w:hAnsi="Times New Roman"/>
          <w:sz w:val="19"/>
          <w:szCs w:val="19"/>
          <w:color w:val="auto"/>
        </w:rPr>
      </w:pPr>
    </w:p>
    <w:p>
      <w:pPr>
        <w:ind w:left="-4" w:right="760" w:firstLine="627"/>
        <w:spacing w:after="0" w:line="276" w:lineRule="auto"/>
        <w:tabs>
          <w:tab w:leader="none" w:pos="1017"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established voluntarily by the Company, is discretionary in nature and may be modified, amended, suspended or terminated by the Company at any time, to the extent permitted by the Plan.</w:t>
      </w:r>
    </w:p>
    <w:p>
      <w:pPr>
        <w:spacing w:after="0" w:line="185" w:lineRule="exact"/>
        <w:rPr>
          <w:rFonts w:ascii="Times New Roman" w:cs="Times New Roman" w:eastAsia="Times New Roman" w:hAnsi="Times New Roman"/>
          <w:sz w:val="19"/>
          <w:szCs w:val="19"/>
          <w:color w:val="auto"/>
        </w:rPr>
      </w:pPr>
    </w:p>
    <w:p>
      <w:pPr>
        <w:ind w:left="1036" w:hanging="413"/>
        <w:spacing w:after="0"/>
        <w:tabs>
          <w:tab w:leader="none" w:pos="1036"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voluntarily participating in the Plan.</w:t>
      </w:r>
    </w:p>
    <w:p>
      <w:pPr>
        <w:spacing w:after="0" w:line="235" w:lineRule="exact"/>
        <w:rPr>
          <w:rFonts w:ascii="Times New Roman" w:cs="Times New Roman" w:eastAsia="Times New Roman" w:hAnsi="Times New Roman"/>
          <w:sz w:val="19"/>
          <w:szCs w:val="19"/>
          <w:color w:val="auto"/>
        </w:rPr>
      </w:pPr>
    </w:p>
    <w:p>
      <w:pPr>
        <w:ind w:left="-4" w:right="40" w:firstLine="627"/>
        <w:spacing w:after="0" w:line="257" w:lineRule="auto"/>
        <w:tabs>
          <w:tab w:leader="none" w:pos="102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ceases to be an Eligible Participant for any reason whatsoever (including without limitation unfair or objective dismissal, permanent disability, resignation or desistance) and whether or not in breach of applicable labor laws or the Participant’s employment agreement, if any, the Participant’s right to vesting of the Units under this Agreement and the Plan, if any, terminates as set forth in this Agreement and will not be extended by any notice period mandated under applicable law, and the unvested Units and Shares are forfeited, with no compensation whatsoever. The Participant acknowledges and accepts that this is an essential condition of this Agreement and expressly agrees to this condition.</w:t>
      </w:r>
    </w:p>
    <w:p>
      <w:pPr>
        <w:spacing w:after="0" w:line="205" w:lineRule="exact"/>
        <w:rPr>
          <w:rFonts w:ascii="Times New Roman" w:cs="Times New Roman" w:eastAsia="Times New Roman" w:hAnsi="Times New Roman"/>
          <w:sz w:val="19"/>
          <w:szCs w:val="19"/>
          <w:color w:val="auto"/>
        </w:rPr>
      </w:pPr>
    </w:p>
    <w:p>
      <w:pPr>
        <w:ind w:left="-4" w:right="180" w:firstLine="627"/>
        <w:spacing w:after="0" w:line="257" w:lineRule="auto"/>
        <w:tabs>
          <w:tab w:leader="none" w:pos="103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the grant of the Units, no claim or entitlement to compensation or damages arises from termination of the Units,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their entitlement to pursue such claim.</w:t>
      </w:r>
    </w:p>
    <w:p>
      <w:pPr>
        <w:spacing w:after="0" w:line="192" w:lineRule="exact"/>
        <w:rPr>
          <w:rFonts w:ascii="Times New Roman" w:cs="Times New Roman" w:eastAsia="Times New Roman" w:hAnsi="Times New Roman"/>
          <w:sz w:val="19"/>
          <w:szCs w:val="19"/>
          <w:color w:val="auto"/>
        </w:rPr>
      </w:pPr>
    </w:p>
    <w:p>
      <w:pPr>
        <w:ind w:left="-4" w:right="160" w:firstLine="627"/>
        <w:spacing w:after="0" w:line="273" w:lineRule="auto"/>
        <w:tabs>
          <w:tab w:leader="none" w:pos="1017"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Units is exceptional, voluntary and occasional and does not create any contractual or other right to receive future awards of Units or Shares or benefits in lieu of Units or Shares even if Units have been awarded repeatedly in the past. All decisions with respect to future grants of Units and/or Shares, if any, are at the Company’s sole discretion.</w:t>
      </w:r>
    </w:p>
    <w:p>
      <w:pPr>
        <w:spacing w:after="0" w:line="176" w:lineRule="exact"/>
        <w:rPr>
          <w:rFonts w:ascii="Times New Roman" w:cs="Times New Roman" w:eastAsia="Times New Roman" w:hAnsi="Times New Roman"/>
          <w:sz w:val="19"/>
          <w:szCs w:val="19"/>
          <w:color w:val="auto"/>
        </w:rPr>
      </w:pPr>
    </w:p>
    <w:p>
      <w:pPr>
        <w:ind w:left="-4" w:right="80" w:firstLine="627"/>
        <w:spacing w:after="0" w:line="261" w:lineRule="auto"/>
        <w:tabs>
          <w:tab w:leader="none" w:pos="996"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Units and Shares are extraordinary items that do not constitute compensation of any kind for services of any kind rendered to the Company, and the Units are outside the scope of the Participant’s employment or services contract, if any. The Units, the Shares, and the income and value of the Units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16"/>
          </w:cols>
          <w:pgMar w:left="324" w:top="135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color w:val="auto"/>
        </w:rPr>
        <w:t>payments) and in no event should be considered as compensation for, or relating in any way to, past services for the Company.</w:t>
      </w:r>
    </w:p>
    <w:p>
      <w:pPr>
        <w:spacing w:after="0" w:line="236" w:lineRule="exact"/>
        <w:rPr>
          <w:sz w:val="20"/>
          <w:szCs w:val="20"/>
          <w:color w:val="auto"/>
        </w:rPr>
      </w:pPr>
    </w:p>
    <w:p>
      <w:pPr>
        <w:ind w:right="1000" w:firstLine="627"/>
        <w:spacing w:after="0" w:line="290" w:lineRule="auto"/>
        <w:tabs>
          <w:tab w:leader="none" w:pos="1032" w:val="left"/>
        </w:tabs>
        <w:numPr>
          <w:ilvl w:val="2"/>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Units, the Shares, and the income and value of the Units and Shares are not intended to replace any pension rights or compensation.</w:t>
      </w:r>
    </w:p>
    <w:p>
      <w:pPr>
        <w:spacing w:after="0" w:line="172" w:lineRule="exact"/>
        <w:rPr>
          <w:rFonts w:ascii="Times New Roman" w:cs="Times New Roman" w:eastAsia="Times New Roman" w:hAnsi="Times New Roman"/>
          <w:sz w:val="19"/>
          <w:szCs w:val="19"/>
          <w:color w:val="auto"/>
        </w:rPr>
      </w:pPr>
    </w:p>
    <w:p>
      <w:pPr>
        <w:ind w:firstLine="627"/>
        <w:spacing w:after="0" w:line="276" w:lineRule="auto"/>
        <w:tabs>
          <w:tab w:leader="none" w:pos="1035" w:val="left"/>
        </w:tabs>
        <w:numPr>
          <w:ilvl w:val="2"/>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parties otherwise agree, the Units, the Shares, and the income and value of the same are not consideration for, or granted in connection with, any service the Participant may provide as a director of a subsidiary of the Company.</w:t>
      </w:r>
    </w:p>
    <w:p>
      <w:pPr>
        <w:spacing w:after="0" w:line="185" w:lineRule="exact"/>
        <w:rPr>
          <w:rFonts w:ascii="Times New Roman" w:cs="Times New Roman" w:eastAsia="Times New Roman" w:hAnsi="Times New Roman"/>
          <w:sz w:val="19"/>
          <w:szCs w:val="19"/>
          <w:color w:val="auto"/>
        </w:rPr>
      </w:pPr>
    </w:p>
    <w:p>
      <w:pPr>
        <w:ind w:right="80" w:firstLine="627"/>
        <w:spacing w:after="0" w:line="276" w:lineRule="auto"/>
        <w:tabs>
          <w:tab w:leader="none" w:pos="989" w:val="left"/>
        </w:tabs>
        <w:numPr>
          <w:ilvl w:val="2"/>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future value of the Shares is unknown and cannot be predicted with certainty. If the Participant receives Shares, the value of such Shares may increase or decrease in value.</w:t>
      </w:r>
    </w:p>
    <w:p>
      <w:pPr>
        <w:spacing w:after="0" w:line="185" w:lineRule="exact"/>
        <w:rPr>
          <w:rFonts w:ascii="Times New Roman" w:cs="Times New Roman" w:eastAsia="Times New Roman" w:hAnsi="Times New Roman"/>
          <w:sz w:val="19"/>
          <w:szCs w:val="19"/>
          <w:color w:val="auto"/>
        </w:rPr>
      </w:pPr>
    </w:p>
    <w:p>
      <w:pPr>
        <w:jc w:val="both"/>
        <w:ind w:right="60" w:firstLine="194"/>
        <w:spacing w:after="0" w:line="266" w:lineRule="auto"/>
        <w:tabs>
          <w:tab w:leader="none" w:pos="557"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acknowledges and agrees that neither the Company nor any of its affiliates or agents is liable for any foreign exchange rate fluctuation between the Participant’s local currency and the United States Dollar that may affect the value of the Units or Shares or of any amounts due to the Participant pursuant to the vesting of the Units or the subsequent sale of any Shares acquired upon vesting.</w:t>
      </w:r>
    </w:p>
    <w:p>
      <w:pPr>
        <w:spacing w:after="0" w:line="195" w:lineRule="exact"/>
        <w:rPr>
          <w:rFonts w:ascii="Times New Roman" w:cs="Times New Roman" w:eastAsia="Times New Roman" w:hAnsi="Times New Roman"/>
          <w:sz w:val="19"/>
          <w:szCs w:val="19"/>
          <w:color w:val="auto"/>
        </w:rPr>
      </w:pPr>
    </w:p>
    <w:p>
      <w:pPr>
        <w:ind w:right="240" w:firstLine="4"/>
        <w:spacing w:after="0" w:line="258" w:lineRule="auto"/>
        <w:tabs>
          <w:tab w:leader="none" w:pos="421"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 Participant’s participation in the Plan, on the Units and on any Shares acquired under the Plan to the extent the Company determines it is necessary or advisable for legal or administrative reasons, except that with respect to awards that are subject to Section 409A, to the extent so permitted under Section 409A. Furthermore, the parties hereto agree to execute such further instruments and to take such further action as may reasonably be necessary to carry out the intent of this Agreement and the Plan.</w:t>
      </w:r>
    </w:p>
    <w:p>
      <w:pPr>
        <w:spacing w:after="0" w:line="201" w:lineRule="exact"/>
        <w:rPr>
          <w:rFonts w:ascii="Times New Roman" w:cs="Times New Roman" w:eastAsia="Times New Roman" w:hAnsi="Times New Roman"/>
          <w:sz w:val="19"/>
          <w:szCs w:val="19"/>
          <w:color w:val="auto"/>
        </w:rPr>
      </w:pPr>
    </w:p>
    <w:p>
      <w:pPr>
        <w:ind w:left="440" w:hanging="436"/>
        <w:spacing w:after="0"/>
        <w:tabs>
          <w:tab w:leader="none" w:pos="4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19"/>
          <w:szCs w:val="19"/>
          <w:color w:val="auto"/>
        </w:rPr>
      </w:pPr>
    </w:p>
    <w:p>
      <w:pPr>
        <w:ind w:right="220" w:firstLine="627"/>
        <w:spacing w:after="0" w:line="261" w:lineRule="auto"/>
        <w:tabs>
          <w:tab w:leader="none" w:pos="1021"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that Cimpress plc will collect from the Participant through their employer (if not employed by Cimpress plc) certain personal information about the Participant, including the Participant’s personal data, such as their name, home address and telephone number, email address, date of birth, social security/insurance number, passport or other identification number, salary, nationality, job title, any ordinary shares or directorships held in the Company, details of all Units or any other entitlement to ordinary shares awarded, canceled, exercised, vested, unvested or outstanding in the Participant’s favor (“Data”).</w:t>
      </w:r>
    </w:p>
    <w:p>
      <w:pPr>
        <w:spacing w:after="0" w:line="187" w:lineRule="exact"/>
        <w:rPr>
          <w:rFonts w:ascii="Times New Roman" w:cs="Times New Roman" w:eastAsia="Times New Roman" w:hAnsi="Times New Roman"/>
          <w:sz w:val="19"/>
          <w:szCs w:val="19"/>
          <w:color w:val="auto"/>
        </w:rPr>
      </w:pPr>
    </w:p>
    <w:p>
      <w:pPr>
        <w:ind w:right="40" w:firstLine="627"/>
        <w:spacing w:after="0" w:line="257" w:lineRule="auto"/>
        <w:tabs>
          <w:tab w:leader="none" w:pos="1032"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12 for the term of this Agreement and after its termination for a period as required by the Plan, by law or as necessary for the protection of the Company’s legitimate interests.</w:t>
      </w:r>
    </w:p>
    <w:p>
      <w:pPr>
        <w:spacing w:after="0" w:line="205" w:lineRule="exact"/>
        <w:rPr>
          <w:rFonts w:ascii="Times New Roman" w:cs="Times New Roman" w:eastAsia="Times New Roman" w:hAnsi="Times New Roman"/>
          <w:sz w:val="19"/>
          <w:szCs w:val="19"/>
          <w:color w:val="auto"/>
        </w:rPr>
      </w:pPr>
    </w:p>
    <w:p>
      <w:pPr>
        <w:ind w:right="100" w:firstLine="627"/>
        <w:spacing w:after="0" w:line="263" w:lineRule="auto"/>
        <w:tabs>
          <w:tab w:leader="none" w:pos="1021"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will, in connection with the Units and the acquisition, holding and/or transfer of ordinary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or such other stock plan service provider as the Company may select in the future (the “Service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116" w:right="339" w:bottom="1440" w:gutter="0" w:footer="0" w:header="0"/>
        </w:sectPr>
      </w:pPr>
    </w:p>
    <w:bookmarkStart w:id="57" w:name="page58"/>
    <w:bookmarkEnd w:id="57"/>
    <w:p>
      <w:pPr>
        <w:ind w:right="40"/>
        <w:spacing w:after="0" w:line="263" w:lineRule="auto"/>
        <w:rPr>
          <w:sz w:val="20"/>
          <w:szCs w:val="20"/>
          <w:color w:val="auto"/>
        </w:rPr>
      </w:pPr>
      <w:r>
        <w:rPr>
          <w:rFonts w:ascii="Times New Roman" w:cs="Times New Roman" w:eastAsia="Times New Roman" w:hAnsi="Times New Roman"/>
          <w:sz w:val="19"/>
          <w:szCs w:val="19"/>
          <w:color w:val="auto"/>
        </w:rPr>
        <w:t>Provider”). As such, the Participant is hereby informed and aware that Cimpress plc will use and transfer (with assistance of its subsidiary Cimpress USA Incorporated as described below under Section 12(e)), in electronic or other form, the Participant’s Data to the Service Provider insofar as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spacing w:after="0" w:line="185" w:lineRule="exact"/>
        <w:rPr>
          <w:sz w:val="20"/>
          <w:szCs w:val="20"/>
          <w:color w:val="auto"/>
        </w:rPr>
      </w:pPr>
    </w:p>
    <w:p>
      <w:pPr>
        <w:ind w:right="20" w:firstLine="627"/>
        <w:spacing w:after="0" w:line="271" w:lineRule="auto"/>
        <w:tabs>
          <w:tab w:leader="none" w:pos="10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Cimpress plc is assisted by its subsidiary, Cimpress USA Incorporated, in implementing, administering and managing the Plan within the Cimpress group of companies. The Participant is hereby informed and aware that their Data, including their personal data, may be transferred by Cimpress plc/Company to Cimpress USA Incorporated (or any other affiliated company in the Cimpress group providing global equity-related services) when necessary for the legitimate interests of Cimpress plc. This transfer is required for purposes such as global administration and management of the Plan, Cimpress equity strategy, and global human resources, finance, and reporting functions. Additionally, the transfer of the Participant’s Data to Cimpress USA Incorporated, any other involved affiliated company in the Cimpress group, and/or employees responsible for securities, compliance or legal matters, may be necessary to ensure compliance with applicable legal obligations (including, without limitation, disclosures to courts or governmental authorities, tax requirements and responses to subpoenas and other legal processes).</w:t>
      </w:r>
    </w:p>
    <w:p>
      <w:pPr>
        <w:spacing w:after="0" w:line="193" w:lineRule="exact"/>
        <w:rPr>
          <w:rFonts w:ascii="Times New Roman" w:cs="Times New Roman" w:eastAsia="Times New Roman" w:hAnsi="Times New Roman"/>
          <w:sz w:val="18"/>
          <w:szCs w:val="18"/>
          <w:color w:val="auto"/>
        </w:rPr>
      </w:pPr>
    </w:p>
    <w:p>
      <w:pPr>
        <w:ind w:firstLine="627"/>
        <w:spacing w:after="0" w:line="255" w:lineRule="auto"/>
        <w:tabs>
          <w:tab w:leader="none" w:pos="1072"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in accordance with Article 46 of Regulation (EU) 2016/679 (“GDPR”), that any transfer of personal data from Participants employed by an employer with a corporate seat in the European Economic Area (“EEA”), the United Kingdom or Switzerland to data controllers or data processors – such as the Service Provider or Cimpress USA Incorporated – located in a country not recognized as providing an adequate level of data protection (e.g., the United States), is subject to appropriate safeguards. Such safeguards include the use of the Standard Contractual Clauses adopted by the European Commission in Commission Implementing Decision (EU) 2021/914 of 4 June 2021, as may be updated, amended, replaced or superseded from time to time. Equivalent safeguards will be used for transfers from the United Kingdom and Switzerland in accordance with their respective legal requirements.</w:t>
      </w:r>
    </w:p>
    <w:p>
      <w:pPr>
        <w:spacing w:after="0" w:line="205" w:lineRule="exact"/>
        <w:rPr>
          <w:rFonts w:ascii="Times New Roman" w:cs="Times New Roman" w:eastAsia="Times New Roman" w:hAnsi="Times New Roman"/>
          <w:sz w:val="19"/>
          <w:szCs w:val="19"/>
          <w:color w:val="auto"/>
        </w:rPr>
      </w:pPr>
    </w:p>
    <w:p>
      <w:pPr>
        <w:jc w:val="both"/>
        <w:ind w:right="420" w:firstLine="627"/>
        <w:spacing w:after="0" w:line="290" w:lineRule="auto"/>
        <w:tabs>
          <w:tab w:leader="none" w:pos="1003"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Cimpress plc will ensure that any individual identifiers of the Participant (e.g., a passport or social security number) will only be collected where required for equity award administration and will be processed solely for the purposes set out in this Agreement and the Plan.</w:t>
      </w:r>
    </w:p>
    <w:p>
      <w:pPr>
        <w:spacing w:after="0" w:line="159" w:lineRule="exact"/>
        <w:rPr>
          <w:rFonts w:ascii="Times New Roman" w:cs="Times New Roman" w:eastAsia="Times New Roman" w:hAnsi="Times New Roman"/>
          <w:sz w:val="19"/>
          <w:szCs w:val="19"/>
          <w:color w:val="auto"/>
        </w:rPr>
      </w:pPr>
    </w:p>
    <w:p>
      <w:pPr>
        <w:ind w:right="20" w:firstLine="627"/>
        <w:spacing w:after="0" w:line="261" w:lineRule="auto"/>
        <w:tabs>
          <w:tab w:leader="none" w:pos="1032"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may, when entitled thereto under the GDPR, exercise their data subject rights by requesting the Company for access to their personal data (including a copy of the personal data that Company holds about the Participant) or exercise their right to rectification, erasure, restriction, data portability and objection. The Participant can exercise most of the foregoing data subject rights himself or herself by using the related functionalities in their local human resources system or by accessing their brokerage account with the Service Provider. Alternatively, the Participant can submit such a ‘data subject right’ request to their local HR representative or Cimpress’ LTI Plan Administrator.</w:t>
      </w:r>
    </w:p>
    <w:p>
      <w:pPr>
        <w:spacing w:after="0" w:line="187" w:lineRule="exact"/>
        <w:rPr>
          <w:rFonts w:ascii="Times New Roman" w:cs="Times New Roman" w:eastAsia="Times New Roman" w:hAnsi="Times New Roman"/>
          <w:sz w:val="19"/>
          <w:szCs w:val="19"/>
          <w:color w:val="auto"/>
        </w:rPr>
      </w:pPr>
    </w:p>
    <w:p>
      <w:pPr>
        <w:ind w:left="440" w:hanging="436"/>
        <w:spacing w:after="0"/>
        <w:tabs>
          <w:tab w:leader="none" w:pos="4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Events</w:t>
      </w:r>
      <w:r>
        <w:rPr>
          <w:rFonts w:ascii="Times New Roman" w:cs="Times New Roman" w:eastAsia="Times New Roman" w:hAnsi="Times New Roman"/>
          <w:sz w:val="19"/>
          <w:szCs w:val="19"/>
          <w:color w:val="auto"/>
        </w:rPr>
        <w:t>.</w:t>
      </w:r>
    </w:p>
    <w:p>
      <w:pPr>
        <w:spacing w:after="0" w:line="248" w:lineRule="exact"/>
        <w:rPr>
          <w:rFonts w:ascii="Times New Roman" w:cs="Times New Roman" w:eastAsia="Times New Roman" w:hAnsi="Times New Roman"/>
          <w:sz w:val="19"/>
          <w:szCs w:val="19"/>
          <w:color w:val="auto"/>
        </w:rPr>
      </w:pPr>
    </w:p>
    <w:p>
      <w:pPr>
        <w:ind w:right="20" w:firstLine="627"/>
        <w:spacing w:after="0" w:line="258" w:lineRule="auto"/>
        <w:tabs>
          <w:tab w:leader="none" w:pos="1024"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 Change in Control Event (as defined below), regardless of whether such event also constitutes a Reorganization Event (as defined in the Plan), except to the extent specifically otherwise provided in another agreement between the Company and the Participant, one-half of the number of then unvested Units become vested if, on or before the first anniversary of the date of the consummation of the Change in Control Event, the Participant’s employment with the Company or the acquiring or succeeding entity is terminated for Good Reason (as defined below) by the Participant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20"/>
          </w:cols>
          <w:pgMar w:left="320" w:top="1116" w:right="359" w:bottom="1440" w:gutter="0" w:footer="0" w:header="0"/>
        </w:sectPr>
      </w:pPr>
    </w:p>
    <w:bookmarkStart w:id="58" w:name="page59"/>
    <w:bookmarkEnd w:id="58"/>
    <w:p>
      <w:pPr>
        <w:ind w:right="160"/>
        <w:spacing w:after="0" w:line="257" w:lineRule="auto"/>
        <w:rPr>
          <w:sz w:val="20"/>
          <w:szCs w:val="20"/>
          <w:color w:val="auto"/>
        </w:rPr>
      </w:pPr>
      <w:r>
        <w:rPr>
          <w:rFonts w:ascii="Times New Roman" w:cs="Times New Roman" w:eastAsia="Times New Roman" w:hAnsi="Times New Roman"/>
          <w:sz w:val="19"/>
          <w:szCs w:val="19"/>
          <w:color w:val="auto"/>
        </w:rPr>
        <w:t>is terminated without Cause (as defined below) by the Company or the acquiring or succeeding entity. If the effective date of such termination occurs after the Final Multiplier has been determined, then each Unit becoming vested under this Section 13(a) is automatically converted into Shares at a rate determined based on the application of the Final Multiplier. If the effective date of such termination occurs before the Final Multiplier has been determined, then each Unit becoming vested under this Section 13(a) shall remain outstanding until the Final Multiplier has been determined, at which time such vested Unit is automatically converted into Shares at a rate determined based on the application of the Final Multiplier.</w:t>
      </w:r>
    </w:p>
    <w:p>
      <w:pPr>
        <w:spacing w:after="0" w:line="193" w:lineRule="exact"/>
        <w:rPr>
          <w:sz w:val="20"/>
          <w:szCs w:val="20"/>
          <w:color w:val="auto"/>
        </w:rPr>
      </w:pPr>
    </w:p>
    <w:p>
      <w:pPr>
        <w:ind w:left="1040" w:hanging="413"/>
        <w:spacing w:after="0"/>
        <w:tabs>
          <w:tab w:leader="none" w:pos="10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“Change in Control Event” means:</w:t>
      </w:r>
    </w:p>
    <w:p>
      <w:pPr>
        <w:spacing w:after="0" w:line="248" w:lineRule="exact"/>
        <w:rPr>
          <w:rFonts w:ascii="Times New Roman" w:cs="Times New Roman" w:eastAsia="Times New Roman" w:hAnsi="Times New Roman"/>
          <w:sz w:val="19"/>
          <w:szCs w:val="19"/>
          <w:color w:val="auto"/>
        </w:rPr>
      </w:pPr>
    </w:p>
    <w:p>
      <w:pPr>
        <w:ind w:left="1240" w:firstLine="1256"/>
        <w:spacing w:after="0" w:line="253" w:lineRule="auto"/>
        <w:tabs>
          <w:tab w:leader="none" w:pos="283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(1) the then-outstanding ordinary shares of the Company (the “Outstanding Company Ordinary Shares”) or (2) the combined voting power of the then-outstanding securities of the Company entitled to vote generally in the election of the members of the Board of Directors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entity controlled by the Company, or (C) any acquisition by any entity pursuant to a Business Combination (as defined below) that complies with clauses (A) and (B) of subsection (ii) of this definition; or</w:t>
      </w:r>
    </w:p>
    <w:p>
      <w:pPr>
        <w:spacing w:after="0" w:line="211" w:lineRule="exact"/>
        <w:rPr>
          <w:rFonts w:ascii="Times New Roman" w:cs="Times New Roman" w:eastAsia="Times New Roman" w:hAnsi="Times New Roman"/>
          <w:sz w:val="19"/>
          <w:szCs w:val="19"/>
          <w:color w:val="auto"/>
        </w:rPr>
      </w:pPr>
    </w:p>
    <w:p>
      <w:pPr>
        <w:ind w:left="1240" w:firstLine="1256"/>
        <w:spacing w:after="0" w:line="252" w:lineRule="auto"/>
        <w:tabs>
          <w:tab w:leader="none" w:pos="290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(A)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common equity interests and the combined voting power of the then-outstanding securities entitled to vote generally in the election of the members of the Board of Directors (or equivalent) of the resulting or acquiring entity in such Business Combination (which includes, without limitation, an entity that as a result of such transaction owns the Company or substantially all of the Company’s assets either directly or through one or more subsidiaries) (such resulting or acquiring entity is referred to as the “Acquiring Entity”) in substantially the same proportions as their ownership of the Outstanding Company Ordinary Shares and Outstanding Company Voting Securities immediately before such Business Combination and (B) no Person (excluding the Acquiring Entity or any employee benefit plan or related trust maintained or sponsored by the Company or by the Acquiring Entity) beneficially owns, directly or indirectly, 30% or more of the then-outstanding common equity interests of the Acquiring Entity, or of the combined voting power of the then-outstanding securities of such entity entitled to vote generally in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00"/>
          </w:cols>
          <w:pgMar w:left="320" w:top="1116" w:right="379" w:bottom="1440" w:gutter="0" w:footer="0" w:header="0"/>
        </w:sectPr>
      </w:pPr>
    </w:p>
    <w:bookmarkStart w:id="59" w:name="page60"/>
    <w:bookmarkEnd w:id="59"/>
    <w:p>
      <w:pPr>
        <w:ind w:left="1240" w:right="420"/>
        <w:spacing w:after="0" w:line="276" w:lineRule="auto"/>
        <w:rPr>
          <w:sz w:val="20"/>
          <w:szCs w:val="20"/>
          <w:color w:val="auto"/>
        </w:rPr>
      </w:pPr>
      <w:r>
        <w:rPr>
          <w:rFonts w:ascii="Times New Roman" w:cs="Times New Roman" w:eastAsia="Times New Roman" w:hAnsi="Times New Roman"/>
          <w:sz w:val="19"/>
          <w:szCs w:val="19"/>
          <w:color w:val="auto"/>
        </w:rPr>
        <w:t>election of the members of the Board of Directors (or equivalent) (except to the extent that such ownership existed before the Business Combination).</w:t>
      </w:r>
    </w:p>
    <w:p>
      <w:pPr>
        <w:spacing w:after="0" w:line="185" w:lineRule="exact"/>
        <w:rPr>
          <w:sz w:val="20"/>
          <w:szCs w:val="20"/>
          <w:color w:val="auto"/>
        </w:rPr>
      </w:pPr>
    </w:p>
    <w:p>
      <w:pPr>
        <w:ind w:right="140" w:firstLine="627"/>
        <w:spacing w:after="0" w:line="263" w:lineRule="auto"/>
        <w:tabs>
          <w:tab w:leader="none" w:pos="1024"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“Cause” means any (i) willful failure by the Participant to perform their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spacing w:after="0" w:line="184" w:lineRule="exact"/>
        <w:rPr>
          <w:rFonts w:ascii="Times New Roman" w:cs="Times New Roman" w:eastAsia="Times New Roman" w:hAnsi="Times New Roman"/>
          <w:sz w:val="19"/>
          <w:szCs w:val="19"/>
          <w:color w:val="auto"/>
        </w:rPr>
      </w:pPr>
    </w:p>
    <w:p>
      <w:pPr>
        <w:ind w:right="100" w:firstLine="627"/>
        <w:spacing w:after="0" w:line="257" w:lineRule="auto"/>
        <w:tabs>
          <w:tab w:leader="none" w:pos="1035"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“Good Reason” means (i) any significant diminution in the Participant’s duties, authority or responsibilities from and after the Change in Control Event, (ii) any material reduction in base compensation payable to the Participant from and after the Change in Control Event, or (iii) the relocation of the place of business at which the Participant is principally located to a location that is greater than 50 miles from the current site without the Participant’s consent. However, no such event or condition constitutes Good Reason unless</w:t>
      </w:r>
    </w:p>
    <w:p>
      <w:pPr>
        <w:spacing w:after="0" w:line="1" w:lineRule="exact"/>
        <w:rPr>
          <w:rFonts w:ascii="Times New Roman" w:cs="Times New Roman" w:eastAsia="Times New Roman" w:hAnsi="Times New Roman"/>
          <w:sz w:val="19"/>
          <w:szCs w:val="19"/>
          <w:color w:val="auto"/>
        </w:rPr>
      </w:pPr>
    </w:p>
    <w:p>
      <w:pPr>
        <w:jc w:val="both"/>
        <w:ind w:right="400" w:firstLine="4"/>
        <w:spacing w:after="0" w:line="257" w:lineRule="auto"/>
        <w:tabs>
          <w:tab w:leader="none" w:pos="31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gives the Company a written notice of termination for Good Reason not more than 90 days after the initial existence of the condition, (B) the grounds for termination (if susceptible to correction) are not corrected by the Company within 30 days of its receipt of such notice, and (C) the Participant’s termination of employment occurs within six months after the Company’s receipt of such notice.</w:t>
      </w:r>
    </w:p>
    <w:p>
      <w:pPr>
        <w:spacing w:after="0" w:line="204" w:lineRule="exact"/>
        <w:rPr>
          <w:sz w:val="20"/>
          <w:szCs w:val="20"/>
          <w:color w:val="auto"/>
        </w:rPr>
      </w:pPr>
    </w:p>
    <w:p>
      <w:pPr>
        <w:ind w:left="440" w:hanging="436"/>
        <w:spacing w:after="0"/>
        <w:tabs>
          <w:tab w:leader="none" w:pos="4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19"/>
          <w:szCs w:val="19"/>
          <w:color w:val="auto"/>
        </w:rPr>
      </w:pPr>
    </w:p>
    <w:p>
      <w:pPr>
        <w:ind w:right="20" w:firstLine="194"/>
        <w:spacing w:after="0" w:line="257" w:lineRule="auto"/>
        <w:tabs>
          <w:tab w:leader="none" w:pos="58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award is intended to comply with or be exempt from the requirements of Section 409A and shall be construed consistently therewith. Subject to Sections 10(f) and 11(d) of the Plan, the Company reserves the right, to the extent the Company deems necessary or advisable in its sole discretion, to unilaterally amend the Plan or this Agreement to prevent this award from becoming subject to the requirements of Section 409A.</w:t>
      </w:r>
    </w:p>
    <w:p>
      <w:pPr>
        <w:spacing w:after="0" w:line="1" w:lineRule="exact"/>
        <w:rPr>
          <w:rFonts w:ascii="Times New Roman" w:cs="Times New Roman" w:eastAsia="Times New Roman" w:hAnsi="Times New Roman"/>
          <w:sz w:val="19"/>
          <w:szCs w:val="19"/>
          <w:color w:val="auto"/>
        </w:rPr>
      </w:pPr>
    </w:p>
    <w:p>
      <w:pPr>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spacing w:after="0" w:line="203" w:lineRule="exact"/>
        <w:rPr>
          <w:rFonts w:ascii="Times New Roman" w:cs="Times New Roman" w:eastAsia="Times New Roman" w:hAnsi="Times New Roman"/>
          <w:sz w:val="19"/>
          <w:szCs w:val="19"/>
          <w:color w:val="auto"/>
        </w:rPr>
      </w:pPr>
    </w:p>
    <w:p>
      <w:pPr>
        <w:ind w:right="100" w:firstLine="194"/>
        <w:spacing w:after="0" w:line="255" w:lineRule="auto"/>
        <w:tabs>
          <w:tab w:leader="none" w:pos="602"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Units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vesting of Units that occurs upon a termination of employment until the earlier of (i) the six-month and one-day anniversary of the Participant’s termination of employment and (ii) the Participant’s death. In addition, solely to the extent that the Units are considered to be “nonqualified deferred compensation” and solely to the extent that another agreement between the Participant and the Company provides for vesting of the Units and delivery of the Shares upon a “change in control,” such event must constitute a “change in control event” within the meaning of Treasury Regulation Section 1.409A-3(i)(5)(i) in order for the Shares to be delivered.</w:t>
      </w:r>
    </w:p>
    <w:p>
      <w:pPr>
        <w:spacing w:after="0" w:line="193" w:lineRule="exact"/>
        <w:rPr>
          <w:rFonts w:ascii="Times New Roman" w:cs="Times New Roman" w:eastAsia="Times New Roman" w:hAnsi="Times New Roman"/>
          <w:sz w:val="19"/>
          <w:szCs w:val="19"/>
          <w:color w:val="auto"/>
        </w:rPr>
      </w:pPr>
    </w:p>
    <w:p>
      <w:pPr>
        <w:jc w:val="both"/>
        <w:ind w:right="360" w:firstLine="817"/>
        <w:spacing w:after="0" w:line="259" w:lineRule="auto"/>
        <w:tabs>
          <w:tab w:leader="none" w:pos="1215"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Sections 13(a) and 14(b) of this Agreement, “termination of employment” and similar terms mean “separation from service” within the meaning of Section 409A. The determination of whether and when the Participant’s separation from service from the Company has occurred shall be made in a manner consistent with, and based on the presumptions set forth in, Treasury Regulation</w:t>
      </w:r>
    </w:p>
    <w:p>
      <w:pPr>
        <w:spacing w:after="0" w:line="2" w:lineRule="exact"/>
        <w:rPr>
          <w:rFonts w:ascii="Times New Roman" w:cs="Times New Roman" w:eastAsia="Times New Roman" w:hAnsi="Times New Roman"/>
          <w:sz w:val="19"/>
          <w:szCs w:val="19"/>
          <w:color w:val="auto"/>
        </w:rPr>
      </w:pPr>
    </w:p>
    <w:p>
      <w:pPr>
        <w:ind w:right="180"/>
        <w:spacing w:after="0" w:line="26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1.409A-1(h). Solely for purposes of this Section 14(c), “Company” includes all persons with whom the Company would be considered a single employer under Section 414(b) and 414(c) of the Code.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00"/>
          </w:cols>
          <w:pgMar w:left="320" w:top="1116" w:right="379" w:bottom="1440" w:gutter="0" w:footer="0" w:header="0"/>
        </w:sectPr>
      </w:pPr>
    </w:p>
    <w:bookmarkStart w:id="60" w:name="page61"/>
    <w:bookmarkEnd w:id="60"/>
    <w:p>
      <w:pPr>
        <w:ind w:left="-4" w:right="100" w:firstLine="4"/>
        <w:spacing w:after="0" w:line="276" w:lineRule="auto"/>
        <w:tabs>
          <w:tab w:leader="none" w:pos="42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Language</w:t>
      </w:r>
      <w:r>
        <w:rPr>
          <w:rFonts w:ascii="Times New Roman" w:cs="Times New Roman" w:eastAsia="Times New Roman" w:hAnsi="Times New Roman"/>
          <w:sz w:val="19"/>
          <w:szCs w:val="19"/>
          <w:color w:val="auto"/>
        </w:rPr>
        <w:t>. If the Participant receives this Agreement or any other document related to the Plan translated into a language other than English, the English version controls.</w:t>
      </w:r>
    </w:p>
    <w:p>
      <w:pPr>
        <w:spacing w:after="0" w:line="159" w:lineRule="exact"/>
        <w:rPr>
          <w:rFonts w:ascii="Times New Roman" w:cs="Times New Roman" w:eastAsia="Times New Roman" w:hAnsi="Times New Roman"/>
          <w:sz w:val="19"/>
          <w:szCs w:val="19"/>
          <w:color w:val="auto"/>
        </w:rPr>
      </w:pPr>
    </w:p>
    <w:p>
      <w:pPr>
        <w:ind w:left="-4" w:right="40" w:firstLine="4"/>
        <w:spacing w:after="0" w:line="266" w:lineRule="auto"/>
        <w:tabs>
          <w:tab w:leader="none" w:pos="42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w:t>
      </w:r>
      <w:r>
        <w:rPr>
          <w:rFonts w:ascii="Times New Roman" w:cs="Times New Roman" w:eastAsia="Times New Roman" w:hAnsi="Times New Roman"/>
          <w:sz w:val="19"/>
          <w:szCs w:val="19"/>
          <w:color w:val="auto"/>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spacing w:after="0" w:line="169" w:lineRule="exact"/>
        <w:rPr>
          <w:rFonts w:ascii="Times New Roman" w:cs="Times New Roman" w:eastAsia="Times New Roman" w:hAnsi="Times New Roman"/>
          <w:sz w:val="19"/>
          <w:szCs w:val="19"/>
          <w:color w:val="auto"/>
        </w:rPr>
      </w:pPr>
    </w:p>
    <w:p>
      <w:pPr>
        <w:ind w:left="-4" w:firstLine="4"/>
        <w:spacing w:after="0" w:line="258" w:lineRule="auto"/>
        <w:tabs>
          <w:tab w:leader="none" w:pos="42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Addendum</w:t>
      </w:r>
      <w:r>
        <w:rPr>
          <w:rFonts w:ascii="Times New Roman" w:cs="Times New Roman" w:eastAsia="Times New Roman" w:hAnsi="Times New Roman"/>
          <w:sz w:val="19"/>
          <w:szCs w:val="19"/>
          <w:color w:val="auto"/>
        </w:rPr>
        <w:t>. The Units and the Shares acquired under the Plan are subject to any country-specific terms and conditions set forth in any addendum to this Agreement or the Plan, and in the event of a conflict between this Agreement and any such addendum, the addendum governs. If the Participant relocates their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spacing w:after="0" w:line="175" w:lineRule="exact"/>
        <w:rPr>
          <w:rFonts w:ascii="Times New Roman" w:cs="Times New Roman" w:eastAsia="Times New Roman" w:hAnsi="Times New Roman"/>
          <w:sz w:val="19"/>
          <w:szCs w:val="19"/>
          <w:color w:val="auto"/>
        </w:rPr>
      </w:pPr>
    </w:p>
    <w:p>
      <w:pPr>
        <w:ind w:left="-4" w:right="80" w:firstLine="4"/>
        <w:spacing w:after="0" w:line="257" w:lineRule="auto"/>
        <w:tabs>
          <w:tab w:leader="none" w:pos="42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and Waiver</w:t>
      </w:r>
      <w:r>
        <w:rPr>
          <w:rFonts w:ascii="Times New Roman" w:cs="Times New Roman" w:eastAsia="Times New Roman" w:hAnsi="Times New Roman"/>
          <w:sz w:val="19"/>
          <w:szCs w:val="19"/>
          <w:color w:val="auto"/>
        </w:rPr>
        <w:t>.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except that if the Company and the Participant have entered into or in the future enter into an executive retention agreement, the executive retention agreement governs. 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16"/>
          </w:cols>
          <w:pgMar w:left="324" w:top="1350"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used in this Agreement, the following terms have the following definitions: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Metrics</w:t>
      </w:r>
      <w:r>
        <w:rPr>
          <w:rFonts w:ascii="Times New Roman" w:cs="Times New Roman" w:eastAsia="Times New Roman" w:hAnsi="Times New Roman"/>
          <w:sz w:val="19"/>
          <w:szCs w:val="19"/>
          <w:color w:val="auto"/>
        </w:rPr>
        <w:t>” means Variable Gross Profit and Adjusted EBITDA.</w:t>
      </w:r>
    </w:p>
    <w:p>
      <w:pPr>
        <w:spacing w:after="0" w:line="23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Variable Gross Profit</w:t>
      </w:r>
      <w:r>
        <w:rPr>
          <w:rFonts w:ascii="Times New Roman" w:cs="Times New Roman" w:eastAsia="Times New Roman" w:hAnsi="Times New Roman"/>
          <w:sz w:val="19"/>
          <w:szCs w:val="19"/>
          <w:color w:val="auto"/>
        </w:rPr>
        <w:t>” means Vista revenue for the Applicable Fiscal Year, less the costs associated with producing those goods or services for the Applicable Fiscal Year, such as raw materials, labor, consumables like ink, the use of third-party fulfillers and cross-business fulfillment (XCF), and outbound shipping costs, excluding, in each case, any revenue and associated costs impact on Vista from acquisitions closed during the Applicable Fiscal Year. Vista variable gross profit and any adjustments shall be measured at Applicable Fiscal Year budget currency rates.</w:t>
      </w:r>
    </w:p>
    <w:p>
      <w:pPr>
        <w:spacing w:after="0" w:line="19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EBITDA</w:t>
      </w:r>
      <w:r>
        <w:rPr>
          <w:rFonts w:ascii="Times New Roman" w:cs="Times New Roman" w:eastAsia="Times New Roman" w:hAnsi="Times New Roman"/>
          <w:sz w:val="19"/>
          <w:szCs w:val="19"/>
          <w:color w:val="auto"/>
        </w:rPr>
        <w:t>” means Vista segment EBITDA for the Applicable Fiscal Year, plus Vista’s share-based compensation expense for the Applicable Fiscal Year, less any adjusted EBITDA impact on Vista from acquisitions closed during the Applicable Fiscal Year. Vista segment EBITDA and any adjustments shall be measured at Applicable Fiscal Year budget currency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 Targets, Weightings, and Multipliers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Variable Gross Profit</w:t>
      </w:r>
      <w:r>
        <w:rPr>
          <w:rFonts w:ascii="Times New Roman" w:cs="Times New Roman" w:eastAsia="Times New Roman" w:hAnsi="Times New Roman"/>
          <w:sz w:val="19"/>
          <w:szCs w:val="19"/>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 Target: $__________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Weighting: 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Multiplier: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ind w:left="40"/>
              <w:spacing w:after="0" w:line="208" w:lineRule="exact"/>
              <w:rPr>
                <w:sz w:val="20"/>
                <w:szCs w:val="20"/>
                <w:color w:val="auto"/>
              </w:rPr>
            </w:pPr>
            <w:r>
              <w:rPr>
                <w:rFonts w:ascii="Times New Roman" w:cs="Times New Roman" w:eastAsia="Times New Roman" w:hAnsi="Times New Roman"/>
                <w:sz w:val="19"/>
                <w:szCs w:val="19"/>
                <w:color w:val="auto"/>
              </w:rPr>
              <w:t>Percentage</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rPr>
              <w:t>&lt;90%</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7"/>
              </w:rPr>
              <w:t>90%</w:t>
            </w:r>
          </w:p>
        </w:tc>
        <w:tc>
          <w:tcPr>
            <w:tcW w:w="226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top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110% or higher</w:t>
            </w:r>
          </w:p>
        </w:tc>
      </w:tr>
      <w:tr>
        <w:trPr>
          <w:trHeight w:val="304"/>
        </w:trPr>
        <w:tc>
          <w:tcPr>
            <w:tcW w:w="3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Achievement</w:t>
            </w:r>
          </w:p>
        </w:tc>
        <w:tc>
          <w:tcPr>
            <w:tcW w:w="22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9"/>
                <w:szCs w:val="19"/>
                <w:color w:val="auto"/>
              </w:rPr>
              <w:t>(Below Threshold)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(Target)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(Maximum)</w:t>
            </w:r>
          </w:p>
        </w:tc>
      </w:tr>
      <w:tr>
        <w:trPr>
          <w:trHeight w:val="247"/>
        </w:trPr>
        <w:tc>
          <w:tcPr>
            <w:tcW w:w="340" w:type="dxa"/>
            <w:vAlign w:val="bottom"/>
            <w:tcBorders>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60%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160%</w:t>
            </w:r>
          </w:p>
        </w:tc>
      </w:tr>
      <w:tr>
        <w:trPr>
          <w:trHeight w:val="499"/>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Adjusted EBITDA:</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144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0"/>
        </w:trPr>
        <w:tc>
          <w:tcPr>
            <w:tcW w:w="42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Performance Target: $__________</w:t>
            </w: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4"/>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Weighting: ___%</w:t>
            </w: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0"/>
        </w:trPr>
        <w:tc>
          <w:tcPr>
            <w:tcW w:w="20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4"/>
        </w:trPr>
        <w:tc>
          <w:tcPr>
            <w:tcW w:w="340" w:type="dxa"/>
            <w:vAlign w:val="bottom"/>
          </w:tcPr>
          <w:p>
            <w:pPr>
              <w:spacing w:after="0"/>
              <w:rPr>
                <w:sz w:val="22"/>
                <w:szCs w:val="22"/>
                <w:color w:val="auto"/>
              </w:rPr>
            </w:pPr>
          </w:p>
        </w:tc>
        <w:tc>
          <w:tcPr>
            <w:tcW w:w="1660" w:type="dxa"/>
            <w:vAlign w:val="bottom"/>
            <w:tcBorders>
              <w:bottom w:val="single" w:sz="8" w:color="auto"/>
            </w:tcBorders>
            <w:gridSpan w:val="2"/>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r>
      <w:tr>
        <w:trPr>
          <w:trHeight w:val="188"/>
        </w:trPr>
        <w:tc>
          <w:tcPr>
            <w:tcW w:w="3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9"/>
                <w:szCs w:val="19"/>
                <w:color w:val="auto"/>
              </w:rPr>
              <w:t>Percentage</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rPr>
              <w:t>&lt;85%</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7"/>
              </w:rPr>
              <w:t>85%</w:t>
            </w:r>
          </w:p>
        </w:tc>
        <w:tc>
          <w:tcPr>
            <w:tcW w:w="22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9"/>
                <w:szCs w:val="19"/>
                <w:color w:val="auto"/>
                <w:w w:val="99"/>
              </w:rPr>
              <w:t>115% or higher</w:t>
            </w:r>
          </w:p>
        </w:tc>
      </w:tr>
      <w:tr>
        <w:trPr>
          <w:trHeight w:val="304"/>
        </w:trPr>
        <w:tc>
          <w:tcPr>
            <w:tcW w:w="3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Achievement</w:t>
            </w:r>
          </w:p>
        </w:tc>
        <w:tc>
          <w:tcPr>
            <w:tcW w:w="22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9"/>
                <w:szCs w:val="19"/>
                <w:color w:val="auto"/>
              </w:rPr>
              <w:t>(Below Threshold)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(Target)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(Maximum)</w:t>
            </w:r>
          </w:p>
        </w:tc>
      </w:tr>
      <w:tr>
        <w:trPr>
          <w:trHeight w:val="247"/>
        </w:trPr>
        <w:tc>
          <w:tcPr>
            <w:tcW w:w="340" w:type="dxa"/>
            <w:vAlign w:val="bottom"/>
            <w:tcBorders>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Multiplier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60%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160%</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Calculation of Final Multiplier</w:t>
      </w:r>
    </w:p>
    <w:p>
      <w:pPr>
        <w:spacing w:after="0" w:line="251" w:lineRule="exact"/>
        <w:rPr>
          <w:sz w:val="20"/>
          <w:szCs w:val="20"/>
          <w:color w:val="auto"/>
        </w:rPr>
      </w:pPr>
    </w:p>
    <w:p>
      <w:pPr>
        <w:ind w:left="620" w:right="520" w:hanging="305"/>
        <w:spacing w:after="0" w:line="276" w:lineRule="auto"/>
        <w:tabs>
          <w:tab w:leader="none" w:pos="61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Financial Metric, the Company shall calculate the percentage achievement against the performance target for that Financial Metric shown above (as applicable, the “Percentage Achievement”).</w:t>
      </w:r>
    </w:p>
    <w:p>
      <w:pPr>
        <w:spacing w:after="0" w:line="185" w:lineRule="exact"/>
        <w:rPr>
          <w:rFonts w:ascii="Times New Roman" w:cs="Times New Roman" w:eastAsia="Times New Roman" w:hAnsi="Times New Roman"/>
          <w:sz w:val="19"/>
          <w:szCs w:val="19"/>
          <w:color w:val="auto"/>
        </w:rPr>
      </w:pPr>
    </w:p>
    <w:p>
      <w:pPr>
        <w:ind w:left="620" w:hanging="305"/>
        <w:spacing w:after="0" w:line="276" w:lineRule="auto"/>
        <w:tabs>
          <w:tab w:leader="none" w:pos="64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or greater than the maximum shown above for that Financial Metric (as applicable, the “Maximum”), then the Multiplier for that Financial Metric is 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114" w:right="339" w:bottom="1440" w:gutter="0" w:footer="0" w:header="0"/>
        </w:sectPr>
      </w:pPr>
    </w:p>
    <w:bookmarkStart w:id="62" w:name="page63"/>
    <w:bookmarkEnd w:id="62"/>
    <w:p>
      <w:pPr>
        <w:ind w:left="305" w:hanging="305"/>
        <w:spacing w:after="0" w:line="276" w:lineRule="auto"/>
        <w:tabs>
          <w:tab w:leader="none" w:pos="31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100% for that Financial Metric (the “Target”), then the Multiplier for that Financial Metric is 100%.</w:t>
      </w:r>
    </w:p>
    <w:p>
      <w:pPr>
        <w:spacing w:after="0" w:line="185" w:lineRule="exact"/>
        <w:rPr>
          <w:rFonts w:ascii="Times New Roman" w:cs="Times New Roman" w:eastAsia="Times New Roman" w:hAnsi="Times New Roman"/>
          <w:sz w:val="19"/>
          <w:szCs w:val="19"/>
          <w:color w:val="auto"/>
        </w:rPr>
      </w:pPr>
    </w:p>
    <w:p>
      <w:pPr>
        <w:ind w:left="305" w:hanging="305"/>
        <w:spacing w:after="0" w:line="290" w:lineRule="auto"/>
        <w:tabs>
          <w:tab w:leader="none" w:pos="30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equal to the threshold shown above for that Financial Metric (as applicable, the “Threshold”), then the Multiplier for that Financial Metric is 60%.</w:t>
      </w:r>
    </w:p>
    <w:p>
      <w:pPr>
        <w:spacing w:after="0" w:line="159" w:lineRule="exact"/>
        <w:rPr>
          <w:rFonts w:ascii="Times New Roman" w:cs="Times New Roman" w:eastAsia="Times New Roman" w:hAnsi="Times New Roman"/>
          <w:sz w:val="19"/>
          <w:szCs w:val="19"/>
          <w:color w:val="auto"/>
        </w:rPr>
      </w:pPr>
    </w:p>
    <w:p>
      <w:pPr>
        <w:ind w:left="305" w:hanging="305"/>
        <w:spacing w:after="0"/>
        <w:tabs>
          <w:tab w:leader="none" w:pos="30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less than the Threshold, then the Multiplier for that Financial Metric is 0%.</w:t>
      </w:r>
    </w:p>
    <w:p>
      <w:pPr>
        <w:spacing w:after="0" w:line="248" w:lineRule="exact"/>
        <w:rPr>
          <w:rFonts w:ascii="Times New Roman" w:cs="Times New Roman" w:eastAsia="Times New Roman" w:hAnsi="Times New Roman"/>
          <w:sz w:val="19"/>
          <w:szCs w:val="19"/>
          <w:color w:val="auto"/>
        </w:rPr>
      </w:pPr>
    </w:p>
    <w:p>
      <w:pPr>
        <w:ind w:left="305" w:right="140" w:hanging="305"/>
        <w:spacing w:after="0" w:line="266" w:lineRule="auto"/>
        <w:tabs>
          <w:tab w:leader="none" w:pos="30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greater than the Target but less than the Maximum, then the Multiplier for that Financial Metric shall be based on the interpolation of two straight lines whose slope and intercept define the relationship of (i) the Percentage Achievement between the Target and the Maximum and (ii) the Multiplier between 100% and 160%.</w:t>
      </w:r>
    </w:p>
    <w:p>
      <w:pPr>
        <w:spacing w:after="0" w:line="195" w:lineRule="exact"/>
        <w:rPr>
          <w:sz w:val="20"/>
          <w:szCs w:val="20"/>
          <w:color w:val="auto"/>
        </w:rPr>
      </w:pPr>
    </w:p>
    <w:p>
      <w:pPr>
        <w:ind w:left="925" w:hanging="302"/>
        <w:spacing w:after="0"/>
        <w:tabs>
          <w:tab w:leader="none" w:pos="925" w:val="left"/>
        </w:tabs>
        <w:numPr>
          <w:ilvl w:val="1"/>
          <w:numId w:val="7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Percentage Achievement for Variable Gross Profit were 102%, then the Multiplier would be ___%.</w:t>
      </w:r>
    </w:p>
    <w:p>
      <w:pPr>
        <w:spacing w:after="0" w:line="232" w:lineRule="exact"/>
        <w:rPr>
          <w:rFonts w:ascii="Courier New" w:cs="Courier New" w:eastAsia="Courier New" w:hAnsi="Courier New"/>
          <w:sz w:val="19"/>
          <w:szCs w:val="19"/>
          <w:color w:val="auto"/>
        </w:rPr>
      </w:pPr>
    </w:p>
    <w:p>
      <w:pPr>
        <w:ind w:left="305" w:right="160" w:hanging="305"/>
        <w:spacing w:after="0" w:line="266" w:lineRule="auto"/>
        <w:tabs>
          <w:tab w:leader="none" w:pos="30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Percentage Achievement is greater than the Threshold but less than the Target, then the Multiplier for that Financial Metric shall be based on the interpolation of two straight lines whose slope and intercept define the relationship of (i) the Percentage Achievement between the Threshold and the Target and (ii) the Multiplier between 60% and 100%.</w:t>
      </w:r>
    </w:p>
    <w:p>
      <w:pPr>
        <w:spacing w:after="0" w:line="195" w:lineRule="exact"/>
        <w:rPr>
          <w:rFonts w:ascii="Times New Roman" w:cs="Times New Roman" w:eastAsia="Times New Roman" w:hAnsi="Times New Roman"/>
          <w:sz w:val="19"/>
          <w:szCs w:val="19"/>
          <w:color w:val="auto"/>
        </w:rPr>
      </w:pPr>
    </w:p>
    <w:p>
      <w:pPr>
        <w:ind w:left="925" w:hanging="302"/>
        <w:spacing w:after="0"/>
        <w:tabs>
          <w:tab w:leader="none" w:pos="925" w:val="left"/>
        </w:tabs>
        <w:numPr>
          <w:ilvl w:val="1"/>
          <w:numId w:val="7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Percentage Achievement for Adjusted EBITDA were 92.5%, then the Multiplier would be ___%.</w:t>
      </w:r>
    </w:p>
    <w:p>
      <w:pPr>
        <w:spacing w:after="0" w:line="245" w:lineRule="exact"/>
        <w:rPr>
          <w:rFonts w:ascii="Courier New" w:cs="Courier New" w:eastAsia="Courier New" w:hAnsi="Courier New"/>
          <w:sz w:val="19"/>
          <w:szCs w:val="19"/>
          <w:color w:val="auto"/>
        </w:rPr>
      </w:pPr>
    </w:p>
    <w:p>
      <w:pPr>
        <w:ind w:left="305" w:right="120" w:hanging="305"/>
        <w:spacing w:after="0" w:line="276" w:lineRule="auto"/>
        <w:tabs>
          <w:tab w:leader="none" w:pos="30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Financial Metric, the Company shall then calculate a weighted multiplier equal to the product of the Multiplier for that Financial Metric and its weighting percentage shown above (as applicable, the “Weighted Multiplier”).</w:t>
      </w:r>
    </w:p>
    <w:p>
      <w:pPr>
        <w:spacing w:after="0" w:line="185" w:lineRule="exact"/>
        <w:rPr>
          <w:rFonts w:ascii="Times New Roman" w:cs="Times New Roman" w:eastAsia="Times New Roman" w:hAnsi="Times New Roman"/>
          <w:sz w:val="19"/>
          <w:szCs w:val="19"/>
          <w:color w:val="auto"/>
        </w:rPr>
      </w:pPr>
    </w:p>
    <w:p>
      <w:pPr>
        <w:ind w:left="925" w:hanging="302"/>
        <w:spacing w:after="0"/>
        <w:tabs>
          <w:tab w:leader="none" w:pos="925" w:val="left"/>
        </w:tabs>
        <w:numPr>
          <w:ilvl w:val="1"/>
          <w:numId w:val="7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For example, if the Variable Gross Profit Multiplier were 104%, then the Variable Gross Profit Weighted Multiplier would be</w:t>
      </w:r>
    </w:p>
    <w:p>
      <w:pPr>
        <w:spacing w:after="0" w:line="21" w:lineRule="exact"/>
        <w:rPr>
          <w:rFonts w:ascii="Courier New" w:cs="Courier New" w:eastAsia="Courier New" w:hAnsi="Courier New"/>
          <w:sz w:val="19"/>
          <w:szCs w:val="19"/>
          <w:color w:val="auto"/>
        </w:rPr>
      </w:pPr>
    </w:p>
    <w:p>
      <w:pPr>
        <w:ind w:left="925"/>
        <w:spacing w:after="0"/>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___%.</w:t>
      </w:r>
    </w:p>
    <w:p>
      <w:pPr>
        <w:spacing w:after="0" w:line="226" w:lineRule="exact"/>
        <w:rPr>
          <w:rFonts w:ascii="Courier New" w:cs="Courier New" w:eastAsia="Courier New" w:hAnsi="Courier New"/>
          <w:sz w:val="19"/>
          <w:szCs w:val="19"/>
          <w:color w:val="auto"/>
        </w:rPr>
      </w:pPr>
    </w:p>
    <w:p>
      <w:pPr>
        <w:ind w:left="305" w:right="180" w:hanging="305"/>
        <w:spacing w:after="0" w:line="263" w:lineRule="auto"/>
        <w:tabs>
          <w:tab w:leader="none" w:pos="30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Final Multiplier is equal to the sum of the two Weighted Multipliers, provided, however, that notwithstanding the foregoing calculations of the Multipliers, the Weighted Multipliers, and the Final Multiplier, the Final Multiplier shall not be less than 60%, subject the Compensation Committee’s discretion to account for non-recurring items in determining the Final Multiplier pursuant to Section 2(a)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925"/>
          </w:cols>
          <w:pgMar w:left="635" w:top="1116" w:right="339" w:bottom="1440" w:gutter="0" w:footer="0" w:header="0"/>
        </w:sectPr>
      </w:pPr>
    </w:p>
    <w:bookmarkStart w:id="63" w:name="page64"/>
    <w:bookmarkEnd w:id="63"/>
    <w:p>
      <w:pPr>
        <w:jc w:val="center"/>
        <w:ind w:right="-299"/>
        <w:spacing w:after="0"/>
        <w:rPr>
          <w:sz w:val="20"/>
          <w:szCs w:val="20"/>
          <w:color w:val="auto"/>
        </w:rPr>
      </w:pPr>
      <w:r>
        <w:rPr>
          <w:rFonts w:ascii="Times New Roman" w:cs="Times New Roman" w:eastAsia="Times New Roman" w:hAnsi="Times New Roman"/>
          <w:sz w:val="19"/>
          <w:szCs w:val="19"/>
          <w:color w:val="auto"/>
        </w:rPr>
        <w:t>PARTICIPANT’S ACCEPTANCE</w:t>
      </w:r>
    </w:p>
    <w:p>
      <w:pPr>
        <w:spacing w:after="0" w:line="24"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19"/>
          <w:szCs w:val="19"/>
          <w:color w:val="auto"/>
        </w:rPr>
        <w:t>By signing or electronically accepting this Agreement, the Participant agrees to the terms and conditions hereof. The Participant hereby acknowledges receipt of a copy of the Cimpress plc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940"/>
          </w:cols>
          <w:pgMar w:left="320" w:top="1350" w:right="6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2025</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October 30, 2025</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18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September 30, 2025 as filed with the Securities and Exchange Commission on the date hereof (the “Report”), the undersigned, Robert S. Keane, Chief Executive Officer,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and 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October 30,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October 30,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2"/>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lvl w:ilvl="1">
      <w:lvlJc w:val="left"/>
      <w:lvlText w:val="◦"/>
      <w:numFmt w:val="bullet"/>
      <w:start w:val="1"/>
    </w:lvl>
  </w:abstractNum>
  <w:abstractNum w:abstractNumId="10">
    <w:nsid w:val="6A2342EC"/>
    <w:multiLevelType w:val="hybridMultilevel"/>
    <w:lvl w:ilvl="0">
      <w:lvlJc w:val="left"/>
      <w:lvlText w:val="%1."/>
      <w:numFmt w:val="decimal"/>
      <w:start w:val="10"/>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lvl w:ilvl="1">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4"/>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2"/>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2"/>
    </w:lvl>
    <w:lvl w:ilvl="1">
      <w:lvlJc w:val="left"/>
      <w:lvlText w:val="(%2)"/>
      <w:numFmt w:val="lowerLetter"/>
      <w:start w:val="1"/>
    </w:lvl>
  </w:abstractNum>
  <w:abstractNum w:abstractNumId="35">
    <w:nsid w:val="23F9C13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6">
    <w:nsid w:val="649BB77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7">
    <w:nsid w:val="275AC794"/>
    <w:multiLevelType w:val="hybridMultilevel"/>
    <w:lvl w:ilvl="0">
      <w:lvlJc w:val="left"/>
      <w:lvlText w:val="%1."/>
      <w:numFmt w:val="decimal"/>
      <w:start w:val="5"/>
    </w:lvl>
    <w:lvl w:ilvl="1">
      <w:lvlJc w:val="left"/>
      <w:lvlText w:val="(%2)"/>
      <w:numFmt w:val="lowerLetter"/>
      <w:start w:val="1"/>
    </w:lvl>
  </w:abstractNum>
  <w:abstractNum w:abstractNumId="38">
    <w:nsid w:val="39386575"/>
    <w:multiLevelType w:val="hybridMultilevel"/>
    <w:lvl w:ilvl="0">
      <w:lvlJc w:val="left"/>
      <w:lvlText w:val="%1."/>
      <w:numFmt w:val="decimal"/>
      <w:start w:val="7"/>
    </w:lvl>
    <w:lvl w:ilvl="1">
      <w:lvlJc w:val="left"/>
      <w:lvlText w:val="(%2)"/>
      <w:numFmt w:val="lowerLetter"/>
      <w:start w:val="1"/>
    </w:lvl>
  </w:abstractNum>
  <w:abstractNum w:abstractNumId="39">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40">
    <w:nsid w:val="180115BE"/>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41">
    <w:nsid w:val="235BA86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42">
    <w:nsid w:val="47398C89"/>
    <w:multiLevelType w:val="hybridMultilevel"/>
    <w:lvl w:ilvl="0">
      <w:lvlJc w:val="left"/>
      <w:lvlText w:val="%1"/>
      <w:numFmt w:val="decimal"/>
      <w:start w:val="1"/>
    </w:lvl>
    <w:lvl w:ilvl="1">
      <w:lvlJc w:val="left"/>
      <w:lvlText w:val="(%2)"/>
      <w:numFmt w:val="lowerLetter"/>
      <w:start w:val="4"/>
    </w:lvl>
  </w:abstractNum>
  <w:abstractNum w:abstractNumId="43">
    <w:nsid w:val="354FE9F9"/>
    <w:multiLevelType w:val="hybridMultilevel"/>
    <w:lvl w:ilvl="0">
      <w:lvlJc w:val="left"/>
      <w:lvlText w:val="%1."/>
      <w:numFmt w:val="decimal"/>
      <w:start w:val="13"/>
    </w:lvl>
    <w:lvl w:ilvl="1">
      <w:lvlJc w:val="left"/>
      <w:lvlText w:val="(%2)"/>
      <w:numFmt w:val="lowerLetter"/>
      <w:start w:val="1"/>
    </w:lvl>
  </w:abstractNum>
  <w:abstractNum w:abstractNumId="44">
    <w:nsid w:val="15B5AF5C"/>
    <w:multiLevelType w:val="hybridMultilevel"/>
    <w:lvl w:ilvl="0">
      <w:lvlJc w:val="left"/>
      <w:lvlText w:val="(%1)"/>
      <w:numFmt w:val="lowerLetter"/>
      <w:start w:val="2"/>
    </w:lvl>
    <w:lvl w:ilvl="1">
      <w:lvlJc w:val="left"/>
      <w:lvlText w:val="(%2)"/>
      <w:numFmt w:val="lowerRoman"/>
      <w:start w:val="1"/>
    </w:lvl>
  </w:abstractNum>
  <w:abstractNum w:abstractNumId="45">
    <w:nsid w:val="741226BB"/>
    <w:multiLevelType w:val="hybridMultilevel"/>
    <w:lvl w:ilvl="0">
      <w:lvlJc w:val="left"/>
      <w:lvlText w:val="%1"/>
      <w:numFmt w:val="upperLetter"/>
      <w:start w:val="1"/>
    </w:lvl>
    <w:lvl w:ilvl="1">
      <w:lvlJc w:val="left"/>
      <w:lvlText w:val="(%2)"/>
      <w:numFmt w:val="lowerLetter"/>
      <w:start w:val="3"/>
    </w:lvl>
  </w:abstractNum>
  <w:abstractNum w:abstractNumId="46">
    <w:nsid w:val="D34B6A8"/>
    <w:multiLevelType w:val="hybridMultilevel"/>
    <w:lvl w:ilvl="0">
      <w:lvlJc w:val="left"/>
      <w:lvlText w:val="(%1)"/>
      <w:numFmt w:val="upperLetter"/>
      <w:start w:val="1"/>
    </w:lvl>
    <w:lvl w:ilvl="1">
      <w:lvlJc w:val="left"/>
      <w:lvlText w:val="%2"/>
      <w:numFmt w:val="lowerLetter"/>
      <w:start w:val="1"/>
    </w:lvl>
  </w:abstractNum>
  <w:abstractNum w:abstractNumId="47">
    <w:nsid w:val="10233C99"/>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3"/>
    </w:lvl>
  </w:abstractNum>
  <w:abstractNum w:abstractNumId="48">
    <w:nsid w:val="3F6AB60F"/>
    <w:multiLevelType w:val="hybridMultilevel"/>
    <w:lvl w:ilvl="0">
      <w:lvlJc w:val="left"/>
      <w:lvlText w:val="%1."/>
      <w:numFmt w:val="decimal"/>
      <w:start w:val="15"/>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lvl w:ilvl="1">
      <w:lvlJc w:val="left"/>
      <w:lvlText w:val="o"/>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2"/>
    </w:lvl>
    <w:lvl w:ilvl="1">
      <w:lvlJc w:val="left"/>
      <w:lvlText w:val="(%2)"/>
      <w:numFmt w:val="lowerLetter"/>
      <w:start w:val="1"/>
    </w:lvl>
  </w:abstractNum>
  <w:abstractNum w:abstractNumId="54">
    <w:nsid w:val="5FF87E0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5">
    <w:nsid w:val="2F305DE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6">
    <w:nsid w:val="25A70BF7"/>
    <w:multiLevelType w:val="hybridMultilevel"/>
    <w:lvl w:ilvl="0">
      <w:lvlJc w:val="left"/>
      <w:lvlText w:val="%1."/>
      <w:numFmt w:val="decimal"/>
      <w:start w:val="5"/>
    </w:lvl>
    <w:lvl w:ilvl="1">
      <w:lvlJc w:val="left"/>
      <w:lvlText w:val="(%2)"/>
      <w:numFmt w:val="lowerLetter"/>
      <w:start w:val="1"/>
    </w:lvl>
  </w:abstractNum>
  <w:abstractNum w:abstractNumId="57">
    <w:nsid w:val="1DBABF00"/>
    <w:multiLevelType w:val="hybridMultilevel"/>
    <w:lvl w:ilvl="0">
      <w:lvlJc w:val="left"/>
      <w:lvlText w:val="%1."/>
      <w:numFmt w:val="decimal"/>
      <w:start w:val="7"/>
    </w:lvl>
    <w:lvl w:ilvl="1">
      <w:lvlJc w:val="left"/>
      <w:lvlText w:val="(%2)"/>
      <w:numFmt w:val="lowerLetter"/>
      <w:start w:val="1"/>
    </w:lvl>
  </w:abstractNum>
  <w:abstractNum w:abstractNumId="58">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59">
    <w:nsid w:val="1F48EAA1"/>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60">
    <w:nsid w:val="1381823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61">
    <w:nsid w:val="5DB70AE5"/>
    <w:multiLevelType w:val="hybridMultilevel"/>
    <w:lvl w:ilvl="0">
      <w:lvlJc w:val="left"/>
      <w:lvlText w:val="%1"/>
      <w:numFmt w:val="decimal"/>
      <w:start w:val="1"/>
    </w:lvl>
    <w:lvl w:ilvl="1">
      <w:lvlJc w:val="left"/>
      <w:lvlText w:val="(%2)"/>
      <w:numFmt w:val="lowerLetter"/>
      <w:start w:val="4"/>
    </w:lvl>
  </w:abstractNum>
  <w:abstractNum w:abstractNumId="62">
    <w:nsid w:val="100F8FCA"/>
    <w:multiLevelType w:val="hybridMultilevel"/>
    <w:lvl w:ilvl="0">
      <w:lvlJc w:val="left"/>
      <w:lvlText w:val="%1."/>
      <w:numFmt w:val="decimal"/>
      <w:start w:val="13"/>
    </w:lvl>
    <w:lvl w:ilvl="1">
      <w:lvlJc w:val="left"/>
      <w:lvlText w:val="(%2)"/>
      <w:numFmt w:val="lowerLetter"/>
      <w:start w:val="1"/>
    </w:lvl>
  </w:abstractNum>
  <w:abstractNum w:abstractNumId="63">
    <w:nsid w:val="6590700B"/>
    <w:multiLevelType w:val="hybridMultilevel"/>
    <w:lvl w:ilvl="0">
      <w:lvlJc w:val="left"/>
      <w:lvlText w:val="(%1)"/>
      <w:numFmt w:val="lowerLetter"/>
      <w:start w:val="2"/>
    </w:lvl>
    <w:lvl w:ilvl="1">
      <w:lvlJc w:val="left"/>
      <w:lvlText w:val="(%2)"/>
      <w:numFmt w:val="lowerRoman"/>
      <w:start w:val="1"/>
    </w:lvl>
  </w:abstractNum>
  <w:abstractNum w:abstractNumId="64">
    <w:nsid w:val="15014ACB"/>
    <w:multiLevelType w:val="hybridMultilevel"/>
    <w:lvl w:ilvl="0">
      <w:lvlJc w:val="left"/>
      <w:lvlText w:val="%1"/>
      <w:numFmt w:val="upperLetter"/>
      <w:start w:val="1"/>
    </w:lvl>
    <w:lvl w:ilvl="1">
      <w:lvlJc w:val="left"/>
      <w:lvlText w:val="(%2)"/>
      <w:numFmt w:val="lowerLetter"/>
      <w:start w:val="3"/>
    </w:lvl>
  </w:abstractNum>
  <w:abstractNum w:abstractNumId="65">
    <w:nsid w:val="5F5E7FD0"/>
    <w:multiLevelType w:val="hybridMultilevel"/>
    <w:lvl w:ilvl="0">
      <w:lvlJc w:val="left"/>
      <w:lvlText w:val="(%1)"/>
      <w:numFmt w:val="upperLetter"/>
      <w:start w:val="1"/>
    </w:lvl>
    <w:lvl w:ilvl="1">
      <w:lvlJc w:val="left"/>
      <w:lvlText w:val="%2"/>
      <w:numFmt w:val="lowerLetter"/>
      <w:start w:val="1"/>
    </w:lvl>
  </w:abstractNum>
  <w:abstractNum w:abstractNumId="66">
    <w:nsid w:val="98A3148"/>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3"/>
    </w:lvl>
  </w:abstractNum>
  <w:abstractNum w:abstractNumId="67">
    <w:nsid w:val="799D0247"/>
    <w:multiLevelType w:val="hybridMultilevel"/>
    <w:lvl w:ilvl="0">
      <w:lvlJc w:val="left"/>
      <w:lvlText w:val="%1."/>
      <w:numFmt w:val="decimal"/>
      <w:start w:val="15"/>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lvl w:ilvl="1">
      <w:lvlJc w:val="left"/>
      <w:lvlText w:val="o"/>
      <w:numFmt w:val="bullet"/>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2025-10-30T16:36:57Z</dcterms:created>
  <dcterms:modified xsi:type="dcterms:W3CDTF">2025-10-30T16:36:57Z</dcterms:modified>
</cp:coreProperties>
</file>