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534670</wp:posOffset>
            </wp:positionH>
            <wp:positionV relativeFrom="page">
              <wp:posOffset>243205</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-194310</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49"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44"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71" w:lineRule="exact"/>
        <w:rPr>
          <w:sz w:val="24"/>
          <w:szCs w:val="24"/>
          <w:color w:val="auto"/>
        </w:rPr>
      </w:pPr>
    </w:p>
    <w:p>
      <w:pPr>
        <w:ind w:left="840"/>
        <w:spacing w:after="0"/>
        <w:rPr>
          <w:sz w:val="20"/>
          <w:szCs w:val="20"/>
          <w:color w:val="auto"/>
        </w:rPr>
      </w:pPr>
      <w:r>
        <w:rPr>
          <w:rFonts w:ascii="Arial" w:cs="Arial" w:eastAsia="Arial" w:hAnsi="Arial"/>
          <w:sz w:val="15"/>
          <w:szCs w:val="15"/>
          <w:b w:val="1"/>
          <w:bCs w:val="1"/>
          <w:color w:val="auto"/>
        </w:rPr>
        <w:t>For the fiscal year ended June 30, 2018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or</w:t>
      </w:r>
    </w:p>
    <w:p>
      <w:pPr>
        <w:spacing w:after="0" w:line="44" w:lineRule="exact"/>
        <w:rPr>
          <w:sz w:val="24"/>
          <w:szCs w:val="24"/>
          <w:color w:val="auto"/>
        </w:rPr>
      </w:pPr>
    </w:p>
    <w:p>
      <w:pPr>
        <w:ind w:left="840" w:hanging="805"/>
        <w:spacing w:after="0"/>
        <w:tabs>
          <w:tab w:leader="none" w:pos="84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00"/>
          </w:cols>
          <w:pgMar w:left="240" w:top="491" w:right="259" w:bottom="1440" w:gutter="0" w:footer="0" w:header="0"/>
        </w:sectPr>
      </w:pPr>
    </w:p>
    <w:p>
      <w:pPr>
        <w:spacing w:after="0" w:line="44" w:lineRule="exact"/>
        <w:rPr>
          <w:sz w:val="24"/>
          <w:szCs w:val="24"/>
          <w:color w:val="auto"/>
        </w:rPr>
      </w:pPr>
    </w:p>
    <w:p>
      <w:pPr>
        <w:ind w:left="840"/>
        <w:spacing w:after="0"/>
        <w:tabs>
          <w:tab w:leader="none" w:pos="36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00"/>
          </w:cols>
          <w:pgMar w:left="240" w:top="491" w:right="25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Commission file number 000-51539</w:t>
      </w:r>
    </w:p>
    <w:p>
      <w:pPr>
        <w:spacing w:after="0" w:line="20"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Cimpress N.V.</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680"/>
        <w:spacing w:after="0"/>
        <w:rPr>
          <w:sz w:val="20"/>
          <w:szCs w:val="20"/>
          <w:color w:val="auto"/>
        </w:rPr>
      </w:pPr>
      <w:r>
        <w:rPr>
          <w:rFonts w:ascii="Arial" w:cs="Arial" w:eastAsia="Arial" w:hAnsi="Arial"/>
          <w:sz w:val="13"/>
          <w:szCs w:val="13"/>
          <w:color w:val="auto"/>
        </w:rPr>
        <w:t>_________________________________</w:t>
      </w:r>
    </w:p>
    <w:p>
      <w:pPr>
        <w:sectPr>
          <w:pgSz w:w="11900" w:h="16838" w:orient="portrait"/>
          <w:cols w:equalWidth="0" w:num="1">
            <w:col w:w="11400"/>
          </w:cols>
          <w:pgMar w:left="240" w:top="491" w:right="259" w:bottom="1440" w:gutter="0" w:footer="0" w:header="0"/>
          <w:type w:val="continuous"/>
        </w:sectPr>
      </w:pPr>
    </w:p>
    <w:p>
      <w:pPr>
        <w:spacing w:after="0" w:line="144"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The Netherlands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98-0417483</w:t>
      </w:r>
    </w:p>
    <w:p>
      <w:pPr>
        <w:spacing w:after="0" w:line="106" w:lineRule="exact"/>
        <w:rPr>
          <w:sz w:val="24"/>
          <w:szCs w:val="24"/>
          <w:color w:val="auto"/>
        </w:rPr>
      </w:pPr>
    </w:p>
    <w:p>
      <w:pPr>
        <w:sectPr>
          <w:pgSz w:w="11900" w:h="16838" w:orient="portrait"/>
          <w:cols w:equalWidth="0" w:num="2">
            <w:col w:w="7500" w:space="720"/>
            <w:col w:w="3180"/>
          </w:cols>
          <w:pgMar w:left="240" w:top="491" w:right="25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(State or Other Jurisdiction of</w:t>
      </w:r>
    </w:p>
    <w:p>
      <w:pPr>
        <w:spacing w:after="0" w:line="19"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Identification No.)</w:t>
      </w:r>
    </w:p>
    <w:p>
      <w:pPr>
        <w:spacing w:after="0" w:line="78" w:lineRule="exact"/>
        <w:rPr>
          <w:sz w:val="24"/>
          <w:szCs w:val="24"/>
          <w:color w:val="auto"/>
        </w:rPr>
      </w:pPr>
    </w:p>
    <w:p>
      <w:pPr>
        <w:sectPr>
          <w:pgSz w:w="11900" w:h="16838" w:orient="portrait"/>
          <w:cols w:equalWidth="0" w:num="2">
            <w:col w:w="7280" w:space="720"/>
            <w:col w:w="3400"/>
          </w:cols>
          <w:pgMar w:left="240" w:top="491"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Hudsonweg 8</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5928 LW Venlo</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The Netherlands</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 31-77-850-7700</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61" w:lineRule="exact"/>
        <w:rPr>
          <w:sz w:val="24"/>
          <w:szCs w:val="24"/>
          <w:color w:val="auto"/>
        </w:rPr>
      </w:pPr>
    </w:p>
    <w:p>
      <w:pPr>
        <w:ind w:left="2200"/>
        <w:spacing w:after="0"/>
        <w:tabs>
          <w:tab w:leader="none" w:pos="7280" w:val="left"/>
        </w:tabs>
        <w:rPr>
          <w:sz w:val="20"/>
          <w:szCs w:val="20"/>
          <w:color w:val="auto"/>
        </w:rPr>
      </w:pPr>
      <w:r>
        <w:rPr>
          <w:rFonts w:ascii="Arial" w:cs="Arial" w:eastAsia="Arial" w:hAnsi="Arial"/>
          <w:sz w:val="13"/>
          <w:szCs w:val="13"/>
          <w:b w:val="1"/>
          <w:bCs w:val="1"/>
          <w:color w:val="auto"/>
        </w:rPr>
        <w:t>Title of Each Class</w:t>
      </w:r>
      <w:r>
        <w:rPr>
          <w:sz w:val="20"/>
          <w:szCs w:val="20"/>
          <w:color w:val="auto"/>
        </w:rPr>
        <w:tab/>
      </w:r>
      <w:r>
        <w:rPr>
          <w:rFonts w:ascii="Arial" w:cs="Arial" w:eastAsia="Arial" w:hAnsi="Arial"/>
          <w:sz w:val="12"/>
          <w:szCs w:val="12"/>
          <w:b w:val="1"/>
          <w:bCs w:val="1"/>
          <w:color w:val="auto"/>
        </w:rPr>
        <w:t>Name of Exchange on Which Registered</w:t>
      </w:r>
    </w:p>
    <w:p>
      <w:pPr>
        <w:sectPr>
          <w:pgSz w:w="11900" w:h="16838" w:orient="portrait"/>
          <w:cols w:equalWidth="0" w:num="1">
            <w:col w:w="11400"/>
          </w:cols>
          <w:pgMar w:left="240" w:top="491" w:right="259" w:bottom="1440" w:gutter="0" w:footer="0" w:header="0"/>
          <w:type w:val="continuous"/>
        </w:sectPr>
      </w:pPr>
    </w:p>
    <w:p>
      <w:pPr>
        <w:spacing w:after="0" w:line="90"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Ordinary Shares, €0.01 par value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NASDAQ Global Select Market</w:t>
      </w:r>
    </w:p>
    <w:p>
      <w:pPr>
        <w:spacing w:after="0" w:line="56" w:lineRule="exact"/>
        <w:rPr>
          <w:sz w:val="24"/>
          <w:szCs w:val="24"/>
          <w:color w:val="auto"/>
        </w:rPr>
      </w:pPr>
    </w:p>
    <w:p>
      <w:pPr>
        <w:sectPr>
          <w:pgSz w:w="11900" w:h="16838" w:orient="portrait"/>
          <w:cols w:equalWidth="0" w:num="2">
            <w:col w:w="6680" w:space="720"/>
            <w:col w:w="4000"/>
          </w:cols>
          <w:pgMar w:left="240" w:top="491" w:right="259" w:bottom="1440" w:gutter="0" w:footer="0" w:header="0"/>
          <w:type w:val="continuous"/>
        </w:sectPr>
      </w:pPr>
    </w:p>
    <w:p>
      <w:pPr>
        <w:ind w:left="6540"/>
        <w:spacing w:after="0"/>
        <w:rPr>
          <w:sz w:val="20"/>
          <w:szCs w:val="20"/>
          <w:color w:val="auto"/>
        </w:rPr>
      </w:pPr>
      <w:r>
        <w:rPr>
          <w:rFonts w:ascii="Arial" w:cs="Arial" w:eastAsia="Arial" w:hAnsi="Arial"/>
          <w:sz w:val="11"/>
          <w:szCs w:val="11"/>
          <w:color w:val="auto"/>
        </w:rPr>
        <w:t>_________________________________</w:t>
      </w:r>
    </w:p>
    <w:p>
      <w:pPr>
        <w:spacing w:after="0" w:line="42" w:lineRule="exact"/>
        <w:rPr>
          <w:sz w:val="24"/>
          <w:szCs w:val="24"/>
          <w:color w:val="auto"/>
        </w:rPr>
      </w:pPr>
    </w:p>
    <w:p>
      <w:pPr>
        <w:ind w:left="58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ectPr>
          <w:pgSz w:w="11900" w:h="16838" w:orient="portrait"/>
          <w:cols w:equalWidth="0" w:num="1">
            <w:col w:w="11400"/>
          </w:cols>
          <w:pgMar w:left="240" w:top="491" w:right="259" w:bottom="1440" w:gutter="0" w:footer="0" w:header="0"/>
          <w:type w:val="continuous"/>
        </w:sectPr>
      </w:pPr>
    </w:p>
    <w:p>
      <w:pPr>
        <w:spacing w:after="0" w:line="49" w:lineRule="exact"/>
        <w:rPr>
          <w:sz w:val="24"/>
          <w:szCs w:val="24"/>
          <w:color w:val="auto"/>
        </w:rPr>
      </w:pPr>
    </w:p>
    <w:p>
      <w:pPr>
        <w:ind w:left="560"/>
        <w:spacing w:after="0" w:line="173" w:lineRule="exact"/>
        <w:tabs>
          <w:tab w:leader="none" w:pos="9160" w:val="left"/>
        </w:tabs>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ab/>
        <w:t>No o</w:t>
      </w:r>
    </w:p>
    <w:p>
      <w:pPr>
        <w:spacing w:after="0" w:line="71" w:lineRule="exact"/>
        <w:rPr>
          <w:sz w:val="24"/>
          <w:szCs w:val="24"/>
          <w:color w:val="auto"/>
        </w:rPr>
      </w:pPr>
    </w:p>
    <w:p>
      <w:pPr>
        <w:ind w:left="560"/>
        <w:spacing w:after="0" w:line="173" w:lineRule="exact"/>
        <w:tabs>
          <w:tab w:leader="none" w:pos="1064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15(d) of the Securities Exchange Act of 1934. Yes o</w:t>
        <w:tab/>
        <w:t xml:space="preserve">No </w:t>
      </w:r>
      <w:r>
        <w:rPr>
          <w:rFonts w:ascii="MS PGothic" w:cs="MS PGothic" w:eastAsia="MS PGothic" w:hAnsi="MS PGothic"/>
          <w:sz w:val="15"/>
          <w:szCs w:val="15"/>
          <w:color w:val="auto"/>
        </w:rPr>
        <w:t>☑</w:t>
      </w:r>
    </w:p>
    <w:p>
      <w:pPr>
        <w:spacing w:after="0" w:line="110" w:lineRule="exact"/>
        <w:rPr>
          <w:sz w:val="24"/>
          <w:szCs w:val="24"/>
          <w:color w:val="auto"/>
        </w:rPr>
      </w:pPr>
    </w:p>
    <w:p>
      <w:pPr>
        <w:ind w:firstLine="554"/>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44" w:lineRule="exact"/>
        <w:rPr>
          <w:sz w:val="24"/>
          <w:szCs w:val="24"/>
          <w:color w:val="auto"/>
        </w:rPr>
      </w:pPr>
    </w:p>
    <w:p>
      <w:pPr>
        <w:ind w:right="20" w:firstLine="554"/>
        <w:spacing w:after="0" w:line="184"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44" w:lineRule="exact"/>
        <w:rPr>
          <w:sz w:val="24"/>
          <w:szCs w:val="24"/>
          <w:color w:val="auto"/>
        </w:rPr>
      </w:pPr>
    </w:p>
    <w:p>
      <w:pPr>
        <w:ind w:right="140" w:firstLine="554"/>
        <w:spacing w:after="0" w:line="188"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71" w:lineRule="exact"/>
        <w:rPr>
          <w:sz w:val="24"/>
          <w:szCs w:val="24"/>
          <w:color w:val="auto"/>
        </w:rPr>
      </w:pPr>
    </w:p>
    <w:p>
      <w:pPr>
        <w:ind w:right="20" w:firstLine="554"/>
        <w:spacing w:after="0" w:line="30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600" w:type="dxa"/>
        <w:tblCellMar>
          <w:top w:w="0" w:type="dxa"/>
          <w:left w:w="0" w:type="dxa"/>
          <w:bottom w:w="0" w:type="dxa"/>
          <w:right w:w="0" w:type="dxa"/>
        </w:tblCellMar>
      </w:tblPr>
      <w:tr>
        <w:trPr>
          <w:trHeight w:val="226"/>
        </w:trPr>
        <w:tc>
          <w:tcPr>
            <w:tcW w:w="198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860" w:type="dxa"/>
            <w:vAlign w:val="bottom"/>
          </w:tcPr>
          <w:p>
            <w:pPr>
              <w:ind w:left="380"/>
              <w:spacing w:after="0"/>
              <w:rPr>
                <w:sz w:val="20"/>
                <w:szCs w:val="20"/>
                <w:color w:val="auto"/>
              </w:rPr>
            </w:pPr>
            <w:r>
              <w:rPr>
                <w:rFonts w:ascii="Arial" w:cs="Arial" w:eastAsia="Arial" w:hAnsi="Arial"/>
                <w:sz w:val="14"/>
                <w:szCs w:val="14"/>
                <w:color w:val="auto"/>
              </w:rPr>
              <w:t>Accelerated filer o</w:t>
            </w:r>
          </w:p>
        </w:tc>
        <w:tc>
          <w:tcPr>
            <w:tcW w:w="3540" w:type="dxa"/>
            <w:vAlign w:val="bottom"/>
          </w:tcPr>
          <w:p>
            <w:pPr>
              <w:ind w:left="640"/>
              <w:spacing w:after="0"/>
              <w:rPr>
                <w:sz w:val="20"/>
                <w:szCs w:val="20"/>
                <w:color w:val="auto"/>
              </w:rPr>
            </w:pPr>
            <w:r>
              <w:rPr>
                <w:rFonts w:ascii="Arial" w:cs="Arial" w:eastAsia="Arial" w:hAnsi="Arial"/>
                <w:sz w:val="14"/>
                <w:szCs w:val="14"/>
                <w:color w:val="auto"/>
              </w:rPr>
              <w:t>Non-accelerated filer o</w:t>
            </w:r>
          </w:p>
        </w:tc>
      </w:tr>
      <w:tr>
        <w:trPr>
          <w:trHeight w:val="268"/>
        </w:trPr>
        <w:tc>
          <w:tcPr>
            <w:tcW w:w="1980" w:type="dxa"/>
            <w:vAlign w:val="bottom"/>
          </w:tcPr>
          <w:p>
            <w:pPr>
              <w:spacing w:after="0"/>
              <w:rPr>
                <w:sz w:val="23"/>
                <w:szCs w:val="23"/>
                <w:color w:val="auto"/>
              </w:rPr>
            </w:pPr>
          </w:p>
        </w:tc>
        <w:tc>
          <w:tcPr>
            <w:tcW w:w="2860" w:type="dxa"/>
            <w:vAlign w:val="bottom"/>
          </w:tcPr>
          <w:p>
            <w:pPr>
              <w:ind w:left="380"/>
              <w:spacing w:after="0"/>
              <w:rPr>
                <w:sz w:val="20"/>
                <w:szCs w:val="20"/>
                <w:color w:val="auto"/>
              </w:rPr>
            </w:pPr>
            <w:r>
              <w:rPr>
                <w:rFonts w:ascii="Arial" w:cs="Arial" w:eastAsia="Arial" w:hAnsi="Arial"/>
                <w:sz w:val="14"/>
                <w:szCs w:val="14"/>
                <w:color w:val="auto"/>
              </w:rPr>
              <w:t>Smaller reporting company o</w:t>
            </w:r>
          </w:p>
        </w:tc>
        <w:tc>
          <w:tcPr>
            <w:tcW w:w="3540" w:type="dxa"/>
            <w:vAlign w:val="bottom"/>
          </w:tcPr>
          <w:p>
            <w:pPr>
              <w:ind w:left="640"/>
              <w:spacing w:after="0"/>
              <w:rPr>
                <w:sz w:val="20"/>
                <w:szCs w:val="20"/>
                <w:color w:val="auto"/>
              </w:rPr>
            </w:pPr>
            <w:r>
              <w:rPr>
                <w:rFonts w:ascii="Arial" w:cs="Arial" w:eastAsia="Arial" w:hAnsi="Arial"/>
                <w:sz w:val="14"/>
                <w:szCs w:val="14"/>
                <w:color w:val="auto"/>
              </w:rPr>
              <w:t>(Do not check if a smaller reporting company)</w:t>
            </w:r>
          </w:p>
        </w:tc>
      </w:tr>
      <w:tr>
        <w:trPr>
          <w:trHeight w:val="270"/>
        </w:trPr>
        <w:tc>
          <w:tcPr>
            <w:tcW w:w="1980" w:type="dxa"/>
            <w:vAlign w:val="bottom"/>
          </w:tcPr>
          <w:p>
            <w:pPr>
              <w:spacing w:after="0"/>
              <w:rPr>
                <w:sz w:val="23"/>
                <w:szCs w:val="23"/>
                <w:color w:val="auto"/>
              </w:rPr>
            </w:pPr>
          </w:p>
        </w:tc>
        <w:tc>
          <w:tcPr>
            <w:tcW w:w="2860" w:type="dxa"/>
            <w:vAlign w:val="bottom"/>
          </w:tcPr>
          <w:p>
            <w:pPr>
              <w:ind w:left="380"/>
              <w:spacing w:after="0"/>
              <w:rPr>
                <w:sz w:val="20"/>
                <w:szCs w:val="20"/>
                <w:color w:val="auto"/>
              </w:rPr>
            </w:pPr>
            <w:r>
              <w:rPr>
                <w:rFonts w:ascii="Arial" w:cs="Arial" w:eastAsia="Arial" w:hAnsi="Arial"/>
                <w:sz w:val="14"/>
                <w:szCs w:val="14"/>
                <w:color w:val="auto"/>
              </w:rPr>
              <w:t>Emerging growth company o</w:t>
            </w:r>
          </w:p>
        </w:tc>
        <w:tc>
          <w:tcPr>
            <w:tcW w:w="3540" w:type="dxa"/>
            <w:vAlign w:val="bottom"/>
          </w:tcPr>
          <w:p>
            <w:pPr>
              <w:spacing w:after="0"/>
              <w:rPr>
                <w:sz w:val="23"/>
                <w:szCs w:val="23"/>
                <w:color w:val="auto"/>
              </w:rPr>
            </w:pPr>
          </w:p>
        </w:tc>
      </w:tr>
    </w:tbl>
    <w:p>
      <w:pPr>
        <w:spacing w:after="0" w:line="130" w:lineRule="exact"/>
        <w:rPr>
          <w:sz w:val="24"/>
          <w:szCs w:val="24"/>
          <w:color w:val="auto"/>
        </w:rPr>
      </w:pPr>
    </w:p>
    <w:p>
      <w:pPr>
        <w:ind w:right="260" w:firstLine="648"/>
        <w:spacing w:after="0" w:line="260"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9" w:lineRule="exact"/>
        <w:rPr>
          <w:sz w:val="24"/>
          <w:szCs w:val="24"/>
          <w:color w:val="auto"/>
        </w:rPr>
      </w:pPr>
    </w:p>
    <w:p>
      <w:pPr>
        <w:ind w:left="220"/>
        <w:spacing w:after="0" w:line="173" w:lineRule="exact"/>
        <w:tabs>
          <w:tab w:leader="none" w:pos="8080" w:val="left"/>
        </w:tabs>
        <w:rPr>
          <w:sz w:val="20"/>
          <w:szCs w:val="20"/>
          <w:color w:val="auto"/>
        </w:rPr>
      </w:pPr>
      <w:r>
        <w:rPr>
          <w:rFonts w:ascii="Arial" w:cs="Arial" w:eastAsia="Arial" w:hAnsi="Arial"/>
          <w:sz w:val="15"/>
          <w:szCs w:val="15"/>
          <w:color w:val="auto"/>
        </w:rPr>
        <w:t>Indicate by check mark whether the registrant is a shell company (as defined in Exchange Act Rule 12b-2).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5" w:lineRule="exact"/>
        <w:rPr>
          <w:sz w:val="24"/>
          <w:szCs w:val="24"/>
          <w:color w:val="auto"/>
        </w:rPr>
      </w:pPr>
    </w:p>
    <w:p>
      <w:pPr>
        <w:ind w:right="100" w:firstLine="648"/>
        <w:spacing w:after="0" w:line="252" w:lineRule="auto"/>
        <w:rPr>
          <w:sz w:val="20"/>
          <w:szCs w:val="20"/>
          <w:color w:val="auto"/>
        </w:rPr>
      </w:pPr>
      <w:r>
        <w:rPr>
          <w:rFonts w:ascii="Arial" w:cs="Arial" w:eastAsia="Arial" w:hAnsi="Arial"/>
          <w:sz w:val="15"/>
          <w:szCs w:val="15"/>
          <w:color w:val="auto"/>
        </w:rPr>
        <w:t>The aggregate market value of the ordinary shares held by non-affiliates of the registrant was approximately $3.21 billion on December 31, 2017 (the last business day of the registrant's most recently completed second fiscal quarter) based on the last reported sale price of the registrant's ordinary shares on the NASDAQ Global Select Market.</w:t>
      </w:r>
    </w:p>
    <w:p>
      <w:pPr>
        <w:spacing w:after="0" w:line="127" w:lineRule="exact"/>
        <w:rPr>
          <w:sz w:val="24"/>
          <w:szCs w:val="24"/>
          <w:color w:val="auto"/>
        </w:rPr>
      </w:pPr>
    </w:p>
    <w:p>
      <w:pPr>
        <w:ind w:left="660"/>
        <w:spacing w:after="0"/>
        <w:rPr>
          <w:sz w:val="20"/>
          <w:szCs w:val="20"/>
          <w:color w:val="auto"/>
        </w:rPr>
      </w:pPr>
      <w:r>
        <w:rPr>
          <w:rFonts w:ascii="Arial" w:cs="Arial" w:eastAsia="Arial" w:hAnsi="Arial"/>
          <w:sz w:val="15"/>
          <w:szCs w:val="15"/>
          <w:color w:val="auto"/>
        </w:rPr>
        <w:t xml:space="preserve">As of August 6, 2018, there were 30,885,642 Cimpress N.V. ordinary shares, par value </w:t>
      </w:r>
      <w:r>
        <w:rPr>
          <w:rFonts w:ascii="Arial" w:cs="Arial" w:eastAsia="Arial" w:hAnsi="Arial"/>
          <w:sz w:val="15"/>
          <w:szCs w:val="15"/>
          <w:b w:val="1"/>
          <w:bCs w:val="1"/>
          <w:color w:val="auto"/>
        </w:rPr>
        <w:t>€</w:t>
      </w:r>
      <w:r>
        <w:rPr>
          <w:rFonts w:ascii="Arial" w:cs="Arial" w:eastAsia="Arial" w:hAnsi="Arial"/>
          <w:sz w:val="15"/>
          <w:szCs w:val="15"/>
          <w:color w:val="auto"/>
        </w:rPr>
        <w:t>0.01 per share, outstanding.</w:t>
      </w:r>
    </w:p>
    <w:p>
      <w:pPr>
        <w:spacing w:after="0" w:line="165"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5"/>
          <w:szCs w:val="15"/>
          <w:color w:val="auto"/>
        </w:rPr>
        <w:t>The registrant intends to file a definitive proxy statement pursuant to Regulation 14A within 120 days of the end of the fiscal year ended June 30, 2018.</w:t>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Portions of such proxy statement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175895</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90170</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ectPr>
          <w:pgSz w:w="11900" w:h="16838" w:orient="portrait"/>
          <w:cols w:equalWidth="0" w:num="1">
            <w:col w:w="11400"/>
          </w:cols>
          <w:pgMar w:left="240" w:top="491"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6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CIMPRESS N.V.</w:t>
            </w:r>
          </w:p>
        </w:tc>
        <w:tc>
          <w:tcPr>
            <w:tcW w:w="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ANNUAL REPORT ON FORM 10-K</w:t>
            </w:r>
          </w:p>
        </w:tc>
        <w:tc>
          <w:tcPr>
            <w:tcW w:w="680" w:type="dxa"/>
            <w:vAlign w:val="bottom"/>
          </w:tcPr>
          <w:p>
            <w:pPr>
              <w:spacing w:after="0"/>
              <w:rPr>
                <w:sz w:val="18"/>
                <w:szCs w:val="18"/>
                <w:color w:val="auto"/>
              </w:rPr>
            </w:pPr>
          </w:p>
        </w:tc>
      </w:tr>
      <w:tr>
        <w:trPr>
          <w:trHeight w:val="239"/>
        </w:trPr>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For the Fiscal Year Ended June 30, 2018</w:t>
            </w:r>
          </w:p>
        </w:tc>
        <w:tc>
          <w:tcPr>
            <w:tcW w:w="68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6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r>
      <w:tr>
        <w:trPr>
          <w:trHeight w:val="399"/>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r>
      <w:tr>
        <w:trPr>
          <w:trHeight w:val="203"/>
        </w:trPr>
        <w:tc>
          <w:tcPr>
            <w:tcW w:w="620" w:type="dxa"/>
            <w:vAlign w:val="bottom"/>
            <w:tcBorders>
              <w:bottom w:val="single" w:sz="8" w:color="auto"/>
            </w:tcBorders>
            <w:gridSpan w:val="3"/>
          </w:tcPr>
          <w:p>
            <w:pPr>
              <w:spacing w:after="0" w:line="202" w:lineRule="exact"/>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PART I</w:t>
              </w:r>
            </w:hyperlink>
          </w:p>
        </w:tc>
        <w:tc>
          <w:tcPr>
            <w:tcW w:w="32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91"/>
        </w:trPr>
        <w:tc>
          <w:tcPr>
            <w:tcW w:w="940" w:type="dxa"/>
            <w:vAlign w:val="bottom"/>
            <w:gridSpan w:val="4"/>
          </w:tcPr>
          <w:p>
            <w:pPr>
              <w:spacing w:after="0"/>
              <w:rPr>
                <w:sz w:val="20"/>
                <w:szCs w:val="20"/>
                <w:color w:val="auto"/>
              </w:rPr>
            </w:pPr>
            <w:r>
              <w:rPr>
                <w:rFonts w:ascii="Arial" w:cs="Arial" w:eastAsia="Arial" w:hAnsi="Arial"/>
                <w:sz w:val="18"/>
                <w:szCs w:val="18"/>
                <w:color w:val="auto"/>
              </w:rPr>
              <w:t>Item 1.</w:t>
            </w:r>
          </w:p>
        </w:tc>
        <w:tc>
          <w:tcPr>
            <w:tcW w:w="9760" w:type="dxa"/>
            <w:vAlign w:val="bottom"/>
          </w:tcPr>
          <w:p>
            <w:pPr>
              <w:ind w:left="100"/>
              <w:spacing w:after="0"/>
              <w:rPr>
                <w:sz w:val="20"/>
                <w:szCs w:val="20"/>
                <w:color w:val="auto"/>
              </w:rPr>
            </w:pPr>
            <w:r>
              <w:rPr>
                <w:rFonts w:ascii="Arial" w:cs="Arial" w:eastAsia="Arial" w:hAnsi="Arial"/>
                <w:sz w:val="18"/>
                <w:szCs w:val="18"/>
                <w:color w:val="auto"/>
              </w:rPr>
              <w:t>Business</w:t>
            </w: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76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68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9</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9760" w:type="dxa"/>
            <w:vAlign w:val="bottom"/>
          </w:tcPr>
          <w:p>
            <w:pPr>
              <w:ind w:left="100"/>
              <w:spacing w:after="0"/>
              <w:rPr>
                <w:sz w:val="20"/>
                <w:szCs w:val="20"/>
                <w:color w:val="auto"/>
              </w:rPr>
            </w:pPr>
            <w:r>
              <w:rPr>
                <w:rFonts w:ascii="Arial" w:cs="Arial" w:eastAsia="Arial" w:hAnsi="Arial"/>
                <w:sz w:val="18"/>
                <w:szCs w:val="18"/>
                <w:color w:val="auto"/>
              </w:rPr>
              <w:t>Unresolved Staff Comments</w:t>
            </w:r>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760" w:type="dxa"/>
            <w:vAlign w:val="bottom"/>
          </w:tcPr>
          <w:p>
            <w:pPr>
              <w:ind w:left="100"/>
              <w:spacing w:after="0"/>
              <w:rPr>
                <w:sz w:val="20"/>
                <w:szCs w:val="20"/>
                <w:color w:val="auto"/>
              </w:rPr>
            </w:pPr>
            <w:r>
              <w:rPr>
                <w:rFonts w:ascii="Arial" w:cs="Arial" w:eastAsia="Arial" w:hAnsi="Arial"/>
                <w:sz w:val="18"/>
                <w:szCs w:val="18"/>
                <w:color w:val="auto"/>
              </w:rPr>
              <w:t>Properties</w:t>
            </w:r>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3.</w:t>
            </w:r>
          </w:p>
        </w:tc>
        <w:tc>
          <w:tcPr>
            <w:tcW w:w="976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760" w:type="dxa"/>
            <w:vAlign w:val="bottom"/>
          </w:tcPr>
          <w:p>
            <w:pPr>
              <w:ind w:left="100"/>
              <w:spacing w:after="0"/>
              <w:rPr>
                <w:sz w:val="20"/>
                <w:szCs w:val="20"/>
                <w:color w:val="auto"/>
              </w:rPr>
            </w:pPr>
            <w:r>
              <w:rPr>
                <w:rFonts w:ascii="Arial" w:cs="Arial" w:eastAsia="Arial" w:hAnsi="Arial"/>
                <w:sz w:val="18"/>
                <w:szCs w:val="18"/>
                <w:color w:val="auto"/>
              </w:rPr>
              <w:t>Mine Safety Disclosure</w:t>
            </w: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r>
      <w:tr>
        <w:trPr>
          <w:trHeight w:val="540"/>
        </w:trPr>
        <w:tc>
          <w:tcPr>
            <w:tcW w:w="940" w:type="dxa"/>
            <w:vAlign w:val="bottom"/>
            <w:gridSpan w:val="4"/>
          </w:tcPr>
          <w:p>
            <w:pPr>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 xml:space="preserve">PART </w:t>
              </w:r>
            </w:hyperlink>
            <w:r>
              <w:rPr>
                <w:rFonts w:ascii="Arial" w:cs="Arial" w:eastAsia="Arial" w:hAnsi="Arial"/>
                <w:sz w:val="18"/>
                <w:szCs w:val="18"/>
                <w:b w:val="1"/>
                <w:bCs w:val="1"/>
                <w:color w:val="auto"/>
              </w:rPr>
              <w:t>II</w:t>
            </w:r>
          </w:p>
        </w:tc>
        <w:tc>
          <w:tcPr>
            <w:tcW w:w="9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1"/>
        </w:trPr>
        <w:tc>
          <w:tcPr>
            <w:tcW w:w="6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Item 5.</w:t>
            </w:r>
          </w:p>
        </w:tc>
        <w:tc>
          <w:tcPr>
            <w:tcW w:w="320" w:type="dxa"/>
            <w:vAlign w:val="bottom"/>
          </w:tcPr>
          <w:p>
            <w:pPr>
              <w:spacing w:after="0"/>
              <w:rPr>
                <w:sz w:val="24"/>
                <w:szCs w:val="24"/>
                <w:color w:val="auto"/>
              </w:rPr>
            </w:pPr>
          </w:p>
        </w:tc>
        <w:tc>
          <w:tcPr>
            <w:tcW w:w="9760" w:type="dxa"/>
            <w:vAlign w:val="bottom"/>
          </w:tcPr>
          <w:p>
            <w:pPr>
              <w:ind w:left="100"/>
              <w:spacing w:after="0"/>
              <w:rPr>
                <w:sz w:val="20"/>
                <w:szCs w:val="20"/>
                <w:color w:val="auto"/>
              </w:rPr>
            </w:pPr>
            <w:r>
              <w:rPr>
                <w:rFonts w:ascii="Arial" w:cs="Arial" w:eastAsia="Arial" w:hAnsi="Arial"/>
                <w:sz w:val="18"/>
                <w:szCs w:val="18"/>
                <w:color w:val="auto"/>
              </w:rPr>
              <w:t>Market for Registrant's Common Equity, Related Stockholder Matters and Issued Purchases of Equity Securities</w:t>
            </w: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6.</w:t>
            </w:r>
          </w:p>
        </w:tc>
        <w:tc>
          <w:tcPr>
            <w:tcW w:w="9760" w:type="dxa"/>
            <w:vAlign w:val="bottom"/>
          </w:tcPr>
          <w:p>
            <w:pPr>
              <w:ind w:left="100"/>
              <w:spacing w:after="0"/>
              <w:rPr>
                <w:sz w:val="20"/>
                <w:szCs w:val="20"/>
                <w:color w:val="auto"/>
              </w:rPr>
            </w:pPr>
            <w:r>
              <w:rPr>
                <w:rFonts w:ascii="Arial" w:cs="Arial" w:eastAsia="Arial" w:hAnsi="Arial"/>
                <w:sz w:val="18"/>
                <w:szCs w:val="18"/>
                <w:color w:val="auto"/>
              </w:rPr>
              <w:t>Selected Financial Data</w:t>
            </w:r>
          </w:p>
        </w:tc>
        <w:tc>
          <w:tcPr>
            <w:tcW w:w="6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7.</w:t>
            </w:r>
          </w:p>
        </w:tc>
        <w:tc>
          <w:tcPr>
            <w:tcW w:w="976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976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8.</w:t>
            </w:r>
          </w:p>
        </w:tc>
        <w:tc>
          <w:tcPr>
            <w:tcW w:w="9760" w:type="dxa"/>
            <w:vAlign w:val="bottom"/>
          </w:tcPr>
          <w:p>
            <w:pPr>
              <w:ind w:left="100"/>
              <w:spacing w:after="0"/>
              <w:rPr>
                <w:sz w:val="20"/>
                <w:szCs w:val="20"/>
                <w:color w:val="auto"/>
              </w:rPr>
            </w:pPr>
            <w:r>
              <w:rPr>
                <w:rFonts w:ascii="Arial" w:cs="Arial" w:eastAsia="Arial" w:hAnsi="Arial"/>
                <w:sz w:val="18"/>
                <w:szCs w:val="18"/>
                <w:color w:val="auto"/>
              </w:rPr>
              <w:t>Financial Statements and Supplementary Data</w:t>
            </w:r>
          </w:p>
        </w:tc>
        <w:tc>
          <w:tcPr>
            <w:tcW w:w="68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51</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9.</w:t>
            </w:r>
          </w:p>
        </w:tc>
        <w:tc>
          <w:tcPr>
            <w:tcW w:w="9760" w:type="dxa"/>
            <w:vAlign w:val="bottom"/>
          </w:tcPr>
          <w:p>
            <w:pPr>
              <w:ind w:left="100"/>
              <w:spacing w:after="0"/>
              <w:rPr>
                <w:sz w:val="20"/>
                <w:szCs w:val="20"/>
                <w:color w:val="auto"/>
              </w:rPr>
            </w:pPr>
            <w:r>
              <w:rPr>
                <w:rFonts w:ascii="Arial" w:cs="Arial" w:eastAsia="Arial" w:hAnsi="Arial"/>
                <w:sz w:val="18"/>
                <w:szCs w:val="18"/>
                <w:color w:val="auto"/>
              </w:rPr>
              <w:t>Changes in and Disagreements with Accountants and Financial Disclosures</w:t>
            </w:r>
          </w:p>
        </w:tc>
        <w:tc>
          <w:tcPr>
            <w:tcW w:w="68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105</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976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68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106</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976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68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107</w:t>
              </w:r>
            </w:hyperlink>
          </w:p>
        </w:tc>
      </w:tr>
      <w:tr>
        <w:trPr>
          <w:trHeight w:val="540"/>
        </w:trPr>
        <w:tc>
          <w:tcPr>
            <w:tcW w:w="940" w:type="dxa"/>
            <w:vAlign w:val="bottom"/>
            <w:gridSpan w:val="4"/>
          </w:tcPr>
          <w:p>
            <w:pPr>
              <w:spacing w:after="0"/>
              <w:rPr>
                <w:sz w:val="20"/>
                <w:szCs w:val="20"/>
                <w:color w:val="auto"/>
              </w:rPr>
            </w:pPr>
            <w:r>
              <w:rPr>
                <w:rFonts w:ascii="Arial" w:cs="Arial" w:eastAsia="Arial" w:hAnsi="Arial"/>
                <w:sz w:val="18"/>
                <w:szCs w:val="18"/>
                <w:b w:val="1"/>
                <w:bCs w:val="1"/>
                <w:color w:val="auto"/>
              </w:rPr>
              <w:t>Part III</w:t>
            </w:r>
          </w:p>
        </w:tc>
        <w:tc>
          <w:tcPr>
            <w:tcW w:w="9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1"/>
        </w:trPr>
        <w:tc>
          <w:tcPr>
            <w:tcW w:w="94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9760" w:type="dxa"/>
            <w:vAlign w:val="bottom"/>
          </w:tcPr>
          <w:p>
            <w:pPr>
              <w:ind w:left="100"/>
              <w:spacing w:after="0"/>
              <w:rPr>
                <w:sz w:val="20"/>
                <w:szCs w:val="20"/>
                <w:color w:val="auto"/>
              </w:rPr>
            </w:pPr>
            <w:r>
              <w:rPr>
                <w:rFonts w:ascii="Arial" w:cs="Arial" w:eastAsia="Arial" w:hAnsi="Arial"/>
                <w:sz w:val="18"/>
                <w:szCs w:val="18"/>
                <w:color w:val="auto"/>
              </w:rPr>
              <w:t>Directors, Executive Officers and Corporate Governance</w:t>
            </w:r>
          </w:p>
        </w:tc>
        <w:tc>
          <w:tcPr>
            <w:tcW w:w="68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107</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9760" w:type="dxa"/>
            <w:vAlign w:val="bottom"/>
          </w:tcPr>
          <w:p>
            <w:pPr>
              <w:ind w:left="100"/>
              <w:spacing w:after="0"/>
              <w:rPr>
                <w:sz w:val="20"/>
                <w:szCs w:val="20"/>
                <w:color w:val="auto"/>
              </w:rPr>
            </w:pPr>
            <w:r>
              <w:rPr>
                <w:rFonts w:ascii="Arial" w:cs="Arial" w:eastAsia="Arial" w:hAnsi="Arial"/>
                <w:sz w:val="18"/>
                <w:szCs w:val="18"/>
                <w:color w:val="auto"/>
              </w:rPr>
              <w:t>Executive Compensation</w:t>
            </w:r>
          </w:p>
        </w:tc>
        <w:tc>
          <w:tcPr>
            <w:tcW w:w="68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107</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9760" w:type="dxa"/>
            <w:vAlign w:val="bottom"/>
          </w:tcPr>
          <w:p>
            <w:pPr>
              <w:ind w:left="1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68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107</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9760" w:type="dxa"/>
            <w:vAlign w:val="bottom"/>
          </w:tcPr>
          <w:p>
            <w:pPr>
              <w:ind w:left="1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68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107</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9760" w:type="dxa"/>
            <w:vAlign w:val="bottom"/>
          </w:tcPr>
          <w:p>
            <w:pPr>
              <w:ind w:left="100"/>
              <w:spacing w:after="0"/>
              <w:rPr>
                <w:sz w:val="20"/>
                <w:szCs w:val="20"/>
                <w:color w:val="auto"/>
              </w:rPr>
            </w:pPr>
            <w:r>
              <w:rPr>
                <w:rFonts w:ascii="Arial" w:cs="Arial" w:eastAsia="Arial" w:hAnsi="Arial"/>
                <w:sz w:val="18"/>
                <w:szCs w:val="18"/>
                <w:color w:val="auto"/>
              </w:rPr>
              <w:t>Principal Accountant Fees and Services</w:t>
            </w:r>
          </w:p>
        </w:tc>
        <w:tc>
          <w:tcPr>
            <w:tcW w:w="68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107</w:t>
              </w:r>
            </w:hyperlink>
          </w:p>
        </w:tc>
      </w:tr>
      <w:tr>
        <w:trPr>
          <w:trHeight w:val="540"/>
        </w:trPr>
        <w:tc>
          <w:tcPr>
            <w:tcW w:w="940" w:type="dxa"/>
            <w:vAlign w:val="bottom"/>
            <w:gridSpan w:val="4"/>
          </w:tcPr>
          <w:p>
            <w:pPr>
              <w:spacing w:after="0"/>
              <w:rPr>
                <w:sz w:val="20"/>
                <w:szCs w:val="20"/>
                <w:color w:val="auto"/>
              </w:rPr>
            </w:pPr>
            <w:r>
              <w:rPr>
                <w:rFonts w:ascii="Arial" w:cs="Arial" w:eastAsia="Arial" w:hAnsi="Arial"/>
                <w:sz w:val="18"/>
                <w:szCs w:val="18"/>
                <w:b w:val="1"/>
                <w:bCs w:val="1"/>
                <w:color w:val="auto"/>
              </w:rPr>
              <w:t>Part IV</w:t>
            </w:r>
          </w:p>
        </w:tc>
        <w:tc>
          <w:tcPr>
            <w:tcW w:w="9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56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1"/>
        </w:trPr>
        <w:tc>
          <w:tcPr>
            <w:tcW w:w="940" w:type="dxa"/>
            <w:vAlign w:val="bottom"/>
            <w:gridSpan w:val="4"/>
          </w:tcPr>
          <w:p>
            <w:pPr>
              <w:spacing w:after="0"/>
              <w:rPr>
                <w:sz w:val="20"/>
                <w:szCs w:val="20"/>
                <w:color w:val="auto"/>
              </w:rPr>
            </w:pPr>
            <w:r>
              <w:rPr>
                <w:rFonts w:ascii="Arial" w:cs="Arial" w:eastAsia="Arial" w:hAnsi="Arial"/>
                <w:sz w:val="18"/>
                <w:szCs w:val="18"/>
                <w:color w:val="auto"/>
              </w:rPr>
              <w:t>Item 15.</w:t>
            </w:r>
          </w:p>
        </w:tc>
        <w:tc>
          <w:tcPr>
            <w:tcW w:w="9760" w:type="dxa"/>
            <w:vAlign w:val="bottom"/>
          </w:tcPr>
          <w:p>
            <w:pPr>
              <w:ind w:left="100"/>
              <w:spacing w:after="0"/>
              <w:rPr>
                <w:sz w:val="20"/>
                <w:szCs w:val="20"/>
                <w:color w:val="auto"/>
              </w:rPr>
            </w:pPr>
            <w:r>
              <w:rPr>
                <w:rFonts w:ascii="Arial" w:cs="Arial" w:eastAsia="Arial" w:hAnsi="Arial"/>
                <w:sz w:val="18"/>
                <w:szCs w:val="18"/>
                <w:color w:val="auto"/>
              </w:rPr>
              <w:t>Exhibits and Financial Statement Schedules</w:t>
            </w:r>
          </w:p>
        </w:tc>
        <w:tc>
          <w:tcPr>
            <w:tcW w:w="68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108</w:t>
              </w:r>
            </w:hyperlink>
          </w:p>
        </w:tc>
      </w:tr>
      <w:tr>
        <w:trPr>
          <w:trHeight w:val="257"/>
        </w:trPr>
        <w:tc>
          <w:tcPr>
            <w:tcW w:w="940" w:type="dxa"/>
            <w:vAlign w:val="bottom"/>
            <w:gridSpan w:val="4"/>
          </w:tcPr>
          <w:p>
            <w:pPr>
              <w:spacing w:after="0"/>
              <w:rPr>
                <w:sz w:val="20"/>
                <w:szCs w:val="20"/>
                <w:color w:val="auto"/>
              </w:rPr>
            </w:pPr>
            <w:r>
              <w:rPr>
                <w:rFonts w:ascii="Arial" w:cs="Arial" w:eastAsia="Arial" w:hAnsi="Arial"/>
                <w:sz w:val="18"/>
                <w:szCs w:val="18"/>
                <w:color w:val="auto"/>
              </w:rPr>
              <w:t>Signatures</w:t>
            </w:r>
          </w:p>
        </w:tc>
        <w:tc>
          <w:tcPr>
            <w:tcW w:w="9760" w:type="dxa"/>
            <w:vAlign w:val="bottom"/>
          </w:tcPr>
          <w:p>
            <w:pPr>
              <w:spacing w:after="0"/>
              <w:rPr>
                <w:sz w:val="22"/>
                <w:szCs w:val="22"/>
                <w:color w:val="auto"/>
              </w:rPr>
            </w:pPr>
          </w:p>
        </w:tc>
        <w:tc>
          <w:tcPr>
            <w:tcW w:w="68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111</w:t>
              </w:r>
            </w:hyperlink>
          </w:p>
        </w:tc>
      </w:tr>
    </w:tbl>
    <w:p>
      <w:pPr>
        <w:sectPr>
          <w:pgSz w:w="11900" w:h="16838" w:orient="portrait"/>
          <w:cols w:equalWidth="0" w:num="1">
            <w:col w:w="11380"/>
          </w:cols>
          <w:pgMar w:left="280" w:top="549"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&amp; Strategy</w:t>
      </w:r>
    </w:p>
    <w:p>
      <w:pPr>
        <w:spacing w:after="0" w:line="20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Cimpress is a strategically-focused group of more than a dozen businesses that specialize in mass customization, via which we deliver large volumes of individually small-sized customized orders for a broad spectrum of print, signage, photo merchandise, invitations and announcements, packaging, apparel and other categories. Mass customization is a core element of the business model of each Cimpress business. Stan Davis, in his 1987 strategy manifesto “Future Perfect” coined the term mass customization to describe “generating an infinite variety of goods and services, uniquely tailored to customers”. In 2001, Tseng &amp; Jiao defined mass customization as “producing goods and services to meet individual customers’ needs with near mass production efficiency”. We discuss mass customization in more detail further below.</w:t>
      </w:r>
    </w:p>
    <w:p>
      <w:pPr>
        <w:spacing w:after="0" w:line="16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have grown substantially over the past decade, from $0.4 billion in fiscal year 2008 revenue to $2.6 billion in fiscal year 2018 revenue, and as we have grown we have achieved important benefits of scale. However, we also believe it is critical for us to “stay small as we get big”. By this we mean that we need to serve customers, act and compete with focus, nimbleness and speed that is typical of smaller, entrepreneurial firms but often not typical of larger firms. This is because we face intense competition across all our businesses and we must constantly and rapidly improve the value we deliver to customers. To stay small as we get big, our strategy calls for us to pursue a deeply decentralized organizational structure which delegates responsibility, authority and resources to the CEOs and managing directors of our various businesses.</w:t>
      </w:r>
    </w:p>
    <w:p>
      <w:pPr>
        <w:spacing w:after="0" w:line="167"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Specifically, our strategy is to invest in and build customer-focused, entrepreneurial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6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This decentralized structure is beneficial in many ways. We believe that, in comparison to a more centralized structure, decentralization enables our businesses to be more customer focused, to make better decisions faster, to manage a holistic cross-functional value chain required to serve customers well, to be more agile, to be held more accountable for driving investment returns, and to understand where we are successful and where we are not. In addition to these operational benefits, our decentralization has also enabled us to take significant complexity and cost out of our business in comparison to our previous centralized structure.</w:t>
      </w:r>
    </w:p>
    <w:p>
      <w:pPr>
        <w:spacing w:after="0" w:line="16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select few shared strategic capabilities into which we invest include our (1) mass customization platform, (2) talent infrastructure in India, (3) central procurement of large-scale capital equipment, shipping services and major categories of our raw materials, and (4) peer-to-peer knowledge sharing between our businesses. We encourage each of our businesses to leverage these capabilities, but each business is free to choose whether or not to use these services. This optionality, we believe, creates healthy pressure on the central teams who provide such services to deliver compelling value to our businesses.</w:t>
      </w:r>
    </w:p>
    <w:p>
      <w:pPr>
        <w:spacing w:after="0" w:line="16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limit all other central activities to only those which must be performed centrally. Out of more than12,000 employees we have fewer than 80 that work in central activities that fall into this category, which includes tax, treasury, audit, general counsel, corporate communications, compliance, information security, investor relations, capital allocation and the functions of our CEO and CFO. We seek to avoid bureaucratic behavior in the corporate center.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Uppermost Financial Objective</w:t>
      </w:r>
    </w:p>
    <w:p>
      <w:pPr>
        <w:spacing w:after="0" w:line="24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Our uppermost financial objective is to maximize our intrinsic value per share. We define intrinsic value per share as (a) the unlevered free cash flow per share that, in our best judgment, will occur between now and the long-term future, appropriately discounted to reflect our cost of capital, minus (b) net debt per share. We define unlevered free cash flow as free cash flow plus interest expense related to borrowings.</w:t>
      </w:r>
    </w:p>
    <w:p>
      <w:pPr>
        <w:spacing w:after="0" w:line="202"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This financial objective is inherently long-term in nature. Thus an explicit outcome of this is that we accept fluctuations in our financial metrics as we make investments that we believe will deliver attractive long-term returns on investment.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3" w:name="page4"/>
    <w:bookmarkEnd w:id="3"/>
    <w:p>
      <w:pPr>
        <w:ind w:right="180" w:firstLine="648"/>
        <w:spacing w:after="0" w:line="254" w:lineRule="auto"/>
        <w:rPr>
          <w:sz w:val="20"/>
          <w:szCs w:val="20"/>
          <w:color w:val="auto"/>
        </w:rPr>
      </w:pPr>
      <w:r>
        <w:rPr>
          <w:rFonts w:ascii="Arial" w:cs="Arial" w:eastAsia="Arial" w:hAnsi="Arial"/>
          <w:sz w:val="18"/>
          <w:szCs w:val="18"/>
          <w:color w:val="auto"/>
        </w:rPr>
        <w:t>We ask investors and potential investors in Cimpress to understand our uppermost financial objective by which we endeavor to make all financially evaluated decisions. We often make decisions in service of this priority that could be considered non-optimal were they to be evaluated based on other financial criteria such as (but not limited to) near- and mid-term operating income, net income, EPS, Adjusted Net Operating Profit (Adjusted NOP), Adjusted EBITDA, and cash flow.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 Customization</w:t>
      </w:r>
    </w:p>
    <w:p>
      <w:pPr>
        <w:spacing w:after="0" w:line="22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Mass customization is a business model that allows companies to deliver major improvements to customer value across a wide variety of customized product categories. Companies that master mass customization can automatically direct high volumes of orders into smaller streams of homogeneous orders that are then sent to specialized production lines. If done with structured data flows and the digitization of the configuration and manufacturing processes, setup costs become very small, and small volume orders become economically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95885</wp:posOffset>
            </wp:positionV>
            <wp:extent cx="2821305" cy="2229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2229485"/>
                    </a:xfrm>
                    <a:prstGeom prst="rect">
                      <a:avLst/>
                    </a:prstGeom>
                    <a:noFill/>
                  </pic:spPr>
                </pic:pic>
              </a:graphicData>
            </a:graphic>
          </wp:anchor>
        </w:drawing>
      </w:r>
    </w:p>
    <w:p>
      <w:pPr>
        <w:spacing w:after="0" w:line="157" w:lineRule="exact"/>
        <w:rPr>
          <w:sz w:val="20"/>
          <w:szCs w:val="20"/>
          <w:color w:val="auto"/>
        </w:rPr>
      </w:pPr>
    </w:p>
    <w:p>
      <w:pPr>
        <w:ind w:left="5860" w:right="100" w:firstLine="497"/>
        <w:spacing w:after="0" w:line="236" w:lineRule="auto"/>
        <w:rPr>
          <w:sz w:val="20"/>
          <w:szCs w:val="20"/>
          <w:color w:val="auto"/>
        </w:rPr>
      </w:pPr>
      <w:r>
        <w:rPr>
          <w:rFonts w:ascii="Arial" w:cs="Arial" w:eastAsia="Arial" w:hAnsi="Arial"/>
          <w:sz w:val="18"/>
          <w:szCs w:val="18"/>
          <w:color w:val="auto"/>
        </w:rPr>
        <w:t>The chart illustrates this concept. The horizontal axis represents the volume of production of a given product; the vertical axis represents the cost of producing one unit of that product. Traditionally, the only way to manufacture at a low unit cost was to produce a large volume of that product: mass-produced products fall in the lower right hand corner of the chart. Custom-made products (i.e., those produced in small volumes for a very specific purpose) historically incurred very high unit costs: they fall in the upper left-hand side of the chart.</w:t>
      </w:r>
    </w:p>
    <w:p>
      <w:pPr>
        <w:spacing w:after="0" w:line="194" w:lineRule="exact"/>
        <w:rPr>
          <w:sz w:val="20"/>
          <w:szCs w:val="20"/>
          <w:color w:val="auto"/>
        </w:rPr>
      </w:pPr>
    </w:p>
    <w:p>
      <w:pPr>
        <w:ind w:left="5860" w:right="80"/>
        <w:spacing w:after="0" w:line="237" w:lineRule="auto"/>
        <w:rPr>
          <w:sz w:val="20"/>
          <w:szCs w:val="20"/>
          <w:color w:val="auto"/>
        </w:rPr>
      </w:pPr>
      <w:r>
        <w:rPr>
          <w:rFonts w:ascii="Arial" w:cs="Arial" w:eastAsia="Arial" w:hAnsi="Arial"/>
          <w:sz w:val="18"/>
          <w:szCs w:val="18"/>
          <w:color w:val="auto"/>
        </w:rPr>
        <w:t>Mass customization breaks this trade off, enabling low-volume, low-cost production of individually unique products. Very importantly, relative to traditional alternatives mass customization creates value in many ways, not just lower cost. Other advantages can include faster production, greater personal relevance, elimination of obsolete stock, better design, flexible shipping options, more product choice, and higher quality.</w:t>
      </w:r>
    </w:p>
    <w:p>
      <w:pPr>
        <w:spacing w:after="0" w:line="27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Mass customization delivers a breakthrough in customer value particularly well in markets in which the worth of a physical product is inherently tied to a specific, unique use or application. For instance, there is limited value to a sign that is the same as is used by many other companies: the business owner needs to describe what is unique about his or her business. Likewise, a photo mug is more personally relevant if it shows pictures of someone’s own friends and family. Before mass customization, producing a high quality custom product required high per-order setup costs, so it simply was not economical to produce a customized product in low quantities.</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believe that the business cards sold by our Vistaprint business provide a concrete example of the potential of our mass customization business model to deliver significant customer value and to develop strong profit franchises in large markets that were previously low growth and commoditized. Millions of very small customers (for example, home-based businesses) rely on Vistaprint to design and procure aesthetically pleasing, high-quality, quickly-delivered and low-priced business cards. The Vistaprint production operations for a typical order of 250 standard business cards in Europe and North America require less than 14 seconds of labor for all of pre-press, printing, cutting and packaging, versus an hour or more for traditional printers. Combined with advantages of scale in graphic design support services, purchasing of materials, our self-service online ordering, pre-press automation, auto-scheduling and automated manufacturing processes, we allow customers to design, configure, and procure business cards at a fraction of the cost of typical traditional printers with very consistent quality and delivery reliability. Customers have very extensive, easily configurable, customization options such as rounded corners, different shapes, specialty papers, “spot varnish”, reflective foil, folded cards, or different paper thicknesses. Achieving this type of product variety while also being very cost efficient took us almost two decades and requires massive volume, significant engineering investments and significant capital. Business cards is a mature market that, at the overall market level, has experienced continual declines over the past two decades. Yet, for Vistaprint, this remains a growing category and is highly profitable, thus provides an example of the power of mass customization. Even though we do not expect many other products to reach this extreme level of automation,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14" w:right="259" w:bottom="1440" w:gutter="0" w:footer="0" w:header="0"/>
        </w:sectPr>
      </w:pPr>
    </w:p>
    <w:bookmarkStart w:id="4" w:name="page5"/>
    <w:bookmarkEnd w:id="4"/>
    <w:p>
      <w:pPr>
        <w:ind w:right="40"/>
        <w:spacing w:after="0" w:line="254" w:lineRule="auto"/>
        <w:rPr>
          <w:sz w:val="20"/>
          <w:szCs w:val="20"/>
          <w:color w:val="auto"/>
        </w:rPr>
      </w:pPr>
      <w:r>
        <w:rPr>
          <w:rFonts w:ascii="Arial" w:cs="Arial" w:eastAsia="Arial" w:hAnsi="Arial"/>
          <w:sz w:val="18"/>
          <w:szCs w:val="18"/>
          <w:color w:val="auto"/>
        </w:rPr>
        <w:t>we do currently produce many other product categories (such as flyers, brochures, signage, mugs, calendars, pens, t-shirts, hats, embroidered soft goods, rubber stamps, photobooks, labels and holiday cards) via analogous methods whose volume and processes are well along the spectrum of mass customization relative to traditional suppliers and thus provide great customer value and a strong, profitable and growing revenue stream.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Background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 Customization Opportunity</w:t>
      </w:r>
    </w:p>
    <w:p>
      <w:pPr>
        <w:spacing w:after="0" w:line="203" w:lineRule="exact"/>
        <w:rPr>
          <w:sz w:val="20"/>
          <w:szCs w:val="20"/>
          <w:color w:val="auto"/>
        </w:rPr>
      </w:pPr>
    </w:p>
    <w:p>
      <w:pPr>
        <w:ind w:right="540" w:firstLine="648"/>
        <w:spacing w:after="0" w:line="262" w:lineRule="auto"/>
        <w:rPr>
          <w:sz w:val="20"/>
          <w:szCs w:val="20"/>
          <w:color w:val="auto"/>
        </w:rPr>
      </w:pPr>
      <w:r>
        <w:rPr>
          <w:rFonts w:ascii="Arial" w:cs="Arial" w:eastAsia="Arial" w:hAnsi="Arial"/>
          <w:sz w:val="18"/>
          <w:szCs w:val="18"/>
          <w:color w:val="auto"/>
        </w:rPr>
        <w:t>Mass customization is not a market itself, but rather a competitive strategy that can be applied across many markets such as the following:</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140" w:type="dxa"/>
            <w:vAlign w:val="bottom"/>
          </w:tcPr>
          <w:p>
            <w:pPr>
              <w:spacing w:after="0"/>
              <w:rPr>
                <w:sz w:val="20"/>
                <w:szCs w:val="20"/>
                <w:color w:val="auto"/>
              </w:rPr>
            </w:pPr>
            <w:r>
              <w:rPr>
                <w:rFonts w:ascii="Arial" w:cs="Arial" w:eastAsia="Arial" w:hAnsi="Arial"/>
                <w:sz w:val="16"/>
                <w:szCs w:val="16"/>
                <w:b w:val="1"/>
                <w:bCs w:val="1"/>
                <w:color w:val="auto"/>
              </w:rPr>
              <w:t>Product:</w:t>
            </w:r>
          </w:p>
        </w:tc>
        <w:tc>
          <w:tcPr>
            <w:tcW w:w="3520" w:type="dxa"/>
            <w:vAlign w:val="bottom"/>
          </w:tcPr>
          <w:p>
            <w:pPr>
              <w:ind w:left="740"/>
              <w:spacing w:after="0"/>
              <w:rPr>
                <w:sz w:val="20"/>
                <w:szCs w:val="20"/>
                <w:color w:val="auto"/>
              </w:rPr>
            </w:pPr>
            <w:r>
              <w:rPr>
                <w:rFonts w:ascii="Arial" w:cs="Arial" w:eastAsia="Arial" w:hAnsi="Arial"/>
                <w:sz w:val="16"/>
                <w:szCs w:val="16"/>
                <w:b w:val="1"/>
                <w:bCs w:val="1"/>
                <w:color w:val="auto"/>
              </w:rPr>
              <w:t>Geography:</w:t>
            </w:r>
          </w:p>
        </w:tc>
        <w:tc>
          <w:tcPr>
            <w:tcW w:w="3780" w:type="dxa"/>
            <w:vAlign w:val="bottom"/>
          </w:tcPr>
          <w:p>
            <w:pPr>
              <w:ind w:left="1000"/>
              <w:spacing w:after="0"/>
              <w:rPr>
                <w:sz w:val="20"/>
                <w:szCs w:val="20"/>
                <w:color w:val="auto"/>
              </w:rPr>
            </w:pPr>
            <w:r>
              <w:rPr>
                <w:rFonts w:ascii="Arial" w:cs="Arial" w:eastAsia="Arial" w:hAnsi="Arial"/>
                <w:sz w:val="16"/>
                <w:szCs w:val="16"/>
                <w:b w:val="1"/>
                <w:bCs w:val="1"/>
                <w:color w:val="auto"/>
              </w:rPr>
              <w:t>Customer:</w:t>
            </w:r>
          </w:p>
        </w:tc>
      </w:tr>
      <w:tr>
        <w:trPr>
          <w:trHeight w:val="243"/>
        </w:trPr>
        <w:tc>
          <w:tcPr>
            <w:tcW w:w="3140" w:type="dxa"/>
            <w:vAlign w:val="bottom"/>
          </w:tcPr>
          <w:p>
            <w:pPr>
              <w:ind w:left="40"/>
              <w:spacing w:after="0"/>
              <w:rPr>
                <w:sz w:val="20"/>
                <w:szCs w:val="20"/>
                <w:color w:val="auto"/>
              </w:rPr>
            </w:pPr>
            <w:r>
              <w:rPr>
                <w:rFonts w:ascii="Arial" w:cs="Arial" w:eastAsia="Arial" w:hAnsi="Arial"/>
                <w:sz w:val="16"/>
                <w:szCs w:val="16"/>
                <w:color w:val="auto"/>
              </w:rPr>
              <w:t>- Small format printing</w:t>
            </w:r>
          </w:p>
        </w:tc>
        <w:tc>
          <w:tcPr>
            <w:tcW w:w="3520" w:type="dxa"/>
            <w:vAlign w:val="bottom"/>
          </w:tcPr>
          <w:p>
            <w:pPr>
              <w:ind w:left="780"/>
              <w:spacing w:after="0"/>
              <w:rPr>
                <w:sz w:val="20"/>
                <w:szCs w:val="20"/>
                <w:color w:val="auto"/>
              </w:rPr>
            </w:pPr>
            <w:r>
              <w:rPr>
                <w:rFonts w:ascii="Arial" w:cs="Arial" w:eastAsia="Arial" w:hAnsi="Arial"/>
                <w:sz w:val="16"/>
                <w:szCs w:val="16"/>
                <w:color w:val="auto"/>
              </w:rPr>
              <w:t>- North America</w:t>
            </w:r>
          </w:p>
        </w:tc>
        <w:tc>
          <w:tcPr>
            <w:tcW w:w="3780" w:type="dxa"/>
            <w:vAlign w:val="bottom"/>
          </w:tcPr>
          <w:p>
            <w:pPr>
              <w:ind w:left="1040"/>
              <w:spacing w:after="0"/>
              <w:rPr>
                <w:sz w:val="20"/>
                <w:szCs w:val="20"/>
                <w:color w:val="auto"/>
              </w:rPr>
            </w:pPr>
            <w:r>
              <w:rPr>
                <w:rFonts w:ascii="Arial" w:cs="Arial" w:eastAsia="Arial" w:hAnsi="Arial"/>
                <w:sz w:val="16"/>
                <w:szCs w:val="16"/>
                <w:color w:val="auto"/>
              </w:rPr>
              <w:t>- Businesses (micro, small, medium,</w:t>
            </w:r>
          </w:p>
        </w:tc>
      </w:tr>
      <w:tr>
        <w:trPr>
          <w:trHeight w:val="243"/>
        </w:trPr>
        <w:tc>
          <w:tcPr>
            <w:tcW w:w="3140" w:type="dxa"/>
            <w:vAlign w:val="bottom"/>
          </w:tcPr>
          <w:p>
            <w:pPr>
              <w:ind w:left="40"/>
              <w:spacing w:after="0"/>
              <w:rPr>
                <w:sz w:val="20"/>
                <w:szCs w:val="20"/>
                <w:color w:val="auto"/>
              </w:rPr>
            </w:pPr>
            <w:r>
              <w:rPr>
                <w:rFonts w:ascii="Arial" w:cs="Arial" w:eastAsia="Arial" w:hAnsi="Arial"/>
                <w:sz w:val="16"/>
                <w:szCs w:val="16"/>
                <w:color w:val="auto"/>
              </w:rPr>
              <w:t>- Large format printing</w:t>
            </w:r>
          </w:p>
        </w:tc>
        <w:tc>
          <w:tcPr>
            <w:tcW w:w="3520" w:type="dxa"/>
            <w:vAlign w:val="bottom"/>
          </w:tcPr>
          <w:p>
            <w:pPr>
              <w:ind w:left="780"/>
              <w:spacing w:after="0"/>
              <w:rPr>
                <w:sz w:val="20"/>
                <w:szCs w:val="20"/>
                <w:color w:val="auto"/>
              </w:rPr>
            </w:pPr>
            <w:r>
              <w:rPr>
                <w:rFonts w:ascii="Arial" w:cs="Arial" w:eastAsia="Arial" w:hAnsi="Arial"/>
                <w:sz w:val="16"/>
                <w:szCs w:val="16"/>
                <w:color w:val="auto"/>
              </w:rPr>
              <w:t>- Europe</w:t>
            </w:r>
          </w:p>
        </w:tc>
        <w:tc>
          <w:tcPr>
            <w:tcW w:w="3780" w:type="dxa"/>
            <w:vAlign w:val="bottom"/>
          </w:tcPr>
          <w:p>
            <w:pPr>
              <w:ind w:left="1120"/>
              <w:spacing w:after="0"/>
              <w:rPr>
                <w:sz w:val="20"/>
                <w:szCs w:val="20"/>
                <w:color w:val="auto"/>
              </w:rPr>
            </w:pPr>
            <w:r>
              <w:rPr>
                <w:rFonts w:ascii="Arial" w:cs="Arial" w:eastAsia="Arial" w:hAnsi="Arial"/>
                <w:sz w:val="16"/>
                <w:szCs w:val="16"/>
                <w:color w:val="auto"/>
              </w:rPr>
              <w:t>large)</w:t>
            </w:r>
          </w:p>
        </w:tc>
      </w:tr>
      <w:tr>
        <w:trPr>
          <w:trHeight w:val="243"/>
        </w:trPr>
        <w:tc>
          <w:tcPr>
            <w:tcW w:w="3140" w:type="dxa"/>
            <w:vAlign w:val="bottom"/>
          </w:tcPr>
          <w:p>
            <w:pPr>
              <w:ind w:left="40"/>
              <w:spacing w:after="0"/>
              <w:rPr>
                <w:sz w:val="20"/>
                <w:szCs w:val="20"/>
                <w:color w:val="auto"/>
              </w:rPr>
            </w:pPr>
            <w:r>
              <w:rPr>
                <w:rFonts w:ascii="Arial" w:cs="Arial" w:eastAsia="Arial" w:hAnsi="Arial"/>
                <w:sz w:val="16"/>
                <w:szCs w:val="16"/>
                <w:color w:val="auto"/>
              </w:rPr>
              <w:t>- Promotional products and gifts</w:t>
            </w:r>
          </w:p>
        </w:tc>
        <w:tc>
          <w:tcPr>
            <w:tcW w:w="3520" w:type="dxa"/>
            <w:vAlign w:val="bottom"/>
          </w:tcPr>
          <w:p>
            <w:pPr>
              <w:ind w:left="780"/>
              <w:spacing w:after="0"/>
              <w:rPr>
                <w:sz w:val="20"/>
                <w:szCs w:val="20"/>
                <w:color w:val="auto"/>
              </w:rPr>
            </w:pPr>
            <w:r>
              <w:rPr>
                <w:rFonts w:ascii="Arial" w:cs="Arial" w:eastAsia="Arial" w:hAnsi="Arial"/>
                <w:sz w:val="16"/>
                <w:szCs w:val="16"/>
                <w:color w:val="auto"/>
              </w:rPr>
              <w:t>- Australia/New Zealand</w:t>
            </w:r>
          </w:p>
        </w:tc>
        <w:tc>
          <w:tcPr>
            <w:tcW w:w="3780" w:type="dxa"/>
            <w:vAlign w:val="bottom"/>
          </w:tcPr>
          <w:p>
            <w:pPr>
              <w:ind w:left="1040"/>
              <w:spacing w:after="0"/>
              <w:rPr>
                <w:sz w:val="20"/>
                <w:szCs w:val="20"/>
                <w:color w:val="auto"/>
              </w:rPr>
            </w:pPr>
            <w:r>
              <w:rPr>
                <w:rFonts w:ascii="Arial" w:cs="Arial" w:eastAsia="Arial" w:hAnsi="Arial"/>
                <w:sz w:val="16"/>
                <w:szCs w:val="16"/>
                <w:color w:val="auto"/>
              </w:rPr>
              <w:t>- Graphic designers, resellers, printers</w:t>
            </w:r>
          </w:p>
        </w:tc>
      </w:tr>
      <w:tr>
        <w:trPr>
          <w:trHeight w:val="243"/>
        </w:trPr>
        <w:tc>
          <w:tcPr>
            <w:tcW w:w="3140" w:type="dxa"/>
            <w:vAlign w:val="bottom"/>
          </w:tcPr>
          <w:p>
            <w:pPr>
              <w:ind w:left="40"/>
              <w:spacing w:after="0"/>
              <w:rPr>
                <w:sz w:val="20"/>
                <w:szCs w:val="20"/>
                <w:color w:val="auto"/>
              </w:rPr>
            </w:pPr>
            <w:r>
              <w:rPr>
                <w:rFonts w:ascii="Arial" w:cs="Arial" w:eastAsia="Arial" w:hAnsi="Arial"/>
                <w:sz w:val="16"/>
                <w:szCs w:val="16"/>
                <w:color w:val="auto"/>
              </w:rPr>
              <w:t>- Decorated apparel</w:t>
            </w:r>
          </w:p>
        </w:tc>
        <w:tc>
          <w:tcPr>
            <w:tcW w:w="3520" w:type="dxa"/>
            <w:vAlign w:val="bottom"/>
          </w:tcPr>
          <w:p>
            <w:pPr>
              <w:ind w:left="780"/>
              <w:spacing w:after="0"/>
              <w:rPr>
                <w:sz w:val="20"/>
                <w:szCs w:val="20"/>
                <w:color w:val="auto"/>
              </w:rPr>
            </w:pPr>
            <w:r>
              <w:rPr>
                <w:rFonts w:ascii="Arial" w:cs="Arial" w:eastAsia="Arial" w:hAnsi="Arial"/>
                <w:sz w:val="16"/>
                <w:szCs w:val="16"/>
                <w:color w:val="auto"/>
              </w:rPr>
              <w:t>- South America</w:t>
            </w:r>
          </w:p>
        </w:tc>
        <w:tc>
          <w:tcPr>
            <w:tcW w:w="3780" w:type="dxa"/>
            <w:vAlign w:val="bottom"/>
          </w:tcPr>
          <w:p>
            <w:pPr>
              <w:ind w:left="1040"/>
              <w:spacing w:after="0"/>
              <w:rPr>
                <w:sz w:val="20"/>
                <w:szCs w:val="20"/>
                <w:color w:val="auto"/>
              </w:rPr>
            </w:pPr>
            <w:r>
              <w:rPr>
                <w:rFonts w:ascii="Arial" w:cs="Arial" w:eastAsia="Arial" w:hAnsi="Arial"/>
                <w:sz w:val="16"/>
                <w:szCs w:val="16"/>
                <w:color w:val="auto"/>
              </w:rPr>
              <w:t>- Traditional providers who choose to</w:t>
            </w:r>
          </w:p>
        </w:tc>
      </w:tr>
      <w:tr>
        <w:trPr>
          <w:trHeight w:val="243"/>
        </w:trPr>
        <w:tc>
          <w:tcPr>
            <w:tcW w:w="3140" w:type="dxa"/>
            <w:vAlign w:val="bottom"/>
          </w:tcPr>
          <w:p>
            <w:pPr>
              <w:ind w:left="40"/>
              <w:spacing w:after="0"/>
              <w:rPr>
                <w:sz w:val="20"/>
                <w:szCs w:val="20"/>
                <w:color w:val="auto"/>
              </w:rPr>
            </w:pPr>
            <w:r>
              <w:rPr>
                <w:rFonts w:ascii="Arial" w:cs="Arial" w:eastAsia="Arial" w:hAnsi="Arial"/>
                <w:sz w:val="16"/>
                <w:szCs w:val="16"/>
                <w:color w:val="auto"/>
              </w:rPr>
              <w:t>- Packaging</w:t>
            </w:r>
          </w:p>
        </w:tc>
        <w:tc>
          <w:tcPr>
            <w:tcW w:w="3520" w:type="dxa"/>
            <w:vAlign w:val="bottom"/>
          </w:tcPr>
          <w:p>
            <w:pPr>
              <w:ind w:left="780"/>
              <w:spacing w:after="0"/>
              <w:rPr>
                <w:sz w:val="20"/>
                <w:szCs w:val="20"/>
                <w:color w:val="auto"/>
              </w:rPr>
            </w:pPr>
            <w:r>
              <w:rPr>
                <w:rFonts w:ascii="Arial" w:cs="Arial" w:eastAsia="Arial" w:hAnsi="Arial"/>
                <w:sz w:val="16"/>
                <w:szCs w:val="16"/>
                <w:color w:val="auto"/>
              </w:rPr>
              <w:t>- Asia Pacific</w:t>
            </w:r>
          </w:p>
        </w:tc>
        <w:tc>
          <w:tcPr>
            <w:tcW w:w="3780" w:type="dxa"/>
            <w:vAlign w:val="bottom"/>
          </w:tcPr>
          <w:p>
            <w:pPr>
              <w:ind w:left="1180"/>
              <w:spacing w:after="0"/>
              <w:rPr>
                <w:sz w:val="20"/>
                <w:szCs w:val="20"/>
                <w:color w:val="auto"/>
              </w:rPr>
            </w:pPr>
            <w:r>
              <w:rPr>
                <w:rFonts w:ascii="Arial" w:cs="Arial" w:eastAsia="Arial" w:hAnsi="Arial"/>
                <w:sz w:val="16"/>
                <w:szCs w:val="16"/>
                <w:color w:val="auto"/>
              </w:rPr>
              <w:t>outsource these products</w:t>
            </w:r>
          </w:p>
        </w:tc>
      </w:tr>
      <w:tr>
        <w:trPr>
          <w:trHeight w:val="270"/>
        </w:trPr>
        <w:tc>
          <w:tcPr>
            <w:tcW w:w="3140" w:type="dxa"/>
            <w:vAlign w:val="bottom"/>
          </w:tcPr>
          <w:p>
            <w:pPr>
              <w:ind w:left="40"/>
              <w:spacing w:after="0"/>
              <w:rPr>
                <w:sz w:val="20"/>
                <w:szCs w:val="20"/>
                <w:color w:val="auto"/>
              </w:rPr>
            </w:pPr>
            <w:r>
              <w:rPr>
                <w:rFonts w:ascii="Arial" w:cs="Arial" w:eastAsia="Arial" w:hAnsi="Arial"/>
                <w:sz w:val="16"/>
                <w:szCs w:val="16"/>
                <w:color w:val="auto"/>
              </w:rPr>
              <w:t>- Photo merchandise</w:t>
            </w:r>
          </w:p>
        </w:tc>
        <w:tc>
          <w:tcPr>
            <w:tcW w:w="3520" w:type="dxa"/>
            <w:vAlign w:val="bottom"/>
          </w:tcPr>
          <w:p>
            <w:pPr>
              <w:spacing w:after="0"/>
              <w:rPr>
                <w:sz w:val="23"/>
                <w:szCs w:val="23"/>
                <w:color w:val="auto"/>
              </w:rPr>
            </w:pPr>
          </w:p>
        </w:tc>
        <w:tc>
          <w:tcPr>
            <w:tcW w:w="3780" w:type="dxa"/>
            <w:vAlign w:val="bottom"/>
          </w:tcPr>
          <w:p>
            <w:pPr>
              <w:ind w:left="1040"/>
              <w:spacing w:after="0"/>
              <w:rPr>
                <w:sz w:val="20"/>
                <w:szCs w:val="20"/>
                <w:color w:val="auto"/>
              </w:rPr>
            </w:pPr>
            <w:r>
              <w:rPr>
                <w:rFonts w:ascii="Arial" w:cs="Arial" w:eastAsia="Arial" w:hAnsi="Arial"/>
                <w:sz w:val="16"/>
                <w:szCs w:val="16"/>
                <w:color w:val="auto"/>
              </w:rPr>
              <w:t>- Teams, associations and groups</w:t>
            </w:r>
          </w:p>
        </w:tc>
      </w:tr>
      <w:tr>
        <w:trPr>
          <w:trHeight w:val="270"/>
        </w:trPr>
        <w:tc>
          <w:tcPr>
            <w:tcW w:w="3140" w:type="dxa"/>
            <w:vAlign w:val="bottom"/>
          </w:tcPr>
          <w:p>
            <w:pPr>
              <w:ind w:left="40"/>
              <w:spacing w:after="0"/>
              <w:rPr>
                <w:sz w:val="20"/>
                <w:szCs w:val="20"/>
                <w:color w:val="auto"/>
              </w:rPr>
            </w:pPr>
            <w:r>
              <w:rPr>
                <w:rFonts w:ascii="Arial" w:cs="Arial" w:eastAsia="Arial" w:hAnsi="Arial"/>
                <w:sz w:val="16"/>
                <w:szCs w:val="16"/>
                <w:color w:val="auto"/>
              </w:rPr>
              <w:t>- Invitations and announcements</w:t>
            </w:r>
          </w:p>
        </w:tc>
        <w:tc>
          <w:tcPr>
            <w:tcW w:w="3520" w:type="dxa"/>
            <w:vAlign w:val="bottom"/>
          </w:tcPr>
          <w:p>
            <w:pPr>
              <w:spacing w:after="0"/>
              <w:rPr>
                <w:sz w:val="23"/>
                <w:szCs w:val="23"/>
                <w:color w:val="auto"/>
              </w:rPr>
            </w:pPr>
          </w:p>
        </w:tc>
        <w:tc>
          <w:tcPr>
            <w:tcW w:w="3780" w:type="dxa"/>
            <w:vAlign w:val="bottom"/>
          </w:tcPr>
          <w:p>
            <w:pPr>
              <w:ind w:left="1040"/>
              <w:spacing w:after="0"/>
              <w:rPr>
                <w:sz w:val="20"/>
                <w:szCs w:val="20"/>
                <w:color w:val="auto"/>
              </w:rPr>
            </w:pPr>
            <w:r>
              <w:rPr>
                <w:rFonts w:ascii="Arial" w:cs="Arial" w:eastAsia="Arial" w:hAnsi="Arial"/>
                <w:sz w:val="16"/>
                <w:szCs w:val="16"/>
                <w:color w:val="auto"/>
              </w:rPr>
              <w:t>- Consumers (home and family)</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Large traditional markets undergoing disruptive innovation</w:t>
      </w:r>
    </w:p>
    <w:p>
      <w:pPr>
        <w:spacing w:after="0" w:line="203"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The products, geographies and customer applications listed above constitute a large market opportunity that is highly fragmented. We believe that the vast majority of the markets to which mass customization could apply are still served by traditional business models that force customers either to produce in large quantities per order or to pay a high price per unit.</w:t>
      </w:r>
    </w:p>
    <w:p>
      <w:pPr>
        <w:spacing w:after="0" w:line="161"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We believe that these large and fragmented markets are moving away from small traditional suppliers that employ job shop business models to fulfill a relatively small number of customer orders and toward businesses such as those owned by Cimpress that aggregate a relatively large number of orders and fulfill them via a focused supply chain and production capabilities at relatively high volumes, thereby achieving the benefits of mass customization. We believe we are early in the process of what will be a multi-decade shift from job-shop business models to mass customization.</w:t>
      </w:r>
    </w:p>
    <w:p>
      <w:pPr>
        <w:spacing w:after="0" w:line="16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Cimpress’ current revenue represents a very small fraction of this market opportunity. We believe that Cimpress and competitors who have built their business around a mass customization model are “disruptive innovators” to these large markets because we enable small-volume production of personalized, high-quality products at an affordable price. Disruptive innovation, a term coined by Harvard Business School professor Clayton Christensen, describes a process by which a product or service takes root initially in simple applications at the bottom of a market (such as free business cards for the most price sensitive of micro-businesses or low-quality white t-shirts) and then moves up market, eventually displacing established competitors (such as those in the markets mentioned above).</w:t>
      </w:r>
    </w:p>
    <w:p>
      <w:pPr>
        <w:spacing w:after="0" w:line="16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believe that a large opportunity exists for major markets to shift to a mass customization paradigm and, even though we are largely decentralized, the select few shared strategic capabilities into which we centrally invest provide a significant scale-based competitive advantage for Cimpress.</w:t>
      </w:r>
    </w:p>
    <w:p>
      <w:pPr>
        <w:spacing w:after="0" w:line="161"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We believe this opportunity to deliver substantially better customer value and to therefore disrupt very large traditional industries can translate into tremendous future opportunity for Cimpress. Until approximately our fiscal year 2012, we focused primarily on a narrow set of customers within the list above (highly price-sensitive and discount-driven micro businesses and consumers) with a very limited product offering. Through acquisitions and via significant investments in our Vistaprint business, we have expanded the breadth and depth of our product offerings, extended our ability to serve our traditional customers and gained a capability to serve a vast range of customer types.</w:t>
      </w:r>
    </w:p>
    <w:p>
      <w:pPr>
        <w:spacing w:after="0" w:line="16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As we continue to evolve and grow Cimpress, our understanding of these markets and their relative attractiveness is also evolving. Our expansion of product breadth and depth as well as new geographic markets has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82" w:right="259" w:bottom="1440" w:gutter="0" w:footer="0" w:header="0"/>
        </w:sectPr>
      </w:pPr>
    </w:p>
    <w:bookmarkStart w:id="5" w:name="page6"/>
    <w:bookmarkEnd w:id="5"/>
    <w:p>
      <w:pPr>
        <w:spacing w:after="0" w:line="254" w:lineRule="auto"/>
        <w:rPr>
          <w:sz w:val="20"/>
          <w:szCs w:val="20"/>
          <w:color w:val="auto"/>
        </w:rPr>
      </w:pPr>
      <w:r>
        <w:rPr>
          <w:rFonts w:ascii="Arial" w:cs="Arial" w:eastAsia="Arial" w:hAnsi="Arial"/>
          <w:sz w:val="18"/>
          <w:szCs w:val="18"/>
          <w:color w:val="auto"/>
        </w:rPr>
        <w:t>significantly increased the size of our addressable market opportunity. We base our market size and attractiveness estimates upon considerable research and analysis; however, our estimates are only approximate. Despite the imprecise nature of our estimates, we believe that our understanding is directionally correct and that we operate in an enormous aggregate market with significant opportunity for Cimpress to grow should we be successful in delivering a differentiated and attractive value proposition to customers.</w:t>
      </w:r>
    </w:p>
    <w:p>
      <w:pPr>
        <w:spacing w:after="0" w:line="164"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Today, we believe that the revenue opportunity for low-to-medium order quantities (i.e., still within our focus of small-sized individual orders) in the four product categories below is over $100 billion annually in North America and Europe and at least $150 billion annually if you include other geographies and consumer products:</w:t>
      </w:r>
    </w:p>
    <w:p>
      <w:pPr>
        <w:spacing w:after="0" w:line="202" w:lineRule="exact"/>
        <w:rPr>
          <w:sz w:val="20"/>
          <w:szCs w:val="20"/>
          <w:color w:val="auto"/>
        </w:rPr>
      </w:pPr>
    </w:p>
    <w:p>
      <w:pPr>
        <w:ind w:left="660" w:right="18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Small format marketing materials such as business cards, flyers, leaflets, inserts, brochures and magazines. Businesses of all sizes are the main end users of short-and-medium run lengths (per order quantities below 2,500 units for business cards and below 20,000 units for other materials).</w:t>
      </w:r>
    </w:p>
    <w:p>
      <w:pPr>
        <w:spacing w:after="0" w:line="20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 format products such as banners, signs, tradeshow displays, and point-of-sale displays. Businesses of all sizes are the main end users of short-and-medium run lengths (less than 1,000 units).</w:t>
      </w:r>
    </w:p>
    <w:p>
      <w:pPr>
        <w:spacing w:after="0" w:line="196"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Promotional products, apparel and gifts including decorated apparel, bags and textiles, and hard goods such as pens, USB sticks, and drinkware. The end users of short-and-medium runs of these products range from businesses to teams, associations and groups, as well as consumers.</w:t>
      </w:r>
    </w:p>
    <w:p>
      <w:pPr>
        <w:spacing w:after="0" w:line="201"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Packaging products, such as corrugated board packaging, folded cartons, bags and labels. Businesses are the primary end users for short-and-medium runs (below 10,000 units).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207"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Cimpress businesses include those we developed organically (Vistaprint, Vistaprint Corporate Solutions, Vistaprint India) plus previously independent businesses either that we have fully acquired or in which we have a majority equity stake. Prior to its acquisition, each of our acquired companies pursued business models that embodied the principles of mass customization. In other words, each provided a standardized set of products that could be configured and customized by customers, ordered in relatively low volumes, and produced via relatively standardized, homogeneous production processes, at prices lower than those charged by traditional producers.</w:t>
      </w:r>
    </w:p>
    <w:p>
      <w:pPr>
        <w:spacing w:after="0" w:line="165"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Our businesses collectively operate across North America and Europe, as well as in India, Japan, Brazil, China and Australia. Their websites typically offer a broad assortment of tools and features allowing customers to create a product design or upload their own complete design and place an order, either on a completely self-service basis or with varying levels of assistance. Some of our businesses also use offline techniques to acquire customers (e.g., mail order, telesales). The combined product assortment across our businesses is extensive, including offerings in the following product categories: business cards, marketing materials such as flyers and postcards, digital and marketing services, writing instruments, signage, decorated apparel, promotional products and gifts, packaging, textiles and magazines and catalogs.</w:t>
      </w:r>
    </w:p>
    <w:p>
      <w:pPr>
        <w:spacing w:after="0" w:line="168"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The majority of our revenue is driven by standardized processes and enabled by software. We endeavor to design these processes and technologies to readily scale as the number of orders received per day increases. In particular, the more individual jobs we receive in a given time period, the more efficiently we can sort and route jobs with homogeneous production processes to given nodes of our internal production systems or of our third-party supply chain. This sortation and subsequent process automation improves production efficiency. We believe that our strategy of systematizing our service and production systems enables us to deliver value to customers much more effectively than traditional competitors.</w:t>
      </w:r>
    </w:p>
    <w:p>
      <w:pPr>
        <w:spacing w:after="0" w:line="168"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Our businesses operate production facilities in Australia, Austria, Brazil, Canada, China, France, India, Ireland, Italy, Japan, Mexico, the Netherlands, the United Kingdom and the United States. We also work extensively with several hundred external fulfillers located across the globe. We believe that the improvements we have made and the future improvements we intend to make in software technologies that support the design, sortation, scheduling, production and delivery processes provide us with significant competitive advantage. In many cases our businesses can produce and ship an order the same day they receive it. Our supply chain systems and processes seek to drive reduced inventory and working capital as well as faster delivery to customers. In certain of our company-owned manufacturing facilities, software schedules the near-simultaneous production of different customized products that have been ordered by the same customer, allowing us to produce and deliver multi-part orders quickly and efficiently.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7" w:right="239" w:bottom="1440" w:gutter="0" w:footer="0" w:header="0"/>
        </w:sectPr>
      </w:pPr>
    </w:p>
    <w:bookmarkStart w:id="6" w:name="page7"/>
    <w:bookmarkEnd w:id="6"/>
    <w:p>
      <w:pPr>
        <w:ind w:firstLine="648"/>
        <w:spacing w:after="0" w:line="251" w:lineRule="auto"/>
        <w:rPr>
          <w:sz w:val="20"/>
          <w:szCs w:val="20"/>
          <w:color w:val="auto"/>
        </w:rPr>
      </w:pPr>
      <w:r>
        <w:rPr>
          <w:rFonts w:ascii="Arial" w:cs="Arial" w:eastAsia="Arial" w:hAnsi="Arial"/>
          <w:sz w:val="18"/>
          <w:szCs w:val="18"/>
          <w:color w:val="auto"/>
        </w:rPr>
        <w:t>We believe that the potential for scale-based advantages is not limited to focused, automated production lines. Other advantages include the ability to systematically and automatically sort through the voluminous “long tail” of diverse and uncommon orders in order to group them into more homogeneous categories, and to route them to production nodes that are specialized for that category of operations and/or which are geographically proximate to the customer. In such cases, even though the daily production volume of a given production node is small in comparison to our highest-volume production lines, the homogeneity and volume we are able to achieve is nonetheless significant relative to traditional suppliers of the long tail product in question; thus, our relative efficiency gains remain substantial. For this type of long-tail production, we rely heavily on third-party fulfillment partnerships, which allow us to offer a very diverse set of products. We acquired most of our capabilities in this area via our investments in Exaprint, Printdeal, Pixartprinting and WIRmachenDRUCK. For instance, the product assortment of each of these four businesses is measured in the tens of thousands, versus just a few hundred at Vistaprint traditionally. This deep and broad product offering is important to many customers.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businesses are currently organized into the following four reportable segments:</w:t>
      </w:r>
    </w:p>
    <w:p>
      <w:pPr>
        <w:spacing w:after="0" w:line="16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Vistaprint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123190</wp:posOffset>
            </wp:positionV>
            <wp:extent cx="204089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0890" cy="428625"/>
                    </a:xfrm>
                    <a:prstGeom prst="rect">
                      <a:avLst/>
                    </a:prstGeom>
                    <a:noFill/>
                  </pic:spPr>
                </pic:pic>
              </a:graphicData>
            </a:graphic>
          </wp:anchor>
        </w:drawing>
      </w:r>
    </w:p>
    <w:p>
      <w:pPr>
        <w:spacing w:after="0" w:line="241" w:lineRule="exact"/>
        <w:rPr>
          <w:sz w:val="20"/>
          <w:szCs w:val="20"/>
          <w:color w:val="auto"/>
        </w:rPr>
      </w:pPr>
    </w:p>
    <w:p>
      <w:pPr>
        <w:ind w:left="4580" w:right="940"/>
        <w:spacing w:after="0" w:line="259" w:lineRule="auto"/>
        <w:rPr>
          <w:sz w:val="20"/>
          <w:szCs w:val="20"/>
          <w:color w:val="auto"/>
        </w:rPr>
      </w:pPr>
      <w:r>
        <w:rPr>
          <w:rFonts w:ascii="Arial" w:cs="Arial" w:eastAsia="Arial" w:hAnsi="Arial"/>
          <w:sz w:val="17"/>
          <w:szCs w:val="17"/>
          <w:color w:val="auto"/>
        </w:rPr>
        <w:t>Consists of the operations of our Vistaprint-branded websites in North America, Europe, Australia and New Zealand. This business also includes our Webs business, which is managed with the Vistaprint Digital business.</w:t>
      </w:r>
    </w:p>
    <w:p>
      <w:pPr>
        <w:spacing w:after="0" w:line="2" w:lineRule="exact"/>
        <w:rPr>
          <w:sz w:val="20"/>
          <w:szCs w:val="20"/>
          <w:color w:val="auto"/>
        </w:rPr>
      </w:pPr>
    </w:p>
    <w:p>
      <w:pPr>
        <w:ind w:left="660" w:right="460"/>
        <w:spacing w:after="0" w:line="262" w:lineRule="auto"/>
        <w:rPr>
          <w:sz w:val="20"/>
          <w:szCs w:val="20"/>
          <w:color w:val="auto"/>
        </w:rPr>
      </w:pPr>
      <w:r>
        <w:rPr>
          <w:rFonts w:ascii="Arial" w:cs="Arial" w:eastAsia="Arial" w:hAnsi="Arial"/>
          <w:sz w:val="18"/>
          <w:szCs w:val="18"/>
          <w:color w:val="auto"/>
        </w:rPr>
        <w:t>Our Vistaprint business helps more than 17 million micro businesses (companies with fewer than 10 employees) create attractive, professional-quality marketing products at affordable prices and at low volumes.</w:t>
      </w:r>
    </w:p>
    <w:p>
      <w:pPr>
        <w:spacing w:after="0" w:line="24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Upload and Print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123190</wp:posOffset>
            </wp:positionV>
            <wp:extent cx="597725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77255" cy="53149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774700</wp:posOffset>
            </wp:positionV>
            <wp:extent cx="5625465"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54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Consists of our druck.at, Easyflyer, Exagroup, Pixartprinting, Printdeal, Tradeprint, and WIRmachenDRUCK businesses.</w:t>
      </w:r>
    </w:p>
    <w:p>
      <w:pPr>
        <w:spacing w:after="0" w:line="117" w:lineRule="exact"/>
        <w:rPr>
          <w:sz w:val="20"/>
          <w:szCs w:val="20"/>
          <w:color w:val="auto"/>
        </w:rPr>
      </w:pPr>
    </w:p>
    <w:p>
      <w:pPr>
        <w:ind w:left="660" w:right="120"/>
        <w:spacing w:after="0" w:line="262" w:lineRule="auto"/>
        <w:rPr>
          <w:sz w:val="20"/>
          <w:szCs w:val="20"/>
          <w:color w:val="auto"/>
        </w:rPr>
      </w:pPr>
      <w:r>
        <w:rPr>
          <w:rFonts w:ascii="Arial" w:cs="Arial" w:eastAsia="Arial" w:hAnsi="Arial"/>
          <w:sz w:val="18"/>
          <w:szCs w:val="18"/>
          <w:color w:val="auto"/>
        </w:rPr>
        <w:t>These Cimpress businesses focus on serving graphic professionals: local printers, print resellers, graphic artists, advertising agencies and other customers with professional desktop publishing skill sets.</w:t>
      </w:r>
    </w:p>
    <w:p>
      <w:pPr>
        <w:spacing w:after="0" w:line="24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National Pen</w:t>
      </w:r>
      <w:r>
        <w:rPr>
          <w:rFonts w:ascii="Arial" w:cs="Arial" w:eastAsia="Arial" w:hAnsi="Arial"/>
          <w:sz w:val="17"/>
          <w:szCs w:val="17"/>
          <w:color w:val="auto"/>
        </w:rPr>
        <w:t>:</w:t>
      </w:r>
    </w:p>
    <w:p>
      <w:pPr>
        <w:spacing w:after="0" w:line="193" w:lineRule="exact"/>
        <w:rPr>
          <w:sz w:val="20"/>
          <w:szCs w:val="20"/>
          <w:color w:val="auto"/>
        </w:rPr>
      </w:pPr>
    </w:p>
    <w:p>
      <w:pPr>
        <w:ind w:left="5680" w:right="1100"/>
        <w:spacing w:after="0" w:line="257" w:lineRule="auto"/>
        <w:rPr>
          <w:sz w:val="20"/>
          <w:szCs w:val="20"/>
          <w:color w:val="auto"/>
        </w:rPr>
      </w:pPr>
      <w:r>
        <w:rPr>
          <w:rFonts w:ascii="Arial" w:cs="Arial" w:eastAsia="Arial" w:hAnsi="Arial"/>
          <w:sz w:val="17"/>
          <w:szCs w:val="17"/>
          <w:color w:val="auto"/>
        </w:rPr>
        <w:t>Consists of our National Pen business and a few smaller brands operated by National Pen that are focused on customized writing instruments and promotional products, apparel and gifts for small- and medium-sized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-427355</wp:posOffset>
            </wp:positionV>
            <wp:extent cx="247015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497205"/>
                    </a:xfrm>
                    <a:prstGeom prst="rect">
                      <a:avLst/>
                    </a:prstGeom>
                    <a:noFill/>
                  </pic:spPr>
                </pic:pic>
              </a:graphicData>
            </a:graphic>
          </wp:anchor>
        </w:drawing>
      </w:r>
    </w:p>
    <w:p>
      <w:pPr>
        <w:spacing w:after="0" w:line="399" w:lineRule="exact"/>
        <w:rPr>
          <w:sz w:val="20"/>
          <w:szCs w:val="20"/>
          <w:color w:val="auto"/>
        </w:rPr>
      </w:pPr>
    </w:p>
    <w:p>
      <w:pPr>
        <w:ind w:left="660" w:right="340"/>
        <w:spacing w:after="0" w:line="262" w:lineRule="auto"/>
        <w:rPr>
          <w:sz w:val="20"/>
          <w:szCs w:val="20"/>
          <w:color w:val="auto"/>
        </w:rPr>
      </w:pPr>
      <w:r>
        <w:rPr>
          <w:rFonts w:ascii="Arial" w:cs="Arial" w:eastAsia="Arial" w:hAnsi="Arial"/>
          <w:sz w:val="18"/>
          <w:szCs w:val="18"/>
          <w:color w:val="auto"/>
        </w:rPr>
        <w:t>National Pen serves more than a million small businesses annually across more than 20 countries. Marketing methods are typically direct mail and telesales, as well as a small yet growing e-commerce site.</w:t>
      </w:r>
    </w:p>
    <w:p>
      <w:pPr>
        <w:spacing w:after="0" w:line="24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All Other Businesses</w:t>
      </w:r>
      <w:r>
        <w:rPr>
          <w:rFonts w:ascii="Arial" w:cs="Arial" w:eastAsia="Arial" w:hAnsi="Arial"/>
          <w:sz w:val="18"/>
          <w:szCs w:val="18"/>
          <w:color w:val="auto"/>
        </w:rPr>
        <w:t>:</w:t>
      </w:r>
    </w:p>
    <w:p>
      <w:pPr>
        <w:spacing w:after="0" w:line="31" w:lineRule="exact"/>
        <w:rPr>
          <w:rFonts w:ascii="Arial" w:cs="Arial" w:eastAsia="Arial" w:hAnsi="Arial"/>
          <w:sz w:val="18"/>
          <w:szCs w:val="18"/>
          <w:b w:val="1"/>
          <w:bCs w:val="1"/>
          <w:color w:val="auto"/>
        </w:rPr>
      </w:pPr>
    </w:p>
    <w:p>
      <w:pPr>
        <w:ind w:left="66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Consists of multiple small, rapidly evolving early-stage businesses by which Cimpress is expanding to new markets. These businesses have been combined into one reportable segment based on materiality, the fact that they are early-stage businesses subject to high degrees of risk, and our expectation that each of their business models will rapidly evolve in function of future trials and entrepreneurial pivoting. Although not a comprehensive list, our All Other Businesses reportable segment includes the following:</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7"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1169670</wp:posOffset>
            </wp:positionH>
            <wp:positionV relativeFrom="page">
              <wp:posOffset>380365</wp:posOffset>
            </wp:positionV>
            <wp:extent cx="120078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08610"/>
                    </a:xfrm>
                    <a:prstGeom prst="rect">
                      <a:avLst/>
                    </a:prstGeom>
                    <a:noFill/>
                  </pic:spPr>
                </pic:pic>
              </a:graphicData>
            </a:graphic>
          </wp:anchor>
        </w:drawing>
        <w:drawing>
          <wp:anchor simplePos="0" relativeHeight="251657728" behindDoc="1" locked="0" layoutInCell="0" allowOverlap="1">
            <wp:simplePos x="0" y="0"/>
            <wp:positionH relativeFrom="page">
              <wp:posOffset>1177925</wp:posOffset>
            </wp:positionH>
            <wp:positionV relativeFrom="page">
              <wp:posOffset>912495</wp:posOffset>
            </wp:positionV>
            <wp:extent cx="117475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4750" cy="222885"/>
                    </a:xfrm>
                    <a:prstGeom prst="rect">
                      <a:avLst/>
                    </a:prstGeom>
                    <a:noFill/>
                  </pic:spPr>
                </pic:pic>
              </a:graphicData>
            </a:graphic>
          </wp:anchor>
        </w:drawing>
        <w:drawing>
          <wp:anchor simplePos="0" relativeHeight="251657728" behindDoc="1" locked="0" layoutInCell="0" allowOverlap="1">
            <wp:simplePos x="0" y="0"/>
            <wp:positionH relativeFrom="page">
              <wp:posOffset>1195070</wp:posOffset>
            </wp:positionH>
            <wp:positionV relativeFrom="page">
              <wp:posOffset>1358265</wp:posOffset>
            </wp:positionV>
            <wp:extent cx="114935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60"/>
        <w:spacing w:after="0"/>
        <w:rPr>
          <w:sz w:val="20"/>
          <w:szCs w:val="20"/>
          <w:color w:val="auto"/>
        </w:rPr>
      </w:pPr>
      <w:r>
        <w:rPr>
          <w:rFonts w:ascii="Arial" w:cs="Arial" w:eastAsia="Arial" w:hAnsi="Arial"/>
          <w:sz w:val="25"/>
          <w:szCs w:val="25"/>
          <w:color w:val="auto"/>
        </w:rPr>
        <w:t>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39370</wp:posOffset>
            </wp:positionV>
            <wp:extent cx="114935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9350" cy="214630"/>
                    </a:xfrm>
                    <a:prstGeom prst="rect">
                      <a:avLst/>
                    </a:prstGeom>
                    <a:noFill/>
                  </pic:spPr>
                </pic:pic>
              </a:graphicData>
            </a:graphic>
          </wp:anchor>
        </w:drawing>
      </w:r>
    </w:p>
    <w:p>
      <w:pPr>
        <w:spacing w:after="0" w:line="381" w:lineRule="exact"/>
        <w:rPr>
          <w:sz w:val="20"/>
          <w:szCs w:val="20"/>
          <w:color w:val="auto"/>
        </w:rPr>
      </w:pPr>
    </w:p>
    <w:p>
      <w:pPr>
        <w:jc w:val="right"/>
        <w:ind w:right="460"/>
        <w:spacing w:after="0"/>
        <w:rPr>
          <w:sz w:val="20"/>
          <w:szCs w:val="20"/>
          <w:color w:val="auto"/>
        </w:rPr>
      </w:pPr>
      <w:r>
        <w:rPr>
          <w:rFonts w:ascii="Arial" w:cs="Arial" w:eastAsia="Arial" w:hAnsi="Arial"/>
          <w:sz w:val="25"/>
          <w:szCs w:val="25"/>
          <w:color w:val="auto"/>
        </w:rPr>
        <w:t>Japan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Procurement</w:t>
      </w:r>
    </w:p>
    <w:p>
      <w:pPr>
        <w:spacing w:after="0" w:line="20" w:lineRule="exact"/>
        <w:rPr>
          <w:sz w:val="20"/>
          <w:szCs w:val="20"/>
          <w:color w:val="auto"/>
        </w:rPr>
      </w:pPr>
      <w:r>
        <w:rPr>
          <w:sz w:val="20"/>
          <w:szCs w:val="20"/>
          <w:color w:val="auto"/>
        </w:rPr>
        <w:br w:type="column"/>
      </w:r>
    </w:p>
    <w:p>
      <w:pPr>
        <w:ind w:right="800"/>
        <w:spacing w:after="0" w:line="251" w:lineRule="auto"/>
        <w:rPr>
          <w:sz w:val="20"/>
          <w:szCs w:val="20"/>
          <w:color w:val="auto"/>
        </w:rPr>
      </w:pPr>
      <w:r>
        <w:rPr>
          <w:rFonts w:ascii="Arial" w:cs="Arial" w:eastAsia="Arial" w:hAnsi="Arial"/>
          <w:sz w:val="18"/>
          <w:szCs w:val="18"/>
          <w:i w:val="1"/>
          <w:iCs w:val="1"/>
          <w:color w:val="auto"/>
        </w:rPr>
        <w:t xml:space="preserve">Vistaprint Corporate Solutions </w:t>
      </w:r>
      <w:r>
        <w:rPr>
          <w:rFonts w:ascii="Arial" w:cs="Arial" w:eastAsia="Arial" w:hAnsi="Arial"/>
          <w:sz w:val="18"/>
          <w:szCs w:val="18"/>
          <w:color w:val="auto"/>
        </w:rPr>
        <w:t>serves medium-sized businesses and large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as well as a legacy revenue stream with retail partners and franchise businesses.</w:t>
      </w:r>
    </w:p>
    <w:p>
      <w:pPr>
        <w:spacing w:after="0" w:line="57"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As the online printing leader in Brazil, Printi offers a superior customer experience with transparent and attractive pricing, reliable service and quality. Printi is also expanding into the U.S. market.</w:t>
      </w:r>
    </w:p>
    <w:p>
      <w:pPr>
        <w:spacing w:after="0" w:line="266" w:lineRule="exact"/>
        <w:rPr>
          <w:sz w:val="20"/>
          <w:szCs w:val="20"/>
          <w:color w:val="auto"/>
        </w:rPr>
      </w:pPr>
    </w:p>
    <w:p>
      <w:pPr>
        <w:ind w:right="640"/>
        <w:spacing w:after="0" w:line="258" w:lineRule="auto"/>
        <w:rPr>
          <w:sz w:val="20"/>
          <w:szCs w:val="20"/>
          <w:color w:val="auto"/>
        </w:rPr>
      </w:pPr>
      <w:r>
        <w:rPr>
          <w:rFonts w:ascii="Arial" w:cs="Arial" w:eastAsia="Arial" w:hAnsi="Arial"/>
          <w:sz w:val="18"/>
          <w:szCs w:val="18"/>
          <w:i w:val="1"/>
          <w:iCs w:val="1"/>
          <w:color w:val="auto"/>
        </w:rPr>
        <w:t xml:space="preserve">Vistaprint India </w:t>
      </w:r>
      <w:r>
        <w:rPr>
          <w:rFonts w:ascii="Arial" w:cs="Arial" w:eastAsia="Arial" w:hAnsi="Arial"/>
          <w:sz w:val="18"/>
          <w:szCs w:val="18"/>
          <w:color w:val="auto"/>
        </w:rPr>
        <w:t>operates a derivative of the Vistaprint business model, albeit with</w:t>
      </w:r>
      <w:r>
        <w:rPr>
          <w:rFonts w:ascii="Arial" w:cs="Arial" w:eastAsia="Arial" w:hAnsi="Arial"/>
          <w:sz w:val="18"/>
          <w:szCs w:val="18"/>
          <w:i w:val="1"/>
          <w:iCs w:val="1"/>
          <w:color w:val="auto"/>
        </w:rPr>
        <w:t xml:space="preserve"> </w:t>
      </w:r>
      <w:r>
        <w:rPr>
          <w:rFonts w:ascii="Arial" w:cs="Arial" w:eastAsia="Arial" w:hAnsi="Arial"/>
          <w:sz w:val="18"/>
          <w:szCs w:val="18"/>
          <w:color w:val="auto"/>
        </w:rPr>
        <w:t>higher service levels and quality, fully domestic-Indian content, pricing that is a slight premium to many traditional offline alternatives, and almost no discounting.</w:t>
      </w:r>
    </w:p>
    <w:p>
      <w:pPr>
        <w:spacing w:after="0" w:line="35" w:lineRule="exact"/>
        <w:rPr>
          <w:sz w:val="20"/>
          <w:szCs w:val="20"/>
          <w:color w:val="auto"/>
        </w:rPr>
      </w:pPr>
    </w:p>
    <w:p>
      <w:pPr>
        <w:ind w:right="440"/>
        <w:spacing w:after="0" w:line="251" w:lineRule="auto"/>
        <w:rPr>
          <w:sz w:val="20"/>
          <w:szCs w:val="20"/>
          <w:color w:val="auto"/>
        </w:rPr>
      </w:pPr>
      <w:r>
        <w:rPr>
          <w:rFonts w:ascii="Arial" w:cs="Arial" w:eastAsia="Arial" w:hAnsi="Arial"/>
          <w:sz w:val="18"/>
          <w:szCs w:val="18"/>
          <w:i w:val="1"/>
          <w:iCs w:val="1"/>
          <w:color w:val="auto"/>
        </w:rPr>
        <w:t xml:space="preserve">Vistaprint Japan </w:t>
      </w:r>
      <w:r>
        <w:rPr>
          <w:rFonts w:ascii="Arial" w:cs="Arial" w:eastAsia="Arial" w:hAnsi="Arial"/>
          <w:sz w:val="18"/>
          <w:szCs w:val="18"/>
          <w:color w:val="auto"/>
        </w:rPr>
        <w:t>operates a derivative of the Vistaprint business model with a</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differentiated position relative to competitors who tend to focus on upload and print, not the self-service, micro-business customer which Vistaprint Japan serves.</w:t>
      </w:r>
    </w:p>
    <w:p>
      <w:pPr>
        <w:spacing w:after="0" w:line="577" w:lineRule="exact"/>
        <w:rPr>
          <w:sz w:val="20"/>
          <w:szCs w:val="20"/>
          <w:color w:val="auto"/>
        </w:rPr>
      </w:pPr>
    </w:p>
    <w:p>
      <w:pPr>
        <w:sectPr>
          <w:pgSz w:w="11900" w:h="16838" w:orient="portrait"/>
          <w:cols w:equalWidth="0" w:num="2">
            <w:col w:w="3340" w:space="720"/>
            <w:col w:w="7360"/>
          </w:cols>
          <w:pgMar w:left="240" w:top="526" w:right="239" w:bottom="1440" w:gutter="0" w:footer="0" w:header="0"/>
        </w:sectPr>
      </w:pPr>
    </w:p>
    <w:p>
      <w:pPr>
        <w:spacing w:after="0" w:line="7"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18"/>
          <w:szCs w:val="18"/>
          <w:color w:val="auto"/>
        </w:rPr>
        <w:t>Given the scale of purchasing that happens across Cimpress’ businesses, there is significant value to coordinating our negotiations and purchasing to gain the benefit of scale. Our central procurement team negotiates and manages Cimpress-wide contracts for large-scale capital equipment, shipping services and major categories of raw materials (e.g., paper, plates, ink, etc.).</w:t>
      </w:r>
    </w:p>
    <w:p>
      <w:pPr>
        <w:spacing w:after="0" w:line="161"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are focused on achieving the lowest total cost in our strategic sourcing efforts by concentrating on quality, logistics, technology and cost, while also striving to use responsible sourcing practices within our supply chain. Our efforts include the procurement of high-quality materials and equipment that meet our strict specifications at a low total cost across a growing number of manufacturing locations, with an increasing focus on supplier compliance with our sustainable paper procurement policy as well as our Supplier Code of Conduct. Additionally, we work to develop and implement logistics, warehousing, and outbound shipping strategies to provide a balance of low-cost material availability while limiting our inventory exposure.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07"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Our businesses typically rely on advanced proprietary technology to attract and retain our customers, to enable customers to create graphic designs and place orders on our websites, and to aggregate and produce multiple orders in standardized, scalable processes. Technology is core to our competitive advantage, as without it our businesses would not be able to produce custom orders in small quantities while achieving the economics that are more analogous to mass-produced items.</w:t>
      </w:r>
    </w:p>
    <w:p>
      <w:pPr>
        <w:spacing w:after="0" w:line="1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building and using our mass customization platform (“MCP”) which is a cloud-based collection of software services, APIs, web applications and related technology offerings that can be leveraged independently or together by our businesses and third parties to perform common tasks that are important to mass customization. Cimpress businesses, and increasingly third-party fulfillers to our various businesses, can leverage different combinations of MCP services, depending on what capabilities they need to complement their business-specific technology. MCP is a multi-year investment that remains in its early stages, however many of our businesses are leveraging some of the technologies that have already been developed and/or shared by other businesses. The capabilities that are available in the mass customization platform today include customer-facing technologies, such as those that enable customers to visualize their designs on various products, as well as manufacturing, supply chain, and logistics technologies that automate various stages of the production and delivery of a product to a customer. The benefits of the mass customization platform include improved speed to market for new product introduction, reduction in fulfillment costs, and improvement of product delivery or geographic expansion. Over time, we believe we can generate significant customer and shareholder value from increased specialization of production facilities, aggregated scale from multiple businesses, increased product offerings and shared technology development costs.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intend to continue developing and enhancing our MCP-based customer-facing and manufacturing, supply chain and logistics technologies and processes. We develop our MCP technology centrally, typically at our offices in Switzerland, India, the Netherlands, the Czech Republic and the United States.</w:t>
      </w:r>
    </w:p>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also have software and production engineering capabilities in each of our businesses. Our businesses are constantly seeking to strengthen our manufacturing and supply chain capabilities through engineering</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26" w:right="239" w:bottom="1440" w:gutter="0" w:footer="0" w:header="0"/>
          <w:type w:val="continuous"/>
        </w:sectPr>
      </w:pPr>
    </w:p>
    <w:bookmarkStart w:id="8" w:name="page9"/>
    <w:bookmarkEnd w:id="8"/>
    <w:p>
      <w:pPr>
        <w:jc w:val="both"/>
        <w:ind w:right="20"/>
        <w:spacing w:after="0" w:line="262" w:lineRule="auto"/>
        <w:rPr>
          <w:sz w:val="20"/>
          <w:szCs w:val="20"/>
          <w:color w:val="auto"/>
        </w:rPr>
      </w:pPr>
      <w:r>
        <w:rPr>
          <w:rFonts w:ascii="Arial" w:cs="Arial" w:eastAsia="Arial" w:hAnsi="Arial"/>
          <w:sz w:val="18"/>
          <w:szCs w:val="18"/>
          <w:color w:val="auto"/>
        </w:rPr>
        <w:t>improvements in areas like automation, lean manufacturing, choice of equipment, product manufacturability, materials science, process control and color control.</w:t>
      </w:r>
    </w:p>
    <w:p>
      <w:pPr>
        <w:spacing w:after="0" w:line="1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Each of our businesses uses a mix of proprietary and third-party technology that supports the specific needs of that business. Their technology intensity ranges from significant to light, depending on their specific needs. Over the past few years, an increasing number of our businesses have begun to modernize and modularize their business-specific technology to enable them to launch more new products faster, provide a better customer experience, more easily connect to our mass customization platform technologies, and to leverage third-party technologies where we do not need to bear the cost of developing and maintaining proprietary technologies. For example, our businesses are increasingly using third-party software for capabilities such as a shopping cart or customer reviews, which are areas that we can benefit from providing a more e-commerce standard experience, and better leverage engineering resources to focus on technologies from which we derive competitive advantage.</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our central Cimpress Technology team and in an increasing number of our decentralized businesses, we have adopted an agile, micro-services-based approach to technology development that enables multiple businesses or use cases to leverage this API technology regardless of where it was originally developed. We believe this development approach can help our businesses serve customers and scale operations more rapidly than could have been done as an individual business outside Cimpress.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markets for the products our businesses produce and sell are intensely competitive, highly fragmented and geographically dispersed, with many existing and potential competitors. We have very low market share relative to the total. Within this highly competitive context, our businesses compete on the basis of breadth and depth of product offerings; price; convenience; quality; technology; design content, tools, and assistance; customer service; ease of use; and production and delivery speed. It is our intention to offer a broad selection of high-quality products as well as related services at low price points and in doing so, offer our customers an attractive value proposition. Our current competition includes a combination of the following:</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online printing and graphic design companies, many of which provide products and services similar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office superstores, drug store chains, food retailers and other major retailers targeting small business and consumer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and gifts;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internet firms and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 party printers;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providers of other digital marketing such as social media, local search directories and other providers.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we expand our geographic reach, product and service portfolio and customer base, our competition increases. Our geographic expansion creates competition with companies that have a multi-national presence as well as experienced local firms that have an excellent understanding of customer needs specific to each country. Product offerings such as photo products, packaging, websites, email marketing, signage, apparel and promotional products have resulted in new competition as we entered those markets. We encounter competition from large retailers offering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7" w:right="2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8"/>
          <w:szCs w:val="18"/>
          <w:color w:val="auto"/>
        </w:rPr>
        <w:t>a wide breadth of products and highly focused companies specializing in a subset of our customers or product offerings. Given the state of maturity of the online mass customization market, we believe that in aggregate, offline providers remain our biggest competition.</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Barriers to entry have been lowered in many of our markets, and new players have entered the mass customization space, enabled by asset-light models, software-driven print-fulfillment platforms, innovation in production technology, and/or benefits of an intense focus on a niche product or geographic market. We believe that the long-term leaders in terms of transforming these markets via mass customization will be the companies that are innovative and agile, but also bring significant scale-based advantages to drive value to customers in the form of product selection, quality and cost, as well as service.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and Environmental Responsibility</w:t>
      </w:r>
    </w:p>
    <w:p>
      <w:pPr>
        <w:spacing w:after="0" w:line="247"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Above and beyond compliance with applicable laws and regulations, we expect all parts of Cimpress to conduct business in a socially responsible, ethical manner. Examples of these efforts are:</w:t>
      </w:r>
    </w:p>
    <w:p>
      <w:pPr>
        <w:spacing w:after="0" w:line="134" w:lineRule="exact"/>
        <w:rPr>
          <w:sz w:val="20"/>
          <w:szCs w:val="20"/>
          <w:color w:val="auto"/>
        </w:rPr>
      </w:pPr>
    </w:p>
    <w:p>
      <w:pPr>
        <w:jc w:val="both"/>
        <w:ind w:left="660" w:hanging="328"/>
        <w:spacing w:after="0" w:line="25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 We regularly evaluate ways to minimize the impact of our operations on the environment. In terms of combating CO2</w:t>
      </w:r>
      <w:r>
        <w:rPr>
          <w:rFonts w:ascii="Arial" w:cs="Arial" w:eastAsia="Arial" w:hAnsi="Arial"/>
          <w:sz w:val="18"/>
          <w:szCs w:val="18"/>
          <w:b w:val="1"/>
          <w:bCs w:val="1"/>
          <w:color w:val="auto"/>
        </w:rPr>
        <w:t xml:space="preserve"> </w:t>
      </w:r>
      <w:r>
        <w:rPr>
          <w:rFonts w:ascii="Arial" w:cs="Arial" w:eastAsia="Arial" w:hAnsi="Arial"/>
          <w:sz w:val="18"/>
          <w:szCs w:val="18"/>
          <w:color w:val="auto"/>
        </w:rPr>
        <w:t>pollution, we have established and centrally fund a company-wide carbon emissions reduction program to lower emissions at a rate in line with - or better than - science-based targets established in 2015 at the United Nations Global Change Conference (COP21 “Paris Climate Accord”). Our plan includes investments in energy-reducing infrastructure and equipment and renewable energy sourcing. In 2017 we reduced our carbon intensity per million USD of revenue by 12% and we seek to make further improvements each year going forward for the foreseeable future.</w:t>
      </w:r>
    </w:p>
    <w:p>
      <w:pPr>
        <w:spacing w:after="0" w:line="164" w:lineRule="exact"/>
        <w:rPr>
          <w:rFonts w:ascii="Arial" w:cs="Arial" w:eastAsia="Arial" w:hAnsi="Arial"/>
          <w:sz w:val="18"/>
          <w:szCs w:val="18"/>
          <w:b w:val="1"/>
          <w:bCs w:val="1"/>
          <w:color w:val="auto"/>
        </w:rPr>
      </w:pPr>
    </w:p>
    <w:p>
      <w:pPr>
        <w:jc w:val="both"/>
        <w:ind w:left="6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terms of responsible forestry, we have converted the vast majority of the paper we print on in our Cimpress owned production facilities to the leading certification of responsible forestry practices. This certification confirms that the paper we print on comes from responsibly managed forests that meet high environmental and social standards.</w:t>
      </w:r>
    </w:p>
    <w:p>
      <w:pPr>
        <w:spacing w:after="0" w:line="139" w:lineRule="exact"/>
        <w:rPr>
          <w:rFonts w:ascii="Arial" w:cs="Arial" w:eastAsia="Arial" w:hAnsi="Arial"/>
          <w:sz w:val="18"/>
          <w:szCs w:val="18"/>
          <w:b w:val="1"/>
          <w:bCs w:val="1"/>
          <w:color w:val="auto"/>
        </w:rPr>
      </w:pPr>
    </w:p>
    <w:p>
      <w:pPr>
        <w:jc w:val="both"/>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Fair labor practices </w:t>
      </w:r>
      <w:r>
        <w:rPr>
          <w:rFonts w:ascii="Arial" w:cs="Arial" w:eastAsia="Arial" w:hAnsi="Arial"/>
          <w:sz w:val="18"/>
          <w:szCs w:val="18"/>
          <w:color w:val="auto"/>
        </w:rPr>
        <w:t>- We make recruiting, retention, and other performance management related decisions based solely on merit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organizational needs and considerations, such as an individual’s ability to do their job with excellence and in alignment with the company’s strategic and operational objectives. We do not tolerate discrimination on any basis protected by human rights laws or anti-discrimination regulations, and we strive to do more in this regard than the law requires. We are committed to a work environment where team members are treated with respect and fairness. We value individual differences, unique perspectives and the distinct contributions that each one of us can make to the company.</w:t>
      </w:r>
    </w:p>
    <w:p>
      <w:pPr>
        <w:spacing w:after="0" w:line="142"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Team member health and safety </w:t>
      </w:r>
      <w:r>
        <w:rPr>
          <w:rFonts w:ascii="Arial" w:cs="Arial" w:eastAsia="Arial" w:hAnsi="Arial"/>
          <w:sz w:val="18"/>
          <w:szCs w:val="18"/>
          <w:color w:val="auto"/>
        </w:rPr>
        <w:t>- We do not tolerate unsafe conditions that may endanger team members or other parties. We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training on – and compliance with – safe work practices and procedures at all manufacturing facilities to ensure the safety of team members and visitors to our plant floors.</w:t>
      </w:r>
    </w:p>
    <w:p>
      <w:pPr>
        <w:spacing w:after="0" w:line="127"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Ethical supply chain </w:t>
      </w:r>
      <w:r>
        <w:rPr>
          <w:rFonts w:ascii="Arial" w:cs="Arial" w:eastAsia="Arial" w:hAnsi="Arial"/>
          <w:sz w:val="18"/>
          <w:szCs w:val="18"/>
          <w:color w:val="auto"/>
        </w:rPr>
        <w:t>- It is important to us that our supply chain reflects our commitment to doing business with the highest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of ethics and integrity. Each Cimpress business seeks to ensure its supply chain does not allow for unacceptable practices such as environmental crimes, child labor, slavery or unsafe working conditions.</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More information can be found at www.cimpress.com in our Corporate Social Responsibility section, including links to reports and documents such as our supplier code of conduct, compliance with the UK anti-slavery act and our supply chain transparency disclosure.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seek to protect our proprietary rights through a combination of patents, copyrights, trade secrets, trademarks and contractual restrictions. We enter into confidentiality and proprietary rights agreements with our employees, consultants and business partners, and control access to, and distribution of, our proprietary information. We have registered, or applied for the registration of, a number of U.S. and international domain names, trademarks, and copyrights. Additionally, we have filed U.S. and international patent applications for certain of our proprietary technology.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regarding the risks associated with our intellectual property is contained in “Item 1A. Risk Factors” of this 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Business Segment and Geographic Information</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information about our reporting segments and geographic information about our revenues, segment profit and long-lived assets, see Item 8 of Part II, “Financial Statements and Supplementary Data — Note 16 — Segment Information” and Item 7 of Part II, “Management’s Discussion and Analysis of Financial Condition and Results of Operations.” The descriptions of our business, products, and markets in this section apply to all of our operating segments.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profitability has historically been highly seasonal. Our second fiscal quarter, ending December 31, includes the majority of the holiday shopping season and has become our strongest quarter for sales of our consumer-oriented products, such as holiday cards, calendars, photo books, and personalized gifts.</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income during the second fiscal quarter represented 46% and 86% of annual operating income in the years ended June 30, 2018 and 2016, respectively. During the year ended June 30, 2017, in a period we recognized a loss from operations, the second quarter was the only profitable quarter during the year. Our National Pen business, which we acquired on December 30, 2017, is highly seasonal and we expect their second quarter to include the majority of the profits generated in the fiscal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we had approximately 10,800 full-time and approximately 1,200 temporary employees worldwide.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Cimpress N.V. (formerly named Vistaprint N.V.) was incorporated under the laws of the Netherlands on June 5, 2009 and on August 30, 2009 became the publicly traded parent company of the Cimpress group of entities. We maintain our registered office at Hudsonweg 8, 5928 LW Venlo, the Netherlands. Our telephone number in the Netherlands is +31-77-850-7700.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make available, free of charge through our United States website, the reports, proxy statements, amendments and other materials we file with or furnish to the SEC as soon as reasonably practicable after we electronically file or furnish such materials with or to the SEC. The address of our United States website is www.cimpress.com. We are not including the information contained on our website, or information that can be accessed by links contained on our website, as a part of, or incorporating it by reference into,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0"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spacing w:after="0" w:line="13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long-term growth strategy is not successful, our business and financial results could be harmed.</w:t>
      </w:r>
    </w:p>
    <w:p>
      <w:pPr>
        <w:spacing w:after="0" w:line="247"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may not achieve our long-term objectives, and our investments in our business may fail to impact our results and growth as anticipated. Some of the factors that could cause our business strategy to fail to achieve our objectives include the following, among others: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5" w:right="239" w:bottom="1440" w:gutter="0" w:footer="0" w:header="0"/>
        </w:sectPr>
      </w:pPr>
    </w:p>
    <w:bookmarkStart w:id="11" w:name="page12"/>
    <w:bookmarkEnd w:id="11"/>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adequately execute our strategy or anticipate and overcome obstacles to achieving our strategic goals</w:t>
      </w:r>
    </w:p>
    <w:p>
      <w:pPr>
        <w:spacing w:after="0" w:line="225"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develop our mass customization platform or the failure of the platform to drive the efficiencies and competitive advantage we expect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manage the growth, complexity, and pace of change of our business and expand our operations</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acquire, at a value-accretive price or at all, businesses that enhance the growth and development of our business or to effectively integrate the businesses we do acquire into our business</w:t>
      </w:r>
    </w:p>
    <w:p>
      <w:pPr>
        <w:spacing w:after="0" w:line="196" w:lineRule="exact"/>
        <w:rPr>
          <w:rFonts w:ascii="Arial" w:cs="Arial" w:eastAsia="Arial" w:hAnsi="Arial"/>
          <w:sz w:val="18"/>
          <w:szCs w:val="18"/>
          <w:color w:val="auto"/>
        </w:rPr>
      </w:pPr>
    </w:p>
    <w:p>
      <w:pPr>
        <w:ind w:left="660" w:right="74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purchase or develop technologies and other key assets and capabilities to increase our efficiency, enhance our competitive advantage, and scale our operations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realize the anticipated benefits of the decentralization of our operations</w:t>
      </w:r>
    </w:p>
    <w:p>
      <w:pPr>
        <w:spacing w:after="0" w:line="225"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our current supply chain to provide the resources we need at the standards we require and our inability to develop new or enhanced supply chains</w:t>
      </w:r>
    </w:p>
    <w:p>
      <w:pPr>
        <w:spacing w:after="0" w:line="196"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acquire new customers and enter new markets, retain our current customers, and sell more products to current and new customers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address inefficiencies and performance issues in some of our businesses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sustain growth in relatively mature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promote, strengthen, and protect our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effectively manage competition and overlap within our brand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our current and new marketing channels to attract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realize expected returns on our capital allocation decisions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changes in our business, current and anticipated markets, industry, or competitive landscape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attract and retain skilled talent needed to execute our strategy and sustain our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98"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If our strategy is not successful, then our revenue, earnings, cash flows and value may not grow as anticipated, be negatively impacted, or decline, our reputation and brands may be damaged, and the price of our shares may decline. In addition, we may change our strategy from time to time, which can cause fluctuations in our financial results and volatility in our share price.</w:t>
      </w:r>
    </w:p>
    <w:p>
      <w:pPr>
        <w:spacing w:after="0" w:line="18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Purchasers of customized products may not choose to shop online, which would limit our acquisition of new customers that are necessary to the success of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sell most of our products and services through the Internet. Because the online market for most of our products and services is not mature, our success depends in part on our ability to attract customers who have historically purchased products and services we offer through offline channels. Specific factors that could prevent prospective customers from purchasing from us online include the following:</w:t>
      </w:r>
    </w:p>
    <w:p>
      <w:pPr>
        <w:spacing w:after="0" w:line="20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concerns about buying customized products without face-to-face interaction with design or sales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physically handle and examine product samples before making a purchase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delivery time associated with Internet orders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382" w:right="279" w:bottom="1440" w:gutter="0" w:footer="0" w:header="0"/>
        </w:sectPr>
      </w:pPr>
    </w:p>
    <w:bookmarkStart w:id="12" w:name="page13"/>
    <w:bookmarkEnd w:id="12"/>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delayed or lost shipments or shipments of incorrect or damaged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desire to support and buy from local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access to the Internet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inconvenience associated with returning or exchanging purchased items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our internal research shows that an increasing number of current and potential customers access our websites using smart phones or tablets and that our website visits using traditional computers may decline. Designing and purchasing custom designed products on a smart phone, tablet, or other mobile device is more difficult than doing so with a traditional computer due to limited screen sizes and bandwidth constraints. If our customers and potential customers have difficulty accessing and using our websites and technologies, then our revenue could decline.</w:t>
      </w:r>
    </w:p>
    <w:p>
      <w:pPr>
        <w:spacing w:after="0" w:line="18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auto"/>
        </w:rPr>
        <w:t>We may not succeed in promoting and strengthening our brands, which could prevent us from acquiring new customers and increasing revenues.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 primary component of our business strategy is to promote and strengthen our brands to attract new and repeat customers, and we face significant competition from other companies in our markets who also seek to establish strong brands. To promote and strengthen our brands, we must incur substantial marketing expenses and establish a relationship of trust with our customers by providing a high-quality customer experience, which requires us to invest substantial amounts of our resources. Our ability to provide a high-quality customer experience is also dependent on external factors over which we may have little or no control, such as the reliability and performance of our suppliers, third-party fulfillers, third-party carriers, and communication infrastructure providers. If we are unable to promote our brands or provide customers with a high-quality customer experience, we may fail to attract new customers, maintain customer relationships, and sustain or increase our revenues.</w:t>
      </w:r>
    </w:p>
    <w:p>
      <w:pPr>
        <w:spacing w:after="0" w:line="15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We manage our business for long-term results, and our quarterly and annual financial results often fluctuate, which may lead to volatility in our share price.</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revenues and operating results often vary significantly from period to period due to a number of factors, and as a result comparing our financial results on a period-to-period basis may not be meaningful. We prioritize our uppermost financial objective of maximizing our intrinsic value per share even at the expense of shorter-term results and do not manage our business to maximize current period reported financial results, including our GAAP net income and operating cash flow and other results we report. Many of the factors that lead to period-to-period fluctuations are outside of our control; however, some factors are inherent in our business strategies. Some of the specific factors that could cause our operating results to fluctuate from quarter to quarter or year to year include among others:</w:t>
      </w:r>
    </w:p>
    <w:p>
      <w:pPr>
        <w:spacing w:after="0" w:line="209" w:lineRule="exact"/>
        <w:rPr>
          <w:sz w:val="20"/>
          <w:szCs w:val="20"/>
          <w:color w:val="auto"/>
        </w:rPr>
      </w:pPr>
    </w:p>
    <w:p>
      <w:pPr>
        <w:ind w:left="660" w:right="4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our business in the current period intended to generate longer-term returns, where the costs in the near term will not be offset by revenue or cost savings until future periods, if at all;</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seasonality-driven or other variations in the demand for our products and services, in particular during our second fiscal quarter;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and interest rate fluctuations, which affect our revenues, costs, and fair value of our assets and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customers and generate purchases;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shifts in revenue mix toward less profitable products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commencement or termination of agreements with our strategic partners, suppliers, and others;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98" w:right="279" w:bottom="1440" w:gutter="0" w:footer="0" w:header="0"/>
        </w:sectPr>
      </w:pPr>
    </w:p>
    <w:bookmarkStart w:id="13" w:name="page14"/>
    <w:bookmarkEnd w:id="13"/>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our production, fulfillment, and support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to produce and deliver our products and provide our services, including the effects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pricing and marketing strategies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and charges related to our compensation arrangements with our executives and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and charges resulting from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increases in credits, beyond our estimated allowances, for customers who are not satisfied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income tax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to acquire businesses or integrate our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impairments of our tangible and intangible assets including goodwill;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our minority investments and joint ventures.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Some of our expenses, such as office leases, depreciation related to previously acquired property and equipment, and personnel costs, are relatively fixed, and we may be unable to, or may not choose to, adjust operating expenses to offset any revenue shortfall. Accordingly, any shortfall in revenue may cause significant variation in operating results in any period. Our operating results may sometimes be below the expectations of public market analysts and investors, in which case the price of our ordinary shares may decline.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developing our mass customization platform or in realizing the anticipated benefits of the platform.</w:t>
      </w:r>
    </w:p>
    <w:p>
      <w:pPr>
        <w:spacing w:after="0" w:line="20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 key component of our strategy is the development of a mass customization platform. The process of developing new technology is complex, costly, and uncertain, and the development effort could be disruptive to our business and existing systems. We must make long-term investments, develop or obtain appropriate intellectual property, and commit significant resources before knowing whether our mass customization platform will be successful and make us more effective and competitive. As a result, there can be no assurance that we will successfully complete the development of the platform, that our diverse businesses will realize value from the platform, or that we will realize expected returns on the capital expended to develop the platform.</w:t>
      </w:r>
    </w:p>
    <w:p>
      <w:pPr>
        <w:spacing w:after="0" w:line="168"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In addition, we are aware that other companies are developing platforms that could compete with ours. If a competitor were to develop and reach scale with a platform before we do, our competitive position could be harmed.</w:t>
      </w:r>
    </w:p>
    <w:p>
      <w:pPr>
        <w:spacing w:after="0" w:line="14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color w:val="auto"/>
        </w:rPr>
        <w:t>Our global operations, decentralized organizational structure, and expansion place a significant strain on our management, employees, facilities, and other resources and subject us to additional risks.</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are a global company with production facilities, offices, and localized websites in many countries across six continents, and we have decentralized our organizational structure and operations. We expect to establish operations, acquire or invest in businesses, and sell our products and services in additional geographic regions, including emerging markets, where we may have limited or no experience. We may not be successful in all regions and markets in which we invest or where we establish operations, which may be costly to us. We are subject to a number of risks and challenges that relate to our global operations, decentralization, and expansion, including, among others:</w:t>
      </w:r>
    </w:p>
    <w:p>
      <w:pPr>
        <w:spacing w:after="0" w:line="206" w:lineRule="exact"/>
        <w:rPr>
          <w:sz w:val="20"/>
          <w:szCs w:val="20"/>
          <w:color w:val="auto"/>
        </w:rPr>
      </w:pPr>
    </w:p>
    <w:p>
      <w:pPr>
        <w:ind w:left="5620" w:right="2000" w:hanging="5288"/>
        <w:spacing w:after="0" w:line="794" w:lineRule="auto"/>
        <w:tabs>
          <w:tab w:leader="none" w:pos="6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managing operations in, and communications among, multiple businesses, locations, and time zones; 12</w:t>
      </w:r>
    </w:p>
    <w:p>
      <w:pPr>
        <w:sectPr>
          <w:pgSz w:w="11900" w:h="16838" w:orient="portrait"/>
          <w:cols w:equalWidth="0" w:num="1">
            <w:col w:w="11420"/>
          </w:cols>
          <w:pgMar w:left="240" w:top="598" w:right="239" w:bottom="1440" w:gutter="0" w:footer="0" w:header="0"/>
        </w:sectPr>
      </w:pPr>
    </w:p>
    <w:bookmarkStart w:id="14" w:name="page15"/>
    <w:bookmarkEnd w:id="14"/>
    <w:p>
      <w:pPr>
        <w:ind w:left="660" w:right="4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complying with multiple tax laws, treaties, and regulations and limiting our exposure to onerous or unanticipated taxes, duties, and other costs;</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improve and adapt our financial and operational controls to manage our decentralized business and comply with our legal obligations;</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challenge of complying with disparate laws in multiple countries, such as local regulations that may impair our ability to conduct our business as planned, protectionist laws that favor local businesses, and restrictions imposed by local labor laws;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inexperience in marketing and selling our products and services within unfamiliar countries and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of working with local business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properly understand and develop graphic design content and product formats and attributes appropriate for local tastes;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caused by political and social instability that may occur in some countries;</w:t>
      </w:r>
    </w:p>
    <w:p>
      <w:pPr>
        <w:spacing w:after="0" w:line="225"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corrupt business practices, such as bribery or the willful infringement of intellectual property rights, that may be common in some countries or in some sales channels and markets;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repatriating cash from some countries;</w:t>
      </w:r>
    </w:p>
    <w:p>
      <w:pPr>
        <w:spacing w:after="0" w:line="225"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importing and exporting our products across country borders and difficulty complying with customs regulations in the many countries where we sell products;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or cessation of important components of our international supply chain;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local laws to provide a sufficient degree of protection against infringement of our intellectual property.</w:t>
      </w:r>
    </w:p>
    <w:p>
      <w:pPr>
        <w:spacing w:after="0" w:line="22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There is considerable uncertainty about the economic and regulatory effects of the United Kingdom's exit from the European Union (commonly referred to as "Brexit"). The UK is one of our largest markets in Europe, but we currently ship products to UK customers primarily from continental Europe. If Brexit results in greater restrictions on imports and exports between the UK and the EU or increased regulatory complexity, then our operations and financial results could be negatively impacted.</w:t>
      </w:r>
    </w:p>
    <w:p>
      <w:pPr>
        <w:spacing w:after="0" w:line="20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addition, we are exposed to fluctuations in currency exchange rates that may impact items such as the translation of our revenues and expenses, remeasurement of our intercompany balances, and the value of our cash and cash equivalents and other assets and liabilities denominated in currencies other than the U.S. dollar, our reporting currency. The hedging activities we engage in may not mitigate the net impact of currency exchange rate fluctuations, and our financial results may differ materially from expectations as a result of such fluctuations.</w:t>
      </w:r>
    </w:p>
    <w:p>
      <w:pPr>
        <w:spacing w:after="0" w:line="182"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color w:val="auto"/>
        </w:rPr>
        <w:t>Failure to protect our information systems and the confidential information of our customers, employees, and business partners against security breaches or thefts could damage our reputation and brands, subject us to litigation and enforcement actions, and substantially harm our business and results of operations.</w:t>
      </w:r>
    </w:p>
    <w:p>
      <w:pPr>
        <w:spacing w:after="0" w:line="19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Our information systems and those of third parties with which we share information are vulnerable to an increasing threat of cyber security risks, including physical and electronic break-ins, computer viruses, and phishing and other social engineering scams, among other risks. As security threats evolve and become more sophisticated and more difficult to detect and defend against, a hacker or thief may defeat our security measures, or those of our third-party service provider, partner, or vendor, and obtain confidential or personal information. We or the third party may not discover the security breach and theft of information for a significant period of time after the breach occurs. We may need to</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382" w:right="299" w:bottom="1440" w:gutter="0" w:footer="0" w:header="0"/>
        </w:sectPr>
      </w:pPr>
    </w:p>
    <w:bookmarkStart w:id="15" w:name="page16"/>
    <w:bookmarkEnd w:id="15"/>
    <w:p>
      <w:pPr>
        <w:ind w:right="100"/>
        <w:spacing w:after="0" w:line="256" w:lineRule="auto"/>
        <w:rPr>
          <w:sz w:val="20"/>
          <w:szCs w:val="20"/>
          <w:color w:val="auto"/>
        </w:rPr>
      </w:pPr>
      <w:r>
        <w:rPr>
          <w:rFonts w:ascii="Arial" w:cs="Arial" w:eastAsia="Arial" w:hAnsi="Arial"/>
          <w:sz w:val="18"/>
          <w:szCs w:val="18"/>
          <w:color w:val="auto"/>
        </w:rPr>
        <w:t>expend significant resources to protect against security breaches and thefts of data or to address problems caused by breaches or thefts, and we may not be able to anticipate cyber attacks or implement adequate preventative measures. Any compromise or breach of our information systems or the information systems of third parties with which we share information could, among other things:</w:t>
      </w:r>
    </w:p>
    <w:p>
      <w:pPr>
        <w:spacing w:after="0" w:line="20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our reputation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expose us to losses, remediation costs, litigation, enforcement actions, and possible liability;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 in a failure to comply with legal and industry privacy regulations and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lead to the misuse of our and our customers' confidential or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interruptions in our operations; and</w:t>
      </w:r>
    </w:p>
    <w:p>
      <w:pPr>
        <w:spacing w:after="0" w:line="225"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us to lose revenue if existing and potential customers believe that their personal and payment information may not be safe with us.</w:t>
      </w:r>
    </w:p>
    <w:p>
      <w:pPr>
        <w:spacing w:after="0" w:line="196"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 principles could result in actions against us by governmental entities or others, a loss of customer confidence, and damage to our brands, any of which could have an adverse effect on our business. In addition, the regulatory landscape is constantly changing, as various regulatory bodies throughout the world enact new laws concerning privacy, data retention, data transfer and data protection. For example, the recent General Data Protection Regulation in Europe includes operational and compliance requirements that are different than those previously in place and also includes significant penalties for non-compliance. Complying with these varying and changing requirements could cause us to incur substantial costs or require us to change our business practices in a manner adverse to our business and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strategic investments may be disruptive to our business.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 important way in which we pursue our strategy is to selectively acquire businesses, technologies, and services and make minority investments in businesses and joint ventures. The time and expense associated with finding suitable businesses, technologies, or services to acquire or invest in can be disruptive to our ongoing business and divert our management's attention. In addition, we have needed in the past, and may need in the future, to seek financing for acquisitions and investments, which may not be available on terms that are favorable to us, or at all, and can cause dilution to our shareholders, cause us to incur additional debt, or subject us to covenants restricting the activities we may undertake.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strategic investments may fail to achieve our goals.</w:t>
      </w:r>
    </w:p>
    <w:p>
      <w:pPr>
        <w:spacing w:after="0" w:line="247"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An acquisition, minority investment, or joint venture may fail to achieve our goals and expectations for a number of reasons including the following:</w:t>
      </w:r>
    </w:p>
    <w:p>
      <w:pPr>
        <w:spacing w:after="0" w:line="19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business we acquired or invested in may not perform as well as we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overpay for acquired businesses, which can, among other things, negatively affect our intrinsic value per share.</w:t>
      </w:r>
    </w:p>
    <w:p>
      <w:pPr>
        <w:spacing w:after="0" w:line="225"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integrate acquired businesses, technologies, services, or internal systems effectively, or the integration may be more expensive or take more time than we anticipated.</w:t>
      </w:r>
    </w:p>
    <w:p>
      <w:pPr>
        <w:spacing w:after="0" w:line="196" w:lineRule="exact"/>
        <w:rPr>
          <w:rFonts w:ascii="Arial" w:cs="Arial" w:eastAsia="Arial" w:hAnsi="Arial"/>
          <w:sz w:val="18"/>
          <w:szCs w:val="18"/>
          <w:color w:val="auto"/>
        </w:rPr>
      </w:pPr>
    </w:p>
    <w:p>
      <w:pPr>
        <w:ind w:left="660" w:right="70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management of our minority investments and joint ventures may be more expensive or may take more resources than we expected.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realize the anticipated benefits of integrating acquired businesses into our mass customization platform.</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382" w:right="279" w:bottom="1440" w:gutter="0" w:footer="0" w:header="0"/>
        </w:sectPr>
      </w:pPr>
    </w:p>
    <w:bookmarkStart w:id="16" w:name="page17"/>
    <w:bookmarkEnd w:id="16"/>
    <w:p>
      <w:pPr>
        <w:ind w:left="660" w:right="54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encounter cultural or language challenges in integrating an acquired business or managing our minority investment in a business.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retain customers and key employees of the acquired businesses, and we and the businesses we acquire or invest in may not be able to cross sell products and services to each other's customers.</w:t>
      </w:r>
    </w:p>
    <w:p>
      <w:pPr>
        <w:spacing w:after="0" w:line="19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generally assume the liabilities of businesses we acquire, which could include liability for an acquired business' violation of law that occurred before we acquired it. In addition, we have historically acquired smaller, privately held companies that may not have as strong a culture of legal compliance or as robust financial controls as a larger, publicly traded company like Cimpress, and if we fail to implement adequate training, controls, and monitoring of the acquired companies, we could also be liable for post-acquisition legal violations.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minority investments can negatively impact our financial results.</w:t>
      </w:r>
    </w:p>
    <w:p>
      <w:pPr>
        <w:spacing w:after="0" w:line="24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Acquisitions and minority investments can be costly, and some of our acquisitions and investments may be dilutive, leading to reduced earnings. Acquisitions and investments can result in increased expenses including impairments of goodwill and intangible assets if financial goals are not achieved, assumptions of contingent or unanticipated liabilities, amortization of acquired intangible assets, and increased tax costs.</w:t>
      </w:r>
    </w:p>
    <w:p>
      <w:pPr>
        <w:spacing w:after="0" w:line="20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addition, the accounting for our acquisitions and minority investments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or options to purchase non-controlling interests in our minority investments, which can be difficult to forecast. If in the future our assumptions change and we determine that higher levels of achievement are likely under our earn outs or future purchase obligations, we will need to pay and record additional amounts to reflect the increased purchase price. These additional amounts could be significant and could adversely impact our results of operations.</w:t>
      </w:r>
    </w:p>
    <w:p>
      <w:pPr>
        <w:spacing w:after="0" w:line="20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Furthermore, earn-out provisions can lead to disputes with the sellers about the achievement of the earn-out performance targets, earn-out performance targets can sometimes create inadvertent incentives for the acquired company's management to take short-term actions designed to maximize the earn out instead of benefiting the business, and strong performance of the underlying business could result in material payments pursuant to earn-out provisions or future purchase obligations that may or may not reflect the fair market value of the asset at that time.</w:t>
      </w:r>
    </w:p>
    <w:p>
      <w:pPr>
        <w:spacing w:after="0" w:line="15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If we are unable to attract new and repeat customers in a cost-effective manner, our business and results of operations could be harmed.</w:t>
      </w:r>
    </w:p>
    <w:p>
      <w:pPr>
        <w:spacing w:after="0" w:line="14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success depends on our ability to attract new and repeat customers in a cost-effective manner. We rely on a variety of methods to do this including drawing visitors to our websites, promoting our products and services through search engines such as Google, Bing, and Yahoo!, email, direct mail, advertising banners and other online links, broadcast media, telesales and word-of-mouth customer referrals. If the search engines on which we rely modify their algorithms, terminate their relationships with us, or increase the prices at which we may purchase listings, our costs could increase, and fewer customers may click through to our websites. If links to our websites are not displayed prominently in online search results, if fewer customers click through to our websites, if our direct mail marketing campaigns are not effective, or if the costs of attracting customers using any of our current methods significantly increase, then our ability to efficiently attract new and repeat customers would be reduced, our revenue and net income could decline, and our business and results of operations would be harmed.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fluctuations in our business place a strain on our operations and resources.</w:t>
      </w:r>
    </w:p>
    <w:p>
      <w:pPr>
        <w:spacing w:after="0" w:line="220"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Our profitability has historically been highly seasonal. Our second fiscal quarter includes the majority of the holiday shopping season and accounts for a disproportionately high portion of our earnings for the year, primarily due to higher sales of home and family products such as holiday cards, calendars, photo books, and personalized gifts. In addition, the National Pen business we acquired in December 2016 has historically generated nearly all of its profits during the December quarter. Our operating income during the second fiscal quarter represented 46% and 86% of annual operating income in the years ended June 30, 2018 and 2016, respectively, and during the year</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382" w:right="279" w:bottom="1440" w:gutter="0" w:footer="0" w:header="0"/>
        </w:sectPr>
      </w:pPr>
    </w:p>
    <w:bookmarkStart w:id="17" w:name="page18"/>
    <w:bookmarkEnd w:id="17"/>
    <w:p>
      <w:pPr>
        <w:spacing w:after="0" w:line="252" w:lineRule="auto"/>
        <w:rPr>
          <w:sz w:val="20"/>
          <w:szCs w:val="20"/>
          <w:color w:val="auto"/>
        </w:rPr>
      </w:pPr>
      <w:r>
        <w:rPr>
          <w:rFonts w:ascii="Arial" w:cs="Arial" w:eastAsia="Arial" w:hAnsi="Arial"/>
          <w:sz w:val="18"/>
          <w:szCs w:val="18"/>
          <w:color w:val="auto"/>
        </w:rPr>
        <w:t>ended June 30, 2017, in a period we recognized a loss from operations, the second quarter was the only profitable quarter. In anticipation of increased sales activity during our second fiscal quarter holiday season, we typically incur significant additional capacity related expenses each year to meet our seasonal needs, including facility expansions, equipment purchases and leases, and increases in the number of temporary and permanent employees. Lower than expected sales during the second quarter would likely have a disproportionately large impact on our operating results and financial condition for the full fiscal year. In addition, if our manufacturing and other operations are unable to keep up with the high volume of orders during our second fiscal quarter or we experience inefficiencies in our production, then our costs may be significantly higher, and we and our customers can experience delays in order fulfillment and delivery and other disruptions. If we are unable to accurately forecast and respond to seasonality in our business, our business and results of operations may be materially harmed.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cash flows, or leverage.</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 Since some of our hedging activity addresses long-term exposures, such as our net investment in our subsidiaries, the gains or losses on those hedges could be recognized before the offsetting exposure materializes to offset them. This could result in our having to borrow to settle a loss on a derivative without an offsetting cash inflow, potentially causing volatility in our cash or debt balances and therefore our leverage.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face risks related to interruption of our operations and lack of redundancy.</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businesses' production facilities, websites, infrastructure, supply chain, customer service centers, and operations may be vulnerable to interruptions, and our businesses do not have redundancies or alternatives in all cases to carry on these operations in the event of an interruption. In addition, because our businesses are dependent in part on third parties for the implementation and maintenance of certain aspects of their communications and production systems, they may not be able to remedy interruptions to these systems in a timely manner or at all due to factors outside of their control. Some of the events that could cause interruptions in our businesses' operations or systems are the following, among others:</w:t>
      </w:r>
    </w:p>
    <w:p>
      <w:pPr>
        <w:spacing w:after="0" w:line="20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fire, natural disasters, or extreme weather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strike, work stoppage, or other issues with our workforce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instability or acts of terrorism or war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power loss or telecommunication failure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attacks on our external websites or internal network by hackers or other malicious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undetected errors or design faults in our technology, infrastructure, and processes that may cause our websites to fail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inadequate capacity in our systems and infrastructure to cope with periods of high volume and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human error, including poor managerial judgment or oversight</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Any interruptions to our businesses' systems or operations could result in lost revenue, increased costs, negative publicity, damage to our businesses' reputation and brands, and an adverse effect on our business and results of operations. Building redundancies into our businesses' infrastructure, systems, and supply chain to mitigate these risks may require us to commit substantial financial, operational, and technical resources, in some cases before the volume of their business increases with no assurance that their revenues will increase.</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71"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We face intense competition, and we expect our competition to continue to increase.</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markets for our products and services are intensely competitive, highly fragmented, and geographically dispersed. The competitive landscape for e-commerce companies continues to change as new e-commerce businesses are introduced and traditional “bricks and mortar” businesses establish an online presence. Competition may result in price pressure, reduced profit margins, and loss of market share and brand recognition, any of which could substantially harm our business and financial results. Current and potential competitors include the following (in no particular order):</w:t>
      </w:r>
    </w:p>
    <w:p>
      <w:pPr>
        <w:spacing w:after="0" w:line="20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online printing and graphic design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office superstores, drug store chains, food retailers, and other major retailers targeting small business and consumer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gifts, and packaging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Internet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 party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providers of digital marketing such as social media and local search directories</w:t>
      </w:r>
    </w:p>
    <w:p>
      <w:pPr>
        <w:spacing w:after="0" w:line="22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Many of our current and potential competitors have advantages over us, including longer operating histories, greater brand recognition or loyalty, more focus on a given subset of our business, or significantly greater financial, marketing, and other resources. Many of our competitors currently work together, and additional competitors may do so in the future through strategic business agreements or acquisitions. In addition, we have in the past and may in the future choose to collaborate with some of our existing and potential competitors in strategic partnerships that we believe will improve our competitive position and financial results. It is possible, however, that such ventures will be unsuccessful and that our competitive position and financial results will be adversely affected as a result of such collaboration.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meet our customers' price expectations would adversely affect our business and results of operations.</w:t>
      </w:r>
    </w:p>
    <w:p>
      <w:pPr>
        <w:spacing w:after="0" w:line="247"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Demand for our products and services is sensitive to price for almost all of our businesses, and changes in our pricing strategies, including shipping pricing, have had a significant impact on the numbers of customers and orders in some regions, which in turn affects our revenues, profitability, and results of operations. Many factors can significantly impact our pricing and marketing strategies, including the costs of running our business, our competitors' pricing and marketing strategies, and the effects of inflation. If we fail to meet our customers' price expectations, our business and results of operations may suffer.</w:t>
      </w:r>
    </w:p>
    <w:p>
      <w:pPr>
        <w:spacing w:after="0" w:line="184"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color w:val="auto"/>
        </w:rPr>
        <w:t>We are subject to safety, health, and environmental laws and regulations, which could result in liabilities, cost increases, or restrictions on our operations.</w:t>
      </w:r>
    </w:p>
    <w:p>
      <w:pPr>
        <w:spacing w:after="0" w:line="175"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We are subject to a variety of safety, health and environmental, or SHE, laws and regulations in each of the jurisdictions in which we operate. These laws and regulations govern, among other things, air emissions, wastewater discharges, the storage, handling and disposal of hazardous and other regulated substances and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0" w:right="259" w:bottom="1440" w:gutter="0" w:footer="0" w:header="0"/>
        </w:sectPr>
      </w:pPr>
    </w:p>
    <w:bookmarkStart w:id="19" w:name="page20"/>
    <w:bookmarkEnd w:id="19"/>
    <w:p>
      <w:pPr>
        <w:ind w:right="220"/>
        <w:spacing w:after="0" w:line="252" w:lineRule="auto"/>
        <w:rPr>
          <w:sz w:val="20"/>
          <w:szCs w:val="20"/>
          <w:color w:val="auto"/>
        </w:rPr>
      </w:pPr>
      <w:r>
        <w:rPr>
          <w:rFonts w:ascii="Arial" w:cs="Arial" w:eastAsia="Arial" w:hAnsi="Arial"/>
          <w:sz w:val="18"/>
          <w:szCs w:val="18"/>
          <w:color w:val="auto"/>
        </w:rPr>
        <w:t>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SHE requirements, or new, more stringent SHE requirements applicable to us are imposed,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spacing w:after="0" w:line="207"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In some cases we pursue self-imposed socially responsible policies that are more stringent than is typically required by laws and regulations, for instance in the areas of worker safety, team member social benefits and environmental protection such as carbon reduction initiatives. The costs of this added SHE effort are often substantial and could grow over time.</w:t>
      </w:r>
    </w:p>
    <w:p>
      <w:pPr>
        <w:spacing w:after="0" w:line="18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The loss of key personnel or an inability to attract and retain additional personnel could affect our ability to successfully grow our business.</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are highly dependent upon the continued service and performance of our senior management and key technical, marketing, and production personnel, any of whom may cease their employment with us at any time with minimal advance notice. We face intense competition for qualified individuals from many other companies in diverse industries. The loss of one or more of our key employees may significantly delay or prevent the achievement of our business objectives, and our failure to attract and retain suitably qualified individuals or to adequately plan for succession could have an adverse effect on our ability to implement our business plan.</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Our credit facility and the indenture that governs our senior notes restrict our current and future operations, particularly our ability to respond to changes or to take certain actions.</w:t>
      </w:r>
    </w:p>
    <w:p>
      <w:pPr>
        <w:spacing w:after="0" w:line="17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senior secured credit facility, which we refer to as our credit facility, and the indenture that governs our 7.0% senior unsecured notes due 2026, which we refer to as our senior notes, contain a number of restrictive covenants that impose significant operating and financial restrictions on us and may limit our ability to engage in acts that may be in our best interest, including restrictions on our ability to:</w:t>
      </w:r>
    </w:p>
    <w:p>
      <w:pPr>
        <w:spacing w:after="0" w:line="310"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and incur liens;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make other distributions or repurchase or redeem capital stock;</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 redeem, or repurchase certain subordinated debt;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certain preferred stock or similar redeemable equity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a result of these restrictions, we may be limited in how we conduct our business, grow in accordance with our strategy, compete effectively, or take advantage of new business opportunities. In addition, the restrictive covenants in the credit facility require us to maintain specified financial ratios and satisfy other financial condition tests. Our ability to meet those financial ratios and tests can be affected by events beyond our control, and we may be unable to meet them.</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8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 default under our indenture or credit facility would have a material, adverse effect on our business.</w:t>
      </w:r>
    </w:p>
    <w:p>
      <w:pPr>
        <w:spacing w:after="0" w:line="247"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Our failure to make scheduled payments on our debt or our breach of the covenants or restrictions under the indenture that governs our senior notes or under our credit facility could result in an event of default under the applicable indebtedness. Such a default would have a material, adverse effect on our business and financial condition, including the following, among others:</w:t>
      </w:r>
    </w:p>
    <w:p>
      <w:pPr>
        <w:spacing w:after="0" w:line="202" w:lineRule="exact"/>
        <w:rPr>
          <w:sz w:val="20"/>
          <w:szCs w:val="20"/>
          <w:color w:val="auto"/>
        </w:rPr>
      </w:pPr>
    </w:p>
    <w:p>
      <w:pPr>
        <w:ind w:left="660" w:right="420" w:hanging="247"/>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lenders could declare all outstanding principal and interest to be due and payable, and we and our subsidiaries may not have sufficient assets to repay that indebtedness.</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secured lenders could foreclose against the assets securing their borrowings.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lenders under the credit facility could terminate all commitments to extend further credit under that facility.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 indebtedness and interest expense could adversely affect our financial condition.</w:t>
      </w:r>
    </w:p>
    <w:p>
      <w:pPr>
        <w:spacing w:after="0" w:line="24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As of June 30, 2018, our total debt was $839.4 million, made up of $400.0 million of senior notes, $432.4 million of loan obligations under our credit facility and $7.0 million of other debt. We had unused commitments of $689.7 million under our credit facility (after giving effect to letter of credit obligations).</w:t>
      </w:r>
    </w:p>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Subject to the limits contained in the credit facility, the indenture that governs our senior notes, and our other debt instruments, we may be able to incur substantial additional debt from time to time to finance working capital, capital expenditures, investments or acquisitions, or for other purposes. If we do so, the risks related to our level of debt could intensify. Specifically, our level of debt could have important consequences, including the following:</w:t>
      </w:r>
    </w:p>
    <w:p>
      <w:pPr>
        <w:spacing w:after="0" w:line="204"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w:t>
      </w:r>
    </w:p>
    <w:p>
      <w:pPr>
        <w:spacing w:after="0" w:line="225" w:lineRule="exact"/>
        <w:rPr>
          <w:rFonts w:ascii="Arial" w:cs="Arial" w:eastAsia="Arial" w:hAnsi="Arial"/>
          <w:sz w:val="18"/>
          <w:szCs w:val="18"/>
          <w:color w:val="auto"/>
        </w:rPr>
      </w:pPr>
    </w:p>
    <w:p>
      <w:pPr>
        <w:ind w:left="660" w:right="520" w:hanging="247"/>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96" w:lineRule="exact"/>
        <w:rPr>
          <w:rFonts w:ascii="Arial" w:cs="Arial" w:eastAsia="Arial" w:hAnsi="Arial"/>
          <w:sz w:val="18"/>
          <w:szCs w:val="18"/>
          <w:color w:val="auto"/>
        </w:rPr>
      </w:pPr>
    </w:p>
    <w:p>
      <w:pPr>
        <w:ind w:left="660" w:right="80" w:hanging="247"/>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8" w:lineRule="exact"/>
        <w:rPr>
          <w:rFonts w:ascii="Arial" w:cs="Arial" w:eastAsia="Arial" w:hAnsi="Arial"/>
          <w:sz w:val="18"/>
          <w:szCs w:val="18"/>
          <w:color w:val="auto"/>
        </w:rPr>
      </w:pPr>
    </w:p>
    <w:p>
      <w:pPr>
        <w:ind w:left="660" w:right="480" w:hanging="247"/>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some of our borrowings, including borrowings under our credit facility, are at variable rates of interest;</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and marketplaces in which we compete;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may be forced to take other actions to satisfy our obligations under our indebtedness, which may not be successful.</w:t>
      </w:r>
    </w:p>
    <w:p>
      <w:pPr>
        <w:spacing w:after="0" w:line="175"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Our ability to make scheduled payments on or refinance our debt obligations depends on our financial condition and operating performance, which are subject to economic and competitive conditions and to various financial, business, legislative, regulatory, and other factors beyond our control. We may be unable to maintain a level of cash flows from operating activities sufficient to permit us to pay the principal, premium, if any, and interest</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576" w:right="299" w:bottom="1440" w:gutter="0" w:footer="0" w:header="0"/>
        </w:sectPr>
      </w:pPr>
    </w:p>
    <w:bookmarkStart w:id="21" w:name="page22"/>
    <w:bookmarkEnd w:id="21"/>
    <w:p>
      <w:pPr>
        <w:ind w:right="180"/>
        <w:spacing w:after="0" w:line="254" w:lineRule="auto"/>
        <w:rPr>
          <w:sz w:val="20"/>
          <w:szCs w:val="20"/>
          <w:color w:val="auto"/>
        </w:rPr>
      </w:pPr>
      <w:r>
        <w:rPr>
          <w:rFonts w:ascii="Arial" w:cs="Arial" w:eastAsia="Arial" w:hAnsi="Arial"/>
          <w:sz w:val="18"/>
          <w:szCs w:val="18"/>
          <w:color w:val="auto"/>
        </w:rPr>
        <w:t>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w:t>
      </w:r>
    </w:p>
    <w:p>
      <w:pPr>
        <w:spacing w:after="0" w:line="204"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If we cannot make scheduled payments on our debt, we will be in default. 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80"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color w:val="auto"/>
        </w:rPr>
        <w:t>Our variable rate indebtedness subjects us to interest rate risk, which could cause our debt service obligations to increase significantly.</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 As of June 30, 2018, a hypothetical 100 basis point increase in rates, inclusive of our outstanding interest rate swaps, would result in an increase of interest expense of approximately $2.4 million over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Border controls and duties and restrictions on cross-border commerce may negatively impact our business.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Many governments impose restrictions on shipping goods into their countries, as well as protectionist measures such as customs duties and tariffs that may apply directly to product categories comprising a material portion of our revenues. The customs laws, rules and regulations that we are required to comply with are complex and subject to unpredictable enforcement and modification. As a result of these restrictions, we have from time to time experienced delays in shipping our manufactured products into certain countries, and changes in cross-border regulations could have a significant negative effect on our business. For example, the current United States administration has made, and may continue to make, major changes in trade policy between the United States and other countries, such as the imposition of additional tariffs and duties on imported products. Because we produce most physical products for our United States customers at our facilities in Canada and Mexico and we source most materials for our products outside the United States, including material amounts of sourcing from China, future changes in tax policy or trade relations could adversely affect our business and results of operations.</w:t>
      </w:r>
    </w:p>
    <w:p>
      <w:pPr>
        <w:spacing w:after="0" w:line="16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If we are unable to protect our intellectual property rights, our reputation and brands could be damaged, and others may be able to use our technology, which could substantially harm our business and financial results.</w:t>
      </w:r>
    </w:p>
    <w:p>
      <w:pPr>
        <w:spacing w:after="0" w:line="17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rely on a combination of patents, trademarks, trade secrets, copyrights, and contractual restrictions to protect our intellectual property, but these protective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throughout the world, our competitors or other entities may adopt names, marks, or domain names similar to ours, 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spacing w:after="0" w:line="18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Intellectual property disputes and litigation are costly and could cause us to lose our exclusive rights, subject us to liability, or require us to stop some of our business activities.</w:t>
      </w:r>
    </w:p>
    <w:p>
      <w:pPr>
        <w:spacing w:after="0" w:line="175"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82" w:right="259" w:bottom="1440" w:gutter="0" w:footer="0" w:header="0"/>
        </w:sectPr>
      </w:pPr>
    </w:p>
    <w:bookmarkStart w:id="22" w:name="page23"/>
    <w:bookmarkEnd w:id="22"/>
    <w:p>
      <w:pPr>
        <w:ind w:right="340"/>
        <w:spacing w:after="0" w:line="256" w:lineRule="auto"/>
        <w:rPr>
          <w:sz w:val="20"/>
          <w:szCs w:val="20"/>
          <w:color w:val="auto"/>
        </w:rPr>
      </w:pPr>
      <w:r>
        <w:rPr>
          <w:rFonts w:ascii="Arial" w:cs="Arial" w:eastAsia="Arial" w:hAnsi="Arial"/>
          <w:sz w:val="18"/>
          <w:szCs w:val="18"/>
          <w:color w:val="auto"/>
        </w:rPr>
        <w:t>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w:t>
      </w:r>
    </w:p>
    <w:p>
      <w:pPr>
        <w:spacing w:after="0" w:line="18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Our business is dependent on the Internet, and unfavorable changes in government regulation of the Internet, e-commerce, and email marketing could substantially harm our business and financial results.</w:t>
      </w:r>
    </w:p>
    <w:p>
      <w:pPr>
        <w:spacing w:after="0" w:line="17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Due to our dependence on the Internet for most of our sales, laws specifically governing the Internet, e-commerce, and email marketing may have a greater impact on our operations than other more traditional businesses. Existing and future laws, such as laws covering pricing, customs, privacy, consumer protection, or commercial email, may impede the growth of e-commerce and our ability to compete with traditional “bricks and mortar” retailers. Existing and future laws or unfavorable changes or interpretations of these laws could substantially harm our business and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of our business partners to use legal and ethical business practices could negatively impact our business.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contract with multiple business partners in an increasing number of jurisdictions worldwide, including sourcing the raw materials for the products we sell from an expanding number of suppliers and contracting with third-party merchants and manufacturers for the placement and fulfillment of customer orders. We require our suppliers, fulfillers, and merchants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 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w:t>
      </w:r>
    </w:p>
    <w:p>
      <w:pPr>
        <w:spacing w:after="0" w:line="19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If we were required to review the content that our customers incorporate into our products and interdict the shipment of products that violate copyright protections or other laws, our costs would significantly increase, which would harm our results of operations.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Because of our focus on automation and high volumes, the vast majority of our sales do not involve any human-based review of content. Although our websites' terms of use specifically require customers to make representations about the legality and ownership of the content they upload for production, there is a risk that a 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we were to become legally obligated to perform manual screening of customer orders, our costs would increase significantly, and we could be required to pay substantial penalties or monetary damages for any failure in our screening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customer payment-related risks.</w:t>
      </w:r>
    </w:p>
    <w:p>
      <w:pPr>
        <w:spacing w:after="0" w:line="2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accept payments for our products and services on our websites by a variety of methods, including credit or debit card, PayPal, check, wire transfer, or other methods. In some geographic regions, we rely on one or two third party companies to provide payment processing services. If any of the payment processing or other companies with which we have contractual arrangements became unwilling or unable to provide these services to us or they or we are unable to comply with our contractual requirements under such arrangements, then we would need to find and engage replacement providers, which we may not be able to do on terms that are acceptable to us or at all, or to process the payments ourselves. Any of these scenarios could be disruptive to our business as they could be costly and time consuming and may unfavorably impact our customers.</w:t>
      </w:r>
    </w:p>
    <w:p>
      <w:pPr>
        <w:spacing w:after="0" w:line="20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we offer new payment options to our customers, we may be subject to additional regulations, compliance requirements and fraud risk. For some payment methods, including credit and debit cards, we pay interchange and other fees, which may increase over time and raise our operating costs and lower our profit margins or require that we charge our customers more for our products. We are also subject to payment card association and similar operating rules and requirements, which could change or be reinterpreted to make it difficult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82" w:right="239" w:bottom="1440" w:gutter="0" w:footer="0" w:header="0"/>
        </w:sectPr>
      </w:pPr>
    </w:p>
    <w:bookmarkStart w:id="23" w:name="page24"/>
    <w:bookmarkEnd w:id="23"/>
    <w:p>
      <w:pPr>
        <w:ind w:right="100"/>
        <w:spacing w:after="0" w:line="256" w:lineRule="auto"/>
        <w:rPr>
          <w:sz w:val="20"/>
          <w:szCs w:val="20"/>
          <w:color w:val="auto"/>
        </w:rPr>
      </w:pPr>
      <w:r>
        <w:rPr>
          <w:rFonts w:ascii="Arial" w:cs="Arial" w:eastAsia="Arial" w:hAnsi="Arial"/>
          <w:sz w:val="18"/>
          <w:szCs w:val="18"/>
          <w:color w:val="auto"/>
        </w:rPr>
        <w:t>or impossible for us to comply. If we fail to comply with these rules and requirements, we may be subject to fines and higher transaction fees and lose our ability to accept credit and debit card payments from our customers or facilitate other types of online payments, and our business and operating results could be materially adversely affected.</w:t>
      </w:r>
    </w:p>
    <w:p>
      <w:pPr>
        <w:spacing w:after="0" w:line="202"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In addition, we may be liable for fraudulent transactions conducted on our websites, such as through the use of stolen credit card numbers. To date, quarterly losses from payment fraud have not exceeded 1% of total revenues in any quarter, but we continue to face the risk of significant losses from this type of fraud.</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We may be subject to product liability or environmental compliance claims if people, property, or the environment are harmed by the products we sell.</w:t>
      </w:r>
    </w:p>
    <w:p>
      <w:pPr>
        <w:spacing w:after="0" w:line="17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Some of the products we sell may expose us to product liability or environmental compliance claims relating to issues such as personal injury, death, property damage, or the use or disposal of environmentally harmful substances and may require product recalls or other actions. Any claims, litigation, or recalls could be costly to us and damage our brands and reputation.</w:t>
      </w:r>
    </w:p>
    <w:p>
      <w:pPr>
        <w:spacing w:after="0" w:line="180"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color w:val="auto"/>
        </w:rPr>
        <w:t>Our inability to use or maintain domain names in each country or region where we currently or intend to do business could negatively impact our brands and our ability to sell our products and services in that country or region.</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may not be able to prevent third parties from acquiring domain names that use our brand names or other trademarks or that otherwise infringe or decrease the value of our trademarks and other proprietary rights. If we are unable to use or maintain a domain name in a particular country or region, then we could be forced to purchase the domain name from an entity that owns or controls it, which we may not be able to do on commercially acceptable terms or at all; we may incur significant additional expenses to develop a new brand to market our products within that country; or we may elect not to sell products in that country.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collect indirect taxes in all jurisdictions, which could expose us to tax liabilities.</w:t>
      </w:r>
    </w:p>
    <w:p>
      <w:pPr>
        <w:spacing w:after="0" w:line="24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some of the jurisdictions where we sell products and services, we do not collect or have imposed upon us sales, value added or other consumption taxes, which we refer to as indirect taxes. The application of indirect taxes to e-commerce businesses such as Cimpress is a complex and evolving issue, and in many cases, it is not clear how existing tax statutes apply to the Internet or e-commerce. If a government entity claims that we should have been collecting indirect taxes on the sale of our products in a jurisdiction where we have not been doing so, then we could incur substantial tax liabilities for past sales.</w:t>
      </w:r>
    </w:p>
    <w:p>
      <w:pPr>
        <w:spacing w:after="0" w:line="20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example, certain of our businesses do not currently collect sales tax in all U.S. states where they sell products. Many state governments in the United States have imposed or are seeking to impose sales tax collection responsibility on out-of-state, online retailers, and the recent U.S. Supreme Court ruling in South Dakota v. Wayfair, Inc. et al. enables states to consider adopting laws requiring remote sellers to collect and remit sales tax, even in states in which the seller has no physical presence. To the extent that individual states decide to adopt similar legislation, this could significantly increase the collection and compliance burden on Cimpress businesses operating in the U.S. In addition, there is risk that a state government in which a Cimpress business currently is not registered to collect and remit sales tax may attempt to assess tax, interest and penalties relating to prior periods.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Challenges by various tax authorities to our international structure could, if successful, increase our effective tax rate and adversely affect our earnings.</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are a Dutch limited liability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N.V. group should be subject to income or other tax in their respective jurisdictions, which could result in an increase to our effective tax rate and adversely affect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regulations and treaties could affect our tax rate and our results of operations.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82" w:right="259" w:bottom="1440" w:gutter="0" w:footer="0" w:header="0"/>
        </w:sectPr>
      </w:pPr>
    </w:p>
    <w:bookmarkStart w:id="24" w:name="page25"/>
    <w:bookmarkEnd w:id="24"/>
    <w:p>
      <w:pPr>
        <w:ind w:firstLine="648"/>
        <w:spacing w:after="0" w:line="251" w:lineRule="auto"/>
        <w:rPr>
          <w:sz w:val="20"/>
          <w:szCs w:val="20"/>
          <w:color w:val="auto"/>
        </w:rPr>
      </w:pPr>
      <w:r>
        <w:rPr>
          <w:rFonts w:ascii="Arial" w:cs="Arial" w:eastAsia="Arial" w:hAnsi="Arial"/>
          <w:sz w:val="18"/>
          <w:szCs w:val="18"/>
          <w:color w:val="auto"/>
        </w:rPr>
        <w:t>A change in tax laws, treaties or regulations, or their interpretation, of any country in which we operate could result in a higher tax rate on our earnings, which could result in a significant negative impact on our earnings and cash flow from operations. In addition to the passage of the Tax Cuts and Jobs Act in the United States, there are currently multiple initiatives for comprehensive tax reform underway in other key jurisdictions where we have operations. We continue to assess the impact of the U.S. Tax Cuts and Jobs Act as well as various international tax reform proposals and modifications to existing tax treaties in all jurisdictions where we have operations that could result in a material impact on our income taxes. We cannot predict whether any other specific legislation will be enacted or the terms of any such legislation. However, if such proposals were enacted, or if modifications were to be made to certain existing treaties, the consequences could have a materially adverse impact on us, including increasing our tax burden, increasing costs of our tax compliance or otherwise adversely affecting our financial condition, results of operations and cash flows.</w:t>
      </w:r>
    </w:p>
    <w:p>
      <w:pPr>
        <w:spacing w:after="0" w:line="19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Our intercompany arrangements may be challenged, which could result in higher taxes or penalties and an adverse effect on our earnings.</w:t>
      </w:r>
    </w:p>
    <w:p>
      <w:pPr>
        <w:spacing w:after="0" w:line="175"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We operate pursuant to written transfer pricing agreements among Cimpress N.V.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With the exception of certain jurisdictions where we have obtained rulings or advance pricing agreements, our transfer pricing arrangements are not binding on applicable tax authorities, and no official authority in any other country has made a determination as to whether or not we are operating in compliance with its transfer pricing laws.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19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 xml:space="preserve">Our Articles of Association, Dutch law and the independent foundation, </w:t>
      </w:r>
      <w:r>
        <w:rPr>
          <w:rFonts w:ascii="Arial" w:cs="Arial" w:eastAsia="Arial" w:hAnsi="Arial"/>
          <w:sz w:val="18"/>
          <w:szCs w:val="18"/>
          <w:b w:val="1"/>
          <w:bCs w:val="1"/>
          <w:i w:val="1"/>
          <w:iCs w:val="1"/>
          <w:color w:val="auto"/>
        </w:rPr>
        <w:t>Stichting Continuïteit Cimpress</w:t>
      </w:r>
      <w:r>
        <w:rPr>
          <w:rFonts w:ascii="Arial" w:cs="Arial" w:eastAsia="Arial" w:hAnsi="Arial"/>
          <w:sz w:val="18"/>
          <w:szCs w:val="18"/>
          <w:b w:val="1"/>
          <w:bCs w:val="1"/>
          <w:color w:val="auto"/>
        </w:rPr>
        <w:t>, may make it difficult to replace or remove management, may inhibit or delay a change of control or may dilute shareholder voting power.</w:t>
      </w:r>
    </w:p>
    <w:p>
      <w:pPr>
        <w:spacing w:after="0" w:line="175"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Our Articles of Association, or Articles, as governed by Dutch law, limit our shareholders' ability to suspend or dismiss the members of our management board and supervisory board or to overrule our supervisory board's nominees to our management board and supervisory board by requiring a supermajority vote to do so under most circumstances. As a result, there may be circumstances in which shareholders may not be able to remove members of our management board or supervisory board even if holders of a majority of our ordinary shares favor doing so.</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addition, an independent foundation, </w:t>
      </w:r>
      <w:r>
        <w:rPr>
          <w:rFonts w:ascii="Arial" w:cs="Arial" w:eastAsia="Arial" w:hAnsi="Arial"/>
          <w:sz w:val="17"/>
          <w:szCs w:val="17"/>
          <w:i w:val="1"/>
          <w:iCs w:val="1"/>
          <w:color w:val="auto"/>
        </w:rPr>
        <w:t>Stichting Continuïteit Cimpress</w:t>
      </w:r>
      <w:r>
        <w:rPr>
          <w:rFonts w:ascii="Arial" w:cs="Arial" w:eastAsia="Arial" w:hAnsi="Arial"/>
          <w:sz w:val="17"/>
          <w:szCs w:val="17"/>
          <w:color w:val="auto"/>
        </w:rPr>
        <w:t>, or the Foundation, exists to safeguard the interests of Cimpress N.V. and its stakeholders, which include but are not limited to our shareholders, and to assist in maintaining Cimpress' continuity and independence. To this end, we have granted the Foundation a call option pursuant to which the Foundation may acquire a number of preferred shares equal to the same number of ordinary shares then outstanding, which is designed to provide a protective measure against unsolicited take-over bids for Cimpress and other hostile threats. If the Foundation were to exercise the call option, it may prevent a change of control or delay or prevent a takeover attempt, including a takeover attempt that might result in a premium over the market price for our ordinary shares. Exercise of the preferred share option would also effectively dilute the voting power of our outstanding ordinary shares by one half.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flexibility with respect to certain aspects of capital management and certain corporate transactions.</w:t>
      </w:r>
    </w:p>
    <w:p>
      <w:pPr>
        <w:spacing w:after="0" w:line="247" w:lineRule="exact"/>
        <w:rPr>
          <w:sz w:val="20"/>
          <w:szCs w:val="20"/>
          <w:color w:val="auto"/>
        </w:rPr>
      </w:pPr>
    </w:p>
    <w:p>
      <w:pPr>
        <w:ind w:right="500" w:firstLine="648"/>
        <w:spacing w:after="0" w:line="252" w:lineRule="auto"/>
        <w:rPr>
          <w:sz w:val="20"/>
          <w:szCs w:val="20"/>
          <w:color w:val="auto"/>
        </w:rPr>
      </w:pPr>
      <w:r>
        <w:rPr>
          <w:rFonts w:ascii="Arial" w:cs="Arial" w:eastAsia="Arial" w:hAnsi="Arial"/>
          <w:sz w:val="18"/>
          <w:szCs w:val="18"/>
          <w:color w:val="auto"/>
        </w:rPr>
        <w:t>Dutch law imposes limitations and requirements on corporate actions such as the payment of dividends, issuance of new shares, repurchase of outstanding shares, and corporate acquisitions of a certain size, among other actions. For example, Dutch law requires shareholder approval for many corporate actions that would not be subject to shareholder approval if we were incorporated in the United States. Situations may arise where the flexibility to issue shares, pay dividends, purchase shares, acquire other companies, or take other corporate actions would be beneficial to us, but is subject to limitations, subject to delay due to shareholder approval requirements, or unavailable under Dutch law.</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98" w:right="259" w:bottom="1440" w:gutter="0" w:footer="0" w:header="0"/>
        </w:sectPr>
      </w:pPr>
    </w:p>
    <w:bookmarkStart w:id="25" w:name="page26"/>
    <w:bookmarkEnd w:id="25"/>
    <w:p>
      <w:pPr>
        <w:ind w:right="56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pursue legal remedies against the members of our supervisory board or management board.</w:t>
      </w:r>
    </w:p>
    <w:p>
      <w:pPr>
        <w:spacing w:after="0" w:line="17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Our Articles and our internal corporate affairs are governed by Dutch law, and the rights of our shareholders and the responsibilities of our supervisory board and management board are different from those established under United States laws. For example, under Dutch law derivative lawsuits are generally not available, and our supervisory board and management board are responsible for acting in the best interests of the company, its business and all of its stakeholders generally (including employees, customers and creditors), not just shareholders. As a result, our shareholders may find it more difficult to protect their interests against actions by members of our supervisory board or management board than they would if we were a U.S. corporation.</w:t>
      </w:r>
    </w:p>
    <w:p>
      <w:pPr>
        <w:spacing w:after="0" w:line="18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7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are incorporated under the laws of the Netherlands, and the vast majority of our assets are located outside of the United States. In addition, some of our officers and management reside outside of the United States. In most cases, a final judgment for the payment of money rendered by a U.S. federal or state court would not be directly enforceable in the Netherlands. Although there is a process under Dutch law for petitioning a Dutch court to enforce a judgment rendered in the United States, there can be no assurance that a Dutch court would impose civil liability on us or our management team in any lawsuit predicated solely upon U.S. securities or other laws. In addition, because most of our assets are located outside of the United States, it could be difficult for investors to place a lien on our assets in connection with a claim of liability under U.S. laws. As a result, it may be difficult for investors to enforce U.S. court judgments or rights predicated upon U.S. laws against us or our management team outside of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make distributions or purchase shares without subjecting our shareholders to Dutch withholding tax.</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 Dutch withholding tax may be levied on dividends and similar distributions made by Cimpress N.V. to its shareholders at the statutory rate of 15% if we cannot structure such distributions as being made to shareholders in relation to a reduction of par value, which would be non-taxable for Dutch withholding tax purposes. We have purchased our shares and may seek to purchase additional shares in the future. Under our Dutch Advanced Tax Ruling, a purchase of shares should not result in any Dutch withholding tax if we hold the purchased shares in treasury for the purpose of issuing shares pursuant to employee share awards or for the funding of acquisitions. However, if the shares cannot be used for these purposes, or the Dutch tax authorities successfully challenge the use of the shares for these purposes, such a purchase of shares may be treated as a partial liquidation subject to the 15% Dutch withholding tax to be levied on the difference between our average paid in capital per share for Dutch tax purposes and the redemption price per share, if higher.</w:t>
      </w:r>
    </w:p>
    <w:p>
      <w:pPr>
        <w:spacing w:after="0" w:line="18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We may be treated as a passive foreign investment company for United States tax purposes, which may subject United States shareholders to adverse tax consequences.</w:t>
      </w:r>
    </w:p>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spacing w:after="0" w:line="204"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We believe that we were not a PFIC for the tax year ended June 30, 2018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576" w:right="279" w:bottom="1440" w:gutter="0" w:footer="0" w:header="0"/>
        </w:sectPr>
      </w:pPr>
    </w:p>
    <w:bookmarkStart w:id="26" w:name="page27"/>
    <w:bookmarkEnd w:id="26"/>
    <w:p>
      <w:pPr>
        <w:ind w:right="100"/>
        <w:spacing w:after="0" w:line="287" w:lineRule="auto"/>
        <w:rPr>
          <w:sz w:val="20"/>
          <w:szCs w:val="20"/>
          <w:color w:val="auto"/>
        </w:rPr>
      </w:pPr>
      <w:r>
        <w:rPr>
          <w:rFonts w:ascii="Arial" w:cs="Arial" w:eastAsia="Arial" w:hAnsi="Arial"/>
          <w:sz w:val="18"/>
          <w:szCs w:val="18"/>
          <w:b w:val="1"/>
          <w:bCs w:val="1"/>
          <w:color w:val="auto"/>
        </w:rPr>
        <w:t>If a United States shareholder owns 10% or more of our ordinary shares, it may be subject to increased United States taxation under the “controlled foreign corporation” rules. Additionally, this may negatively impact the demand for our ordinary shares.</w:t>
      </w:r>
    </w:p>
    <w:p>
      <w:pPr>
        <w:spacing w:after="0" w:line="17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If a United States shareholder owns 10% or more of our ordinary shares, it may be subject to increased United States federal income taxation (and possibly state income taxation) under the “controlled foreign corporation” rules. In general, if a U.S. person owns (or is deemed to own) at least 10% of the voting power or value of a non-U.S. corporation, or “10% U.S. Shareholder,” and if such non-U.S. corporation is a “controlled foreign corporation,” or “CFC,”then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In addition, a 10% U.S. shareholder's pro rata share of other income of a CFC, even if not distributed, might also need to be included in a 10% U.S. Shareholder’s gross income for United States federal income tax (and possibly state income tax) purposes under the “global intangible low-taxed income” or “GILTI” provisions of the U.S. tax law. In general, a non-U.S. corporation is considered a CFC if one or more 10% U.S. Shareholders together own more than 50% of the voting power or value of the corporation on any day during the taxable year of the corporation. “Subpart F income” consists of, among other things, certain types of dividends, interest, rents, royalties, gains, and certain types of income from services and personal property sales.</w:t>
      </w:r>
    </w:p>
    <w:p>
      <w:pPr>
        <w:spacing w:after="0" w:line="17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each of our 10% U.S. Shareholders will be required to include in its gross income for United States federal income tax (and possibly state income tax) purposes its pro rata share of our "subpart F income," even if the subpart F income is not distributed by us, and might also be required to include its pro rata share of other income of ours, even if not distributed by us, under the GILTI provisions of the U.S. tax law. We currently do not believe we are a CFC. However, whether we are treated as a CFC can be affected by, among other things, facts as to our share ownership that may change. Accordingly, we cannot be certain that we will not be treated as a CFC in future years.</w:t>
      </w:r>
    </w:p>
    <w:p>
      <w:pPr>
        <w:spacing w:after="0" w:line="166"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ownership of our ordinary shares is highly concentrated, which could cause or exacerbate volatility in our share price.</w:t>
      </w:r>
    </w:p>
    <w:p>
      <w:pPr>
        <w:spacing w:after="0" w:line="24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More than 70% of our ordinary shares are held by our top 10 shareholders, and we may repurchase shares in the future,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market without commensurate demand, as compared to a company with greater trading liquidity that could better absorb those sales without adverse impact on its share price.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real property including the following manufacturing operations that provide support across our businesses:</w:t>
      </w:r>
    </w:p>
    <w:p>
      <w:pPr>
        <w:spacing w:after="0" w:line="9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582,000 square foot facility located near Windsor, Ontario, Canada that primarily services our Vistaprint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492,000 square foot facility located in Shelbyville, Tennessee, USA, that primarily services our National Pen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362,000 square foot facility located in Venlo, the Netherlands that primarily services our Vistaprint business.</w:t>
      </w:r>
    </w:p>
    <w:p>
      <w:pPr>
        <w:spacing w:after="0" w:line="9"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130,000 square foot facility located in Kisarazu, Japan that primarily services our Vistaprint and National Pen businesses in the Japanese market.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0" w:right="239" w:bottom="1440" w:gutter="0" w:footer="0" w:header="0"/>
        </w:sectPr>
      </w:pPr>
    </w:p>
    <w:bookmarkStart w:id="27" w:name="page28"/>
    <w:bookmarkEnd w:id="27"/>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124,000 square foot facility located in Deer Park, Australia that primarily services our Vistaprint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97,000 square feet, located near Montpellier, France that primarily services our Upload and Print businesses.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a summary of our currently occupied leased spaces is as follows:</w:t>
      </w:r>
    </w:p>
    <w:p>
      <w:pPr>
        <w:sectPr>
          <w:pgSz w:w="11900" w:h="16838" w:orient="portrait"/>
          <w:cols w:equalWidth="0" w:num="1">
            <w:col w:w="11420"/>
          </w:cols>
          <w:pgMar w:left="240" w:top="382" w:right="239" w:bottom="1440" w:gutter="0" w:footer="0" w:header="0"/>
        </w:sectPr>
      </w:pP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60" w:type="dxa"/>
            <w:vAlign w:val="bottom"/>
            <w:gridSpan w:val="2"/>
          </w:tcPr>
          <w:p>
            <w:pPr>
              <w:ind w:left="40"/>
              <w:spacing w:after="0"/>
              <w:rPr>
                <w:sz w:val="20"/>
                <w:szCs w:val="20"/>
                <w:color w:val="auto"/>
              </w:rPr>
            </w:pPr>
            <w:r>
              <w:rPr>
                <w:rFonts w:ascii="Arial" w:cs="Arial" w:eastAsia="Arial" w:hAnsi="Arial"/>
                <w:sz w:val="13"/>
                <w:szCs w:val="13"/>
                <w:b w:val="1"/>
                <w:bCs w:val="1"/>
                <w:color w:val="auto"/>
              </w:rPr>
              <w:t>Business Segment (1)</w:t>
            </w:r>
          </w:p>
        </w:tc>
        <w:tc>
          <w:tcPr>
            <w:tcW w:w="1160" w:type="dxa"/>
            <w:vAlign w:val="bottom"/>
          </w:tcPr>
          <w:p>
            <w:pPr>
              <w:ind w:left="40"/>
              <w:spacing w:after="0"/>
              <w:rPr>
                <w:sz w:val="20"/>
                <w:szCs w:val="20"/>
                <w:color w:val="auto"/>
              </w:rPr>
            </w:pPr>
            <w:r>
              <w:rPr>
                <w:rFonts w:ascii="Arial" w:cs="Arial" w:eastAsia="Arial" w:hAnsi="Arial"/>
                <w:sz w:val="13"/>
                <w:szCs w:val="13"/>
                <w:b w:val="1"/>
                <w:bCs w:val="1"/>
                <w:color w:val="auto"/>
              </w:rPr>
              <w:t>Square Feet</w:t>
            </w:r>
          </w:p>
        </w:tc>
      </w:tr>
      <w:tr>
        <w:trPr>
          <w:trHeight w:val="97"/>
        </w:trPr>
        <w:tc>
          <w:tcPr>
            <w:tcW w:w="1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312"/>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Vistaprint</w:t>
            </w:r>
          </w:p>
        </w:tc>
        <w:tc>
          <w:tcPr>
            <w:tcW w:w="1160" w:type="dxa"/>
            <w:vAlign w:val="bottom"/>
          </w:tcPr>
          <w:p>
            <w:pPr>
              <w:ind w:left="40"/>
              <w:spacing w:after="0"/>
              <w:rPr>
                <w:sz w:val="20"/>
                <w:szCs w:val="20"/>
                <w:color w:val="auto"/>
              </w:rPr>
            </w:pPr>
            <w:r>
              <w:rPr>
                <w:rFonts w:ascii="Arial" w:cs="Arial" w:eastAsia="Arial" w:hAnsi="Arial"/>
                <w:sz w:val="16"/>
                <w:szCs w:val="16"/>
                <w:color w:val="auto"/>
              </w:rPr>
              <w:t>674,459</w:t>
            </w:r>
          </w:p>
        </w:tc>
      </w:tr>
      <w:tr>
        <w:trPr>
          <w:trHeight w:val="432"/>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Upload and Print</w:t>
            </w:r>
          </w:p>
        </w:tc>
        <w:tc>
          <w:tcPr>
            <w:tcW w:w="1160" w:type="dxa"/>
            <w:vAlign w:val="bottom"/>
          </w:tcPr>
          <w:p>
            <w:pPr>
              <w:ind w:left="40"/>
              <w:spacing w:after="0"/>
              <w:rPr>
                <w:sz w:val="20"/>
                <w:szCs w:val="20"/>
                <w:color w:val="auto"/>
              </w:rPr>
            </w:pPr>
            <w:r>
              <w:rPr>
                <w:rFonts w:ascii="Arial" w:cs="Arial" w:eastAsia="Arial" w:hAnsi="Arial"/>
                <w:sz w:val="16"/>
                <w:szCs w:val="16"/>
                <w:color w:val="auto"/>
              </w:rPr>
              <w:t>713,595</w:t>
            </w:r>
          </w:p>
        </w:tc>
      </w:tr>
      <w:tr>
        <w:trPr>
          <w:trHeight w:val="351"/>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National Pen</w:t>
            </w:r>
          </w:p>
        </w:tc>
        <w:tc>
          <w:tcPr>
            <w:tcW w:w="1160" w:type="dxa"/>
            <w:vAlign w:val="bottom"/>
          </w:tcPr>
          <w:p>
            <w:pPr>
              <w:ind w:left="40"/>
              <w:spacing w:after="0"/>
              <w:rPr>
                <w:sz w:val="20"/>
                <w:szCs w:val="20"/>
                <w:color w:val="auto"/>
              </w:rPr>
            </w:pPr>
            <w:r>
              <w:rPr>
                <w:rFonts w:ascii="Arial" w:cs="Arial" w:eastAsia="Arial" w:hAnsi="Arial"/>
                <w:sz w:val="16"/>
                <w:szCs w:val="16"/>
                <w:color w:val="auto"/>
              </w:rPr>
              <w:t>314,533</w:t>
            </w:r>
          </w:p>
        </w:tc>
      </w:tr>
      <w:tr>
        <w:trPr>
          <w:trHeight w:val="351"/>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All Other Businesses</w:t>
            </w:r>
          </w:p>
        </w:tc>
        <w:tc>
          <w:tcPr>
            <w:tcW w:w="1160" w:type="dxa"/>
            <w:vAlign w:val="bottom"/>
          </w:tcPr>
          <w:p>
            <w:pPr>
              <w:ind w:left="40"/>
              <w:spacing w:after="0"/>
              <w:rPr>
                <w:sz w:val="20"/>
                <w:szCs w:val="20"/>
                <w:color w:val="auto"/>
              </w:rPr>
            </w:pPr>
            <w:r>
              <w:rPr>
                <w:rFonts w:ascii="Arial" w:cs="Arial" w:eastAsia="Arial" w:hAnsi="Arial"/>
                <w:sz w:val="16"/>
                <w:szCs w:val="16"/>
                <w:color w:val="auto"/>
              </w:rPr>
              <w:t>329,773</w:t>
            </w:r>
          </w:p>
        </w:tc>
      </w:tr>
      <w:tr>
        <w:trPr>
          <w:trHeight w:val="351"/>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Other (2)</w:t>
            </w:r>
          </w:p>
        </w:tc>
        <w:tc>
          <w:tcPr>
            <w:tcW w:w="1160" w:type="dxa"/>
            <w:vAlign w:val="bottom"/>
          </w:tcPr>
          <w:p>
            <w:pPr>
              <w:ind w:left="40"/>
              <w:spacing w:after="0"/>
              <w:rPr>
                <w:sz w:val="20"/>
                <w:szCs w:val="20"/>
                <w:color w:val="auto"/>
              </w:rPr>
            </w:pPr>
            <w:r>
              <w:rPr>
                <w:rFonts w:ascii="Arial" w:cs="Arial" w:eastAsia="Arial" w:hAnsi="Arial"/>
                <w:sz w:val="16"/>
                <w:szCs w:val="16"/>
                <w:color w:val="auto"/>
              </w:rPr>
              <w:t>86,908</w:t>
            </w:r>
          </w:p>
        </w:tc>
      </w:tr>
      <w:tr>
        <w:trPr>
          <w:trHeight w:val="210"/>
        </w:trPr>
        <w:tc>
          <w:tcPr>
            <w:tcW w:w="1840" w:type="dxa"/>
            <w:vAlign w:val="bottom"/>
          </w:tcPr>
          <w:p>
            <w:pPr>
              <w:spacing w:after="0"/>
              <w:rPr>
                <w:sz w:val="20"/>
                <w:szCs w:val="20"/>
                <w:color w:val="auto"/>
              </w:rPr>
            </w:pPr>
            <w:r>
              <w:rPr>
                <w:rFonts w:ascii="Arial" w:cs="Arial" w:eastAsia="Arial" w:hAnsi="Arial"/>
                <w:sz w:val="14"/>
                <w:szCs w:val="14"/>
                <w:color w:val="auto"/>
              </w:rPr>
              <w:t>___________________</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73660</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38"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3175</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27940</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53"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Corporate strategy and technology development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73660</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December 2018 - November 2026</w:t>
      </w:r>
    </w:p>
    <w:p>
      <w:pPr>
        <w:spacing w:after="0" w:line="248" w:lineRule="exact"/>
        <w:rPr>
          <w:sz w:val="20"/>
          <w:szCs w:val="20"/>
          <w:color w:val="auto"/>
        </w:rPr>
      </w:pPr>
    </w:p>
    <w:p>
      <w:pPr>
        <w:ind w:right="800"/>
        <w:spacing w:after="0" w:line="462" w:lineRule="auto"/>
        <w:rPr>
          <w:sz w:val="20"/>
          <w:szCs w:val="20"/>
          <w:color w:val="auto"/>
        </w:rPr>
      </w:pPr>
      <w:r>
        <w:rPr>
          <w:rFonts w:ascii="Arial" w:cs="Arial" w:eastAsia="Arial" w:hAnsi="Arial"/>
          <w:sz w:val="16"/>
          <w:szCs w:val="16"/>
          <w:color w:val="auto"/>
        </w:rPr>
        <w:t>February 2019 - December 2025 April 2021 - April 2027 December 2019 - August 2023 July 2020 - June 2023</w:t>
      </w:r>
    </w:p>
    <w:p>
      <w:pPr>
        <w:spacing w:after="0" w:line="112" w:lineRule="exact"/>
        <w:rPr>
          <w:sz w:val="20"/>
          <w:szCs w:val="20"/>
          <w:color w:val="auto"/>
        </w:rPr>
      </w:pPr>
    </w:p>
    <w:p>
      <w:pPr>
        <w:sectPr>
          <w:pgSz w:w="11900" w:h="16838" w:orient="portrait"/>
          <w:cols w:equalWidth="0" w:num="3">
            <w:col w:w="3120" w:space="120"/>
            <w:col w:w="4520" w:space="500"/>
            <w:col w:w="3160"/>
          </w:cols>
          <w:pgMar w:left="240" w:top="382" w:right="239" w:bottom="1440" w:gutter="0" w:footer="0" w:header="0"/>
          <w:type w:val="continuous"/>
        </w:sect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Many of our leased properties are utilized by multiple business segments, but each have been assigned to the segment that occupies the majority of our leased space.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locations that are exclusively corporate or central functions.</w:t>
      </w:r>
    </w:p>
    <w:p>
      <w:pPr>
        <w:spacing w:after="0" w:line="158" w:lineRule="exact"/>
        <w:rPr>
          <w:sz w:val="20"/>
          <w:szCs w:val="20"/>
          <w:color w:val="auto"/>
        </w:rPr>
      </w:pPr>
    </w:p>
    <w:p>
      <w:pPr>
        <w:ind w:right="400" w:firstLine="648"/>
        <w:spacing w:after="0" w:line="262" w:lineRule="auto"/>
        <w:rPr>
          <w:sz w:val="20"/>
          <w:szCs w:val="20"/>
          <w:color w:val="auto"/>
        </w:rPr>
      </w:pPr>
      <w:r>
        <w:rPr>
          <w:rFonts w:ascii="Arial" w:cs="Arial" w:eastAsia="Arial" w:hAnsi="Arial"/>
          <w:sz w:val="18"/>
          <w:szCs w:val="18"/>
          <w:color w:val="auto"/>
        </w:rPr>
        <w:t>We believe that the total space available to us in the facilities we own or lease, and space that is obtainable by us on commercially reasonable terms, will meet our needs for the foreseeable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12"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Item 8 of Part II, “Financial Statements and Supplementary Data — Note 17 — Commitments and Contingencies,” in the accompanying notes to the consolidated financial statements included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0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The ordinary shares of Cimpress N.V. are traded on the NASDAQ Global Select Market (the "NASDAQ") under the symbol “CMPR.” As of July 31, 2018, there were approximately 12 holders of record of our ordinary shares, although there is a much larger number of beneficial owners. The following table sets forth, for the periods indicated, the high and low sale price per share of our ordinary shares on the NASDAQ:</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High</w:t>
            </w:r>
          </w:p>
        </w:tc>
        <w:tc>
          <w:tcPr>
            <w:tcW w:w="360" w:type="dxa"/>
            <w:vAlign w:val="bottom"/>
          </w:tcPr>
          <w:p>
            <w:pPr>
              <w:spacing w:after="0"/>
              <w:rPr>
                <w:sz w:val="15"/>
                <w:szCs w:val="15"/>
                <w:color w:val="auto"/>
              </w:rPr>
            </w:pPr>
          </w:p>
        </w:tc>
        <w:tc>
          <w:tcPr>
            <w:tcW w:w="1120" w:type="dxa"/>
            <w:vAlign w:val="bottom"/>
          </w:tcPr>
          <w:p>
            <w:pPr>
              <w:jc w:val="right"/>
              <w:ind w:right="533"/>
              <w:spacing w:after="0"/>
              <w:rPr>
                <w:sz w:val="20"/>
                <w:szCs w:val="20"/>
                <w:color w:val="auto"/>
              </w:rPr>
            </w:pPr>
            <w:r>
              <w:rPr>
                <w:rFonts w:ascii="Arial" w:cs="Arial" w:eastAsia="Arial" w:hAnsi="Arial"/>
                <w:sz w:val="13"/>
                <w:szCs w:val="13"/>
                <w:b w:val="1"/>
                <w:bCs w:val="1"/>
                <w:color w:val="auto"/>
              </w:rPr>
              <w:t>Low</w:t>
            </w:r>
          </w:p>
        </w:tc>
      </w:tr>
      <w:tr>
        <w:trPr>
          <w:trHeight w:val="257"/>
        </w:trPr>
        <w:tc>
          <w:tcPr>
            <w:tcW w:w="3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48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5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104.18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88.31</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5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80.47</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5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99.99</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79.15</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5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94.47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78.80</w:t>
            </w:r>
          </w:p>
        </w:tc>
      </w:tr>
      <w:tr>
        <w:trPr>
          <w:trHeight w:val="135"/>
        </w:trPr>
        <w:tc>
          <w:tcPr>
            <w:tcW w:w="34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Fiscal 2018:</w:t>
            </w:r>
          </w:p>
        </w:tc>
        <w:tc>
          <w:tcPr>
            <w:tcW w:w="4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5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99.99</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80.61</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5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98.00</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5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171.76</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119.52</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5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163.94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133.77</w:t>
            </w:r>
          </w:p>
        </w:tc>
      </w:tr>
      <w:tr>
        <w:trPr>
          <w:trHeight w:val="459"/>
        </w:trPr>
        <w:tc>
          <w:tcPr>
            <w:tcW w:w="3460" w:type="dxa"/>
            <w:vAlign w:val="bottom"/>
          </w:tcPr>
          <w:p>
            <w:pPr>
              <w:spacing w:after="0"/>
              <w:rPr>
                <w:sz w:val="24"/>
                <w:szCs w:val="24"/>
                <w:color w:val="auto"/>
              </w:rPr>
            </w:pPr>
          </w:p>
        </w:tc>
        <w:tc>
          <w:tcPr>
            <w:tcW w:w="4880" w:type="dxa"/>
            <w:vAlign w:val="bottom"/>
          </w:tcPr>
          <w:p>
            <w:pPr>
              <w:jc w:val="right"/>
              <w:ind w:right="243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382"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Dividends</w:t>
      </w:r>
    </w:p>
    <w:p>
      <w:pPr>
        <w:spacing w:after="0" w:line="108" w:lineRule="exact"/>
        <w:rPr>
          <w:sz w:val="20"/>
          <w:szCs w:val="20"/>
          <w:color w:val="auto"/>
        </w:rPr>
      </w:pPr>
    </w:p>
    <w:p>
      <w:pPr>
        <w:ind w:firstLine="662"/>
        <w:spacing w:after="0" w:line="251"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in the foreseeable future. We currently intend to retain all future earnings to finance the growth and operations of our business, investment in or acquisition of other businesses, purchase of our ordinary shares, or pay down of our debt. Under Dutch law, we may pay dividends only out of profits shown on our annual accounts prepared in accordance with Dutch law and adopted by our shareholders rather than the financial statements regularly filed with the SEC, and only to the extent our equity exceeds the sum of the paid and called up portion of our ordinary share capital and the reserves that must be maintained in accordance with provisions of Dutch law and our articles of association. In addition, the terms of our outstanding indebtedness restrict our ability to pay dividends, as further described in Item 8 of Part II, "Financial Statements and Supplementary Data - Note 10 - Debt," and in "Item 7. Management's Discussion and Analysis of Financial Condition and Results of Operations" section of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08"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On November 14, 2017, our Supervisory Board authorized the repurchase of up to 6,300,000 of our issued and outstanding ordinary shares on the open market (including block trades that satisfy the safe harbor provisions of Rule 10b-18 pursuant to the U.S. Securities Exchange Act of 1934), through privately negotiated transactions, or in one or more self-tender offers. This share repurchase authorization expires on May 14, 2019, and we may suspend or discontinue our share repurchases at any time.</w:t>
      </w:r>
    </w:p>
    <w:p>
      <w:pPr>
        <w:spacing w:after="0" w:line="204" w:lineRule="exact"/>
        <w:rPr>
          <w:sz w:val="20"/>
          <w:szCs w:val="20"/>
          <w:color w:val="auto"/>
        </w:rPr>
      </w:pPr>
    </w:p>
    <w:p>
      <w:pPr>
        <w:ind w:right="820" w:firstLine="648"/>
        <w:spacing w:after="0" w:line="262" w:lineRule="auto"/>
        <w:rPr>
          <w:sz w:val="20"/>
          <w:szCs w:val="20"/>
          <w:color w:val="auto"/>
        </w:rPr>
      </w:pPr>
      <w:r>
        <w:rPr>
          <w:rFonts w:ascii="Arial" w:cs="Arial" w:eastAsia="Arial" w:hAnsi="Arial"/>
          <w:sz w:val="18"/>
          <w:szCs w:val="18"/>
          <w:color w:val="auto"/>
        </w:rPr>
        <w:t>We did not repurchase any shares during the three months ended June 30, 2018, and 5,857,443 shares remain available for repurchase under this program, subject to certain limitations imposed by our debt covenants.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243"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following graph compares the cumulative total return to shareholders of Cimpress N.V. ordinary shares relative to the cumulative total returns of the NASDAQ Composite index and the Research Data Group (RDG) Internet Composite index. An investment of $ 100 (with reinvestment of all dividends) is assumed to have been made in our ordinary shares and in each of the indexes on June 30, 2013 and the relative performance of each investment is tracked through June 30, 2018.</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Among Cimpress N.V., the NASDAQ Composite Index</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and the RDG Internet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121920</wp:posOffset>
            </wp:positionV>
            <wp:extent cx="5334000" cy="26244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3400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553"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June 30,</w:t>
            </w:r>
          </w:p>
        </w:tc>
        <w:tc>
          <w:tcPr>
            <w:tcW w:w="9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63"/>
        </w:trPr>
        <w:tc>
          <w:tcPr>
            <w:tcW w:w="5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2017</w:t>
            </w:r>
          </w:p>
        </w:tc>
        <w:tc>
          <w:tcPr>
            <w:tcW w:w="100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2018</w:t>
            </w:r>
          </w:p>
        </w:tc>
      </w:tr>
      <w:tr>
        <w:trPr>
          <w:trHeight w:val="260"/>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Cimpress N.V.</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   100.00</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3"/>
              <w:spacing w:after="0"/>
              <w:rPr>
                <w:sz w:val="20"/>
                <w:szCs w:val="20"/>
                <w:color w:val="auto"/>
              </w:rPr>
            </w:pPr>
            <w:r>
              <w:rPr>
                <w:rFonts w:ascii="Arial" w:cs="Arial" w:eastAsia="Arial" w:hAnsi="Arial"/>
                <w:sz w:val="16"/>
                <w:szCs w:val="16"/>
                <w:color w:val="auto"/>
              </w:rPr>
              <w:t>81.95</w:t>
            </w:r>
          </w:p>
        </w:tc>
        <w:tc>
          <w:tcPr>
            <w:tcW w:w="120" w:type="dxa"/>
            <w:vAlign w:val="bottom"/>
          </w:tcPr>
          <w:p>
            <w:pPr>
              <w:spacing w:after="0"/>
              <w:rPr>
                <w:sz w:val="22"/>
                <w:szCs w:val="22"/>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  170.47</w:t>
            </w:r>
          </w:p>
        </w:tc>
        <w:tc>
          <w:tcPr>
            <w:tcW w:w="100" w:type="dxa"/>
            <w:vAlign w:val="bottom"/>
          </w:tcPr>
          <w:p>
            <w:pPr>
              <w:spacing w:after="0"/>
              <w:rPr>
                <w:sz w:val="22"/>
                <w:szCs w:val="22"/>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  187.32</w:t>
            </w:r>
          </w:p>
        </w:tc>
        <w:tc>
          <w:tcPr>
            <w:tcW w:w="100" w:type="dxa"/>
            <w:vAlign w:val="bottom"/>
          </w:tcPr>
          <w:p>
            <w:pPr>
              <w:spacing w:after="0"/>
              <w:rPr>
                <w:sz w:val="22"/>
                <w:szCs w:val="22"/>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  191.47</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  293.62</w:t>
            </w:r>
          </w:p>
        </w:tc>
      </w:tr>
      <w:tr>
        <w:trPr>
          <w:trHeight w:val="28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NASDAQ Composite</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132.45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151.00</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148.88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189.66</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233.12</w:t>
            </w:r>
          </w:p>
        </w:tc>
      </w:tr>
      <w:tr>
        <w:trPr>
          <w:trHeight w:val="251"/>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RDG Internet Composite</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3"/>
              <w:spacing w:after="0"/>
              <w:rPr>
                <w:sz w:val="20"/>
                <w:szCs w:val="20"/>
                <w:color w:val="auto"/>
              </w:rPr>
            </w:pPr>
            <w:r>
              <w:rPr>
                <w:rFonts w:ascii="Arial" w:cs="Arial" w:eastAsia="Arial" w:hAnsi="Arial"/>
                <w:sz w:val="16"/>
                <w:szCs w:val="16"/>
                <w:color w:val="auto"/>
              </w:rPr>
              <w:t>139.66</w:t>
            </w:r>
          </w:p>
        </w:tc>
        <w:tc>
          <w:tcPr>
            <w:tcW w:w="120" w:type="dxa"/>
            <w:vAlign w:val="bottom"/>
          </w:tcPr>
          <w:p>
            <w:pPr>
              <w:spacing w:after="0"/>
              <w:rPr>
                <w:sz w:val="21"/>
                <w:szCs w:val="21"/>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153.13</w:t>
            </w:r>
          </w:p>
        </w:tc>
        <w:tc>
          <w:tcPr>
            <w:tcW w:w="100" w:type="dxa"/>
            <w:vAlign w:val="bottom"/>
          </w:tcPr>
          <w:p>
            <w:pPr>
              <w:spacing w:after="0"/>
              <w:rPr>
                <w:sz w:val="21"/>
                <w:szCs w:val="21"/>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186.25</w:t>
            </w:r>
          </w:p>
        </w:tc>
        <w:tc>
          <w:tcPr>
            <w:tcW w:w="100" w:type="dxa"/>
            <w:vAlign w:val="bottom"/>
          </w:tcPr>
          <w:p>
            <w:pPr>
              <w:spacing w:after="0"/>
              <w:rPr>
                <w:sz w:val="21"/>
                <w:szCs w:val="21"/>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251.39</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350.12</w:t>
            </w:r>
          </w:p>
        </w:tc>
      </w:tr>
    </w:tbl>
    <w:p>
      <w:pPr>
        <w:spacing w:after="0" w:line="235" w:lineRule="exact"/>
        <w:rPr>
          <w:sz w:val="20"/>
          <w:szCs w:val="20"/>
          <w:color w:val="auto"/>
        </w:rPr>
      </w:pPr>
    </w:p>
    <w:p>
      <w:pPr>
        <w:ind w:right="1700" w:firstLine="648"/>
        <w:spacing w:after="0" w:line="461" w:lineRule="auto"/>
        <w:rPr>
          <w:sz w:val="20"/>
          <w:szCs w:val="20"/>
          <w:color w:val="auto"/>
        </w:rPr>
      </w:pPr>
      <w:r>
        <w:rPr>
          <w:rFonts w:ascii="Arial" w:cs="Arial" w:eastAsia="Arial" w:hAnsi="Arial"/>
          <w:sz w:val="18"/>
          <w:szCs w:val="18"/>
          <w:color w:val="auto"/>
        </w:rPr>
        <w:t xml:space="preserve">The share price performance included in this graph is not necessarily indicative of future share price performance. </w:t>
      </w: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 w:lineRule="exact"/>
        <w:rPr>
          <w:sz w:val="20"/>
          <w:szCs w:val="20"/>
          <w:color w:val="auto"/>
        </w:rPr>
      </w:pPr>
    </w:p>
    <w:p>
      <w:pPr>
        <w:jc w:val="both"/>
        <w:ind w:right="360" w:firstLine="662"/>
        <w:spacing w:after="0" w:line="256" w:lineRule="auto"/>
        <w:rPr>
          <w:sz w:val="20"/>
          <w:szCs w:val="20"/>
          <w:color w:val="auto"/>
        </w:rPr>
      </w:pPr>
      <w:r>
        <w:rPr>
          <w:rFonts w:ascii="Arial" w:cs="Arial" w:eastAsia="Arial" w:hAnsi="Arial"/>
          <w:sz w:val="18"/>
          <w:szCs w:val="18"/>
          <w:color w:val="auto"/>
        </w:rPr>
        <w:t>The following financial data should be read in conjunction with our consolidated financial statements, the related notes and “Item 7. Management’s Discussion and Analysis of Financial Condition and Results of Operations” included elsewhere in this Report. The historical results are not necessarily indicative of the results to be expected for any future period.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Year Ended June 30,</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64"/>
        </w:trPr>
        <w:tc>
          <w:tcPr>
            <w:tcW w:w="5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2018 (a)</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2017 (b)</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2016 (c)</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2015 (d)</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2014 (e)</w:t>
            </w:r>
          </w:p>
        </w:tc>
      </w:tr>
      <w:tr>
        <w:trPr>
          <w:trHeight w:val="181"/>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60" w:type="dxa"/>
            <w:vAlign w:val="bottom"/>
            <w:gridSpan w:val="5"/>
          </w:tcPr>
          <w:p>
            <w:pPr>
              <w:jc w:val="center"/>
              <w:ind w:right="209"/>
              <w:spacing w:after="0"/>
              <w:rPr>
                <w:sz w:val="20"/>
                <w:szCs w:val="20"/>
                <w:color w:val="auto"/>
              </w:rPr>
            </w:pPr>
            <w:r>
              <w:rPr>
                <w:rFonts w:ascii="Arial" w:cs="Arial" w:eastAsia="Arial" w:hAnsi="Arial"/>
                <w:sz w:val="13"/>
                <w:szCs w:val="13"/>
                <w:b w:val="1"/>
                <w:bCs w:val="1"/>
                <w:color w:val="auto"/>
                <w:w w:val="96"/>
              </w:rPr>
              <w:t>(In thousands, except share and per share data)</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Statements of Operations Data:</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2,592,541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2,135,405</w:t>
            </w:r>
          </w:p>
        </w:tc>
        <w:tc>
          <w:tcPr>
            <w:tcW w:w="36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1,788,044</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1,494,206</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1,270,236</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Cimpress N.V.</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43,733</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(71,711)</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54,349</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92,212</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43,696</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Net income (loss) per share attributable to Cimpress N.V.:</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1.41</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3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1.72</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2.82</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1.33</w:t>
            </w: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Diluted (f)</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1.36</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(2.29)</w:t>
            </w:r>
          </w:p>
        </w:tc>
        <w:tc>
          <w:tcPr>
            <w:tcW w:w="36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1.64</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2.73</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1.28</w:t>
            </w:r>
          </w:p>
        </w:tc>
      </w:tr>
      <w:tr>
        <w:trPr>
          <w:trHeight w:val="20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used in computing net income (loss) per share attributable to Cimpress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84"/>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N.V.:</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22"/>
                <w:szCs w:val="22"/>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30,948,081</w:t>
            </w:r>
          </w:p>
        </w:tc>
        <w:tc>
          <w:tcPr>
            <w:tcW w:w="3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31,291,581</w:t>
            </w:r>
          </w:p>
        </w:tc>
        <w:tc>
          <w:tcPr>
            <w:tcW w:w="360" w:type="dxa"/>
            <w:vAlign w:val="bottom"/>
          </w:tcPr>
          <w:p>
            <w:pPr>
              <w:spacing w:after="0"/>
              <w:rPr>
                <w:sz w:val="22"/>
                <w:szCs w:val="22"/>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31,656,234</w:t>
            </w:r>
          </w:p>
        </w:tc>
        <w:tc>
          <w:tcPr>
            <w:tcW w:w="24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32,644,870</w:t>
            </w:r>
          </w:p>
        </w:tc>
        <w:tc>
          <w:tcPr>
            <w:tcW w:w="28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32,873,234</w:t>
            </w:r>
          </w:p>
        </w:tc>
      </w:tr>
      <w:tr>
        <w:trPr>
          <w:trHeight w:val="276"/>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 (f)</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32,220,401</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31,291,581</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33,049,454</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33,816,498</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34,239,909</w:t>
            </w:r>
          </w:p>
        </w:tc>
      </w:tr>
      <w:tr>
        <w:trPr>
          <w:trHeight w:val="534"/>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Year Ended June 30,</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2018 (a)</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2017 (b)</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2016 (c)</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2015 (d)</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2014 (e)</w:t>
            </w:r>
          </w:p>
        </w:tc>
      </w:tr>
      <w:tr>
        <w:trPr>
          <w:trHeight w:val="181"/>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(In thousands)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Statements of Cash Flows Data:</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192,332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156,736</w:t>
            </w:r>
          </w:p>
        </w:tc>
        <w:tc>
          <w:tcPr>
            <w:tcW w:w="36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247,358</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242,022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153,739</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(60,930)</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(74,157)</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(80,435)</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(75,813)</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(72,122)</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Purchases of ordinary shares</w:t>
            </w:r>
          </w:p>
        </w:tc>
        <w:tc>
          <w:tcPr>
            <w:tcW w:w="22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(94,710)</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(50,008)</w:t>
            </w:r>
          </w:p>
        </w:tc>
        <w:tc>
          <w:tcPr>
            <w:tcW w:w="360" w:type="dxa"/>
            <w:vAlign w:val="bottom"/>
          </w:tcPr>
          <w:p>
            <w:pPr>
              <w:spacing w:after="0"/>
              <w:rPr>
                <w:sz w:val="22"/>
                <w:szCs w:val="22"/>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(153,467)</w:t>
            </w:r>
          </w:p>
        </w:tc>
        <w:tc>
          <w:tcPr>
            <w:tcW w:w="24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(42,016)</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Business acquisitions, net of cash acquired</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(204,875)</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(164,412)</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(123,804)</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(216,384)</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Proceeds from the sale of subsidiaries, net of transaction costs and cash divested</w:t>
            </w:r>
          </w:p>
        </w:tc>
        <w:tc>
          <w:tcPr>
            <w:tcW w:w="220" w:type="dxa"/>
            <w:vAlign w:val="bottom"/>
          </w:tcPr>
          <w:p>
            <w:pPr>
              <w:spacing w:after="0"/>
              <w:rPr>
                <w:sz w:val="22"/>
                <w:szCs w:val="22"/>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93,779</w:t>
            </w:r>
          </w:p>
        </w:tc>
        <w:tc>
          <w:tcPr>
            <w:tcW w:w="3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(payments) proceeds of debt and debt issuance costs</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(54,415)</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196,933</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167,316</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54,207</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207,946</w:t>
            </w:r>
          </w:p>
        </w:tc>
      </w:tr>
      <w:tr>
        <w:trPr>
          <w:trHeight w:val="318"/>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Year Ended June 30,</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2018 (a)</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2017 (b)</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2016 (c)</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2015 (d)</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2014 (e)</w:t>
            </w:r>
          </w:p>
        </w:tc>
      </w:tr>
      <w:tr>
        <w:trPr>
          <w:trHeight w:val="181"/>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(In thousands)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Balance Sheet Data:</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Cash, cash equivalents and marketable securities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44,227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25,697</w:t>
            </w:r>
          </w:p>
        </w:tc>
        <w:tc>
          <w:tcPr>
            <w:tcW w:w="36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85,319</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110,494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76,365</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current liabilities (g)</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(241,728)</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(203,482)</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(135,095)</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(89,580)</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(83,560)</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20" w:type="dxa"/>
            <w:vAlign w:val="bottom"/>
          </w:tcPr>
          <w:p>
            <w:pPr>
              <w:spacing w:after="0"/>
              <w:rPr>
                <w:sz w:val="22"/>
                <w:szCs w:val="22"/>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1,652,217</w:t>
            </w:r>
          </w:p>
        </w:tc>
        <w:tc>
          <w:tcPr>
            <w:tcW w:w="3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1,679,869</w:t>
            </w:r>
          </w:p>
        </w:tc>
        <w:tc>
          <w:tcPr>
            <w:tcW w:w="360" w:type="dxa"/>
            <w:vAlign w:val="bottom"/>
          </w:tcPr>
          <w:p>
            <w:pPr>
              <w:spacing w:after="0"/>
              <w:rPr>
                <w:sz w:val="22"/>
                <w:szCs w:val="22"/>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1,463,869</w:t>
            </w:r>
          </w:p>
        </w:tc>
        <w:tc>
          <w:tcPr>
            <w:tcW w:w="24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1,299,794</w:t>
            </w:r>
          </w:p>
        </w:tc>
        <w:tc>
          <w:tcPr>
            <w:tcW w:w="28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985,495</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long-term debt, excluding current portion (h)</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767,585</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847,730</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656,794</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493,039</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408,150</w:t>
            </w: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Total shareholders’ equity</w:t>
            </w:r>
          </w:p>
        </w:tc>
        <w:tc>
          <w:tcPr>
            <w:tcW w:w="220" w:type="dxa"/>
            <w:vAlign w:val="bottom"/>
          </w:tcPr>
          <w:p>
            <w:pPr>
              <w:spacing w:after="0"/>
              <w:rPr>
                <w:sz w:val="22"/>
                <w:szCs w:val="22"/>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93,947</w:t>
            </w:r>
          </w:p>
        </w:tc>
        <w:tc>
          <w:tcPr>
            <w:tcW w:w="3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75,212</w:t>
            </w:r>
          </w:p>
        </w:tc>
        <w:tc>
          <w:tcPr>
            <w:tcW w:w="360" w:type="dxa"/>
            <w:vAlign w:val="bottom"/>
          </w:tcPr>
          <w:p>
            <w:pPr>
              <w:spacing w:after="0"/>
              <w:rPr>
                <w:sz w:val="22"/>
                <w:szCs w:val="22"/>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166,076</w:t>
            </w:r>
          </w:p>
        </w:tc>
        <w:tc>
          <w:tcPr>
            <w:tcW w:w="24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249,419</w:t>
            </w:r>
          </w:p>
        </w:tc>
        <w:tc>
          <w:tcPr>
            <w:tcW w:w="28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232,457</w:t>
            </w:r>
          </w:p>
        </w:tc>
      </w:tr>
      <w:tr>
        <w:trPr>
          <w:trHeight w:val="189"/>
        </w:trPr>
        <w:tc>
          <w:tcPr>
            <w:tcW w:w="5260" w:type="dxa"/>
            <w:vAlign w:val="bottom"/>
          </w:tcPr>
          <w:p>
            <w:pPr>
              <w:spacing w:after="0"/>
              <w:rPr>
                <w:sz w:val="20"/>
                <w:szCs w:val="20"/>
                <w:color w:val="auto"/>
              </w:rPr>
            </w:pPr>
            <w:r>
              <w:rPr>
                <w:rFonts w:ascii="Arial" w:cs="Arial" w:eastAsia="Arial" w:hAnsi="Arial"/>
                <w:sz w:val="14"/>
                <w:szCs w:val="14"/>
                <w:color w:val="auto"/>
              </w:rPr>
              <w:t>___________________</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line="71" w:lineRule="exact"/>
        <w:rPr>
          <w:sz w:val="20"/>
          <w:szCs w:val="20"/>
          <w:color w:val="auto"/>
        </w:rPr>
      </w:pPr>
    </w:p>
    <w:p>
      <w:pPr>
        <w:ind w:left="260" w:right="240" w:hanging="252"/>
        <w:spacing w:after="0" w:line="258" w:lineRule="auto"/>
        <w:tabs>
          <w:tab w:leader="none" w:pos="233"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the Albumprinter results through the divestiture date of August 31, 2017. See Note 7 in our accompanying financial statements in this Report for a discussion of this divestiture.</w:t>
      </w:r>
    </w:p>
    <w:p>
      <w:pPr>
        <w:spacing w:after="0" w:line="59" w:lineRule="exact"/>
        <w:rPr>
          <w:rFonts w:ascii="Arial" w:cs="Arial" w:eastAsia="Arial" w:hAnsi="Arial"/>
          <w:sz w:val="14"/>
          <w:szCs w:val="14"/>
          <w:color w:val="auto"/>
        </w:rPr>
      </w:pPr>
    </w:p>
    <w:p>
      <w:pPr>
        <w:ind w:left="260" w:right="440" w:hanging="252"/>
        <w:spacing w:after="0" w:line="258" w:lineRule="auto"/>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the impact of the acquisition of National Pen on December 30, 2016. See Note 7 in our accompanying financial statements in this Report for a discussion of this acquisition. During December 2016, we purchased the remaining noncontrolling interest of our Japan business from our joint business partner, Plaza Create Co. Ltd.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5" w:right="239" w:bottom="1440" w:gutter="0" w:footer="0" w:header="0"/>
        </w:sectPr>
      </w:pPr>
    </w:p>
    <w:bookmarkStart w:id="30" w:name="page31"/>
    <w:bookmarkEnd w:id="30"/>
    <w:p>
      <w:pPr>
        <w:ind w:left="260" w:right="360" w:hanging="252"/>
        <w:spacing w:after="0" w:line="258" w:lineRule="auto"/>
        <w:tabs>
          <w:tab w:leader="none" w:pos="224"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the impact of the acquisitions of Litotipografia Alcione S.r.l. on July 29, 2015, Tradeprint Distribution Limited on July 31, 2015, and WIRmachenDRUCK GmbH on February 1, 2016. See Note 7 in our accompanying financial statements in this Report for a discussion of these acquisitions.</w:t>
      </w:r>
    </w:p>
    <w:p>
      <w:pPr>
        <w:spacing w:after="0" w:line="59" w:lineRule="exact"/>
        <w:rPr>
          <w:sz w:val="20"/>
          <w:szCs w:val="20"/>
          <w:color w:val="auto"/>
        </w:rPr>
      </w:pPr>
    </w:p>
    <w:p>
      <w:pPr>
        <w:ind w:left="260" w:right="180" w:hanging="242"/>
        <w:spacing w:after="0" w:line="250" w:lineRule="auto"/>
        <w:rPr>
          <w:sz w:val="20"/>
          <w:szCs w:val="20"/>
          <w:color w:val="auto"/>
        </w:rPr>
      </w:pPr>
      <w:r>
        <w:rPr>
          <w:rFonts w:ascii="Arial" w:cs="Arial" w:eastAsia="Arial" w:hAnsi="Arial"/>
          <w:sz w:val="14"/>
          <w:szCs w:val="14"/>
          <w:color w:val="auto"/>
        </w:rPr>
        <w:t>During fiscal 2016, we adopted Accounting Standards Update (ASU) 2016-09 requiring the recognition of excess tax benefits as a component of income tax expense; these benefits were historically recognized in equity. As the standard required a prospective method of adoption, our fiscal 2018, 2017 and 2016 net income includes $12.8 million, $8.0 million and $3.5 million of income tax benefits, respectively, due to the adoption that did not occur in the prior comparable periods presented above.</w:t>
      </w:r>
    </w:p>
    <w:p>
      <w:pPr>
        <w:spacing w:after="0" w:line="64" w:lineRule="exact"/>
        <w:rPr>
          <w:sz w:val="20"/>
          <w:szCs w:val="20"/>
          <w:color w:val="auto"/>
        </w:rPr>
      </w:pPr>
    </w:p>
    <w:p>
      <w:pPr>
        <w:ind w:left="260" w:right="780" w:hanging="252"/>
        <w:spacing w:after="0" w:line="258"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impact of the acquisitions of FotoKnudsen AS on July 1, 2014, FL Print SAS on April 9, 2015, Exagroup SAS on April 15, 2015 and druck.at Druck-und Handelsgesellschäft mbH on April 17, 2015, as well as our investment in Printi LLC on August 7, 2014.</w:t>
      </w:r>
    </w:p>
    <w:p>
      <w:pPr>
        <w:spacing w:after="0" w:line="59" w:lineRule="exact"/>
        <w:rPr>
          <w:rFonts w:ascii="Arial" w:cs="Arial" w:eastAsia="Arial" w:hAnsi="Arial"/>
          <w:sz w:val="14"/>
          <w:szCs w:val="14"/>
          <w:color w:val="auto"/>
        </w:rPr>
      </w:pPr>
    </w:p>
    <w:p>
      <w:pPr>
        <w:ind w:left="260" w:right="240" w:hanging="252"/>
        <w:spacing w:after="0" w:line="258"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impact of the acquisitions of Printdeal B.V. on April 1, 2014 and Pixartprinting S.p.A. on April 3, 2014, as well as our investment in a joint business arrangement with Plaza Create Co. Ltd. in February 2014.</w:t>
      </w:r>
    </w:p>
    <w:p>
      <w:pPr>
        <w:spacing w:after="0" w:line="59" w:lineRule="exact"/>
        <w:rPr>
          <w:rFonts w:ascii="Arial" w:cs="Arial" w:eastAsia="Arial" w:hAnsi="Arial"/>
          <w:sz w:val="14"/>
          <w:szCs w:val="14"/>
          <w:color w:val="auto"/>
        </w:rPr>
      </w:pPr>
    </w:p>
    <w:p>
      <w:pPr>
        <w:ind w:left="180" w:hanging="172"/>
        <w:spacing w:after="0"/>
        <w:tabs>
          <w:tab w:leader="none" w:pos="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the periods we report a net loss, the impact of share options, RSUs, and RSAs is not included as they are anti-dilutive.</w:t>
      </w:r>
    </w:p>
    <w:p>
      <w:pPr>
        <w:spacing w:after="0" w:line="82" w:lineRule="exact"/>
        <w:rPr>
          <w:rFonts w:ascii="Arial" w:cs="Arial" w:eastAsia="Arial" w:hAnsi="Arial"/>
          <w:sz w:val="14"/>
          <w:szCs w:val="14"/>
          <w:color w:val="auto"/>
        </w:rPr>
      </w:pPr>
    </w:p>
    <w:p>
      <w:pPr>
        <w:ind w:left="260" w:right="20" w:hanging="252"/>
        <w:spacing w:after="0" w:line="248"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net current liabilities (current assets minus current liabilities) have increased over recent years as we have made long-term investments that seek to drive shareholder value through acquisitions, ordinary share purchases, and other strategic initiatives. We have financed these investments through a mix of cash on hand, cash flows generated from operations and external debt financing. Additionally, many of our businesses have a cash conversion cycle that results in current liabilities being higher than current assets.</w:t>
      </w:r>
    </w:p>
    <w:p>
      <w:pPr>
        <w:spacing w:after="0" w:line="230" w:lineRule="exact"/>
        <w:rPr>
          <w:rFonts w:ascii="Arial" w:cs="Arial" w:eastAsia="Arial" w:hAnsi="Arial"/>
          <w:sz w:val="14"/>
          <w:szCs w:val="14"/>
          <w:color w:val="auto"/>
        </w:rPr>
      </w:pPr>
    </w:p>
    <w:p>
      <w:pPr>
        <w:ind w:left="260" w:hanging="252"/>
        <w:spacing w:after="0" w:line="247"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June 15, 2018, we completed a private placement of $400.0 million of 7.0% senior unsecured notes due 2026. The proceeds from the sales of the notes were used to repay our existing $275.0 million senior unsecured notes that were due 2022, a portion of our indebtedness outstanding under our senior secured credit facility and other related transaction fees. See Note 10 in our accompanying financial statements in this Report for additional discussion. Increases in long-term debt during the periods presented have largely been driven by the funding of acquisitions outlined including those outlined in Note 7 and share repurchases.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9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anticipated revenue growth rates, planned investments in our business and the expected effects of those investments, seasonality of certain of our businesses, the impacts of changes in accounting standards, the impact of the U.S. Tax Cuts and Jobs Act, the sufficiency of our tax reserves, sufficiency of our cash, legal proceedings, expected operating losses at newer businesses, expected allocations of capital, the anticipated competitive position of certain of our businesses, and the impact of exchange rate and currency volatility.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certain important factors, including those set forth in this “Management's Discussion and Analysis of Financial Condition and Results of Operations” and “Risk Factors” and elsewhere in this Report. You should carefully review those factors and also carefully review the risks outlined in other documents that we file from time to time with the United States Securities and Exchange Commission.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Cimpress is a strategically-focused group of more than a dozen businesses that specialize in mass customization, via which we deliver large volumes of individually small-sized customized orders for a broad spectrum of print, signage, photo merchandise, invitations and announcements, packaging, apparel and other categories. We invest in and build customer-focused, entrepreneurial mass customization businesses for the long term, which we manage in a decentralized, autonomous manner. We drive competitive advantage across Cimpress through a select few shared strategic capabilities that have the greatest potential to create Cimpress wide value. We limit all other central activities to only those which absolutely must be performed centrally.</w:t>
      </w:r>
    </w:p>
    <w:p>
      <w:pPr>
        <w:spacing w:after="0" w:line="182"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As of June 30, 2018, we have numerous operating segments under our management reporting structure that are reported in the following four reportable segments: Vistaprint, Upload and Print, National Pen, and All Other Businesses. Vistaprint represents our Vistaprint websites focused on the North America, Europe, Australia and New Zealand markets, and our Webs business, which is managed with the Vistaprint digital business. Upload and Print includes the druck.at, Easyflyer, Exagroup, Pixartprinting, Printdeal, Tradeprint, and WIRmachenDRUCK businesses. National Pen includes the global operations of our National Pen business. All Other Businesses segment includes the operations of our Printi, Vistaprint India, Vistaprint Japan and Vistaprint Corporate Solutions businesses, and the Albumprinter business, through its divestiture on August 31, 2017.</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68" w:right="279" w:bottom="1440" w:gutter="0" w:footer="0" w:header="0"/>
        </w:sectPr>
      </w:pPr>
    </w:p>
    <w:bookmarkStart w:id="31" w:name="page32"/>
    <w:bookmarkEnd w:id="31"/>
    <w:p>
      <w:pPr>
        <w:ind w:right="140" w:firstLine="648"/>
        <w:spacing w:after="0" w:line="252" w:lineRule="auto"/>
        <w:rPr>
          <w:sz w:val="20"/>
          <w:szCs w:val="20"/>
          <w:color w:val="auto"/>
        </w:rPr>
      </w:pPr>
      <w:r>
        <w:rPr>
          <w:rFonts w:ascii="Arial" w:cs="Arial" w:eastAsia="Arial" w:hAnsi="Arial"/>
          <w:sz w:val="18"/>
          <w:szCs w:val="18"/>
          <w:color w:val="auto"/>
        </w:rPr>
        <w:t>During the first quarter of fiscal 2018, we began presenting inter-segment fulfillment activity as revenue for the fulfilling business for purposes of measuring and reporting our segment financial performance. This change in presentation was driven by our recent transition to a decentralized organizational structure, and this presentation aligns with our internal reporting and the way in which our business' performance is evaluated. We have revised historical results to reflect the consistent application of our current accounting methodology. In addition, we adjusted our historical segment profitability for the allocation of certain IT costs that are allocated to each of our businesses in fiscal 2018, to better reflect where those resources are consumed. Refer to Note 16 of the accompanying consolidated financial statements for additional details of these changes.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301"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The primary financial metric by which we set quarterly and annual budgets both for individual businesses and Cimpress-wide is our free cash flow prior to cash interest costs; however, in evaluating the financial condition and operating performance of our business, management considers a number of metrics including revenue growth, constant-currency revenue growth, operating income, adjusted net operating profit, cash flow from operations and free cash flow. A summary of these key financial metrics for the year ended June 30, 2018 as compared to the year ended June 30, 2017 follows: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2018</w:t>
      </w:r>
    </w:p>
    <w:p>
      <w:pPr>
        <w:spacing w:after="0" w:line="13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increased by 21% to $2,592.5 million.</w:t>
      </w:r>
    </w:p>
    <w:p>
      <w:pPr>
        <w:spacing w:after="0" w:line="117" w:lineRule="exact"/>
        <w:rPr>
          <w:rFonts w:ascii="Arial" w:cs="Arial" w:eastAsia="Arial" w:hAnsi="Arial"/>
          <w:sz w:val="18"/>
          <w:szCs w:val="18"/>
          <w:color w:val="auto"/>
        </w:rPr>
      </w:pPr>
    </w:p>
    <w:p>
      <w:pPr>
        <w:ind w:left="980" w:right="520" w:hanging="324"/>
        <w:spacing w:after="0" w:line="262"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Consolidated constant-currency revenue (a non-GAAP financial measure) increased by 17% and, excluding acquisitions and divestitures completed in the last four quarters, increased by 11%.</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income (loss) increased by $203.5 million to $157.8 million.</w:t>
      </w:r>
    </w:p>
    <w:p>
      <w:pPr>
        <w:spacing w:after="0" w:line="117" w:lineRule="exact"/>
        <w:rPr>
          <w:rFonts w:ascii="Arial" w:cs="Arial" w:eastAsia="Arial" w:hAnsi="Arial"/>
          <w:sz w:val="18"/>
          <w:szCs w:val="18"/>
          <w:color w:val="auto"/>
        </w:rPr>
      </w:pPr>
    </w:p>
    <w:p>
      <w:pPr>
        <w:ind w:left="980" w:right="380" w:hanging="324"/>
        <w:spacing w:after="0" w:line="262"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net operating profit (a non-GAAP financial measure which we refer to as adjusted NOP) increased by $69.8 million to $165.5 million.</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provided by operating activities increased by $35.6 million to $192.3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Free cash flow (a non-GAAP financial measure) increased by $94.4 million to $139.5 million.</w:t>
      </w:r>
    </w:p>
    <w:p>
      <w:pPr>
        <w:spacing w:after="0" w:line="198" w:lineRule="exact"/>
        <w:rPr>
          <w:sz w:val="20"/>
          <w:szCs w:val="20"/>
          <w:color w:val="auto"/>
        </w:rPr>
      </w:pPr>
    </w:p>
    <w:p>
      <w:pPr>
        <w:jc w:val="both"/>
        <w:ind w:right="120" w:firstLine="648"/>
        <w:spacing w:after="0" w:line="250" w:lineRule="auto"/>
        <w:rPr>
          <w:sz w:val="20"/>
          <w:szCs w:val="20"/>
          <w:color w:val="auto"/>
        </w:rPr>
      </w:pPr>
      <w:r>
        <w:rPr>
          <w:rFonts w:ascii="Arial" w:cs="Arial" w:eastAsia="Arial" w:hAnsi="Arial"/>
          <w:sz w:val="18"/>
          <w:szCs w:val="18"/>
          <w:color w:val="auto"/>
        </w:rPr>
        <w:t>For our fiscal year 2018, the increase in reported revenue includes the impact of a full year of National Pen revenue as compared to a portion of the prior year due to timing of the acquisition, continued growth in our various businesses, as well as positive impacts from currency exchange rate fluctuations. This was partially offset by the loss of Albumprinter revenue as we divested this business as of August 31, 2017.</w:t>
      </w:r>
    </w:p>
    <w:p>
      <w:pPr>
        <w:spacing w:after="0" w:line="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constant-currency revenue growth excluding acquisitions and divestitures was driven primarily by continued growth in our Vistaprint and Upload and Print businesses.</w:t>
      </w:r>
    </w:p>
    <w:p>
      <w:pPr>
        <w:spacing w:after="0" w:line="169" w:lineRule="exact"/>
        <w:rPr>
          <w:sz w:val="20"/>
          <w:szCs w:val="20"/>
          <w:color w:val="auto"/>
        </w:rPr>
      </w:pPr>
    </w:p>
    <w:p>
      <w:pPr>
        <w:ind w:right="500" w:firstLine="648"/>
        <w:spacing w:after="0" w:line="262" w:lineRule="auto"/>
        <w:rPr>
          <w:sz w:val="20"/>
          <w:szCs w:val="20"/>
          <w:color w:val="auto"/>
        </w:rPr>
      </w:pPr>
      <w:r>
        <w:rPr>
          <w:rFonts w:ascii="Arial" w:cs="Arial" w:eastAsia="Arial" w:hAnsi="Arial"/>
          <w:sz w:val="18"/>
          <w:szCs w:val="18"/>
          <w:color w:val="auto"/>
        </w:rPr>
        <w:t>In addition to incremental profits generated from the revenue growth described above, the following items positively impacted our operating income for the year ended June 30, 2018, leading to the increase in operating income as compared to the prior period:</w:t>
      </w:r>
    </w:p>
    <w:p>
      <w:pPr>
        <w:spacing w:after="0" w:line="169" w:lineRule="exact"/>
        <w:rPr>
          <w:sz w:val="20"/>
          <w:szCs w:val="20"/>
          <w:color w:val="auto"/>
        </w:rPr>
      </w:pPr>
    </w:p>
    <w:p>
      <w:pPr>
        <w:ind w:left="980" w:hanging="324"/>
        <w:spacing w:after="0" w:line="262"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year-over-year operating expense savings of approximately $55 million related to the restructuring actions announced in January and November 2017, as well as a reduction of restructuring charges of $11.5 million.</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Recognized gain on the sale of subsidiaries of $47.5 million, related to the August 2017 sale of Albumprinter.</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 of acquisition-related expenses of $46.6 million, due to the following:</w:t>
      </w:r>
    </w:p>
    <w:p>
      <w:pPr>
        <w:spacing w:after="0" w:line="198" w:lineRule="exact"/>
        <w:rPr>
          <w:rFonts w:ascii="Arial" w:cs="Arial" w:eastAsia="Arial" w:hAnsi="Arial"/>
          <w:sz w:val="18"/>
          <w:szCs w:val="18"/>
          <w:color w:val="auto"/>
        </w:rPr>
      </w:pPr>
    </w:p>
    <w:p>
      <w:pPr>
        <w:ind w:left="1620" w:right="320" w:hanging="315"/>
        <w:spacing w:after="0" w:line="262"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Reduction to earn-out related charges of $40.7 million, related primarily to the WIRmachenDRUCK contingent earn-out arrangement that was paid in fiscal year 2018.</w:t>
      </w:r>
    </w:p>
    <w:p>
      <w:pPr>
        <w:spacing w:after="0" w:line="169" w:lineRule="exact"/>
        <w:rPr>
          <w:rFonts w:ascii="Arial" w:cs="Arial" w:eastAsia="Arial" w:hAnsi="Arial"/>
          <w:sz w:val="18"/>
          <w:szCs w:val="18"/>
          <w:color w:val="auto"/>
        </w:rPr>
      </w:pPr>
    </w:p>
    <w:p>
      <w:pPr>
        <w:ind w:left="1620" w:hanging="315"/>
        <w:spacing w:after="0"/>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Impairment charges of $9.6 million recognized during the prior period, which did not recur during the current period.</w:t>
      </w:r>
    </w:p>
    <w:p>
      <w:pPr>
        <w:spacing w:after="0" w:line="198" w:lineRule="exact"/>
        <w:rPr>
          <w:rFonts w:ascii="Arial" w:cs="Arial" w:eastAsia="Arial" w:hAnsi="Arial"/>
          <w:sz w:val="18"/>
          <w:szCs w:val="18"/>
          <w:color w:val="auto"/>
        </w:rPr>
      </w:pPr>
    </w:p>
    <w:p>
      <w:pPr>
        <w:ind w:left="1620" w:right="100" w:hanging="315"/>
        <w:spacing w:after="0" w:line="262"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Increased amortization of acquired intangible assets of $3.7 million, due to the timing of our fiscal year 2017 acquisition of National Pen, which partially offset the above decreases.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71" w:right="259" w:bottom="1440" w:gutter="0" w:footer="0" w:header="0"/>
        </w:sectPr>
      </w:pPr>
    </w:p>
    <w:bookmarkStart w:id="32" w:name="page33"/>
    <w:bookmarkEnd w:id="32"/>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in National Pen segment profit of $24.4 million, primarily due to the timing of the acquisition in fiscal year 2017.</w:t>
      </w:r>
    </w:p>
    <w:p>
      <w:pPr>
        <w:spacing w:after="0" w:line="198" w:lineRule="exact"/>
        <w:rPr>
          <w:rFonts w:ascii="Arial" w:cs="Arial" w:eastAsia="Arial" w:hAnsi="Arial"/>
          <w:sz w:val="18"/>
          <w:szCs w:val="18"/>
          <w:color w:val="auto"/>
        </w:rPr>
      </w:pPr>
    </w:p>
    <w:p>
      <w:pPr>
        <w:ind w:left="980" w:right="100" w:hanging="324"/>
        <w:spacing w:after="0" w:line="256"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impact of organic investments in fiscal year 2018 as compared to fiscal year 2017, due to reduced net investments in various areas including "Columbus" which was the name of a project to organically build our business in promotional products and logo apparel, new product introduction, and the businesses within our All Other Businesses segment.</w:t>
      </w:r>
    </w:p>
    <w:p>
      <w:pPr>
        <w:spacing w:after="0" w:line="17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Adjusted NOP increased significantly year over year primarily due to the same reasons as operating income mentioned above, although adjusted NOP excludes the impact of the gain from the purchase or sale of subsidiaries, restructuring charges and acquisition-related charges, and includes realized gains or losses on our currency hedges. The net year-over-year impact of currency on adjusted NOP was negative for the year ended June 30,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01" w:lineRule="exact"/>
        <w:rPr>
          <w:sz w:val="20"/>
          <w:szCs w:val="20"/>
          <w:color w:val="auto"/>
        </w:rPr>
      </w:pPr>
    </w:p>
    <w:p>
      <w:pPr>
        <w:ind w:right="40" w:firstLine="662"/>
        <w:spacing w:after="0" w:line="256" w:lineRule="auto"/>
        <w:rPr>
          <w:sz w:val="20"/>
          <w:szCs w:val="20"/>
          <w:color w:val="auto"/>
        </w:rPr>
      </w:pPr>
      <w:r>
        <w:rPr>
          <w:rFonts w:ascii="Arial" w:cs="Arial" w:eastAsia="Arial" w:hAnsi="Arial"/>
          <w:sz w:val="18"/>
          <w:szCs w:val="18"/>
          <w:color w:val="auto"/>
        </w:rPr>
        <w:t>Our businesses generate revenue primarily from the sale and shipment of customized manufactured products. To a much lesser extent (and only in our Vistaprint business) we provide digital services, website design and hosting, and email marketing services, as well as a small percentage from order referral fees and other third-party offerings.</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For the year ended June 30, 2018, our reported revenue increased as compared to the prior comparable period. This includes the full year revenue benefit of the National Pen business as results were included for only a portion of the prior period. We also delivered continued growth in our Vistaprint and Upload and Print businesses. Our reported revenue was negatively impacted by the divestiture of our Albumprinter business, which was completed during the first quarter of fiscal year 2018. The remaining businesses within our All Other Businesses segment continue to grow strongly off small bases. Currency fluctuations positively impacted our fiscal 2018 reported revenue as compared to the prior year.</w:t>
      </w:r>
    </w:p>
    <w:p>
      <w:pPr>
        <w:spacing w:after="0" w:line="263"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For the year ended June 30, 2017, our reported revenue increased primarily due to the addition of revenue from our WIRmachenDRUCK business acquired on February 1, 2016 and our National Pen business acquired on December 30, 2016. The increase in reported revenue other than the impact of acquisitions for which there is no comparable prior period was driven by continued growth in our Vistaprint business, as well as growth in our other Upload and Print businesses, which was partially offset by declines from the termination of two partner contracts within our Albumprinter and Vistaprint Corporate Solutions businesses. Currency fluctuations negatively impacted our fiscal year 2017 reported revenue as compared to the prior year.</w:t>
      </w:r>
    </w:p>
    <w:p>
      <w:pPr>
        <w:spacing w:after="0" w:line="74" w:lineRule="exact"/>
        <w:rPr>
          <w:sz w:val="20"/>
          <w:szCs w:val="20"/>
          <w:color w:val="auto"/>
        </w:rPr>
      </w:pPr>
    </w:p>
    <w:p>
      <w:pPr>
        <w:ind w:right="740" w:firstLine="648"/>
        <w:spacing w:after="0" w:line="262" w:lineRule="auto"/>
        <w:rPr>
          <w:sz w:val="20"/>
          <w:szCs w:val="20"/>
          <w:color w:val="auto"/>
        </w:rPr>
      </w:pPr>
      <w:r>
        <w:rPr>
          <w:rFonts w:ascii="Arial" w:cs="Arial" w:eastAsia="Arial" w:hAnsi="Arial"/>
          <w:sz w:val="18"/>
          <w:szCs w:val="18"/>
          <w:color w:val="auto"/>
        </w:rPr>
        <w:t>Total revenue and revenue growth by reportable segment for the years ended June 30, 2018, 2017 and 2016 are shown in the following tables: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8"/>
                <w:szCs w:val="18"/>
                <w:color w:val="auto"/>
              </w:rPr>
            </w:pPr>
          </w:p>
        </w:tc>
        <w:tc>
          <w:tcPr>
            <w:tcW w:w="2320" w:type="dxa"/>
            <w:vAlign w:val="bottom"/>
            <w:gridSpan w:val="4"/>
            <w:vMerge w:val="restart"/>
          </w:tcPr>
          <w:p>
            <w:pPr>
              <w:jc w:val="right"/>
              <w:ind w:right="582"/>
              <w:spacing w:after="0"/>
              <w:rPr>
                <w:sz w:val="20"/>
                <w:szCs w:val="20"/>
                <w:color w:val="auto"/>
              </w:rPr>
            </w:pPr>
            <w:r>
              <w:rPr>
                <w:rFonts w:ascii="Arial" w:cs="Arial" w:eastAsia="Arial" w:hAnsi="Arial"/>
                <w:sz w:val="13"/>
                <w:szCs w:val="13"/>
                <w:b w:val="1"/>
                <w:bCs w:val="1"/>
                <w:color w:val="auto"/>
              </w:rPr>
              <w:t>Year Ended June 30,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Currency</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Constant-</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Impact:</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Currency</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gridSpan w:val="2"/>
          </w:tcPr>
          <w:p>
            <w:pPr>
              <w:jc w:val="center"/>
              <w:ind w:left="42"/>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Revenue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57"/>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1,462,686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1,310,975</w:t>
            </w:r>
          </w:p>
        </w:tc>
        <w:tc>
          <w:tcPr>
            <w:tcW w:w="88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w w:val="99"/>
              </w:rPr>
              <w:t>12%</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Upload and Print</w:t>
            </w:r>
          </w:p>
        </w:tc>
        <w:tc>
          <w:tcPr>
            <w:tcW w:w="26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730,010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588,613</w:t>
            </w:r>
          </w:p>
        </w:tc>
        <w:tc>
          <w:tcPr>
            <w:tcW w:w="88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24%</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8"/>
              </w:rPr>
              <w:t>(11)%</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80"/>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National Pen</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333,266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112,712</w:t>
            </w:r>
          </w:p>
        </w:tc>
        <w:tc>
          <w:tcPr>
            <w:tcW w:w="88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w w:val="97"/>
              </w:rPr>
              <w:t>196%</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25%</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All Other Businesses (3)</w:t>
            </w:r>
          </w:p>
        </w:tc>
        <w:tc>
          <w:tcPr>
            <w:tcW w:w="26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87,583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128,795</w:t>
            </w:r>
          </w:p>
        </w:tc>
        <w:tc>
          <w:tcPr>
            <w:tcW w:w="880" w:type="dxa"/>
            <w:vAlign w:val="bottom"/>
            <w:gridSpan w:val="2"/>
          </w:tcPr>
          <w:p>
            <w:pPr>
              <w:jc w:val="center"/>
              <w:ind w:left="42"/>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72%</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0" w:type="dxa"/>
            <w:vAlign w:val="bottom"/>
          </w:tcPr>
          <w:p>
            <w:pPr>
              <w:spacing w:after="0"/>
              <w:rPr>
                <w:sz w:val="1"/>
                <w:szCs w:val="1"/>
                <w:color w:val="auto"/>
              </w:rPr>
            </w:pPr>
          </w:p>
        </w:tc>
      </w:tr>
      <w:tr>
        <w:trPr>
          <w:trHeight w:val="228"/>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Inter-segment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2,592,541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2,135,405</w:t>
            </w:r>
          </w:p>
        </w:tc>
        <w:tc>
          <w:tcPr>
            <w:tcW w:w="88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21%</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7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9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7"/>
                <w:szCs w:val="17"/>
                <w:color w:val="auto"/>
              </w:rPr>
            </w:pPr>
          </w:p>
        </w:tc>
        <w:tc>
          <w:tcPr>
            <w:tcW w:w="2320" w:type="dxa"/>
            <w:vAlign w:val="bottom"/>
            <w:gridSpan w:val="4"/>
            <w:vMerge w:val="restart"/>
          </w:tcPr>
          <w:p>
            <w:pPr>
              <w:jc w:val="right"/>
              <w:ind w:right="582"/>
              <w:spacing w:after="0"/>
              <w:rPr>
                <w:sz w:val="20"/>
                <w:szCs w:val="20"/>
                <w:color w:val="auto"/>
              </w:rPr>
            </w:pPr>
            <w:r>
              <w:rPr>
                <w:rFonts w:ascii="Arial" w:cs="Arial" w:eastAsia="Arial" w:hAnsi="Arial"/>
                <w:sz w:val="13"/>
                <w:szCs w:val="13"/>
                <w:b w:val="1"/>
                <w:bCs w:val="1"/>
                <w:color w:val="auto"/>
              </w:rPr>
              <w:t>Year Ended June 30,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Currency</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Constant-</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Impact:</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Currency</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gridSpan w:val="2"/>
          </w:tcPr>
          <w:p>
            <w:pPr>
              <w:jc w:val="center"/>
              <w:ind w:left="42"/>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Revenue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57"/>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1,310,975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1,220,751</w:t>
            </w:r>
          </w:p>
        </w:tc>
        <w:tc>
          <w:tcPr>
            <w:tcW w:w="88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Upload and Print</w:t>
            </w:r>
          </w:p>
        </w:tc>
        <w:tc>
          <w:tcPr>
            <w:tcW w:w="26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588,613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432,638</w:t>
            </w:r>
          </w:p>
        </w:tc>
        <w:tc>
          <w:tcPr>
            <w:tcW w:w="88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36%</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80"/>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National Pen</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112,712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w w:val="97"/>
              </w:rPr>
              <w:t>100%</w:t>
            </w: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0"/>
        </w:trPr>
        <w:tc>
          <w:tcPr>
            <w:tcW w:w="1900" w:type="dxa"/>
            <w:vAlign w:val="bottom"/>
          </w:tcPr>
          <w:p>
            <w:pPr>
              <w:ind w:left="40"/>
              <w:spacing w:after="0"/>
              <w:rPr>
                <w:sz w:val="20"/>
                <w:szCs w:val="20"/>
                <w:color w:val="auto"/>
              </w:rPr>
            </w:pPr>
            <w:r>
              <w:rPr>
                <w:rFonts w:ascii="Arial" w:cs="Arial" w:eastAsia="Arial" w:hAnsi="Arial"/>
                <w:sz w:val="16"/>
                <w:szCs w:val="16"/>
                <w:color w:val="auto"/>
              </w:rPr>
              <w:t>All Other Businesses (3)</w:t>
            </w:r>
          </w:p>
        </w:tc>
        <w:tc>
          <w:tcPr>
            <w:tcW w:w="26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128,795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138,244</w:t>
            </w:r>
          </w:p>
        </w:tc>
        <w:tc>
          <w:tcPr>
            <w:tcW w:w="880" w:type="dxa"/>
            <w:vAlign w:val="bottom"/>
            <w:gridSpan w:val="2"/>
          </w:tcPr>
          <w:p>
            <w:pPr>
              <w:jc w:val="center"/>
              <w:ind w:left="22"/>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8"/>
        </w:trPr>
        <w:tc>
          <w:tcPr>
            <w:tcW w:w="1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Inter-segment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90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2,135,405</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1,788,044</w:t>
            </w:r>
          </w:p>
        </w:tc>
        <w:tc>
          <w:tcPr>
            <w:tcW w:w="88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19%</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9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60" w:right="20" w:hanging="252"/>
        <w:spacing w:after="0" w:line="250" w:lineRule="auto"/>
        <w:tabs>
          <w:tab w:leader="none" w:pos="233"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64" w:lineRule="exact"/>
        <w:rPr>
          <w:rFonts w:ascii="Arial" w:cs="Arial" w:eastAsia="Arial" w:hAnsi="Arial"/>
          <w:sz w:val="14"/>
          <w:szCs w:val="14"/>
          <w:color w:val="auto"/>
        </w:rPr>
      </w:pPr>
    </w:p>
    <w:p>
      <w:pPr>
        <w:ind w:left="260" w:hanging="252"/>
        <w:spacing w:after="0" w:line="245" w:lineRule="auto"/>
        <w:tabs>
          <w:tab w:leader="none" w:pos="233"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Revenue from our fiscal year 2017 acquisitions is excluded from fiscal year 2018 revenue growth for quarters with no comparable year-over-year revenue. For example, revenue from National Pen, which we acquired on December 30, 2016 in Q2 2017, is excluded from revenue growth in Q1 and Q2 of fiscal year 2018 since there are no full quarter results in the comparable periods, but revenue is included in revenue growth for Q3 and Q4 of fiscal year 2018. Our reportable segments-related growth is inclusive of inter-segment revenues, which are eliminated in our consolidated results.</w:t>
      </w:r>
    </w:p>
    <w:p>
      <w:pPr>
        <w:spacing w:after="0" w:line="69" w:lineRule="exact"/>
        <w:rPr>
          <w:rFonts w:ascii="Arial" w:cs="Arial" w:eastAsia="Arial" w:hAnsi="Arial"/>
          <w:sz w:val="14"/>
          <w:szCs w:val="14"/>
          <w:color w:val="auto"/>
        </w:rPr>
      </w:pPr>
    </w:p>
    <w:p>
      <w:pPr>
        <w:ind w:left="260" w:right="300" w:hanging="252"/>
        <w:spacing w:after="0" w:line="258" w:lineRule="auto"/>
        <w:tabs>
          <w:tab w:leader="none" w:pos="233"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All Other Businesses segment includes the revenue of the Albumprinter business until the sale completion date of August 31, 2017. Constant-currency revenue growth excluding acquisitions/divestitures, excludes the revenue results for Albumprinter through the divestiture date.</w:t>
      </w:r>
    </w:p>
    <w:p>
      <w:pPr>
        <w:spacing w:after="0" w:line="140" w:lineRule="exact"/>
        <w:rPr>
          <w:sz w:val="20"/>
          <w:szCs w:val="20"/>
          <w:color w:val="auto"/>
        </w:rPr>
      </w:pPr>
    </w:p>
    <w:p>
      <w:pPr>
        <w:ind w:left="260" w:hanging="242"/>
        <w:spacing w:after="0" w:line="250"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301"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costs, costs of free products and other related costs of products our businesses sell. Cost of revenue as a percent of revenue increased during the year ended June 30, 2018, compared to the prior year, primarily due to the divestiture of our Albumprinter business which had a higher gross margin than our consolidated gross margin percentage, as well as the increased weight of our Upload and Print portfolio, which has higher cost of revenue as a percentage of revenue than our Vistaprint and National Pen businesses.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26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Year Ended June 30,</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64"/>
        </w:trPr>
        <w:tc>
          <w:tcPr>
            <w:tcW w:w="6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08"/>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2016</w:t>
            </w:r>
          </w:p>
        </w:tc>
      </w:tr>
      <w:tr>
        <w:trPr>
          <w:trHeight w:val="257"/>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 of revenue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1,279,799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1,036,975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773,640</w:t>
            </w:r>
          </w:p>
        </w:tc>
      </w:tr>
      <w:tr>
        <w:trPr>
          <w:trHeight w:val="251"/>
        </w:trPr>
        <w:tc>
          <w:tcPr>
            <w:tcW w:w="626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49.4%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i w:val="1"/>
                <w:iCs w:val="1"/>
                <w:color w:val="auto"/>
              </w:rPr>
              <w:t>48.6%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43.3%</w:t>
            </w:r>
          </w:p>
        </w:tc>
      </w:tr>
    </w:tbl>
    <w:p>
      <w:pPr>
        <w:spacing w:after="0" w:line="289" w:lineRule="exact"/>
        <w:rPr>
          <w:sz w:val="20"/>
          <w:szCs w:val="20"/>
          <w:color w:val="auto"/>
        </w:rPr>
      </w:pPr>
    </w:p>
    <w:p>
      <w:pPr>
        <w:ind w:right="60" w:firstLine="662"/>
        <w:spacing w:after="0" w:line="252" w:lineRule="auto"/>
        <w:rPr>
          <w:sz w:val="20"/>
          <w:szCs w:val="20"/>
          <w:color w:val="auto"/>
        </w:rPr>
      </w:pPr>
      <w:r>
        <w:rPr>
          <w:rFonts w:ascii="Arial" w:cs="Arial" w:eastAsia="Arial" w:hAnsi="Arial"/>
          <w:sz w:val="18"/>
          <w:szCs w:val="18"/>
          <w:color w:val="auto"/>
        </w:rPr>
        <w:t>For the year ended June 30, 2018, cost of revenue for our Upload and Print businesses increased by $103.6 million primarily driven by revenue growth in our Exagroup, Pixartprinting, Printdeal and WIRmachenDRUCK businesses, as well as unfavorable currency impacts. We also recognized an additional $ 91.6 million of costs primarily due to the timing of our National Pen acquisition and the inclusion of operating results for only part of the prior comparable period. In our Vistaprint business, cost of revenue increased by $ 71.5 million primarily due to increased production volume, as well as unfavorable currency impacts. These increases were partially offset by a decrease in cost of revenue of $29.2 million resulting from the divestiture of our Albumprinter business on August 31, 2017.</w:t>
      </w:r>
    </w:p>
    <w:p>
      <w:pPr>
        <w:spacing w:after="0" w:line="182" w:lineRule="exact"/>
        <w:rPr>
          <w:sz w:val="20"/>
          <w:szCs w:val="20"/>
          <w:color w:val="auto"/>
        </w:rPr>
      </w:pPr>
    </w:p>
    <w:p>
      <w:pPr>
        <w:ind w:right="260" w:firstLine="662"/>
        <w:spacing w:after="0" w:line="256" w:lineRule="auto"/>
        <w:rPr>
          <w:sz w:val="20"/>
          <w:szCs w:val="20"/>
          <w:color w:val="auto"/>
        </w:rPr>
      </w:pPr>
      <w:r>
        <w:rPr>
          <w:rFonts w:ascii="Arial" w:cs="Arial" w:eastAsia="Arial" w:hAnsi="Arial"/>
          <w:sz w:val="18"/>
          <w:szCs w:val="18"/>
          <w:color w:val="auto"/>
        </w:rPr>
        <w:t>For the year ended June 30, 2017, our cost of revenue increased due to $123.6 million of additional costs from our Upload and Print businesses, primarily due to the impact of our fiscal year 2016 WIRmachenDRUCK acquisition which only partially contributed to the prior comparable period. In addition, the costs from our Vistaprint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00" w:right="239" w:bottom="1440" w:gutter="0" w:footer="0" w:header="0"/>
        </w:sectPr>
      </w:pPr>
    </w:p>
    <w:bookmarkStart w:id="34" w:name="page35"/>
    <w:bookmarkEnd w:id="34"/>
    <w:p>
      <w:pPr>
        <w:ind w:right="160"/>
        <w:spacing w:after="0" w:line="253" w:lineRule="auto"/>
        <w:rPr>
          <w:sz w:val="20"/>
          <w:szCs w:val="20"/>
          <w:color w:val="auto"/>
        </w:rPr>
      </w:pPr>
      <w:r>
        <w:rPr>
          <w:rFonts w:ascii="Arial" w:cs="Arial" w:eastAsia="Arial" w:hAnsi="Arial"/>
          <w:sz w:val="18"/>
          <w:szCs w:val="18"/>
          <w:color w:val="auto"/>
        </w:rPr>
        <w:t>business increased by $91.1 million, primarily due to increased production volume; product mix; and planned investments including expanded design services, new product introduction, and shipping price reductions that also result in higher shipping costs. Vistaprint also recognized higher costs from production inefficiencies in the second fiscal quarter of 2017 resulting from higher temporary labor costs at our Canadian production facility. We recognized an additional $48.6 million of costs from our National Pen business, which was acquired on December 30, 2016 and was therefore not included in the comparable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comparative operating expenses for the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3"/>
                <w:szCs w:val="13"/>
                <w:b w:val="1"/>
                <w:bCs w:val="1"/>
                <w:color w:val="auto"/>
              </w:rPr>
              <w:t>2016</w:t>
            </w:r>
          </w:p>
        </w:tc>
      </w:tr>
      <w:tr>
        <w:trPr>
          <w:trHeight w:val="237"/>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Technology and development expense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245,758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243,230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210,080</w:t>
            </w:r>
          </w:p>
        </w:tc>
      </w:tr>
      <w:tr>
        <w:trPr>
          <w:trHeight w:val="260"/>
        </w:trPr>
        <w:tc>
          <w:tcPr>
            <w:tcW w:w="62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9.5 %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i w:val="1"/>
                <w:iCs w:val="1"/>
                <w:color w:val="auto"/>
              </w:rPr>
              <w:t>11.4%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11.7%</w:t>
            </w:r>
          </w:p>
        </w:tc>
      </w:tr>
      <w:tr>
        <w:trPr>
          <w:trHeight w:val="28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Marketing and selling expense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714,654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610,932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508,502</w:t>
            </w:r>
          </w:p>
        </w:tc>
      </w:tr>
      <w:tr>
        <w:trPr>
          <w:trHeight w:val="260"/>
        </w:trPr>
        <w:tc>
          <w:tcPr>
            <w:tcW w:w="62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27.6 %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i w:val="1"/>
                <w:iCs w:val="1"/>
                <w:color w:val="auto"/>
              </w:rPr>
              <w:t>28.6%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28.3%</w:t>
            </w:r>
          </w:p>
        </w:tc>
      </w:tr>
      <w:tr>
        <w:trPr>
          <w:trHeight w:val="28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General and administrative expense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176,958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207,569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145,844</w:t>
            </w:r>
          </w:p>
        </w:tc>
      </w:tr>
      <w:tr>
        <w:trPr>
          <w:trHeight w:val="260"/>
        </w:trPr>
        <w:tc>
          <w:tcPr>
            <w:tcW w:w="62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6.8 %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i w:val="1"/>
                <w:iCs w:val="1"/>
                <w:color w:val="auto"/>
              </w:rPr>
              <w:t>9.7%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8.2%</w:t>
            </w:r>
          </w:p>
        </w:tc>
      </w:tr>
      <w:tr>
        <w:trPr>
          <w:trHeight w:val="28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Amortization of acquired intangible assets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49,881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46,145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40,563</w:t>
            </w:r>
          </w:p>
        </w:tc>
      </w:tr>
      <w:tr>
        <w:trPr>
          <w:trHeight w:val="260"/>
        </w:trPr>
        <w:tc>
          <w:tcPr>
            <w:tcW w:w="62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1.9 %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i w:val="1"/>
                <w:iCs w:val="1"/>
                <w:color w:val="auto"/>
              </w:rPr>
              <w:t>2.2%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2.3%</w:t>
            </w:r>
          </w:p>
        </w:tc>
      </w:tr>
      <w:tr>
        <w:trPr>
          <w:trHeight w:val="28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Restructuring expense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15,236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26,700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381</w:t>
            </w:r>
          </w:p>
        </w:tc>
      </w:tr>
      <w:tr>
        <w:trPr>
          <w:trHeight w:val="260"/>
        </w:trPr>
        <w:tc>
          <w:tcPr>
            <w:tcW w:w="62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0.6 %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i w:val="1"/>
                <w:iCs w:val="1"/>
                <w:color w:val="auto"/>
              </w:rPr>
              <w:t>1.3%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w:t>
            </w:r>
          </w:p>
        </w:tc>
      </w:tr>
      <w:tr>
        <w:trPr>
          <w:trHeight w:val="28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(Gain) on sale of subsidiaries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(47,545)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60"/>
        </w:trPr>
        <w:tc>
          <w:tcPr>
            <w:tcW w:w="62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ind w:left="1140"/>
              <w:spacing w:after="0"/>
              <w:rPr>
                <w:sz w:val="20"/>
                <w:szCs w:val="20"/>
                <w:color w:val="auto"/>
              </w:rPr>
            </w:pPr>
            <w:r>
              <w:rPr>
                <w:rFonts w:ascii="Arial" w:cs="Arial" w:eastAsia="Arial" w:hAnsi="Arial"/>
                <w:sz w:val="16"/>
                <w:szCs w:val="16"/>
                <w:i w:val="1"/>
                <w:iCs w:val="1"/>
                <w:color w:val="auto"/>
              </w:rPr>
              <w:t>—%</w:t>
            </w: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w:t>
            </w:r>
          </w:p>
        </w:tc>
      </w:tr>
      <w:tr>
        <w:trPr>
          <w:trHeight w:val="28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Impairment of goodwill and acquired intangible assets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9,556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30,841</w:t>
            </w:r>
          </w:p>
        </w:tc>
      </w:tr>
      <w:tr>
        <w:trPr>
          <w:trHeight w:val="251"/>
        </w:trPr>
        <w:tc>
          <w:tcPr>
            <w:tcW w:w="62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21"/>
                <w:szCs w:val="21"/>
                <w:color w:val="auto"/>
              </w:rPr>
            </w:pPr>
          </w:p>
        </w:tc>
        <w:tc>
          <w:tcPr>
            <w:tcW w:w="1400" w:type="dxa"/>
            <w:vAlign w:val="bottom"/>
            <w:gridSpan w:val="2"/>
          </w:tcPr>
          <w:p>
            <w:pPr>
              <w:ind w:left="900"/>
              <w:spacing w:after="0"/>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i w:val="1"/>
                <w:iCs w:val="1"/>
                <w:color w:val="auto"/>
              </w:rPr>
              <w:t>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1.7%</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97" w:lineRule="exact"/>
        <w:rPr>
          <w:sz w:val="20"/>
          <w:szCs w:val="20"/>
          <w:color w:val="auto"/>
        </w:rPr>
      </w:pPr>
    </w:p>
    <w:p>
      <w:pPr>
        <w:ind w:right="300" w:firstLine="662"/>
        <w:spacing w:after="0" w:line="253" w:lineRule="auto"/>
        <w:rPr>
          <w:sz w:val="20"/>
          <w:szCs w:val="20"/>
          <w:color w:val="auto"/>
        </w:rPr>
      </w:pPr>
      <w:r>
        <w:rPr>
          <w:rFonts w:ascii="Arial" w:cs="Arial" w:eastAsia="Arial" w:hAnsi="Arial"/>
          <w:sz w:val="18"/>
          <w:szCs w:val="18"/>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legal settlements in connection with patent-related claims, and other technology infrastructure-related costs. Depreciation expense for information technology equipment that directly supports the delivery of our digital marketing services products is included in cost of revenue.</w:t>
      </w:r>
    </w:p>
    <w:p>
      <w:pPr>
        <w:spacing w:after="0" w:line="179"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During the year ended June 30, 2018, technology and development expenses increased by $2.5 million as compared to the prior year, primarily due to our fiscal year 2017 acquisition of National Pen, which resulted in $7.3 million of additional expense in fiscal 2018 due to the timing of the acquisition in fiscal 2017. We also recognized additional costs related to technology enhancements intended to enable rapid product introduction and improved connection points to the mass customization platform, as well as increased depreciation expense related to past investments in infrastructure-related assets. These increases were partially offset by a decrease in costs of $9.4 million, resulting from the divestiture of our Albumprinter business on August 31, 2017, as well as cost savings realized as a result of our recent restructuring initiatives.</w:t>
      </w:r>
    </w:p>
    <w:p>
      <w:pPr>
        <w:spacing w:after="0" w:line="263"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The growth in our technology and development expenses of $33.2 million for the year ended June 30, 2017 as compared to the prior comparative period was primarily due to increased headcount-related expenses in our technology development and information technology support organizations of $ 15.8 million. The increase in headcount supported the continued development of our software-based mass customization platform as well as investments to enhance capabilities and address each of our businesses' specific needs. This increase was partially offset by headcount reductions as a result of the third quarter fiscal 2017 restructuring initiative. All employee severance related charges were reflected separately in restructuring expense. Additionally, the acquisition of National Pen resulted in increased technology and development expenses of $5.9 million for the year ended June 30, 2017, without costs in the prior comparable period. Other increases in technology and development expense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71" w:right="239" w:bottom="1440" w:gutter="0" w:footer="0" w:header="0"/>
        </w:sectPr>
      </w:pPr>
    </w:p>
    <w:bookmarkStart w:id="35" w:name="page36"/>
    <w:bookmarkEnd w:id="35"/>
    <w:p>
      <w:pPr>
        <w:ind w:right="640"/>
        <w:spacing w:after="0" w:line="262" w:lineRule="auto"/>
        <w:rPr>
          <w:sz w:val="20"/>
          <w:szCs w:val="20"/>
          <w:color w:val="auto"/>
        </w:rPr>
      </w:pPr>
      <w:r>
        <w:rPr>
          <w:rFonts w:ascii="Arial" w:cs="Arial" w:eastAsia="Arial" w:hAnsi="Arial"/>
          <w:sz w:val="18"/>
          <w:szCs w:val="18"/>
          <w:color w:val="auto"/>
        </w:rPr>
        <w:t>included technology infrastructure-related costs, primarily due to increased IT cloud service costs, as well as software maintenance and licensing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selling expense</w:t>
      </w:r>
    </w:p>
    <w:p>
      <w:pPr>
        <w:spacing w:after="0" w:line="2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Vistaprint and National Pen businesses have higher marketing and selling costs as a percentage of revenue, as compared to our Upload and Print businesses.</w:t>
      </w:r>
    </w:p>
    <w:p>
      <w:pPr>
        <w:spacing w:after="0" w:line="25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marketing and selling expenses increased by $103.7 million during the year ended June 30, 2018 as compared to the prior year. We recognized an additional $84.3 million of costs for our National Pen business, primarily due to the timing of the acquisition in fiscal 2017. For the year ended June 30, 2018, advertising expenses for the remaining businesses increased by $35.1 million primarily as a result of additional advertising spend in the Vistaprint business to support continued growth. These increases were partially offset by a decrease in costs of $21.7 million due to the sale of our Albumprinter business on August 31, 2017. In addition, internal marketing and customer service costs within the Vistaprint business decreased by $3.7 million as a result of realized cost savings from our recent restructuring initiatives.</w:t>
      </w:r>
    </w:p>
    <w:p>
      <w:pPr>
        <w:spacing w:after="0" w:line="263"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Our marketing and selling expenses increased by $102.4 million during the year ended June 30, 2017 as compared to the prior comparative period, largely due to the addition of National Pen which incurred $47.9 million of marketing and selling expense for direct-mail advertising and telesales costs that were not in the prior comparable period. In addition, advertising expense increased by $31.8 million, which was primarily a result of additional advertising spend in the Vistaprint business. Other increases included payroll and employee-related costs, inclusive of share-based compensation, as we expanded our marketing, customer service and sales support organization through our recent acquisitions and continued investment in the Vistaprint business customer service resources in order to provide higher value services to our customers.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97" w:lineRule="exact"/>
        <w:rPr>
          <w:sz w:val="20"/>
          <w:szCs w:val="20"/>
          <w:color w:val="auto"/>
        </w:rPr>
      </w:pPr>
    </w:p>
    <w:p>
      <w:pPr>
        <w:ind w:right="340" w:firstLine="662"/>
        <w:spacing w:after="0" w:line="291"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47"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For the year ended June 30, 2018, general and administrative expenses decreased by $30.6 million primarily due to a decline in acquisition-related charges of $40.7 million, as compared to the prior year. The decrease in acquisition-related charges is due to significant expense in the prior comparable period for the WIRmachenDRUCK contingent earn-out arrangement, which was paid during fiscal 2018. We also recognized cost savings from our recent restructuring actions, which were partially offset by an additional $13.0 million of expense from our fiscal 2017 acquisition of National Pen as the prior year did not include a full year of results.</w:t>
      </w:r>
    </w:p>
    <w:p>
      <w:pPr>
        <w:spacing w:after="0" w:line="26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During the year ended June 30, 2017, general and administrative expenses increased by $61.7 million, as compared to the prior comparative period, driven by $ 37.3 million of incremental expense for the WIRmachenDRUCK earn-out due to strong performance during fiscal 2017 and our expectation that a maximum payout would be achieved. Payroll, share-based compensation and facility-related costs increased by $12.0 million due to additional expense recognized for the acceleration of vesting terms of certain restricted share awards associated with our investment in Printi and acquisition of Tradeprint, as well as an increase in share-based compensation resulting from our new long-term incentive program. These increases were partially offset by the decrease in compensation expense due to headcount reductions as a result of the third quarter fiscal 2017 restructuring initiative. Fiscal 2017 also included $12.4 million of expense for National Pen's partial year results.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97"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18"/>
          <w:szCs w:val="18"/>
          <w:color w:val="auto"/>
        </w:rPr>
        <w:t>Amortization of acquired intangible assets consists of amortization expense associated with separately identifiable intangible assets capitalized as part of our acquisitions, including customer relationships, trade names, developed technologies, print networks, and customer and referral networks.</w:t>
      </w:r>
    </w:p>
    <w:p>
      <w:pPr>
        <w:spacing w:after="0" w:line="256" w:lineRule="exact"/>
        <w:rPr>
          <w:sz w:val="20"/>
          <w:szCs w:val="20"/>
          <w:color w:val="auto"/>
        </w:rPr>
      </w:pPr>
    </w:p>
    <w:p>
      <w:pPr>
        <w:ind w:right="360" w:firstLine="648"/>
        <w:spacing w:after="0" w:line="262" w:lineRule="auto"/>
        <w:rPr>
          <w:sz w:val="20"/>
          <w:szCs w:val="20"/>
          <w:color w:val="auto"/>
        </w:rPr>
      </w:pPr>
      <w:r>
        <w:rPr>
          <w:rFonts w:ascii="Arial" w:cs="Arial" w:eastAsia="Arial" w:hAnsi="Arial"/>
          <w:sz w:val="18"/>
          <w:szCs w:val="18"/>
          <w:color w:val="auto"/>
        </w:rPr>
        <w:t>Amortization of acquired intangible assets increased by $3.7 million during the year ended June 30, 2018, as compared to the prior comparable period, due to a full year of amortization expense for the December 30, 2016</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71" w:right="239" w:bottom="1440" w:gutter="0" w:footer="0" w:header="0"/>
        </w:sectPr>
      </w:pPr>
    </w:p>
    <w:bookmarkStart w:id="36" w:name="page37"/>
    <w:bookmarkEnd w:id="36"/>
    <w:p>
      <w:pPr>
        <w:ind w:right="20"/>
        <w:spacing w:after="0" w:line="256" w:lineRule="auto"/>
        <w:rPr>
          <w:sz w:val="20"/>
          <w:szCs w:val="20"/>
          <w:color w:val="auto"/>
        </w:rPr>
      </w:pPr>
      <w:r>
        <w:rPr>
          <w:rFonts w:ascii="Arial" w:cs="Arial" w:eastAsia="Arial" w:hAnsi="Arial"/>
          <w:sz w:val="18"/>
          <w:szCs w:val="18"/>
          <w:color w:val="auto"/>
        </w:rPr>
        <w:t>acquisition of National Pen that was not included in our results for the entire prior comparable period. Amortization of acquired intangible assets increased by $5.6 million during the year ended June 30, 2017, as compared to the year ended June 30, 2016, due to amortization for our fiscal 2017 acquisition of National Pen and fiscal 2016 acquisition of WIRmachenDRUCK.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16"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Restructuring expense consists of costs directly incurred as a result of restructuring initiatives, including employee-related termination costs, third party professional fees, facility exit costs and write-off of abandoned assets.</w:t>
      </w:r>
    </w:p>
    <w:p>
      <w:pPr>
        <w:spacing w:after="0" w:line="25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During the year ended June 30, 2018, we recognized restructuring expense of $15.2 million for employee-related termination benefits. The restructuring expense during the current period relates primarily to the reorganization of our Vistaprint business that we announced in November 2017, which resulted in a reduction in headcount and other operating costs. Refer to Note 18 in the accompanying consolidated financial statements for additional details regarding the reorganization.</w:t>
      </w:r>
    </w:p>
    <w:p>
      <w:pPr>
        <w:spacing w:after="0" w:line="258" w:lineRule="exact"/>
        <w:rPr>
          <w:sz w:val="20"/>
          <w:szCs w:val="20"/>
          <w:color w:val="auto"/>
        </w:rPr>
      </w:pPr>
    </w:p>
    <w:p>
      <w:pPr>
        <w:ind w:right="680" w:firstLine="648"/>
        <w:spacing w:after="0" w:line="262" w:lineRule="auto"/>
        <w:rPr>
          <w:sz w:val="20"/>
          <w:szCs w:val="20"/>
          <w:color w:val="auto"/>
        </w:rPr>
      </w:pPr>
      <w:r>
        <w:rPr>
          <w:rFonts w:ascii="Arial" w:cs="Arial" w:eastAsia="Arial" w:hAnsi="Arial"/>
          <w:sz w:val="18"/>
          <w:szCs w:val="18"/>
          <w:color w:val="auto"/>
        </w:rPr>
        <w:t>The restructuring costs of $26.7 million recognized in the year ended June 30, 2017 were primarily related to our January 2017 restructuring initiative.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subsidiaries</w:t>
      </w:r>
    </w:p>
    <w:p>
      <w:pPr>
        <w:spacing w:after="0" w:line="297" w:lineRule="exact"/>
        <w:rPr>
          <w:sz w:val="20"/>
          <w:szCs w:val="20"/>
          <w:color w:val="auto"/>
        </w:rPr>
      </w:pPr>
    </w:p>
    <w:p>
      <w:pPr>
        <w:ind w:right="560" w:firstLine="648"/>
        <w:spacing w:after="0" w:line="254" w:lineRule="auto"/>
        <w:rPr>
          <w:sz w:val="20"/>
          <w:szCs w:val="20"/>
          <w:color w:val="auto"/>
        </w:rPr>
      </w:pPr>
      <w:r>
        <w:rPr>
          <w:rFonts w:ascii="Arial" w:cs="Arial" w:eastAsia="Arial" w:hAnsi="Arial"/>
          <w:sz w:val="18"/>
          <w:szCs w:val="18"/>
          <w:color w:val="auto"/>
        </w:rPr>
        <w:t>During the year ended June 30, 2018, we recognized a gain on the sale of our Albumprinter business of $47.5 million, net of transaction costs. The amount of our gain on the sale of Albumprinter was impacted by the partial allocation of goodwill to our Vistaprint business in past periods, as well as minimal carrying value of Albumprinter's acquired intangible assets at the time of the sale, as well as currency impacts. Refer to Note 7 in the accompanying consolidated financial statements for additional details.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acquired intangible assets</w:t>
      </w:r>
    </w:p>
    <w:p>
      <w:pPr>
        <w:spacing w:after="0" w:line="2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There were no impairment charges related to goodwill or acquired intangible assets during the year ended June 30, 2018. For the years ended June 30, 2017 and 2016, we recognized an impairment charge of $9.6 million for our Tradeprint reporting unit and $30.8 million for our Exagroup reporting unit, respectively. These impairments were a result of their under performance during the impairment period, combined with lower cash flow outlooks when compared to the initial deal model upon which we based our purchase accounting. Refer to Note 8 in the accompanying consolidated financial statements for additional information relating to the impairments.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16" w:lineRule="exact"/>
        <w:rPr>
          <w:sz w:val="20"/>
          <w:szCs w:val="20"/>
          <w:color w:val="auto"/>
        </w:rPr>
      </w:pPr>
    </w:p>
    <w:p>
      <w:pPr>
        <w:ind w:right="140" w:firstLine="662"/>
        <w:spacing w:after="0" w:line="252" w:lineRule="auto"/>
        <w:rPr>
          <w:sz w:val="20"/>
          <w:szCs w:val="20"/>
          <w:color w:val="auto"/>
        </w:rPr>
      </w:pPr>
      <w:r>
        <w:rPr>
          <w:rFonts w:ascii="Arial" w:cs="Arial" w:eastAsia="Arial" w:hAnsi="Arial"/>
          <w:sz w:val="18"/>
          <w:szCs w:val="18"/>
          <w:color w:val="auto"/>
        </w:rPr>
        <w:t>Other (expense)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 and ability to qualify for hedge accounting in light of our legal entity cash flows, we considered the benefits of hedge accounting relative to the additional economic cost of trade execution and administrative burden. Based on this analysis, we decided to execute certain currency derivative contracts that do not qualify for hedge accounting.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(expense) income,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9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2016</w:t>
            </w: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(Losses) gains on derivatives not designated as hedging instruments</w:t>
            </w:r>
          </w:p>
        </w:tc>
        <w:tc>
          <w:tcPr>
            <w:tcW w:w="96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14,026</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Currency-related (losses) gains, net</w:t>
            </w:r>
          </w:p>
        </w:tc>
        <w:tc>
          <w:tcPr>
            <w:tcW w:w="9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(19,500)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25"/>
              <w:spacing w:after="0"/>
              <w:rPr>
                <w:sz w:val="20"/>
                <w:szCs w:val="20"/>
                <w:color w:val="auto"/>
              </w:rPr>
            </w:pPr>
            <w:r>
              <w:rPr>
                <w:rFonts w:ascii="Arial" w:cs="Arial" w:eastAsia="Arial" w:hAnsi="Arial"/>
                <w:sz w:val="16"/>
                <w:szCs w:val="16"/>
                <w:color w:val="auto"/>
              </w:rPr>
              <w:t>5,577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6,864</w:t>
            </w:r>
          </w:p>
        </w:tc>
      </w:tr>
      <w:tr>
        <w:trPr>
          <w:trHeight w:val="273"/>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gains</w:t>
            </w:r>
          </w:p>
        </w:tc>
        <w:tc>
          <w:tcPr>
            <w:tcW w:w="9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3,849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5,208</w:t>
            </w:r>
          </w:p>
        </w:tc>
      </w:tr>
      <w:tr>
        <w:trPr>
          <w:trHeight w:val="240"/>
        </w:trPr>
        <w:tc>
          <w:tcPr>
            <w:tcW w:w="6400" w:type="dxa"/>
            <w:vAlign w:val="bottom"/>
          </w:tcPr>
          <w:p>
            <w:pPr>
              <w:ind w:left="40"/>
              <w:spacing w:after="0"/>
              <w:rPr>
                <w:sz w:val="20"/>
                <w:szCs w:val="20"/>
                <w:color w:val="auto"/>
              </w:rPr>
            </w:pPr>
            <w:r>
              <w:rPr>
                <w:rFonts w:ascii="Arial" w:cs="Arial" w:eastAsia="Arial" w:hAnsi="Arial"/>
                <w:sz w:val="16"/>
                <w:szCs w:val="16"/>
                <w:color w:val="auto"/>
              </w:rPr>
              <w:t>Total other (expense) income, net</w:t>
            </w:r>
          </w:p>
        </w:tc>
        <w:tc>
          <w:tcPr>
            <w:tcW w:w="9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(21,032)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10,362</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26,098</w:t>
            </w:r>
          </w:p>
        </w:tc>
      </w:tr>
      <w:tr>
        <w:trPr>
          <w:trHeight w:val="20"/>
        </w:trPr>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71" w:right="239" w:bottom="1440" w:gutter="0" w:footer="0" w:header="0"/>
        </w:sectPr>
      </w:pPr>
    </w:p>
    <w:bookmarkStart w:id="37" w:name="page38"/>
    <w:bookmarkEnd w:id="37"/>
    <w:p>
      <w:pPr>
        <w:ind w:right="40" w:firstLine="662"/>
        <w:spacing w:after="0" w:line="252" w:lineRule="auto"/>
        <w:rPr>
          <w:sz w:val="20"/>
          <w:szCs w:val="20"/>
          <w:color w:val="auto"/>
        </w:rPr>
      </w:pPr>
      <w:r>
        <w:rPr>
          <w:rFonts w:ascii="Arial" w:cs="Arial" w:eastAsia="Arial" w:hAnsi="Arial"/>
          <w:sz w:val="18"/>
          <w:szCs w:val="18"/>
          <w:color w:val="auto"/>
        </w:rPr>
        <w:t>During the year ended June 30, 2018, we recognized a net loss of $ 21.0 million as compared to net gains during the prior comparable periods. The decrease in other (expense) income, net is primarily due to the currency exchange rate volatility impacting our derivatives that are not designated as hedging instruments. We expect volatility to continue in future periods as we do not apply hedge accounting for most of our derivative currency contracts. We also experienced currency-related losses due to currency exchange rate volatility on our non-functional currency intercompany relationships, which we alter from time to time. The impact of certain cross-currency swap contracts designated as cash flow hedges is included in our currency-related (losses) gains, net, offsetting the impact of certain non-functional currency intercompany relationships.</w:t>
      </w:r>
    </w:p>
    <w:p>
      <w:pPr>
        <w:spacing w:after="0" w:line="180" w:lineRule="exact"/>
        <w:rPr>
          <w:sz w:val="20"/>
          <w:szCs w:val="20"/>
          <w:color w:val="auto"/>
        </w:rPr>
      </w:pPr>
    </w:p>
    <w:p>
      <w:pPr>
        <w:ind w:right="180" w:firstLine="662"/>
        <w:spacing w:after="0" w:line="262" w:lineRule="auto"/>
        <w:rPr>
          <w:sz w:val="20"/>
          <w:szCs w:val="20"/>
          <w:color w:val="auto"/>
        </w:rPr>
      </w:pPr>
      <w:r>
        <w:rPr>
          <w:rFonts w:ascii="Arial" w:cs="Arial" w:eastAsia="Arial" w:hAnsi="Arial"/>
          <w:sz w:val="18"/>
          <w:szCs w:val="18"/>
          <w:color w:val="auto"/>
        </w:rPr>
        <w:t>In addition, during the years ended June 30, 2018 and 2016, we recognized other gains related to insurance recoveries. During fiscal year 2017, other gains were primarily related to the sale of marketable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16" w:lineRule="exact"/>
        <w:rPr>
          <w:sz w:val="20"/>
          <w:szCs w:val="20"/>
          <w:color w:val="auto"/>
        </w:rPr>
      </w:pPr>
    </w:p>
    <w:p>
      <w:pPr>
        <w:ind w:right="400" w:firstLine="662"/>
        <w:spacing w:after="0" w:line="254" w:lineRule="auto"/>
        <w:rPr>
          <w:sz w:val="20"/>
          <w:szCs w:val="20"/>
          <w:color w:val="auto"/>
        </w:rPr>
      </w:pPr>
      <w:r>
        <w:rPr>
          <w:rFonts w:ascii="Arial" w:cs="Arial" w:eastAsia="Arial" w:hAnsi="Arial"/>
          <w:sz w:val="18"/>
          <w:szCs w:val="18"/>
          <w:color w:val="auto"/>
        </w:rPr>
        <w:t>Interest expense, net primarily consists of interest paid on outstanding debt balances, amortization of debt issuance costs, interest related to capital lease obligations and realized gains (losses) on effective interest rate swap contracts and certain cross-currency swap contracts. As part of interest expense, net, we also recognize adjustments to our mandatorily redeemable noncontrolling interests, which reflects changes to the estimated future redemption value.</w:t>
      </w:r>
    </w:p>
    <w:p>
      <w:pPr>
        <w:spacing w:after="0" w:line="177" w:lineRule="exact"/>
        <w:rPr>
          <w:sz w:val="20"/>
          <w:szCs w:val="20"/>
          <w:color w:val="auto"/>
        </w:rPr>
      </w:pPr>
    </w:p>
    <w:p>
      <w:pPr>
        <w:ind w:right="200" w:firstLine="662"/>
        <w:spacing w:after="0" w:line="253" w:lineRule="auto"/>
        <w:rPr>
          <w:sz w:val="20"/>
          <w:szCs w:val="20"/>
          <w:color w:val="auto"/>
        </w:rPr>
      </w:pPr>
      <w:r>
        <w:rPr>
          <w:rFonts w:ascii="Arial" w:cs="Arial" w:eastAsia="Arial" w:hAnsi="Arial"/>
          <w:sz w:val="18"/>
          <w:szCs w:val="18"/>
          <w:color w:val="auto"/>
        </w:rPr>
        <w:t>Interest expense, net was $53.0 million, $44.0 million, and $38.2 million for the years ended June 30, 2018, 2017 and 2016, respectively. Interest expense was higher this year relative to historical trends primarily as a result of higher interest rates. Refer to Note 10 in the accompanying consolidated financial statements for additional details regarding our debt arrangements. During the year ended June 30, 2018, we recognized $2.2 million of interest expense for adjustments to our Printi noncontrolling interest, which reflects an increase to the estimated future redemption value. We recognized no expense during the prior comparable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extinguishment of debt</w:t>
      </w:r>
    </w:p>
    <w:p>
      <w:pPr>
        <w:spacing w:after="0" w:line="216" w:lineRule="exact"/>
        <w:rPr>
          <w:sz w:val="20"/>
          <w:szCs w:val="20"/>
          <w:color w:val="auto"/>
        </w:rPr>
      </w:pPr>
    </w:p>
    <w:p>
      <w:pPr>
        <w:ind w:right="60" w:firstLine="662"/>
        <w:spacing w:after="0" w:line="254" w:lineRule="auto"/>
        <w:rPr>
          <w:sz w:val="20"/>
          <w:szCs w:val="20"/>
          <w:color w:val="auto"/>
        </w:rPr>
      </w:pPr>
      <w:r>
        <w:rPr>
          <w:rFonts w:ascii="Arial" w:cs="Arial" w:eastAsia="Arial" w:hAnsi="Arial"/>
          <w:sz w:val="18"/>
          <w:szCs w:val="18"/>
          <w:color w:val="auto"/>
        </w:rPr>
        <w:t>During the fourth quarter of fiscal 2018, we redeemed all of our senior notes due 2022 and satisfied the indenture governing those senior notes using funds from the senior notes due 2026 that we issued on June 15, 2018. As a result of the redemption, we incurred a loss on the extinguishment of debt of $17.4 million, which included an early redemption premium for the senior notes due 2022 of $14.4 million and the write-off of unamortized debt issuance costs related to the redeemed notes of $3.0 million.</w:t>
      </w:r>
    </w:p>
    <w:p>
      <w:pPr>
        <w:sectPr>
          <w:pgSz w:w="11900" w:h="16838" w:orient="portrait"/>
          <w:cols w:equalWidth="0" w:num="1">
            <w:col w:w="11420"/>
          </w:cols>
          <w:pgMar w:left="240" w:top="571" w:right="2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jc w:val="center"/>
        <w:ind w:right="580"/>
        <w:spacing w:after="0"/>
        <w:rPr>
          <w:sz w:val="20"/>
          <w:szCs w:val="20"/>
          <w:color w:val="auto"/>
        </w:rPr>
      </w:pPr>
      <w:r>
        <w:rPr>
          <w:rFonts w:ascii="Arial" w:cs="Arial" w:eastAsia="Arial" w:hAnsi="Arial"/>
          <w:sz w:val="13"/>
          <w:szCs w:val="13"/>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22225</wp:posOffset>
            </wp:positionV>
            <wp:extent cx="30441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620" w:val="left"/>
          <w:tab w:leader="none" w:pos="326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19" w:lineRule="exact"/>
        <w:rPr>
          <w:sz w:val="20"/>
          <w:szCs w:val="20"/>
          <w:color w:val="auto"/>
        </w:rPr>
      </w:pPr>
    </w:p>
    <w:p>
      <w:pPr>
        <w:sectPr>
          <w:pgSz w:w="11900" w:h="16838" w:orient="portrait"/>
          <w:cols w:equalWidth="0" w:num="2">
            <w:col w:w="6520" w:space="720"/>
            <w:col w:w="4180"/>
          </w:cols>
          <w:pgMar w:left="240" w:top="571"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6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19,578</w:t>
            </w:r>
          </w:p>
        </w:tc>
        <w:tc>
          <w:tcPr>
            <w:tcW w:w="10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(7,118)</w:t>
            </w: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15,684</w:t>
            </w:r>
          </w:p>
        </w:tc>
      </w:tr>
      <w:tr>
        <w:trPr>
          <w:trHeight w:val="251"/>
        </w:trPr>
        <w:tc>
          <w:tcPr>
            <w:tcW w:w="662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23.7%</w:t>
            </w: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expense for the year ended June 30, 2018 was higher than the prior year primarily due to pre-tax income in the 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period as compared to pre-tax losses in the prior period. In fiscal 2018, we adopted ASU 2016-16, "Income Taxes (Topic 740): Intra-Entity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Transfers of Assets Other Than Inventory." If we had not adopted ASU 2016-16 in fiscal year 2018, tax expense would have been lower by $8.4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Additionally, we recognized tax expense of $5.8 million related to U.S. tax reform in the year ended June 30, 2018, primarily due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impact of the reduction in the federal tax rate on our U.S. deferred tax assets. We also recognized a reduction to our deferred tax assets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 million related to expected changes to our U.S. state apportionment. These impacts were offset by increased share 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benefits of $12.8 million as compared to $8.0 million in fiscal 2017.</w:t>
      </w:r>
    </w:p>
    <w:p>
      <w:pPr>
        <w:spacing w:after="0" w:line="22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A tax benefit was recognized for the year ended June 30, 2017 primarily due to pre-tax losses as compared to pre-tax income for the year ended June 30, 2016. Additionally, the effective tax rate was higher in fiscal 2016 as compared to fiscal 2017 due to a large nondeductible goodwill impairment charge in fiscal 2016.</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22, 2017, H.R. 1, originally known as the Tax Cuts and Jobs Act, ("The Act") was signed into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71" w:right="239" w:bottom="1440" w:gutter="0" w:footer="0" w:header="0"/>
          <w:type w:val="continuous"/>
        </w:sectPr>
      </w:pPr>
    </w:p>
    <w:bookmarkStart w:id="38" w:name="page39"/>
    <w:bookmarkEnd w:id="38"/>
    <w:p>
      <w:pPr>
        <w:ind w:right="20"/>
        <w:spacing w:after="0" w:line="251" w:lineRule="auto"/>
        <w:rPr>
          <w:sz w:val="20"/>
          <w:szCs w:val="20"/>
          <w:color w:val="auto"/>
        </w:rPr>
      </w:pPr>
      <w:r>
        <w:rPr>
          <w:rFonts w:ascii="Arial" w:cs="Arial" w:eastAsia="Arial" w:hAnsi="Arial"/>
          <w:sz w:val="18"/>
          <w:szCs w:val="18"/>
          <w:color w:val="auto"/>
        </w:rPr>
        <w:t>law, resulting in significant changes to U.S. federal tax law for corporations. Among these changes is the immediate reduction in the federal statutory tax rate from 35% to 21%. As discussed in Note 13 in our accompanying consolidated financial statements, the impact of The Act was unfavorable to our fiscal 2018 tax provision mainly due to a one-time reduction to our existing U.S. deferred tax assets. The reduction in our net deferred tax assets reduces the future cash tax benefit on existing timing differences as of the date of enactment; however, we will also benefit from a reduced tax rate that will apply to future taxable earnings. Overall, we expect our future U.S. cash taxes to be lower based solely on the reduction in the U.S. federal tax rate to 21%. For context, going forward we expect the annualized impact of the U.S. federal tax rate reduction alone on our cash taxes (excluding the impact of other tax reform items) to be approximately $2 million. Our tax balances were adjusted for the year ended June 30, 2018 based upon our interpretation of The Act, although the final impact on our tax balances may change due to the issuance of additional guidance, changes in our interpretation of The Act, changes in assumptions, and actions we may take as a result of The Act. We will continue to review and assess the potential impact of any new information on our financial statement positions.</w:t>
      </w:r>
    </w:p>
    <w:p>
      <w:pPr>
        <w:spacing w:after="0" w:line="212"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expect certain other aspects of the The Act will impact Cimpress beyond fiscal 2018, including the beneficial impact of immediate expensing of certain qualified capital expenditures in the U.S., unfavorable changes to, and limitations on, the deductibility of meals and entertainment expense, limitations on the deductibility of interest expense, and unfavorable changes to the deductibility of executive compensation. Most notably, we expect changes in the deductibility of “performance based” executive compensation to impact Cimpress negatively in the longer term. Historically, certain compensation awards issued to our top executives, such as stock options, were considered "performance based" as defined under Section 162(m) of the Internal Revenue Code and, therefore, were not subject to the annual $1 million deduction limitation per individual, as defined under prior law. The new law eliminates the "performance-based" exception for these types of awards to the extent they are not "grandfathered" in and granted under a written binding agreement in effect on November 2, 2017. Prior to this change, Cimpress had not been limited on the deductibility of “performance based” awards, which resulted in sizable cash and GAAP tax benefits in past years. We believe that most of the share-based compensation awards to date meet the "grandfather" requirement and will not be subject to the annual $1 million deduction limitation. However, future equity awards to our named executive officers may no longer be fully deductible upon vest or exercise over the long term. This will negatively impact our GAAP and cash taxes in the year of vest or exercise. As an example, performance share units (PSUs) granted to named executive officers under our current PSU plan that are subject to this limitation will vest no earlier than fiscal 2024 and may be subject to limited deductibility for U.S. tax purposes in that year.</w:t>
      </w:r>
    </w:p>
    <w:p>
      <w:pPr>
        <w:spacing w:after="0" w:line="211"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Our cash paid for income taxes for fiscal 2018 and 2017 was higher than our income tax expense primarily as a result of non-cash tax benefits recognized in our income tax expense relating to timing differences for which the cash benefit is expected to occur in a future period.</w:t>
      </w:r>
    </w:p>
    <w:p>
      <w:pPr>
        <w:spacing w:after="0" w:line="19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See Note 13 in our accompanying consolidated financial statements for additional discussion.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Results</w:t>
      </w:r>
    </w:p>
    <w:p>
      <w:pPr>
        <w:spacing w:after="0" w:line="220"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Our segment financial performance is measured based on segment profit (loss) which excludes certain non-operational items including acquisition-related expenses, certain impairments and restructuring charges.</w:t>
      </w:r>
    </w:p>
    <w:p>
      <w:pPr>
        <w:sectPr>
          <w:pgSz w:w="11900" w:h="16838" w:orient="portrait"/>
          <w:cols w:equalWidth="0" w:num="1">
            <w:col w:w="11420"/>
          </w:cols>
          <w:pgMar w:left="240" w:top="382"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Vistaprint</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ind w:right="4360"/>
        <w:spacing w:after="0"/>
        <w:rPr>
          <w:sz w:val="20"/>
          <w:szCs w:val="20"/>
          <w:color w:val="auto"/>
        </w:rPr>
      </w:pPr>
      <w:r>
        <w:rPr>
          <w:rFonts w:ascii="Arial" w:cs="Arial" w:eastAsia="Arial" w:hAnsi="Arial"/>
          <w:sz w:val="12"/>
          <w:szCs w:val="12"/>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29210</wp:posOffset>
            </wp:positionV>
            <wp:extent cx="4699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5120" w:space="720"/>
            <w:col w:w="5580"/>
          </w:cols>
          <w:pgMar w:left="240" w:top="382" w:right="2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6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2018 vs. 2017</w:t>
            </w:r>
          </w:p>
        </w:tc>
        <w:tc>
          <w:tcPr>
            <w:tcW w:w="1140" w:type="dxa"/>
            <w:vAlign w:val="bottom"/>
          </w:tcPr>
          <w:p>
            <w:pPr>
              <w:ind w:left="180"/>
              <w:spacing w:after="0"/>
              <w:rPr>
                <w:sz w:val="20"/>
                <w:szCs w:val="20"/>
                <w:color w:val="auto"/>
              </w:rPr>
            </w:pPr>
            <w:r>
              <w:rPr>
                <w:rFonts w:ascii="Arial" w:cs="Arial" w:eastAsia="Arial" w:hAnsi="Arial"/>
                <w:sz w:val="13"/>
                <w:szCs w:val="13"/>
                <w:b w:val="1"/>
                <w:bCs w:val="1"/>
                <w:color w:val="auto"/>
              </w:rPr>
              <w:t>2017 vs. 2016</w:t>
            </w:r>
          </w:p>
        </w:tc>
      </w:tr>
      <w:tr>
        <w:trPr>
          <w:trHeight w:val="257"/>
        </w:trPr>
        <w:tc>
          <w:tcPr>
            <w:tcW w:w="4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1,462,686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1,310,975</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1,220,751</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12%</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85"/>
              <w:spacing w:after="0"/>
              <w:rPr>
                <w:sz w:val="20"/>
                <w:szCs w:val="20"/>
                <w:color w:val="auto"/>
              </w:rPr>
            </w:pPr>
            <w:r>
              <w:rPr>
                <w:rFonts w:ascii="Arial" w:cs="Arial" w:eastAsia="Arial" w:hAnsi="Arial"/>
                <w:sz w:val="16"/>
                <w:szCs w:val="16"/>
                <w:color w:val="auto"/>
              </w:rPr>
              <w:t>7%</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36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241,479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03"/>
              <w:spacing w:after="0"/>
              <w:rPr>
                <w:sz w:val="20"/>
                <w:szCs w:val="20"/>
                <w:color w:val="auto"/>
              </w:rPr>
            </w:pPr>
            <w:r>
              <w:rPr>
                <w:rFonts w:ascii="Arial" w:cs="Arial" w:eastAsia="Arial" w:hAnsi="Arial"/>
                <w:sz w:val="16"/>
                <w:szCs w:val="16"/>
                <w:color w:val="auto"/>
              </w:rPr>
              <w:t>167,687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214,947</w:t>
            </w: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44%</w:t>
            </w:r>
          </w:p>
        </w:tc>
        <w:tc>
          <w:tcPr>
            <w:tcW w:w="100" w:type="dxa"/>
            <w:vAlign w:val="bottom"/>
          </w:tcPr>
          <w:p>
            <w:pPr>
              <w:spacing w:after="0"/>
              <w:rPr>
                <w:sz w:val="22"/>
                <w:szCs w:val="22"/>
                <w:color w:val="auto"/>
              </w:rPr>
            </w:pPr>
          </w:p>
        </w:tc>
        <w:tc>
          <w:tcPr>
            <w:tcW w:w="1140" w:type="dxa"/>
            <w:vAlign w:val="bottom"/>
          </w:tcPr>
          <w:p>
            <w:pPr>
              <w:jc w:val="right"/>
              <w:ind w:right="285"/>
              <w:spacing w:after="0"/>
              <w:rPr>
                <w:sz w:val="20"/>
                <w:szCs w:val="20"/>
                <w:color w:val="auto"/>
              </w:rPr>
            </w:pPr>
            <w:r>
              <w:rPr>
                <w:rFonts w:ascii="Arial" w:cs="Arial" w:eastAsia="Arial" w:hAnsi="Arial"/>
                <w:sz w:val="16"/>
                <w:szCs w:val="16"/>
                <w:color w:val="auto"/>
              </w:rPr>
              <w:t>(22)%</w:t>
            </w: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82" w:right="239" w:bottom="1440" w:gutter="0" w:footer="0" w:header="0"/>
          <w:type w:val="continuous"/>
        </w:sectPr>
      </w:pPr>
    </w:p>
    <w:bookmarkStart w:id="39" w:name="page40"/>
    <w:bookmarkEnd w:id="39"/>
    <w:p>
      <w:pPr>
        <w:jc w:val="both"/>
        <w:ind w:right="200" w:firstLine="648"/>
        <w:spacing w:after="0" w:line="256" w:lineRule="auto"/>
        <w:rPr>
          <w:sz w:val="20"/>
          <w:szCs w:val="20"/>
          <w:color w:val="auto"/>
        </w:rPr>
      </w:pPr>
      <w:r>
        <w:rPr>
          <w:rFonts w:ascii="Arial" w:cs="Arial" w:eastAsia="Arial" w:hAnsi="Arial"/>
          <w:sz w:val="18"/>
          <w:szCs w:val="18"/>
          <w:color w:val="auto"/>
        </w:rPr>
        <w:t>Vistaprint's reported revenue growth for the year ended June 30, 2018 was positively affected by currency impacts of 3%, resulting in constant-currency growth of 9%. The Vistaprint constant-currency growth was due to continued growth in repeat customer bookings and was positively impacted by strategic initiatives, including new product and service introductions.</w:t>
      </w:r>
    </w:p>
    <w:p>
      <w:pPr>
        <w:spacing w:after="0" w:line="175" w:lineRule="exact"/>
        <w:rPr>
          <w:sz w:val="20"/>
          <w:szCs w:val="20"/>
          <w:color w:val="auto"/>
        </w:rPr>
      </w:pPr>
    </w:p>
    <w:p>
      <w:pPr>
        <w:ind w:right="320" w:firstLine="648"/>
        <w:spacing w:after="0" w:line="252" w:lineRule="auto"/>
        <w:rPr>
          <w:sz w:val="20"/>
          <w:szCs w:val="20"/>
          <w:color w:val="auto"/>
        </w:rPr>
      </w:pPr>
      <w:r>
        <w:rPr>
          <w:rFonts w:ascii="Arial" w:cs="Arial" w:eastAsia="Arial" w:hAnsi="Arial"/>
          <w:sz w:val="18"/>
          <w:szCs w:val="18"/>
          <w:color w:val="auto"/>
        </w:rPr>
        <w:t>Vistaprint's reported revenue growth for the year ended June 30, 2017 of 7% was negatively affected by currency impacts of 2%, resulting in constant-currency growth of 9%. The Vistaprint constant-currency growth was due to growth in both repeat customers and new customer bookings. Performance continued to be stronger in the North America and Australian markets with improving results in certain European markets. In addition, some of our customer value proposition efforts, including our continued roll-out of shipping price reductions, created revenue headwinds in certain markets, including France, Germany, the Netherlands, United Kingdom and the United States, but we expect these investments will attract higher-value customers and improve customer loyalty in future periods.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Vistaprint's segment profit increased for the year ended June 30, 2018 as compared to the prior period, driven primarily by operating expense savings as a result of recent reorganization initiatives and incremental profit from revenue growth. In the current period, Vistaprint's segment profit was positively impacted by currency movements. Our investments in new products and services positively impacted revenue but have had a more limited benefit to segment profit as we continue to scale and optimize these new offerings.</w:t>
      </w:r>
    </w:p>
    <w:p>
      <w:pPr>
        <w:spacing w:after="0" w:line="177"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Vistaprint's segment profit decreased for the year ended June 30, 2017 as compared to the prior period, primarily due to the roll-out of planned investments including shipping price reductions, expanded design services and new product production that had negatively impacted gross profit. While these investments reduced profitability in fiscal 2017, we expect these investments will attract higher-value customers and improve customer loyalty in future periods. The increases in planned investments were partially offset by operating expense efficiencies and incremental profits from revenue growth.</w:t>
      </w:r>
    </w:p>
    <w:p>
      <w:pPr>
        <w:sectPr>
          <w:pgSz w:w="11900" w:h="16838" w:orient="portrait"/>
          <w:cols w:equalWidth="0" w:num="1">
            <w:col w:w="11420"/>
          </w:cols>
          <w:pgMar w:left="240" w:top="571" w:right="2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Upload and Print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jc w:val="center"/>
        <w:ind w:right="3180"/>
        <w:spacing w:after="0"/>
        <w:rPr>
          <w:sz w:val="20"/>
          <w:szCs w:val="20"/>
          <w:color w:val="auto"/>
        </w:rPr>
      </w:pPr>
      <w:r>
        <w:rPr>
          <w:rFonts w:ascii="Arial" w:cs="Arial" w:eastAsia="Arial" w:hAnsi="Arial"/>
          <w:sz w:val="13"/>
          <w:szCs w:val="13"/>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22225</wp:posOffset>
            </wp:positionV>
            <wp:extent cx="46824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620" w:val="left"/>
          <w:tab w:leader="none" w:pos="3260" w:val="left"/>
          <w:tab w:leader="none" w:pos="4480" w:val="left"/>
          <w:tab w:leader="none" w:pos="578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2016</w:t>
      </w:r>
      <w:r>
        <w:rPr>
          <w:sz w:val="20"/>
          <w:szCs w:val="20"/>
          <w:color w:val="auto"/>
        </w:rPr>
        <w:tab/>
      </w:r>
      <w:r>
        <w:rPr>
          <w:rFonts w:ascii="Arial" w:cs="Arial" w:eastAsia="Arial" w:hAnsi="Arial"/>
          <w:sz w:val="13"/>
          <w:szCs w:val="13"/>
          <w:b w:val="1"/>
          <w:bCs w:val="1"/>
          <w:color w:val="auto"/>
        </w:rPr>
        <w:t>2018 vs. 2017</w:t>
      </w:r>
      <w:r>
        <w:rPr>
          <w:sz w:val="20"/>
          <w:szCs w:val="20"/>
          <w:color w:val="auto"/>
        </w:rPr>
        <w:tab/>
      </w:r>
      <w:r>
        <w:rPr>
          <w:rFonts w:ascii="Arial" w:cs="Arial" w:eastAsia="Arial" w:hAnsi="Arial"/>
          <w:sz w:val="12"/>
          <w:szCs w:val="12"/>
          <w:b w:val="1"/>
          <w:bCs w:val="1"/>
          <w:color w:val="auto"/>
        </w:rPr>
        <w:t>2017 vs. 2016</w:t>
      </w:r>
    </w:p>
    <w:p>
      <w:pPr>
        <w:spacing w:after="0" w:line="19" w:lineRule="exact"/>
        <w:rPr>
          <w:sz w:val="20"/>
          <w:szCs w:val="20"/>
          <w:color w:val="auto"/>
        </w:rPr>
      </w:pPr>
    </w:p>
    <w:p>
      <w:pPr>
        <w:sectPr>
          <w:pgSz w:w="11900" w:h="16838" w:orient="portrait"/>
          <w:cols w:equalWidth="0" w:num="2">
            <w:col w:w="3940" w:space="720"/>
            <w:col w:w="6760"/>
          </w:cols>
          <w:pgMar w:left="240" w:top="571"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730,010</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588,613</w:t>
            </w: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432,638</w:t>
            </w: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36%</w:t>
            </w:r>
          </w:p>
        </w:tc>
      </w:tr>
      <w:tr>
        <w:trPr>
          <w:trHeight w:val="260"/>
        </w:trPr>
        <w:tc>
          <w:tcPr>
            <w:tcW w:w="404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44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79,310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63,189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58,207</w:t>
            </w:r>
          </w:p>
        </w:tc>
        <w:tc>
          <w:tcPr>
            <w:tcW w:w="100" w:type="dxa"/>
            <w:vAlign w:val="bottom"/>
          </w:tcPr>
          <w:p>
            <w:pPr>
              <w:spacing w:after="0"/>
              <w:rPr>
                <w:sz w:val="22"/>
                <w:szCs w:val="22"/>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color w:val="auto"/>
              </w:rPr>
              <w:t>9%</w:t>
            </w:r>
          </w:p>
        </w:tc>
      </w:tr>
      <w:tr>
        <w:trPr>
          <w:trHeight w:val="280"/>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9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Upload and Print's reported revenue growth for the year ended June 30, 2018 was positively affected by currency impacts of 11%, resulting in constant-currency growth of 13%. During fiscal 2018, we owned all of our Upload and Print businesses for the full comparable period, so all businesses are included in the constant-currency growth rate. The Upload and Print constant-currency revenue growth was primarily driven by continued growth from our Exagroup, Pixartprinting, Printdeal and WIRmachenDRUCK businesses. During the fourth quarter of fiscal 2018, some of our businesses experienced increased price-focused competition in certain markets and products. We believe that we are well positioned for long-term success in the European market and that our geographic diversity, profitability and scale would enable us to reduce prices in the near term, if and when appropriate, to address any price-focused competition. Any such price reductions could create fluctuations in growth and, sometimes, profit; however we believe we remain poised to outperform and outlast these competitors in the long term.</w:t>
      </w:r>
    </w:p>
    <w:p>
      <w:pPr>
        <w:spacing w:after="0" w:line="18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Upload and Print's reported revenue growth for the year ended June 30, 2017 of 36% was primarily due to the addition of revenue from our fiscal 2016 acquisition of WIRmachenDRUCK. The reported revenue growth was negatively impacted by currency impacts of 3%. The segment's constant-currency revenue growth excluding revenue from businesses acquired in fiscal 2017 was 13%, primarily driven by continued growth from our Pixartprinting, Printdeal and Exagroup businesses. Our growth in constant currency revenue excluding recent acquisitions moderated as we passed the acquisition anniversary of some of the slower-growing acquisitions, and we also saw moderation in the growth rates of businesses acquired during prior years.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1"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Upload and Print's segment profit for the year ended June 30, 2018 increased compared to the prior year primarily due to incremental gross profits driven by the revenue growth described above and operating expense efficiencies in several businesses. Segment profit was also influenced by lower investments due in part to prior year investments related to certain technology enhancements and improved connection points to the mass customization platform. Upload and Print segment profit was positively impacted by currency movements.</w:t>
      </w:r>
    </w:p>
    <w:p>
      <w:pPr>
        <w:spacing w:after="0" w:line="177"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Upload and Print segment profitability for the year ended June 30, 2017 increased compared to the prior year primarily due our acquisition of WIRmachenDRUCK, which did not have a full comparable fiscal year in 2016. This increase was partially offset by a decline in the profitability of our Tradeprint business, as well as continued investments in oversight, technology and marketing.</w:t>
      </w:r>
    </w:p>
    <w:p>
      <w:pPr>
        <w:sectPr>
          <w:pgSz w:w="11900" w:h="16838" w:orient="portrait"/>
          <w:cols w:equalWidth="0" w:num="1">
            <w:col w:w="11420"/>
          </w:cols>
          <w:pgMar w:left="240" w:top="553" w:right="2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Pen</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center"/>
        <w:ind w:right="4360"/>
        <w:spacing w:after="0"/>
        <w:rPr>
          <w:sz w:val="20"/>
          <w:szCs w:val="20"/>
          <w:color w:val="auto"/>
        </w:rPr>
      </w:pPr>
      <w:r>
        <w:rPr>
          <w:rFonts w:ascii="Arial" w:cs="Arial" w:eastAsia="Arial" w:hAnsi="Arial"/>
          <w:sz w:val="12"/>
          <w:szCs w:val="12"/>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-1138555</wp:posOffset>
            </wp:positionH>
            <wp:positionV relativeFrom="paragraph">
              <wp:posOffset>29210</wp:posOffset>
            </wp:positionV>
            <wp:extent cx="46824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5120" w:space="720"/>
            <w:col w:w="5580"/>
          </w:cols>
          <w:pgMar w:left="240" w:top="553" w:right="2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4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2016</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2018 vs. 2017</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 vs. 2016</w:t>
            </w:r>
          </w:p>
        </w:tc>
      </w:tr>
      <w:tr>
        <w:trPr>
          <w:trHeight w:val="257"/>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333,266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112,712</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240" w:type="dxa"/>
            <w:vAlign w:val="bottom"/>
            <w:shd w:val="clear" w:color="auto" w:fill="CCEEFF"/>
          </w:tcPr>
          <w:p>
            <w:pPr>
              <w:jc w:val="right"/>
              <w:ind w:right="345"/>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r>
      <w:tr>
        <w:trPr>
          <w:trHeight w:val="260"/>
        </w:trPr>
        <w:tc>
          <w:tcPr>
            <w:tcW w:w="4040" w:type="dxa"/>
            <w:vAlign w:val="bottom"/>
          </w:tcPr>
          <w:p>
            <w:pPr>
              <w:ind w:left="40"/>
              <w:spacing w:after="0"/>
              <w:rPr>
                <w:sz w:val="20"/>
                <w:szCs w:val="20"/>
                <w:color w:val="auto"/>
              </w:rPr>
            </w:pPr>
            <w:r>
              <w:rPr>
                <w:rFonts w:ascii="Arial" w:cs="Arial" w:eastAsia="Arial" w:hAnsi="Arial"/>
                <w:sz w:val="16"/>
                <w:szCs w:val="16"/>
                <w:color w:val="auto"/>
              </w:rPr>
              <w:t>Segment Profit (Loss)</w:t>
            </w:r>
          </w:p>
        </w:tc>
        <w:tc>
          <w:tcPr>
            <w:tcW w:w="38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22,165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(2,225)</w:t>
            </w:r>
          </w:p>
        </w:tc>
        <w:tc>
          <w:tcPr>
            <w:tcW w:w="10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240" w:type="dxa"/>
            <w:vAlign w:val="bottom"/>
          </w:tcPr>
          <w:p>
            <w:pPr>
              <w:jc w:val="right"/>
              <w:ind w:right="265"/>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n/a</w:t>
            </w:r>
          </w:p>
        </w:tc>
      </w:tr>
      <w:tr>
        <w:trPr>
          <w:trHeight w:val="280"/>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i w:val="1"/>
                <w:iCs w:val="1"/>
                <w:color w:val="auto"/>
              </w:rPr>
              <w:t>n/a</w:t>
            </w: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National Pen's reported revenue growth for the year ended June 30, 2018 was positively affected by currency impacts of 6%, resulting in constant-currency revenue growth of 190%. Fiscal 2017 included only a partial year of National Pen results due to the timing of the acquisition. The constant-currency revenue growth, excluding the impacts of quarters with no comparable results, was 25% and driven by increases across channels and geographies, as we have seen improved marketing performance, increased marketing and prospecting activities, and increased sales to other Cimpress businesses. We expect revenue growth in future periods will moderate from the recent high-growth trend, which was influenced by easier comparisons versus the year-ago period during which National Pen had reduced marketing investments and therefore had lower revenue.</w:t>
      </w:r>
    </w:p>
    <w:p>
      <w:pPr>
        <w:spacing w:after="0" w:line="180" w:lineRule="exact"/>
        <w:rPr>
          <w:sz w:val="20"/>
          <w:szCs w:val="20"/>
          <w:color w:val="auto"/>
        </w:rPr>
      </w:pPr>
    </w:p>
    <w:p>
      <w:pPr>
        <w:ind w:right="400" w:firstLine="648"/>
        <w:spacing w:after="0" w:line="262" w:lineRule="auto"/>
        <w:rPr>
          <w:sz w:val="20"/>
          <w:szCs w:val="20"/>
          <w:color w:val="auto"/>
        </w:rPr>
      </w:pPr>
      <w:r>
        <w:rPr>
          <w:rFonts w:ascii="Arial" w:cs="Arial" w:eastAsia="Arial" w:hAnsi="Arial"/>
          <w:sz w:val="18"/>
          <w:szCs w:val="18"/>
          <w:color w:val="auto"/>
        </w:rPr>
        <w:t>For the year ended June 30, 2017, our reported revenue was $112.7 million. As we acquired National Pen on December 30, 2016, there are no comparative operating results presented for fiscal 2016.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Segment profit increased $24.4 million for the year ended June 30, 2018 as fiscal 2017 included only a partial period of results, as well as the revenue growth described above and cost savings from post-acquisition synergies. These increases were partially offset by increased customer prospecting activities, as well as planned technology investments. Due to our adoption of the new revenue standard on July 1, 2018, we will no longer capitalize and amortize direct-response advertising costs, which is expected to create volatility in our profitability results as costs will be expensed earlier, as incurred.</w:t>
      </w:r>
    </w:p>
    <w:p>
      <w:pPr>
        <w:spacing w:after="0" w:line="179"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For the year ended June 30, 2017, our adjusted net operating loss was $2.2 million. As we acquired National Pen on December 30, 2016, there are no comparative operating results presented for fiscal 2016.</w:t>
      </w:r>
    </w:p>
    <w:p>
      <w:pPr>
        <w:sectPr>
          <w:pgSz w:w="11900" w:h="16838" w:orient="portrait"/>
          <w:cols w:equalWidth="0" w:num="1">
            <w:col w:w="11420"/>
          </w:cols>
          <w:pgMar w:left="240" w:top="553" w:right="23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Businesses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ind w:right="3160"/>
        <w:spacing w:after="0"/>
        <w:rPr>
          <w:sz w:val="20"/>
          <w:szCs w:val="20"/>
          <w:color w:val="auto"/>
        </w:rPr>
      </w:pPr>
      <w:r>
        <w:rPr>
          <w:rFonts w:ascii="Arial" w:cs="Arial" w:eastAsia="Arial" w:hAnsi="Arial"/>
          <w:sz w:val="13"/>
          <w:szCs w:val="13"/>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22225</wp:posOffset>
            </wp:positionV>
            <wp:extent cx="47421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640" w:val="left"/>
          <w:tab w:leader="none" w:pos="3320" w:val="left"/>
          <w:tab w:leader="none" w:pos="4560" w:val="left"/>
          <w:tab w:leader="none" w:pos="584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2016</w:t>
      </w:r>
      <w:r>
        <w:rPr>
          <w:sz w:val="20"/>
          <w:szCs w:val="20"/>
          <w:color w:val="auto"/>
        </w:rPr>
        <w:tab/>
      </w:r>
      <w:r>
        <w:rPr>
          <w:rFonts w:ascii="Arial" w:cs="Arial" w:eastAsia="Arial" w:hAnsi="Arial"/>
          <w:sz w:val="13"/>
          <w:szCs w:val="13"/>
          <w:b w:val="1"/>
          <w:bCs w:val="1"/>
          <w:color w:val="auto"/>
        </w:rPr>
        <w:t>2018 vs. 2017</w:t>
      </w:r>
      <w:r>
        <w:rPr>
          <w:sz w:val="20"/>
          <w:szCs w:val="20"/>
          <w:color w:val="auto"/>
        </w:rPr>
        <w:tab/>
      </w:r>
      <w:r>
        <w:rPr>
          <w:rFonts w:ascii="Arial" w:cs="Arial" w:eastAsia="Arial" w:hAnsi="Arial"/>
          <w:sz w:val="12"/>
          <w:szCs w:val="12"/>
          <w:b w:val="1"/>
          <w:bCs w:val="1"/>
          <w:color w:val="auto"/>
        </w:rPr>
        <w:t>2017 vs. 2016</w:t>
      </w:r>
    </w:p>
    <w:p>
      <w:pPr>
        <w:spacing w:after="0" w:line="19" w:lineRule="exact"/>
        <w:rPr>
          <w:sz w:val="20"/>
          <w:szCs w:val="20"/>
          <w:color w:val="auto"/>
        </w:rPr>
      </w:pPr>
    </w:p>
    <w:p>
      <w:pPr>
        <w:sectPr>
          <w:pgSz w:w="11900" w:h="16838" w:orient="portrait"/>
          <w:cols w:equalWidth="0" w:num="2">
            <w:col w:w="3880" w:space="720"/>
            <w:col w:w="6820"/>
          </w:cols>
          <w:pgMar w:left="240" w:top="553"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3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87,583</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128,795</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138,244</w:t>
            </w:r>
          </w:p>
        </w:tc>
        <w:tc>
          <w:tcPr>
            <w:tcW w:w="12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w:t>
            </w:r>
          </w:p>
        </w:tc>
      </w:tr>
      <w:tr>
        <w:trPr>
          <w:trHeight w:val="260"/>
        </w:trPr>
        <w:tc>
          <w:tcPr>
            <w:tcW w:w="3960" w:type="dxa"/>
            <w:vAlign w:val="bottom"/>
          </w:tcPr>
          <w:p>
            <w:pPr>
              <w:ind w:left="40"/>
              <w:spacing w:after="0"/>
              <w:rPr>
                <w:sz w:val="20"/>
                <w:szCs w:val="20"/>
                <w:color w:val="auto"/>
              </w:rPr>
            </w:pPr>
            <w:r>
              <w:rPr>
                <w:rFonts w:ascii="Arial" w:cs="Arial" w:eastAsia="Arial" w:hAnsi="Arial"/>
                <w:sz w:val="16"/>
                <w:szCs w:val="16"/>
                <w:color w:val="auto"/>
              </w:rPr>
              <w:t>Segment Loss</w:t>
            </w:r>
          </w:p>
        </w:tc>
        <w:tc>
          <w:tcPr>
            <w:tcW w:w="44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(34,620)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(31,307)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(9,328)</w:t>
            </w:r>
          </w:p>
        </w:tc>
        <w:tc>
          <w:tcPr>
            <w:tcW w:w="120" w:type="dxa"/>
            <w:vAlign w:val="bottom"/>
          </w:tcPr>
          <w:p>
            <w:pPr>
              <w:spacing w:after="0"/>
              <w:rPr>
                <w:sz w:val="22"/>
                <w:szCs w:val="22"/>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(236)%</w:t>
            </w: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bl>
    <w:p>
      <w:pPr>
        <w:spacing w:after="0" w:line="188"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This segment consists of multiple small, rapidly evolving early-stage businesses by which Cimpress is expanding to new markets. These businesses are subject to high degrees of risk and we expect that each of their business models will rapidly evolve in function of future trials and entrepreneurial pivoting. Therefore, in all of these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3" w:right="239" w:bottom="1440" w:gutter="0" w:footer="0" w:header="0"/>
          <w:type w:val="continuous"/>
        </w:sectPr>
      </w:pPr>
    </w:p>
    <w:bookmarkStart w:id="41" w:name="page42"/>
    <w:bookmarkEnd w:id="41"/>
    <w:p>
      <w:pPr>
        <w:ind w:right="20"/>
        <w:spacing w:after="0" w:line="262" w:lineRule="auto"/>
        <w:rPr>
          <w:sz w:val="20"/>
          <w:szCs w:val="20"/>
          <w:color w:val="auto"/>
        </w:rPr>
      </w:pPr>
      <w:r>
        <w:rPr>
          <w:rFonts w:ascii="Arial" w:cs="Arial" w:eastAsia="Arial" w:hAnsi="Arial"/>
          <w:sz w:val="18"/>
          <w:szCs w:val="18"/>
          <w:color w:val="auto"/>
        </w:rPr>
        <w:t>businesses we continue to operate at a significant operating loss as previously described and as planned, and we expect to continue to do so in the next several years. Our All Other Businesses segment also includes Albumprinter results through the divestiture date of August 31,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The All Other Businesses segment revenue decline was caused by the divestiture of our Albumprinter business, which was completed on August 31, 2017. Constant-currency growth, excluding the impact of the Albumprinter business, was 40% for the year ended June 30, 2018 driven by continued growth in the remaining businesses in the segment.</w:t>
      </w:r>
    </w:p>
    <w:p>
      <w:pPr>
        <w:spacing w:after="0" w:line="17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All Other Businesses revenue decline for the year ended June 30, 2017 was due to the termination of certain partner contracts in both our Vistaprint Corporate Solutions and Albumprinter businesses. These declines were partially offset by growth in Albumprinter's direct to consumer business and Vistaprint Corporate Solutions' new lines of business, as well as growth in our remaining businesses in the segment that continued to grow off a relatively small base.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The segment loss increased by $3.3 million for the year ended June 30, 2018, as compared to the prior period, primarily due to our first quarter fiscal 2018 divestiture of our Albumprinter business, as well as additional investments in our Vistaprint Corporate Solutions business. The increase to segment loss was offset by volume absorption and advertising spend efficiencies in the other businesses in this segment.</w:t>
      </w:r>
    </w:p>
    <w:p>
      <w:pPr>
        <w:spacing w:after="0" w:line="175" w:lineRule="exact"/>
        <w:rPr>
          <w:sz w:val="20"/>
          <w:szCs w:val="20"/>
          <w:color w:val="auto"/>
        </w:rPr>
      </w:pPr>
    </w:p>
    <w:p>
      <w:pPr>
        <w:jc w:val="both"/>
        <w:ind w:right="420" w:firstLine="648"/>
        <w:spacing w:after="0" w:line="256" w:lineRule="auto"/>
        <w:rPr>
          <w:sz w:val="20"/>
          <w:szCs w:val="20"/>
          <w:color w:val="auto"/>
        </w:rPr>
      </w:pPr>
      <w:r>
        <w:rPr>
          <w:rFonts w:ascii="Arial" w:cs="Arial" w:eastAsia="Arial" w:hAnsi="Arial"/>
          <w:sz w:val="18"/>
          <w:szCs w:val="18"/>
          <w:color w:val="auto"/>
        </w:rPr>
        <w:t>The increase in segment loss for the year ended June 30, 2017 as compared to the prior period is primarily due to the reduction in partner related profits of $17.8 million, as well as increased investment in each of our businesses, partially offset by growth in the direct to consumer part of the Albumprinter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6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Year Ended June 30,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2016</w:t>
            </w: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192,332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156,736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247,358</w:t>
            </w: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(301,789)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(265,538)</w:t>
            </w:r>
          </w:p>
        </w:tc>
      </w:tr>
      <w:tr>
        <w:trPr>
          <w:trHeight w:val="28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104,578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(5,338)</w:t>
            </w:r>
          </w:p>
        </w:tc>
      </w:tr>
    </w:tbl>
    <w:p>
      <w:pPr>
        <w:spacing w:after="0" w:line="18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At June 30, 2018, we had $44.2 million of cash and cash equivalents and $839.4 million of debt, excluding debt issuance costs and debt discounts. We expect cash and cash equivalents and debt levels to fluctuate over time depending on our working capital needs, our organic investment levels, share repurchases and acquisition activity. The cash flows during the year ended June 30, 2018 related primarily to the following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inflows:</w:t>
      </w:r>
    </w:p>
    <w:p>
      <w:pPr>
        <w:spacing w:after="0" w:line="21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income of $46.8 million</w:t>
      </w:r>
    </w:p>
    <w:p>
      <w:pPr>
        <w:spacing w:after="0" w:line="198" w:lineRule="exact"/>
        <w:rPr>
          <w:rFonts w:ascii="Arial" w:cs="Arial" w:eastAsia="Arial" w:hAnsi="Arial"/>
          <w:sz w:val="18"/>
          <w:szCs w:val="18"/>
          <w:color w:val="auto"/>
        </w:rPr>
      </w:pPr>
    </w:p>
    <w:p>
      <w:pPr>
        <w:ind w:left="660" w:right="80" w:hanging="328"/>
        <w:spacing w:after="0" w:line="25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Adjustments for non-cash items of $168.2 million primarily related to positive adjustments for depreciation and amortization of $169.0 million, share-based compensation costs of $50.5 million, unrealized currency-related losses of $3.9 million, and the change of our contingent earn-out liability of $1.8 million partially offset by negative adjustments for our gain on the sale of our Albumprinter business of $47.5 million and non-cash tax related items of $14.0 million</w:t>
      </w:r>
    </w:p>
    <w:p>
      <w:pPr>
        <w:spacing w:after="0" w:line="17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Proceeds from the sale of our Albumprinter business of $93.8 million, net of transaction costs</w:t>
      </w:r>
    </w:p>
    <w:p>
      <w:pPr>
        <w:spacing w:after="0" w:line="198" w:lineRule="exact"/>
        <w:rPr>
          <w:rFonts w:ascii="Arial" w:cs="Arial" w:eastAsia="Arial" w:hAnsi="Arial"/>
          <w:sz w:val="18"/>
          <w:szCs w:val="18"/>
          <w:i w:val="1"/>
          <w:iCs w:val="1"/>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Proceeds from the sale of a noncontrolling interest related to our WIRmachenDRUCK business of $35.4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71" w:right="239" w:bottom="1440" w:gutter="0" w:footer="0" w:header="0"/>
        </w:sectPr>
      </w:pPr>
    </w:p>
    <w:bookmarkStart w:id="42" w:name="page43"/>
    <w:bookmarkEnd w:id="42"/>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Proceeds from the issuance of ordinary shares from the exercise of share options of $12.0 million</w:t>
      </w:r>
    </w:p>
    <w:p>
      <w:pPr>
        <w:spacing w:after="0" w:line="198" w:lineRule="exact"/>
        <w:rPr>
          <w:rFonts w:ascii="Arial" w:cs="Arial" w:eastAsia="Arial" w:hAnsi="Arial"/>
          <w:sz w:val="18"/>
          <w:szCs w:val="18"/>
          <w:color w:val="auto"/>
        </w:rPr>
      </w:pPr>
    </w:p>
    <w:p>
      <w:pPr>
        <w:ind w:left="660" w:right="76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Excluding the impact of the earn-out and restructuring payments described in the cash outflows section below, the changes in operating assets and liabilities were a source of cash during the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outflows:</w:t>
      </w:r>
    </w:p>
    <w:p>
      <w:pPr>
        <w:spacing w:after="0" w:line="21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Purchases of our ordinary shares of $94.7 million</w:t>
      </w:r>
    </w:p>
    <w:p>
      <w:pPr>
        <w:spacing w:after="0" w:line="198" w:lineRule="exact"/>
        <w:rPr>
          <w:rFonts w:ascii="Arial" w:cs="Arial" w:eastAsia="Arial" w:hAnsi="Arial"/>
          <w:sz w:val="18"/>
          <w:szCs w:val="18"/>
          <w:color w:val="auto"/>
        </w:rPr>
      </w:pPr>
    </w:p>
    <w:p>
      <w:pPr>
        <w:ind w:left="660" w:right="82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expenditures of $60.9 million of which the majority of these assets were related to the purchase of manufacturing and automation equipment for our production facilities, and computer and office equipment</w:t>
      </w:r>
    </w:p>
    <w:p>
      <w:pPr>
        <w:spacing w:after="0" w:line="169"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of acquisition-related earn-outs of $51.3 million, primarily for our WIRmachenDRUCK acquisition. The portion of the earn-out payment contingent upon employment, as well as the contingent consideration payment in excess of acquisition date fair value, is $49.2 million and presented within operating activities. The remaining $2.1 million cash outflow representing the purchase consideration included in the acquisition date fair value is a financing activity.</w:t>
      </w:r>
    </w:p>
    <w:p>
      <w:pPr>
        <w:spacing w:after="0" w:line="17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of debt and debt issuance costs of $54.4 million, net of proceeds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Internal costs for software and website development that we have capitalized of $40.8 million</w:t>
      </w:r>
    </w:p>
    <w:p>
      <w:pPr>
        <w:spacing w:after="0" w:line="198"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Issuance of loans of $21.0 million to two equity holders of our Printi business (refer to Note 15 in the accompanying consolidated financial statements for additional details)</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of withholding taxes in connection with share awards of $19.7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for capital lease arrangements of $17.6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related to our recent restructuring actions was $17.3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 of an early redemption premium of $14.4 million, related to the refinancing of our senior unsecured notes</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Additional Liquidity and Capital Resources Information. </w:t>
      </w:r>
      <w:r>
        <w:rPr>
          <w:rFonts w:ascii="Arial" w:cs="Arial" w:eastAsia="Arial" w:hAnsi="Arial"/>
          <w:sz w:val="18"/>
          <w:szCs w:val="18"/>
          <w:color w:val="auto"/>
        </w:rPr>
        <w:t>During the year ended June 30, 2018, we financed our operations and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through internally generated cash flows from operations and debt financing. As of June 30, 2018, a significant portion of our cash and cash equivalents were held by our subsidiaries, and undistributed earnings of our subsidiaries that are considered to be indefinitely reinvested were $ 29.4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6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On June 15, 2018, we completed a debt offering of $400.0 million in aggregate principal amount of 7.0% senior notes due 2026.</w:t>
      </w:r>
      <w:r>
        <w:rPr>
          <w:rFonts w:ascii="Arial" w:cs="Arial" w:eastAsia="Arial" w:hAnsi="Arial"/>
          <w:sz w:val="18"/>
          <w:szCs w:val="18"/>
          <w:i w:val="1"/>
          <w:iCs w:val="1"/>
          <w:color w:val="auto"/>
        </w:rPr>
        <w:t xml:space="preserve"> </w:t>
      </w:r>
      <w:r>
        <w:rPr>
          <w:rFonts w:ascii="Arial" w:cs="Arial" w:eastAsia="Arial" w:hAnsi="Arial"/>
          <w:sz w:val="18"/>
          <w:szCs w:val="18"/>
          <w:color w:val="auto"/>
        </w:rPr>
        <w:t>We used a portion of the net proceeds of this offering to redeem the $275.0 million of senior notes due 2022 and fund the satisfaction of the indenture governing those notes. We used the remaining portion of the net proceeds to repay indebtedness outstanding under the credit facility and fund the payment of all related fees and expenses. Refer to Note 10 in the accompanying consolidated financial statements for additional details.</w:t>
      </w:r>
    </w:p>
    <w:p>
      <w:pPr>
        <w:spacing w:after="0" w:line="17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In conjunction with the senior notes offering described above, we executed an amendment to our senior secured credit facility that expanded the total capacity from $1,045.0 million to $1,128.2 million. The amendment made changes to the senior secured credit agreement, including:</w:t>
      </w:r>
    </w:p>
    <w:p>
      <w:pPr>
        <w:spacing w:after="0" w:line="175" w:lineRule="exact"/>
        <w:rPr>
          <w:sz w:val="20"/>
          <w:szCs w:val="20"/>
          <w:color w:val="auto"/>
        </w:rPr>
      </w:pPr>
    </w:p>
    <w:p>
      <w:pPr>
        <w:ind w:left="660" w:right="4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revolving loan commitments under the agreement were increased from $745.0 million to $839.4 million. The capacity of term loans remained unchanged, of which $285.0 million remained outstanding as of June 30, 2018.</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71" w:right="259" w:bottom="1440" w:gutter="0" w:footer="0" w:header="0"/>
        </w:sectPr>
      </w:pPr>
    </w:p>
    <w:bookmarkStart w:id="43" w:name="page44"/>
    <w:bookmarkEnd w:id="43"/>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amendment extended the maturity date of all loans under the agreement from July 13, 2022 to June 14, 2023.</w:t>
      </w:r>
    </w:p>
    <w:p>
      <w:pPr>
        <w:spacing w:after="0" w:line="198" w:lineRule="exact"/>
        <w:rPr>
          <w:rFonts w:ascii="Arial" w:cs="Arial" w:eastAsia="Arial" w:hAnsi="Arial"/>
          <w:sz w:val="18"/>
          <w:szCs w:val="18"/>
          <w:color w:val="auto"/>
        </w:rPr>
      </w:pPr>
    </w:p>
    <w:p>
      <w:pPr>
        <w:jc w:val="both"/>
        <w:ind w:left="660" w:right="38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interest rate at which LIBOR borrowings bear interest was lowered from LIBOR plus 1.50% to 2.25% to LIBOR plus 1.375% to 2.0%, depending on our leverage ratio, which is the ratio of our consolidated total indebtedness to our consolidated trailing twelve-month EBITDA.</w:t>
      </w:r>
    </w:p>
    <w:p>
      <w:pPr>
        <w:spacing w:after="0" w:line="174"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maximum leverage ratio under the agreement was increased from 4.50 to 4.75, and we may increase our leverage ratio to up to 5.00 (4.75 allowed before the amendment) for up to four consecutive fiscal quarters after certain corporate acquisitions as defined within the agreement.</w:t>
      </w:r>
    </w:p>
    <w:p>
      <w:pPr>
        <w:spacing w:after="0" w:line="174"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amendment decreased the maximum commitment fee paid on unused balances from 0.40% to 0.35%, depending upon our leverage ratio.</w:t>
      </w:r>
    </w:p>
    <w:p>
      <w:pPr>
        <w:spacing w:after="0" w:line="169"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expect to use our expanded credit facility to fund investments and working capital needs. Refer to Note 10 in the accompanying consolidated financial statements for additional details.</w:t>
      </w:r>
    </w:p>
    <w:p>
      <w:pPr>
        <w:spacing w:after="0" w:line="16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of June 30, 2018, we had aggregate loan commitments from our senior secured credit facility totaling $1,124.4 million. The loan commitments consisted of revolving loans of $839.4 million and term loans of $285.0 million. We have other financial obligations that constitute additional indebtedness based on the definitions within the credit facility. As of June 30, 2018, the amount available for borrowing under our senior secured credit facility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Maximum aggregate available for borrowing</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1,124,422</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borrowings of senior secured credit facilities</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(432,414)</w:t>
            </w:r>
          </w:p>
        </w:tc>
        <w:tc>
          <w:tcPr>
            <w:tcW w:w="0" w:type="dxa"/>
            <w:vAlign w:val="bottom"/>
          </w:tcPr>
          <w:p>
            <w:pPr>
              <w:spacing w:after="0"/>
              <w:rPr>
                <w:sz w:val="1"/>
                <w:szCs w:val="1"/>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amount</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692,008</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Limitations to borrowing due to debt covenants and other obligations (1)</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(124,467)</w:t>
            </w:r>
          </w:p>
        </w:tc>
        <w:tc>
          <w:tcPr>
            <w:tcW w:w="0" w:type="dxa"/>
            <w:vAlign w:val="bottom"/>
          </w:tcPr>
          <w:p>
            <w:pPr>
              <w:spacing w:after="0"/>
              <w:rPr>
                <w:sz w:val="1"/>
                <w:szCs w:val="1"/>
                <w:color w:val="auto"/>
              </w:rPr>
            </w:pPr>
          </w:p>
        </w:tc>
      </w:tr>
      <w:tr>
        <w:trPr>
          <w:trHeight w:val="24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 available for borrowing as of June 30, 2018 (2)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567,541</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97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280" w:hanging="252"/>
        <w:spacing w:after="0" w:line="241"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debt covenants of our senior secured credit facility limit our borrowing capacity each quarter, depending on our leverage and other indebtedness, such as notes, capital leases, letters of credit, and any other debt, as well as other factors that are outlined in the credit agreement.</w:t>
      </w:r>
    </w:p>
    <w:p>
      <w:pPr>
        <w:ind w:left="260" w:right="200" w:hanging="252"/>
        <w:spacing w:after="0" w:line="258"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Share purchases, dividend payments, and corporate acquisitions are subject to more restrictive covenants, and therefore we may not be able to use the full amount available for borrowing for these purposes.</w:t>
      </w:r>
    </w:p>
    <w:p>
      <w:pPr>
        <w:spacing w:after="0" w:line="143" w:lineRule="exact"/>
        <w:rPr>
          <w:sz w:val="20"/>
          <w:szCs w:val="20"/>
          <w:color w:val="auto"/>
        </w:rPr>
      </w:pPr>
    </w:p>
    <w:p>
      <w:pPr>
        <w:jc w:val="both"/>
        <w:ind w:right="740" w:firstLine="648"/>
        <w:spacing w:after="0" w:line="261" w:lineRule="auto"/>
        <w:rPr>
          <w:sz w:val="20"/>
          <w:szCs w:val="20"/>
          <w:color w:val="auto"/>
        </w:rPr>
      </w:pPr>
      <w:r>
        <w:rPr>
          <w:rFonts w:ascii="Arial" w:cs="Arial" w:eastAsia="Arial" w:hAnsi="Arial"/>
          <w:sz w:val="18"/>
          <w:szCs w:val="18"/>
          <w:i w:val="1"/>
          <w:iCs w:val="1"/>
          <w:color w:val="auto"/>
        </w:rPr>
        <w:t>Debt Covenants</w:t>
      </w:r>
      <w:r>
        <w:rPr>
          <w:rFonts w:ascii="Arial" w:cs="Arial" w:eastAsia="Arial" w:hAnsi="Arial"/>
          <w:sz w:val="18"/>
          <w:szCs w:val="18"/>
          <w:color w:val="auto"/>
        </w:rPr>
        <w:t>. Our credit agreement and senior unsecured notes indenture contain financial and other covenants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warranties and events of default, which are detailed in Note 10 of the accompanying consolidated financial statements. As of June 30, 2018, we were in compliance with all financial and other covenants under the credit agreement and senior unsecured notes indenture.</w:t>
      </w:r>
    </w:p>
    <w:p>
      <w:pPr>
        <w:spacing w:after="0" w:line="153"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i w:val="1"/>
          <w:iCs w:val="1"/>
          <w:color w:val="auto"/>
        </w:rPr>
        <w:t xml:space="preserve">Other debt. </w:t>
      </w:r>
      <w:r>
        <w:rPr>
          <w:rFonts w:ascii="Arial" w:cs="Arial" w:eastAsia="Arial" w:hAnsi="Arial"/>
          <w:sz w:val="18"/>
          <w:szCs w:val="18"/>
          <w:color w:val="auto"/>
        </w:rPr>
        <w:t>Other debt primarily consists of term loans acquired through our various acquisitions. As of June 30, 2018 we had $7.0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outstanding for other debt payable through September 2024.</w:t>
      </w:r>
    </w:p>
    <w:p>
      <w:pPr>
        <w:spacing w:after="0" w:line="21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Our expectations for fiscal year 2019. </w:t>
      </w:r>
      <w:r>
        <w:rPr>
          <w:rFonts w:ascii="Arial" w:cs="Arial" w:eastAsia="Arial" w:hAnsi="Arial"/>
          <w:sz w:val="18"/>
          <w:szCs w:val="18"/>
          <w:color w:val="auto"/>
        </w:rPr>
        <w:t>We believe that our available cash, cash flows generated from operations, and cash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committed debt financing will be sufficient to satisfy our liabilities and planned investments to support our long-term growth strategy. We endeavor to invest large amounts of capital that we believe will generate returns that are above, or well above, our weighted average cost of capital. We consider any use of cash that we expect to require more than twelve months to return our invested capital to be an allocation of capital. For fiscal 2019, we expect to have opportunities to allocate capital to the following broad categories and consider our capital to be fungible across all of these categories:</w:t>
      </w:r>
    </w:p>
    <w:p>
      <w:pPr>
        <w:spacing w:after="0" w:line="174" w:lineRule="exact"/>
        <w:rPr>
          <w:sz w:val="20"/>
          <w:szCs w:val="20"/>
          <w:color w:val="auto"/>
        </w:rPr>
      </w:pPr>
    </w:p>
    <w:p>
      <w:pPr>
        <w:ind w:left="660" w:right="240" w:hanging="328"/>
        <w:spacing w:after="0" w:line="25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Organic investments will continue to be made across a wide spectrum of activities. These range from large, discrete projects that we believe can provide us with materially important competitive capabilities and/or market positions over the longer term to smaller investments intended to maintain or improve our competitive position and support value-creating revenue growth.</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Purchases of our ordinary shares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71" w:right="239" w:bottom="1440" w:gutter="0" w:footer="0" w:header="0"/>
        </w:sectPr>
      </w:pPr>
    </w:p>
    <w:bookmarkStart w:id="44" w:name="page45"/>
    <w:bookmarkEnd w:id="44"/>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Corporate acquisitions and similar investments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Reduction of debt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June 30, 2018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7"/>
              </w:rPr>
              <w:t>Payments Due by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140"/>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224"/>
              <w:spacing w:after="0" w:line="140" w:lineRule="exact"/>
              <w:rPr>
                <w:sz w:val="20"/>
                <w:szCs w:val="20"/>
                <w:color w:val="auto"/>
              </w:rPr>
            </w:pPr>
            <w:r>
              <w:rPr>
                <w:rFonts w:ascii="Arial" w:cs="Arial" w:eastAsia="Arial" w:hAnsi="Arial"/>
                <w:sz w:val="13"/>
                <w:szCs w:val="13"/>
                <w:b w:val="1"/>
                <w:bCs w:val="1"/>
                <w:color w:val="auto"/>
                <w:w w:val="94"/>
              </w:rPr>
              <w:t>Less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244"/>
              <w:spacing w:after="0" w:line="140" w:lineRule="exact"/>
              <w:rPr>
                <w:sz w:val="20"/>
                <w:szCs w:val="20"/>
                <w:color w:val="auto"/>
              </w:rPr>
            </w:pPr>
            <w:r>
              <w:rPr>
                <w:rFonts w:ascii="Arial" w:cs="Arial" w:eastAsia="Arial" w:hAnsi="Arial"/>
                <w:sz w:val="13"/>
                <w:szCs w:val="13"/>
                <w:b w:val="1"/>
                <w:bCs w:val="1"/>
                <w:color w:val="auto"/>
                <w:w w:val="96"/>
              </w:rPr>
              <w:t>More</w:t>
            </w:r>
          </w:p>
        </w:tc>
      </w:tr>
      <w:tr>
        <w:trPr>
          <w:trHeight w:val="135"/>
        </w:trPr>
        <w:tc>
          <w:tcPr>
            <w:tcW w:w="4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24"/>
              <w:spacing w:after="0" w:line="135" w:lineRule="exact"/>
              <w:rPr>
                <w:sz w:val="20"/>
                <w:szCs w:val="20"/>
                <w:color w:val="auto"/>
              </w:rPr>
            </w:pPr>
            <w:r>
              <w:rPr>
                <w:rFonts w:ascii="Arial" w:cs="Arial" w:eastAsia="Arial" w:hAnsi="Arial"/>
                <w:sz w:val="13"/>
                <w:szCs w:val="13"/>
                <w:b w:val="1"/>
                <w:bCs w:val="1"/>
                <w:color w:val="auto"/>
                <w:w w:val="93"/>
              </w:rPr>
              <w:t>than 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43"/>
              <w:spacing w:after="0" w:line="135" w:lineRule="exact"/>
              <w:rPr>
                <w:sz w:val="20"/>
                <w:szCs w:val="20"/>
                <w:color w:val="auto"/>
              </w:rPr>
            </w:pPr>
            <w:r>
              <w:rPr>
                <w:rFonts w:ascii="Arial" w:cs="Arial" w:eastAsia="Arial" w:hAnsi="Arial"/>
                <w:sz w:val="13"/>
                <w:szCs w:val="13"/>
                <w:b w:val="1"/>
                <w:bCs w:val="1"/>
                <w:color w:val="auto"/>
                <w:w w:val="95"/>
              </w:rPr>
              <w:t>1-3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03"/>
              <w:spacing w:after="0" w:line="135" w:lineRule="exact"/>
              <w:rPr>
                <w:sz w:val="20"/>
                <w:szCs w:val="20"/>
                <w:color w:val="auto"/>
              </w:rPr>
            </w:pPr>
            <w:r>
              <w:rPr>
                <w:rFonts w:ascii="Arial" w:cs="Arial" w:eastAsia="Arial" w:hAnsi="Arial"/>
                <w:sz w:val="13"/>
                <w:szCs w:val="13"/>
                <w:b w:val="1"/>
                <w:bCs w:val="1"/>
                <w:color w:val="auto"/>
              </w:rPr>
              <w:t>3-5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24"/>
              <w:spacing w:after="0" w:line="135" w:lineRule="exact"/>
              <w:rPr>
                <w:sz w:val="20"/>
                <w:szCs w:val="20"/>
                <w:color w:val="auto"/>
              </w:rPr>
            </w:pPr>
            <w:r>
              <w:rPr>
                <w:rFonts w:ascii="Arial" w:cs="Arial" w:eastAsia="Arial" w:hAnsi="Arial"/>
                <w:sz w:val="13"/>
                <w:szCs w:val="13"/>
                <w:b w:val="1"/>
                <w:bCs w:val="1"/>
                <w:color w:val="auto"/>
                <w:w w:val="93"/>
              </w:rPr>
              <w:t>than 5</w:t>
            </w:r>
          </w:p>
        </w:tc>
      </w:tr>
      <w:tr>
        <w:trPr>
          <w:trHeight w:val="178"/>
        </w:trPr>
        <w:tc>
          <w:tcPr>
            <w:tcW w:w="4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04"/>
              <w:spacing w:after="0"/>
              <w:rPr>
                <w:sz w:val="20"/>
                <w:szCs w:val="20"/>
                <w:color w:val="auto"/>
              </w:rPr>
            </w:pPr>
            <w:r>
              <w:rPr>
                <w:rFonts w:ascii="Arial" w:cs="Arial" w:eastAsia="Arial" w:hAnsi="Arial"/>
                <w:sz w:val="13"/>
                <w:szCs w:val="13"/>
                <w:b w:val="1"/>
                <w:bCs w:val="1"/>
                <w:color w:val="auto"/>
                <w:w w:val="97"/>
              </w:rPr>
              <w:t>year</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43"/>
              <w:spacing w:after="0"/>
              <w:rPr>
                <w:sz w:val="20"/>
                <w:szCs w:val="20"/>
                <w:color w:val="auto"/>
              </w:rPr>
            </w:pPr>
            <w:r>
              <w:rPr>
                <w:rFonts w:ascii="Arial" w:cs="Arial" w:eastAsia="Arial" w:hAnsi="Arial"/>
                <w:sz w:val="13"/>
                <w:szCs w:val="13"/>
                <w:b w:val="1"/>
                <w:bCs w:val="1"/>
                <w:color w:val="auto"/>
                <w:w w:val="99"/>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years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24"/>
              <w:spacing w:after="0"/>
              <w:rPr>
                <w:sz w:val="20"/>
                <w:szCs w:val="20"/>
                <w:color w:val="auto"/>
              </w:rPr>
            </w:pPr>
            <w:r>
              <w:rPr>
                <w:rFonts w:ascii="Arial" w:cs="Arial" w:eastAsia="Arial" w:hAnsi="Arial"/>
                <w:sz w:val="13"/>
                <w:szCs w:val="13"/>
                <w:b w:val="1"/>
                <w:bCs w:val="1"/>
                <w:color w:val="auto"/>
                <w:w w:val="94"/>
              </w:rPr>
              <w:t>years</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 net of subleases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76,838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22,623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31,705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14,808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7,702</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Build-to-suit lease</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96,680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12,569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25,138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23,357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35,616</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commitments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57,291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29,161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28,130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Senior unsecured notes and interest payments</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624,000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29,167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56,000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56,000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482,833</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debt and interest payments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550,068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78,522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101,724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368,540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1,282</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Capital leases</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27,596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10,850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11,563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2,895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2,288</w:t>
            </w:r>
          </w:p>
        </w:tc>
      </w:tr>
      <w:tr>
        <w:trPr>
          <w:trHeight w:val="273"/>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5,559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2,761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2,473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40"/>
        </w:trPr>
        <w:tc>
          <w:tcPr>
            <w:tcW w:w="4120" w:type="dxa"/>
            <w:vAlign w:val="bottom"/>
          </w:tcPr>
          <w:p>
            <w:pPr>
              <w:ind w:left="40"/>
              <w:spacing w:after="0"/>
              <w:rPr>
                <w:sz w:val="20"/>
                <w:szCs w:val="20"/>
                <w:color w:val="auto"/>
              </w:rPr>
            </w:pPr>
            <w:r>
              <w:rPr>
                <w:rFonts w:ascii="Arial" w:cs="Arial" w:eastAsia="Arial" w:hAnsi="Arial"/>
                <w:sz w:val="16"/>
                <w:szCs w:val="16"/>
                <w:color w:val="auto"/>
              </w:rPr>
              <w:t>Total (1)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1,438,032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185,653</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256,733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465,925</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529,721</w:t>
            </w:r>
          </w:p>
        </w:tc>
      </w:tr>
      <w:tr>
        <w:trPr>
          <w:trHeight w:val="20"/>
        </w:trPr>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09" w:lineRule="exact"/>
        <w:rPr>
          <w:sz w:val="20"/>
          <w:szCs w:val="20"/>
          <w:color w:val="auto"/>
        </w:rPr>
      </w:pPr>
    </w:p>
    <w:p>
      <w:pPr>
        <w:ind w:left="260" w:right="20" w:hanging="252"/>
        <w:spacing w:after="0" w:line="247" w:lineRule="auto"/>
        <w:tabs>
          <w:tab w:leader="none" w:pos="233"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$4.9 million as of June 30, 2018 have been excluded from the contractual obligations table above. For further information on uncertain tax positions, see Note 13 to the accompanying consolidated financial statements.</w:t>
      </w:r>
    </w:p>
    <w:p>
      <w:pPr>
        <w:spacing w:after="0" w:line="151" w:lineRule="exact"/>
        <w:rPr>
          <w:sz w:val="20"/>
          <w:szCs w:val="20"/>
          <w:color w:val="auto"/>
        </w:rPr>
      </w:pPr>
    </w:p>
    <w:p>
      <w:pPr>
        <w:ind w:right="220" w:firstLine="662"/>
        <w:spacing w:after="0" w:line="266"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rent office space under operating leases expiring on various dates through 2026. Future minimum rental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required under our leases are an aggregate of approximately $76.8 million. The terms of certain lease agreements require security deposits in the form of bank guarantees and letters of credit in the amount of $2.6 million.</w:t>
      </w:r>
    </w:p>
    <w:p>
      <w:pPr>
        <w:spacing w:after="0" w:line="149" w:lineRule="exact"/>
        <w:rPr>
          <w:sz w:val="20"/>
          <w:szCs w:val="20"/>
          <w:color w:val="auto"/>
        </w:rPr>
      </w:pPr>
    </w:p>
    <w:p>
      <w:pPr>
        <w:ind w:right="280" w:firstLine="662"/>
        <w:spacing w:after="0" w:line="282" w:lineRule="auto"/>
        <w:rPr>
          <w:sz w:val="20"/>
          <w:szCs w:val="20"/>
          <w:color w:val="auto"/>
        </w:rPr>
      </w:pPr>
      <w:r>
        <w:rPr>
          <w:rFonts w:ascii="Arial" w:cs="Arial" w:eastAsia="Arial" w:hAnsi="Arial"/>
          <w:sz w:val="18"/>
          <w:szCs w:val="18"/>
          <w:i w:val="1"/>
          <w:iCs w:val="1"/>
          <w:color w:val="auto"/>
        </w:rPr>
        <w:t xml:space="preserve">Build-to-suit lease. </w:t>
      </w:r>
      <w:r>
        <w:rPr>
          <w:rFonts w:ascii="Arial" w:cs="Arial" w:eastAsia="Arial" w:hAnsi="Arial"/>
          <w:sz w:val="18"/>
          <w:szCs w:val="18"/>
          <w:color w:val="auto"/>
        </w:rPr>
        <w:t>Represents the cash payments for our leased facility in Waltham, Massachusetts, USA. Please refer to Note 2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accompanying consolidated financial statements for additional details</w:t>
      </w:r>
      <w:r>
        <w:rPr>
          <w:rFonts w:ascii="Arial" w:cs="Arial" w:eastAsia="Arial" w:hAnsi="Arial"/>
          <w:sz w:val="14"/>
          <w:szCs w:val="14"/>
          <w:color w:val="auto"/>
        </w:rPr>
        <w:t>.</w:t>
      </w:r>
    </w:p>
    <w:p>
      <w:pPr>
        <w:spacing w:after="0" w:line="135" w:lineRule="exact"/>
        <w:rPr>
          <w:sz w:val="20"/>
          <w:szCs w:val="20"/>
          <w:color w:val="auto"/>
        </w:rPr>
      </w:pPr>
    </w:p>
    <w:p>
      <w:pPr>
        <w:ind w:right="180" w:firstLine="662"/>
        <w:spacing w:after="0" w:line="261" w:lineRule="auto"/>
        <w:rPr>
          <w:sz w:val="20"/>
          <w:szCs w:val="20"/>
          <w:color w:val="auto"/>
        </w:rPr>
      </w:pPr>
      <w:r>
        <w:rPr>
          <w:rFonts w:ascii="Arial" w:cs="Arial" w:eastAsia="Arial" w:hAnsi="Arial"/>
          <w:sz w:val="18"/>
          <w:szCs w:val="18"/>
          <w:i w:val="1"/>
          <w:iCs w:val="1"/>
          <w:color w:val="auto"/>
        </w:rPr>
        <w:t>Purchase Commitments</w:t>
      </w:r>
      <w:r>
        <w:rPr>
          <w:rFonts w:ascii="Arial" w:cs="Arial" w:eastAsia="Arial" w:hAnsi="Arial"/>
          <w:sz w:val="18"/>
          <w:szCs w:val="18"/>
          <w:color w:val="auto"/>
        </w:rPr>
        <w:t>. At June 30, 2018, we had unrecorded commitments under contract of $57.3 million. Purchase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third-party web services of $21.0 million, inventory purchase commitments of $ 8.4 million, production and computer equipment purchases of approximately $8.2 million, commitments for professional and consulting fees of $3.6 million, commitments for advertising campaigns of $2.2 million, and other unrecorded purchase commitments of $14.0 million.</w:t>
      </w:r>
    </w:p>
    <w:p>
      <w:pPr>
        <w:spacing w:after="0" w:line="153" w:lineRule="exact"/>
        <w:rPr>
          <w:sz w:val="20"/>
          <w:szCs w:val="20"/>
          <w:color w:val="auto"/>
        </w:rPr>
      </w:pPr>
    </w:p>
    <w:p>
      <w:pPr>
        <w:ind w:right="120" w:firstLine="662"/>
        <w:spacing w:after="0" w:line="266" w:lineRule="auto"/>
        <w:rPr>
          <w:sz w:val="20"/>
          <w:szCs w:val="20"/>
          <w:color w:val="auto"/>
        </w:rPr>
      </w:pPr>
      <w:r>
        <w:rPr>
          <w:rFonts w:ascii="Arial" w:cs="Arial" w:eastAsia="Arial" w:hAnsi="Arial"/>
          <w:sz w:val="18"/>
          <w:szCs w:val="18"/>
          <w:i w:val="1"/>
          <w:iCs w:val="1"/>
          <w:color w:val="auto"/>
        </w:rPr>
        <w:t xml:space="preserve">Senior unsecured notes and interest payments. </w:t>
      </w:r>
      <w:r>
        <w:rPr>
          <w:rFonts w:ascii="Arial" w:cs="Arial" w:eastAsia="Arial" w:hAnsi="Arial"/>
          <w:sz w:val="18"/>
          <w:szCs w:val="18"/>
          <w:color w:val="auto"/>
        </w:rPr>
        <w:t>Our 7.0% senior unsecured notes due 2026 bear interest at a rate of 7.0% per annum</w:t>
      </w:r>
      <w:r>
        <w:rPr>
          <w:rFonts w:ascii="Arial" w:cs="Arial" w:eastAsia="Arial" w:hAnsi="Arial"/>
          <w:sz w:val="18"/>
          <w:szCs w:val="18"/>
          <w:i w:val="1"/>
          <w:iCs w:val="1"/>
          <w:color w:val="auto"/>
        </w:rPr>
        <w:t xml:space="preserve"> </w:t>
      </w:r>
      <w:r>
        <w:rPr>
          <w:rFonts w:ascii="Arial" w:cs="Arial" w:eastAsia="Arial" w:hAnsi="Arial"/>
          <w:sz w:val="18"/>
          <w:szCs w:val="18"/>
          <w:color w:val="auto"/>
        </w:rPr>
        <w:t>and mature on June 15, 2026. Interest on the notes is payable semi-annually on June 15 and December 15 of each year and has been included in the table above.</w:t>
      </w:r>
    </w:p>
    <w:p>
      <w:pPr>
        <w:spacing w:after="0" w:line="149" w:lineRule="exact"/>
        <w:rPr>
          <w:sz w:val="20"/>
          <w:szCs w:val="20"/>
          <w:color w:val="auto"/>
        </w:rPr>
      </w:pPr>
    </w:p>
    <w:p>
      <w:pPr>
        <w:ind w:right="100" w:firstLine="662"/>
        <w:spacing w:after="0" w:line="257" w:lineRule="auto"/>
        <w:rPr>
          <w:sz w:val="20"/>
          <w:szCs w:val="20"/>
          <w:color w:val="auto"/>
        </w:rPr>
      </w:pPr>
      <w:r>
        <w:rPr>
          <w:rFonts w:ascii="Arial" w:cs="Arial" w:eastAsia="Arial" w:hAnsi="Arial"/>
          <w:sz w:val="18"/>
          <w:szCs w:val="18"/>
          <w:i w:val="1"/>
          <w:iCs w:val="1"/>
          <w:color w:val="auto"/>
        </w:rPr>
        <w:t xml:space="preserve">Other debt and interest payments. </w:t>
      </w:r>
      <w:r>
        <w:rPr>
          <w:rFonts w:ascii="Arial" w:cs="Arial" w:eastAsia="Arial" w:hAnsi="Arial"/>
          <w:sz w:val="18"/>
          <w:szCs w:val="18"/>
          <w:color w:val="auto"/>
        </w:rPr>
        <w:t>At June 30, 2018, the term loans of $285.0 million outstanding under our credit agreement have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due on various dates through June 14, 2023, with the revolving loans outstanding of $147.4 million due on June 14, 2023. Interest payable included in this table is based on the interest rate as of June 30, 2018 and assumes all LIBOR based revolving loan amounts outstanding will not be paid until maturity, but that the term loan amortization payments will be made according to our defined schedule and all Prime rate based revolving loan amounts will be paid within a year. Interest payable includes the estimated impact of our interest rate swap agreements.</w:t>
      </w:r>
    </w:p>
    <w:p>
      <w:pPr>
        <w:spacing w:after="0" w:line="174" w:lineRule="exact"/>
        <w:rPr>
          <w:sz w:val="20"/>
          <w:szCs w:val="20"/>
          <w:color w:val="auto"/>
        </w:rPr>
      </w:pPr>
    </w:p>
    <w:p>
      <w:pPr>
        <w:ind w:right="320" w:firstLine="662"/>
        <w:spacing w:after="0" w:line="262" w:lineRule="auto"/>
        <w:rPr>
          <w:sz w:val="20"/>
          <w:szCs w:val="20"/>
          <w:color w:val="auto"/>
        </w:rPr>
      </w:pPr>
      <w:r>
        <w:rPr>
          <w:rFonts w:ascii="Arial" w:cs="Arial" w:eastAsia="Arial" w:hAnsi="Arial"/>
          <w:sz w:val="18"/>
          <w:szCs w:val="18"/>
          <w:color w:val="auto"/>
        </w:rPr>
        <w:t>In addition, we have other debt which consists primarily of debt assumed as part of certain of our fiscal 2015 acquisitions, and as of June 30, 2018 we had $7.0 million outstanding for those obligations that have repayments due on various dates through September 2024.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71" w:right="239" w:bottom="1440" w:gutter="0" w:footer="0" w:header="0"/>
        </w:sectPr>
      </w:pPr>
    </w:p>
    <w:bookmarkStart w:id="45" w:name="page46"/>
    <w:bookmarkEnd w:id="45"/>
    <w:p>
      <w:pPr>
        <w:ind w:right="180" w:firstLine="662"/>
        <w:spacing w:after="0" w:line="258"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lease certain machinery and plant equipment under capital lease agreements that expire at various dates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aggregate carrying value of the leased equipment under capital leases included in property, plant and equipment, net in our consolidated balance sheet at June 30, 2018, is $31.0 million, net of accumulated depreciation of $36.7 million. The present value of lease installments not yet due included in other current liabilities and other liabilities in our consolidated balance sheet at June 30, 2018 amounts to $27.6 million.</w:t>
      </w:r>
    </w:p>
    <w:p>
      <w:pPr>
        <w:spacing w:after="0" w:line="157" w:lineRule="exact"/>
        <w:rPr>
          <w:sz w:val="20"/>
          <w:szCs w:val="20"/>
          <w:color w:val="auto"/>
        </w:rPr>
      </w:pPr>
    </w:p>
    <w:p>
      <w:pPr>
        <w:ind w:right="120" w:firstLine="662"/>
        <w:spacing w:after="0" w:line="261" w:lineRule="auto"/>
        <w:rPr>
          <w:sz w:val="20"/>
          <w:szCs w:val="20"/>
          <w:color w:val="auto"/>
        </w:rPr>
      </w:pPr>
      <w:r>
        <w:rPr>
          <w:rFonts w:ascii="Arial" w:cs="Arial" w:eastAsia="Arial" w:hAnsi="Arial"/>
          <w:sz w:val="18"/>
          <w:szCs w:val="18"/>
          <w:i w:val="1"/>
          <w:iCs w:val="1"/>
          <w:color w:val="auto"/>
        </w:rPr>
        <w:t>Other Obligations</w:t>
      </w:r>
      <w:r>
        <w:rPr>
          <w:rFonts w:ascii="Arial" w:cs="Arial" w:eastAsia="Arial" w:hAnsi="Arial"/>
          <w:sz w:val="18"/>
          <w:szCs w:val="18"/>
          <w:color w:val="auto"/>
        </w:rPr>
        <w:t>. Other obligations include deferred payments related to previous acquisitions of $3.5 million in the aggregate.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have an installment obligation of $ 2.1 million related to the fiscal 2012 intra-entity transfer of the intellectual property of our subsidiary Webs, Inc., which resulted in tax being paid over a 7.5 year term and has been classified as a deferred tax liability in our consolidated balance sheet as of June 30, 2018.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20"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Adjusted net operating profit (NOP) and free cash flow presented below, and constant-currency revenue growth and constant-currency revenue growth excluding acquisitions/divestitures presented on page 7 above, are supplemental measures of our performance that are not required by, or presented in accordance with, GAAP. Adjusted NOP is defined as GAAP operating income excluding certain items such as acquisition-related amortization and depreciation, expense recognized for earn-out related charges, including the change in fair value of contingent consideration and compensation expense related to cash-based earn-out mechanisms dependent upon continued employment, share-based compensation related to investment consideration, certain impairment expense, restructuring charges, and the gain on purchase or sale of subsidiaries. The interest expense associated with our Waltham lease, as well as realized gains (losses) on currency forward contracts that do not qualify for hedge accounting, are included in Adjusted NOP.</w:t>
      </w:r>
    </w:p>
    <w:p>
      <w:pPr>
        <w:spacing w:after="0" w:line="17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Adjusted NOP is the primary profitability metric by which we measure our consolidated financial performance and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our currency forward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8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Free cash flow is used by management to assess the cash flow generation of the company. Free cash flow is defined as net cash provided by operating activities less purchases of property, plant and equipment, purchases of intangible assets not related to acquisitions, and capitalization of software and website development costs, plus payment of contingent consideration in excess of acquisition-date fair value and gains on proceeds from insurance, if any. The primary financial metric by which we set quarterly and annual budgets both for individual businesses and Cimpress-wide is our free cash flow prior to cash interest costs.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3"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The table below sets forth operating income and adjusted net operating profit for the years ended June 30, 2018, 2017 and 2016: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 operating income (loss)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157,800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(45,702)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78,193</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Exclude expense (benefit) impact of:</w:t>
            </w: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Acquisition-related amortization and depreciation</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50,149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46,402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40,834</w:t>
            </w:r>
          </w:p>
        </w:tc>
        <w:tc>
          <w:tcPr>
            <w:tcW w:w="0" w:type="dxa"/>
            <w:vAlign w:val="bottom"/>
          </w:tcPr>
          <w:p>
            <w:pPr>
              <w:spacing w:after="0"/>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Earn-out related charges (1)</w:t>
            </w:r>
          </w:p>
        </w:tc>
        <w:tc>
          <w:tcPr>
            <w:tcW w:w="3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40,384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6,378</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 related to investment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4,835</w:t>
            </w:r>
          </w:p>
        </w:tc>
        <w:tc>
          <w:tcPr>
            <w:tcW w:w="0" w:type="dxa"/>
            <w:vAlign w:val="bottom"/>
          </w:tcPr>
          <w:p>
            <w:pPr>
              <w:spacing w:after="0"/>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Certain impairments (2)</w:t>
            </w:r>
          </w:p>
        </w:tc>
        <w:tc>
          <w:tcPr>
            <w:tcW w:w="3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9,556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41,820</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related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Less: Interest expense associated with Waltham, MA lease</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(6,287)</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Gains on the purchase or sale of subsidiaries (3)</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6740" w:type="dxa"/>
            <w:vAlign w:val="bottom"/>
          </w:tcPr>
          <w:p>
            <w:pPr>
              <w:ind w:left="40"/>
              <w:spacing w:after="0"/>
              <w:rPr>
                <w:sz w:val="20"/>
                <w:szCs w:val="20"/>
                <w:color w:val="auto"/>
              </w:rPr>
            </w:pPr>
            <w:r>
              <w:rPr>
                <w:rFonts w:ascii="Arial" w:cs="Arial" w:eastAsia="Arial" w:hAnsi="Arial"/>
                <w:sz w:val="16"/>
                <w:szCs w:val="16"/>
                <w:color w:val="auto"/>
              </w:rPr>
              <w:t>Include: Realized (losses) gains on certain currency derivatives not included in operating</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16,474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5,863</w:t>
            </w:r>
          </w:p>
        </w:tc>
        <w:tc>
          <w:tcPr>
            <w:tcW w:w="0" w:type="dxa"/>
            <w:vAlign w:val="bottom"/>
          </w:tcPr>
          <w:p>
            <w:pPr>
              <w:spacing w:after="0"/>
              <w:rPr>
                <w:sz w:val="1"/>
                <w:szCs w:val="1"/>
                <w:color w:val="auto"/>
              </w:rPr>
            </w:pPr>
          </w:p>
        </w:tc>
      </w:tr>
      <w:tr>
        <w:trPr>
          <w:trHeight w:val="208"/>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(loss)</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NOP</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165,489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95,725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172,017</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100" w:hanging="252"/>
        <w:spacing w:after="0" w:line="258" w:lineRule="auto"/>
        <w:tabs>
          <w:tab w:leader="none" w:pos="233"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spacing w:after="0" w:line="59" w:lineRule="exact"/>
        <w:rPr>
          <w:rFonts w:ascii="Arial" w:cs="Arial" w:eastAsia="Arial" w:hAnsi="Arial"/>
          <w:sz w:val="14"/>
          <w:szCs w:val="14"/>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the impact of certain impairments of goodwill and other long-lived assets as defined by ASC 350 - "Intangibles - Goodwill and Other".</w:t>
      </w:r>
    </w:p>
    <w:p>
      <w:pPr>
        <w:spacing w:after="0" w:line="82" w:lineRule="exact"/>
        <w:rPr>
          <w:rFonts w:ascii="Arial" w:cs="Arial" w:eastAsia="Arial" w:hAnsi="Arial"/>
          <w:sz w:val="14"/>
          <w:szCs w:val="14"/>
          <w:color w:val="auto"/>
        </w:rPr>
      </w:pPr>
    </w:p>
    <w:p>
      <w:pPr>
        <w:jc w:val="both"/>
        <w:ind w:left="260" w:right="240" w:hanging="252"/>
        <w:spacing w:after="0" w:line="250" w:lineRule="auto"/>
        <w:tabs>
          <w:tab w:leader="none" w:pos="233"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as well as a bargain purchase gain as defined by ASC 805-30 - "Goodwill or Gain from Bargain Purchase" for an acquisition in which the identifiable assets acquired and liabilities assumed are greater than the consideration transferred, that was recognized in general and administrative expense in our consolidated statement of operations during the year ended June 30, 2018.</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net cash provided by operating activities and free cash flow for the years ended June 30, 2018, 2017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192,332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156,736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247,358</w:t>
            </w:r>
          </w:p>
        </w:tc>
        <w:tc>
          <w:tcPr>
            <w:tcW w:w="0" w:type="dxa"/>
            <w:vAlign w:val="bottom"/>
          </w:tcPr>
          <w:p>
            <w:pPr>
              <w:spacing w:after="0"/>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(60,930)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(74,157)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(80,435)</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intangible assets not related to acquisitions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Capitalization of software and website development costs</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(40,847)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(37,307)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(26,324)</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contingent consideration in excess of acquisition-date fair value (1)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49,241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8,613</w:t>
            </w:r>
          </w:p>
        </w:tc>
        <w:tc>
          <w:tcPr>
            <w:tcW w:w="0" w:type="dxa"/>
            <w:vAlign w:val="bottom"/>
          </w:tcPr>
          <w:p>
            <w:pPr>
              <w:spacing w:after="0"/>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insurance related to investing activities</w:t>
            </w:r>
          </w:p>
        </w:tc>
        <w:tc>
          <w:tcPr>
            <w:tcW w:w="3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3,624</w:t>
            </w:r>
          </w:p>
        </w:tc>
        <w:tc>
          <w:tcPr>
            <w:tcW w:w="0" w:type="dxa"/>
            <w:vAlign w:val="bottom"/>
          </w:tcPr>
          <w:p>
            <w:pPr>
              <w:spacing w:after="0"/>
              <w:rPr>
                <w:sz w:val="1"/>
                <w:szCs w:val="1"/>
                <w:color w:val="auto"/>
              </w:rPr>
            </w:pPr>
          </w:p>
        </w:tc>
      </w:tr>
      <w:tr>
        <w:trPr>
          <w:trHeight w:val="47"/>
        </w:trPr>
        <w:tc>
          <w:tcPr>
            <w:tcW w:w="67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Free cash flow</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139,488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45,075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152,360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40" w:hanging="252"/>
        <w:spacing w:after="0" w:line="258" w:lineRule="auto"/>
        <w:tabs>
          <w:tab w:leader="none" w:pos="233"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a portion of the earn-out payment that is presented within net cash provided by operating activities as part of the change in accrued expenses and other liabilities. This portion of the earn-out was deemed to be a compensation arrangement since it included an employment-related contingency.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ind w:right="80" w:firstLine="662"/>
        <w:spacing w:after="0" w:line="252"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(“GAAP”). To apply these principles, we must make estimates and judgments that affect our reported amounts of assets, liabilities, revenues and expenses, and related disclosure of contingent assets and liabilities. In some instances, we reasonably could have used different accounting estimates and, in other instances, changes in the accounting estimates are reasonably likely to occur from period to period. Accordingly, actual results could differ significantly from our estimates. We base our estimates and judgments on historical experience and other assumptions that we believe to be reasonable at the time under the circumstances, and we evaluate these estimates and judgments on an ongoing basis. We refer to accounting estimates and judgments of this type as critical accounting policies and estimates, which we discuss further below. This section should be read in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1" w:right="239" w:bottom="1440" w:gutter="0" w:footer="0" w:header="0"/>
        </w:sectPr>
      </w:pPr>
    </w:p>
    <w:bookmarkStart w:id="47" w:name="page48"/>
    <w:bookmarkEnd w:id="47"/>
    <w:p>
      <w:pPr>
        <w:ind w:right="160"/>
        <w:spacing w:after="0" w:line="262" w:lineRule="auto"/>
        <w:rPr>
          <w:sz w:val="20"/>
          <w:szCs w:val="20"/>
          <w:color w:val="auto"/>
        </w:rPr>
      </w:pPr>
      <w:r>
        <w:rPr>
          <w:rFonts w:ascii="Arial" w:cs="Arial" w:eastAsia="Arial" w:hAnsi="Arial"/>
          <w:sz w:val="18"/>
          <w:szCs w:val="18"/>
          <w:color w:val="auto"/>
        </w:rPr>
        <w:t>conjunction with Note 2, "Summary of Significant Accounting Policies," of our audited consolidated financial statements included elsewhere in this Report.</w:t>
      </w:r>
    </w:p>
    <w:p>
      <w:pPr>
        <w:spacing w:after="0" w:line="151"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Our businesses generate revenue primarily from the sale and shipping of customized manufactured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providing digital services, website design and hosting, email marketing services, and order referral fees. We recognize revenue arising from sales of products and services, net of discounts and applicable indirect taxes, when it is realized or realizable and earned. We consider revenue realized or realizable and earned when there is persuasive evidence of an arrangement, a product has been shipped or service rendered with no significant post-delivery obligation on our part, the net sales price is fixed or determinable and collection is reasonably assured. For arrangements with multiple deliverables, we allocate revenue to each deliverable based on the relative selling price for each deliverable. We determine the relative selling price using a hierarchy of (1) company specific objective and reliable evidence, then (2) third-party evidence, then (3) best estimate of selling price. Shipping, handling and processing charges billed to customers are included in revenue at the time of shipment or rendering of service. Revenues from sales of prepaid orders on our websites are deferred until shipment of fulfilled orders or until the prepaid service has been rendered.</w:t>
      </w:r>
    </w:p>
    <w:p>
      <w:pPr>
        <w:spacing w:after="0" w:line="177" w:lineRule="exact"/>
        <w:rPr>
          <w:sz w:val="20"/>
          <w:szCs w:val="20"/>
          <w:color w:val="auto"/>
        </w:rPr>
      </w:pPr>
    </w:p>
    <w:p>
      <w:pPr>
        <w:ind w:firstLine="662"/>
        <w:spacing w:after="0" w:line="254" w:lineRule="auto"/>
        <w:rPr>
          <w:sz w:val="20"/>
          <w:szCs w:val="20"/>
          <w:color w:val="auto"/>
        </w:rPr>
      </w:pPr>
      <w:r>
        <w:rPr>
          <w:rFonts w:ascii="Arial" w:cs="Arial" w:eastAsia="Arial" w:hAnsi="Arial"/>
          <w:sz w:val="18"/>
          <w:szCs w:val="18"/>
          <w:color w:val="auto"/>
        </w:rPr>
        <w:t>A reserve for estimated sales returns and allowances is recorded as a reduction of revenue, based on historical experience or specific identification of an event necessitating a reserve. This reserve is dependent upon customer return practices and will vary during the year due to volume or specific reserve requirements. Sales returns have not historically been significant to our net revenue and have been within our estimates.</w:t>
      </w:r>
    </w:p>
    <w:p>
      <w:pPr>
        <w:spacing w:after="0" w:line="159" w:lineRule="exact"/>
        <w:rPr>
          <w:sz w:val="20"/>
          <w:szCs w:val="20"/>
          <w:color w:val="auto"/>
        </w:rPr>
      </w:pPr>
    </w:p>
    <w:p>
      <w:pPr>
        <w:ind w:right="160" w:firstLine="662"/>
        <w:spacing w:after="0" w:line="266" w:lineRule="auto"/>
        <w:rPr>
          <w:sz w:val="20"/>
          <w:szCs w:val="20"/>
          <w:color w:val="auto"/>
        </w:rPr>
      </w:pPr>
      <w:r>
        <w:rPr>
          <w:rFonts w:ascii="Arial" w:cs="Arial" w:eastAsia="Arial" w:hAnsi="Arial"/>
          <w:sz w:val="18"/>
          <w:szCs w:val="18"/>
          <w:i w:val="1"/>
          <w:iCs w:val="1"/>
          <w:color w:val="auto"/>
        </w:rPr>
        <w:t xml:space="preserve">Share-Based Compensation. </w:t>
      </w:r>
      <w:r>
        <w:rPr>
          <w:rFonts w:ascii="Arial" w:cs="Arial" w:eastAsia="Arial" w:hAnsi="Arial"/>
          <w:sz w:val="18"/>
          <w:szCs w:val="18"/>
          <w:color w:val="auto"/>
        </w:rPr>
        <w:t>We measure share-based compensation costs at fair value, and recognize the expense over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recipient is required to provide service in exchange for the award, which generally is the vesting period. We recognize the impact of forfeitures as they occur.</w:t>
      </w:r>
    </w:p>
    <w:p>
      <w:pPr>
        <w:spacing w:after="0" w:line="167" w:lineRule="exact"/>
        <w:rPr>
          <w:sz w:val="20"/>
          <w:szCs w:val="20"/>
          <w:color w:val="auto"/>
        </w:rPr>
      </w:pPr>
    </w:p>
    <w:p>
      <w:pPr>
        <w:ind w:right="40" w:firstLine="662"/>
        <w:spacing w:after="0" w:line="253" w:lineRule="auto"/>
        <w:rPr>
          <w:sz w:val="20"/>
          <w:szCs w:val="20"/>
          <w:color w:val="auto"/>
        </w:rPr>
      </w:pPr>
      <w:r>
        <w:rPr>
          <w:rFonts w:ascii="Arial" w:cs="Arial" w:eastAsia="Arial" w:hAnsi="Arial"/>
          <w:sz w:val="18"/>
          <w:szCs w:val="18"/>
          <w:color w:val="auto"/>
        </w:rPr>
        <w:t>We primarily issue performance share units, or PSUs, which are estimated at fair value on the date of grant, which is fixed throughout the vesting period. The fair value is determined using a Monte Carlo simulation valuation model. As the PSUs include both a service and market condition the related expense is recognized using the accelerated expense attribution method over the requisite service period for each separately vesting portion of the award. For PSUs that meet the service vesting condition, the expense recognized over the requisite service period will not be reversed if the market condition is not achieved.</w:t>
      </w:r>
    </w:p>
    <w:p>
      <w:pPr>
        <w:spacing w:after="0" w:line="179" w:lineRule="exact"/>
        <w:rPr>
          <w:sz w:val="20"/>
          <w:szCs w:val="20"/>
          <w:color w:val="auto"/>
        </w:rPr>
      </w:pPr>
    </w:p>
    <w:p>
      <w:pPr>
        <w:ind w:right="960" w:firstLine="662"/>
        <w:spacing w:after="0" w:line="262" w:lineRule="auto"/>
        <w:rPr>
          <w:sz w:val="20"/>
          <w:szCs w:val="20"/>
          <w:color w:val="auto"/>
        </w:rPr>
      </w:pPr>
      <w:r>
        <w:rPr>
          <w:rFonts w:ascii="Arial" w:cs="Arial" w:eastAsia="Arial" w:hAnsi="Arial"/>
          <w:sz w:val="18"/>
          <w:szCs w:val="18"/>
          <w:color w:val="auto"/>
        </w:rPr>
        <w:t>The compensation expense for these awards is estimated at fair value using a Monte Carlo simulation valuation model and compensation costs are recorded only if it is probable that the performance condition will be achieved.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service vesting and market condition requirements, we have certain PSUs that contain an additional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condition, based on a multi-year performance target. The compensation expense for these awards is estimated at fair value using a Monte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Carlo simulation valuation model and compensation costs are recorded only if it is probable that the performance condition will be achieved.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awards are not probable at some point during the performance vesting period we would reverse any expense recognized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During fiscal 2018, we issued PSUs that contain a performance condition that we deemed probable of achievement and recognized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$13,503 of expense. If the performance condition is determined to not be probable in a future period, we will reverse this expense in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they are no longer considered probable.</w:t>
      </w:r>
    </w:p>
    <w:p>
      <w:pPr>
        <w:spacing w:after="0" w:line="180" w:lineRule="exact"/>
        <w:rPr>
          <w:sz w:val="20"/>
          <w:szCs w:val="20"/>
          <w:color w:val="auto"/>
        </w:rPr>
      </w:pPr>
    </w:p>
    <w:p>
      <w:pPr>
        <w:ind w:firstLine="662"/>
        <w:spacing w:after="0" w:line="25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As part of the process of preparing our consolidated financial statements, we calculate our income taxes in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in which we operate. This process involves estimating our current tax expense, including assessing the risks associated with tax positions, together with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Our estimates can vary due to the profitability mix of jurisdictions, foreign exchange movements, changes in tax law, regulations or accounting principles, as well as certain discrete items.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71" w:right="259" w:bottom="1440" w:gutter="0" w:footer="0" w:header="0"/>
        </w:sectPr>
      </w:pPr>
    </w:p>
    <w:bookmarkStart w:id="48" w:name="page49"/>
    <w:bookmarkEnd w:id="48"/>
    <w:p>
      <w:pPr>
        <w:ind w:firstLine="662"/>
        <w:spacing w:after="0" w:line="252" w:lineRule="auto"/>
        <w:rPr>
          <w:sz w:val="20"/>
          <w:szCs w:val="20"/>
          <w:color w:val="auto"/>
        </w:rPr>
      </w:pPr>
      <w:r>
        <w:rPr>
          <w:rFonts w:ascii="Arial" w:cs="Arial" w:eastAsia="Arial" w:hAnsi="Arial"/>
          <w:sz w:val="18"/>
          <w:szCs w:val="18"/>
          <w:color w:val="auto"/>
        </w:rPr>
        <w:t>We establish reserves for tax-related uncertainties based on estimates of whether, and the extent to which, additional taxes will be due. These reserves are established when we believe that certain positions might be challenged despite our belief that our tax return positions are in accordance with applicable tax laws. We adjust these reserves in light of changing facts and circumstances, such as the closing of a tax audit, new tax legislation, or the change of an estimate based on new information. To the extent that the final outcome of these matters is different than the amounts recorded, such differences will affect the provision for income taxes in the period in which such determination is made. Interest and, if applicable, penalties related to unrecognized tax benefits are recorded in the provision for income taxes. Stranded income tax effects in accumulated other comprehensive income or loss are released on an item-by-item basis based on when the applicable derivative is recognized in earnings.</w:t>
      </w:r>
    </w:p>
    <w:p>
      <w:pPr>
        <w:spacing w:after="0" w:line="161"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i w:val="1"/>
          <w:iCs w:val="1"/>
          <w:color w:val="auto"/>
        </w:rPr>
        <w:t xml:space="preserve">Software and Website Development Costs. </w:t>
      </w:r>
      <w:r>
        <w:rPr>
          <w:rFonts w:ascii="Arial" w:cs="Arial" w:eastAsia="Arial" w:hAnsi="Arial"/>
          <w:sz w:val="18"/>
          <w:szCs w:val="18"/>
          <w:color w:val="auto"/>
        </w:rPr>
        <w:t>We capitalize eligible salaries and payroll-related costs of employees who devote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development of our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three years. Our judgment is required in determining whether a project provides new or additional functionality, the point at which various projects enter the stages at which costs may be capitalized, assessing the ongoing value and impairment of the capitalized costs, and determining the estimated useful lives over which the costs are amortized. Historically we have not had any significant impairments of our capitalized software and website development costs.</w:t>
      </w:r>
    </w:p>
    <w:p>
      <w:pPr>
        <w:spacing w:after="0" w:line="158" w:lineRule="exact"/>
        <w:rPr>
          <w:sz w:val="20"/>
          <w:szCs w:val="20"/>
          <w:color w:val="auto"/>
        </w:rPr>
      </w:pPr>
    </w:p>
    <w:p>
      <w:pPr>
        <w:ind w:right="20" w:firstLine="662"/>
        <w:spacing w:after="0" w:line="254"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recognize the tangible and intangible assets acquired and liabilities assumed based on their estimated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values at the date of acquisition. The fair value of identifiable intangible assets is based on detailed cash flow valuations that use information and assumptions provided by management. The valuations are dependent upon a myriad of factors including historical financial results, estimated customer renewal rates, projected operating costs and discount rates. We estimate the fair value of contingent consideration at the time of the acquisition using all pertinent information known to us at the time to assess the probability of payment of contingent amounts or through the use of a Monte Carlo simulation model. We allocate any excess purchase price over the fair value of the net tangible and intangible assets acquired and liabilities assumed to goodwill. The assumptions used in the valuations for our acquisitions may differ materially from actual results depending on performance of the acquired businesses and other factors. While we believe the assumptions used were appropriate, different assumptions in the valuation of assets acquired and liabilities assumed could have a material impact on the timing and extent of impact on our statements of operations.</w:t>
      </w:r>
    </w:p>
    <w:p>
      <w:pPr>
        <w:spacing w:after="0" w:line="177" w:lineRule="exact"/>
        <w:rPr>
          <w:sz w:val="20"/>
          <w:szCs w:val="20"/>
          <w:color w:val="auto"/>
        </w:rPr>
      </w:pPr>
    </w:p>
    <w:p>
      <w:pPr>
        <w:jc w:val="both"/>
        <w:ind w:right="180" w:firstLine="648"/>
        <w:spacing w:after="0" w:line="256" w:lineRule="auto"/>
        <w:rPr>
          <w:sz w:val="20"/>
          <w:szCs w:val="20"/>
          <w:color w:val="auto"/>
        </w:rPr>
      </w:pPr>
      <w:r>
        <w:rPr>
          <w:rFonts w:ascii="Arial" w:cs="Arial" w:eastAsia="Arial" w:hAnsi="Arial"/>
          <w:sz w:val="18"/>
          <w:szCs w:val="18"/>
          <w:color w:val="auto"/>
        </w:rPr>
        <w:t>Goodwill is assigned to reporting units as of the date of the related acquisition. If goodwill is assigned to more than one reporting unit, we utilize a method that is consistent with the manner in which the amount of goodwill in a business combination is determined. Costs related to the acquisition of a business are expensed as incurred.</w:t>
      </w:r>
    </w:p>
    <w:p>
      <w:pPr>
        <w:spacing w:after="0" w:line="15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 xml:space="preserve">Goodwill, Indefinite-Lived Intangible Assets, and Other Definite Lived Long-Lived Assets. </w:t>
      </w:r>
      <w:r>
        <w:rPr>
          <w:rFonts w:ascii="Arial" w:cs="Arial" w:eastAsia="Arial" w:hAnsi="Arial"/>
          <w:sz w:val="18"/>
          <w:szCs w:val="18"/>
          <w:color w:val="auto"/>
        </w:rPr>
        <w:t>We evaluate goodwill and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impairment annually or more frequently when an event occurs or circumstances change that indicate that the carrying value may not be recoverable. We have the option to first assess qualitative factors to determine whether it is more likely than not that the fair value of a reporting unit is less than its carrying amount. We consider the timing of our most recent fair value assessment and associated headroom, the actual operating results as compared to the cash flow forecasts used in those fair value assessments, the current long-term forecasts for each reporting unit, and the general market and economic environment of each reporting unit. In addition to the specific factors mentioned above, we assess the following individual factors on an ongoing basis such as:</w:t>
      </w:r>
    </w:p>
    <w:p>
      <w:pPr>
        <w:spacing w:after="0" w:line="26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significant adverse change in legal factors or the business climate;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competition;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loss of key personnel; and</w:t>
      </w:r>
    </w:p>
    <w:p>
      <w:pPr>
        <w:spacing w:after="0" w:line="198" w:lineRule="exact"/>
        <w:rPr>
          <w:rFonts w:ascii="Arial" w:cs="Arial" w:eastAsia="Arial" w:hAnsi="Arial"/>
          <w:sz w:val="18"/>
          <w:szCs w:val="18"/>
          <w:color w:val="auto"/>
        </w:rPr>
      </w:pPr>
    </w:p>
    <w:p>
      <w:pPr>
        <w:jc w:val="center"/>
        <w:ind w:left="5620" w:right="180" w:hanging="5288"/>
        <w:spacing w:after="0" w:line="543" w:lineRule="auto"/>
        <w:tabs>
          <w:tab w:leader="none" w:pos="6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more-likely-than-not expectation that a reporting unit or a significant portion of a reporting unit will be sold or otherwise disposed of. 47</w:t>
      </w:r>
    </w:p>
    <w:p>
      <w:pPr>
        <w:sectPr>
          <w:pgSz w:w="11900" w:h="16838" w:orient="portrait"/>
          <w:cols w:equalWidth="0" w:num="1">
            <w:col w:w="11420"/>
          </w:cols>
          <w:pgMar w:left="240" w:top="571" w:right="239" w:bottom="1440" w:gutter="0" w:footer="0" w:header="0"/>
        </w:sectPr>
      </w:pPr>
    </w:p>
    <w:bookmarkStart w:id="49" w:name="page50"/>
    <w:bookmarkEnd w:id="49"/>
    <w:p>
      <w:pPr>
        <w:ind w:right="60" w:firstLine="648"/>
        <w:spacing w:after="0" w:line="253" w:lineRule="auto"/>
        <w:rPr>
          <w:sz w:val="20"/>
          <w:szCs w:val="20"/>
          <w:color w:val="auto"/>
        </w:rPr>
      </w:pPr>
      <w:r>
        <w:rPr>
          <w:rFonts w:ascii="Arial" w:cs="Arial" w:eastAsia="Arial" w:hAnsi="Arial"/>
          <w:sz w:val="18"/>
          <w:szCs w:val="18"/>
          <w:color w:val="auto"/>
        </w:rPr>
        <w:t>If the results of the qualitative analysis were to indicate that the fair value of a reporting unit is less than its carrying value, the quantitative test is required. Under the quantitative approach, we estimate the fair values of our reporting units using a discounted cash flow methodology. This analysis requires significant judgment and is based on our strategic plans and estimation of future cash flows, which is dependent on internal forecasts. Our annual analysis also requires significant judgment including the identification and aggregation of reporting units, as well as the determination of our discount rate and perpetual growth rate assumptions.</w:t>
      </w:r>
    </w:p>
    <w:p>
      <w:pPr>
        <w:spacing w:after="0" w:line="206" w:lineRule="exact"/>
        <w:rPr>
          <w:sz w:val="20"/>
          <w:szCs w:val="20"/>
          <w:color w:val="auto"/>
        </w:rPr>
      </w:pPr>
    </w:p>
    <w:p>
      <w:pPr>
        <w:ind w:right="540" w:firstLine="648"/>
        <w:spacing w:after="0" w:line="262" w:lineRule="auto"/>
        <w:rPr>
          <w:sz w:val="20"/>
          <w:szCs w:val="20"/>
          <w:color w:val="auto"/>
        </w:rPr>
      </w:pPr>
      <w:r>
        <w:rPr>
          <w:rFonts w:ascii="Arial" w:cs="Arial" w:eastAsia="Arial" w:hAnsi="Arial"/>
          <w:sz w:val="18"/>
          <w:szCs w:val="18"/>
          <w:color w:val="auto"/>
        </w:rPr>
        <w:t>We are required to compare the fair value of the reporting unit with its carrying value and recognize an impairment charge for the amount by which the carrying amount exceeds the reporting unit's fair value.</w:t>
      </w:r>
    </w:p>
    <w:p>
      <w:pPr>
        <w:spacing w:after="0" w:line="16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required to evaluate the estimated useful lives and recoverability of definite lived long-lived assets (for example, customer relationships, developed technology, property, and equipment) on an ongoing basis when indicators of impairment are present. For purposes of the recoverability test, long-lived assets are grouped with other assets and liabilities at the lowest level for which identifiable cash flows are largely independent of the cash flows of other assets and liabilities. The test for recoverability compares the undiscounted future cash flows of the long-lived asset group to its carrying value. If the carrying values of the long-lived asset group exceed the undiscounted future cash flows, the assets are considered to be potentially impaired. The next step in the impairment measurement process is to determine the fair value of the individual net assets within the long-lived asset group. If the aggregate fair values of the individual net assets of the group are less than the carrying values, an impairment charge is recorded equal to the excess of the aggregate carrying value of the group over the aggregate fair value. The loss is allocated to each long-lived asset within the group based on their relative carrying values, with no asset reduced below its fair value. The identification and evaluation of a potential impairment requires judgment and is subject to change if events or circumstances pertaining to our business change. We evaluated our long-lived assets for impairment and during the year ended June 30, 2018, we recognized no impairments.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20" w:lineRule="exact"/>
        <w:rPr>
          <w:sz w:val="20"/>
          <w:szCs w:val="20"/>
          <w:color w:val="auto"/>
        </w:rPr>
      </w:pPr>
    </w:p>
    <w:p>
      <w:pPr>
        <w:ind w:right="480" w:firstLine="662"/>
        <w:spacing w:after="0" w:line="262" w:lineRule="auto"/>
        <w:rPr>
          <w:sz w:val="20"/>
          <w:szCs w:val="20"/>
          <w:color w:val="auto"/>
        </w:rPr>
      </w:pPr>
      <w:r>
        <w:rPr>
          <w:rFonts w:ascii="Arial" w:cs="Arial" w:eastAsia="Arial" w:hAnsi="Arial"/>
          <w:sz w:val="18"/>
          <w:szCs w:val="18"/>
          <w:color w:val="auto"/>
        </w:rPr>
        <w:t>See Item 8 of Part II, “Financial Statements and Supplementary Data — Note 2 — Summary of Significant Accounting Policies — Recently Issued or Adopted Accounting Pronouncements."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7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interest rate risk relates primarily to our cash, cash equivalents and debt.</w:t>
      </w:r>
    </w:p>
    <w:p>
      <w:pPr>
        <w:spacing w:after="0" w:line="216" w:lineRule="exact"/>
        <w:rPr>
          <w:sz w:val="20"/>
          <w:szCs w:val="20"/>
          <w:color w:val="auto"/>
        </w:rPr>
      </w:pPr>
    </w:p>
    <w:p>
      <w:pPr>
        <w:ind w:right="480" w:firstLine="662"/>
        <w:spacing w:after="0" w:line="262" w:lineRule="auto"/>
        <w:rPr>
          <w:sz w:val="20"/>
          <w:szCs w:val="20"/>
          <w:color w:val="auto"/>
        </w:rPr>
      </w:pPr>
      <w:r>
        <w:rPr>
          <w:rFonts w:ascii="Arial" w:cs="Arial" w:eastAsia="Arial" w:hAnsi="Arial"/>
          <w:sz w:val="18"/>
          <w:szCs w:val="18"/>
          <w:color w:val="auto"/>
        </w:rPr>
        <w:t>As of June 30, 2018, our cash and cash equivalents consisted of standard depository accounts which are held for working capital purposes. We do not believe we have a material exposure to interest rate fluctuations related to our cash and cash equivalents.</w:t>
      </w:r>
    </w:p>
    <w:p>
      <w:pPr>
        <w:spacing w:after="0" w:line="169" w:lineRule="exact"/>
        <w:rPr>
          <w:sz w:val="20"/>
          <w:szCs w:val="20"/>
          <w:color w:val="auto"/>
        </w:rPr>
      </w:pPr>
    </w:p>
    <w:p>
      <w:pPr>
        <w:ind w:right="120" w:firstLine="662"/>
        <w:spacing w:after="0" w:line="252" w:lineRule="auto"/>
        <w:rPr>
          <w:sz w:val="20"/>
          <w:szCs w:val="20"/>
          <w:color w:val="auto"/>
        </w:rPr>
      </w:pPr>
      <w:r>
        <w:rPr>
          <w:rFonts w:ascii="Arial" w:cs="Arial" w:eastAsia="Arial" w:hAnsi="Arial"/>
          <w:sz w:val="18"/>
          <w:szCs w:val="18"/>
          <w:color w:val="auto"/>
        </w:rPr>
        <w:t>As of June 30, 2018, we had $432.4 million of variable-rate debt and $2.1 million of variable rate installment obligation related to the fiscal 2012 intra-entity transfer of Webs' intellectual property. As a result, we have exposure to market risk for changes in interest rates related to these obligations. In order to mitigate our exposure to interest rate changes related to our variable rate debt, we execute interest rate swap contracts to fix the interest rate on a portion of our outstanding or forecasted long-term debt with varying maturities. As of June 30, 2018, a hypothetical 100 basis point increase in rates, inclusive of our outstanding interest rate swaps, would result in an increase to interest expense of approximately $2.4 million over the next 12 months.</w:t>
      </w:r>
    </w:p>
    <w:p>
      <w:pPr>
        <w:spacing w:after="0" w:line="164" w:lineRule="exact"/>
        <w:rPr>
          <w:sz w:val="20"/>
          <w:szCs w:val="20"/>
          <w:color w:val="auto"/>
        </w:rPr>
      </w:pPr>
    </w:p>
    <w:p>
      <w:pPr>
        <w:ind w:firstLine="662"/>
        <w:spacing w:after="0" w:line="258" w:lineRule="auto"/>
        <w:rPr>
          <w:sz w:val="20"/>
          <w:szCs w:val="20"/>
          <w:color w:val="auto"/>
        </w:rPr>
      </w:pPr>
      <w:r>
        <w:rPr>
          <w:rFonts w:ascii="Arial" w:cs="Arial" w:eastAsia="Arial" w:hAnsi="Arial"/>
          <w:sz w:val="18"/>
          <w:szCs w:val="18"/>
          <w:i w:val="1"/>
          <w:iCs w:val="1"/>
          <w:color w:val="auto"/>
        </w:rPr>
        <w:t xml:space="preserve">Currency Exchange Rate Risk. </w:t>
      </w:r>
      <w:r>
        <w:rPr>
          <w:rFonts w:ascii="Arial" w:cs="Arial" w:eastAsia="Arial" w:hAnsi="Arial"/>
          <w:sz w:val="18"/>
          <w:szCs w:val="18"/>
          <w:color w:val="auto"/>
        </w:rPr>
        <w:t>We conduct business in multiple currencies through our worldwide operations but report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U.S. dollars. We manage these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7" w:lineRule="exact"/>
        <w:rPr>
          <w:sz w:val="20"/>
          <w:szCs w:val="20"/>
          <w:color w:val="auto"/>
        </w:rPr>
      </w:pPr>
    </w:p>
    <w:p>
      <w:pPr>
        <w:ind w:left="660" w:right="2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Translation of our non-U.S. dollar revenues and expenses: </w:t>
      </w:r>
      <w:r>
        <w:rPr>
          <w:rFonts w:ascii="Arial" w:cs="Arial" w:eastAsia="Arial" w:hAnsi="Arial"/>
          <w:sz w:val="18"/>
          <w:szCs w:val="18"/>
          <w:color w:val="auto"/>
        </w:rPr>
        <w:t>Revenue and related expenses generated in currencies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could result in higher or lower net income when, upon consolidation, those transactions are translated to U.S. dollars. When the value or timing of revenue and expenses in a given currency are materially different, we may be exposed to significant impacts on our net income and non-GAAP financial metrics, such as adjusted EBITDA.</w:t>
      </w:r>
    </w:p>
    <w:p>
      <w:pPr>
        <w:spacing w:after="0" w:line="171" w:lineRule="exact"/>
        <w:rPr>
          <w:rFonts w:ascii="Arial" w:cs="Arial" w:eastAsia="Arial" w:hAnsi="Arial"/>
          <w:sz w:val="18"/>
          <w:szCs w:val="18"/>
          <w:color w:val="auto"/>
        </w:rPr>
      </w:pPr>
    </w:p>
    <w:p>
      <w:pPr>
        <w:ind w:left="660" w:right="60"/>
        <w:spacing w:after="0" w:line="254" w:lineRule="auto"/>
        <w:rPr>
          <w:rFonts w:ascii="Arial" w:cs="Arial" w:eastAsia="Arial" w:hAnsi="Arial"/>
          <w:sz w:val="18"/>
          <w:szCs w:val="18"/>
          <w:color w:val="auto"/>
        </w:rPr>
      </w:pPr>
      <w:r>
        <w:rPr>
          <w:rFonts w:ascii="Arial" w:cs="Arial" w:eastAsia="Arial" w:hAnsi="Arial"/>
          <w:sz w:val="18"/>
          <w:szCs w:val="18"/>
          <w:color w:val="auto"/>
        </w:rPr>
        <w:t>Our currency hedging objectives are targeted at reducing volatility in our forecasted U.S. dollar-equivalent adjusted EBITDA in order to protect our debt covenants. Since adjusted EBITDA excludes non-cash items such as depreciation and amortization that are included in net income, we may experience increased, not decreased, volatility in our GAAP results due to our hedging approach. Our most significant net currency exposures by volume are in the Euro and British Pound.</w:t>
      </w:r>
    </w:p>
    <w:p>
      <w:pPr>
        <w:spacing w:after="0" w:line="177" w:lineRule="exact"/>
        <w:rPr>
          <w:rFonts w:ascii="Arial" w:cs="Arial" w:eastAsia="Arial" w:hAnsi="Arial"/>
          <w:sz w:val="18"/>
          <w:szCs w:val="18"/>
          <w:color w:val="auto"/>
        </w:rPr>
      </w:pPr>
    </w:p>
    <w:p>
      <w:pPr>
        <w:ind w:left="660" w:right="40"/>
        <w:spacing w:after="0" w:line="274" w:lineRule="auto"/>
        <w:rPr>
          <w:rFonts w:ascii="Arial" w:cs="Arial" w:eastAsia="Arial" w:hAnsi="Arial"/>
          <w:sz w:val="18"/>
          <w:szCs w:val="18"/>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(expense) income, net on the mark-to-market of outstanding contracts and (ii) realized gains and losses recognized in other (expense) income, net, whereas the offsetting economic gains and losses are reported in the line item of the underlying activity, for example, revenue.</w:t>
      </w:r>
    </w:p>
    <w:p>
      <w:pPr>
        <w:spacing w:after="0" w:line="14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Translation of our non-U.S. dollar assets and liabilities</w:t>
      </w:r>
      <w:r>
        <w:rPr>
          <w:rFonts w:ascii="Arial" w:cs="Arial" w:eastAsia="Arial" w:hAnsi="Arial"/>
          <w:sz w:val="18"/>
          <w:szCs w:val="18"/>
          <w:color w:val="auto"/>
        </w:rPr>
        <w:t>: Each of our subsidiaries translates its assets and liabilities to U.S. dollars 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w:t>
      </w:r>
    </w:p>
    <w:p>
      <w:pPr>
        <w:spacing w:after="0" w:line="198" w:lineRule="exact"/>
        <w:rPr>
          <w:rFonts w:ascii="Arial" w:cs="Arial" w:eastAsia="Arial" w:hAnsi="Arial"/>
          <w:sz w:val="18"/>
          <w:szCs w:val="18"/>
          <w:color w:val="auto"/>
        </w:rPr>
      </w:pPr>
    </w:p>
    <w:p>
      <w:pPr>
        <w:ind w:left="660" w:right="220"/>
        <w:spacing w:after="0" w:line="262" w:lineRule="auto"/>
        <w:rPr>
          <w:rFonts w:ascii="Arial" w:cs="Arial" w:eastAsia="Arial" w:hAnsi="Arial"/>
          <w:sz w:val="18"/>
          <w:szCs w:val="18"/>
          <w:color w:val="auto"/>
        </w:rPr>
      </w:pPr>
      <w:r>
        <w:rPr>
          <w:rFonts w:ascii="Arial" w:cs="Arial" w:eastAsia="Arial" w:hAnsi="Arial"/>
          <w:sz w:val="18"/>
          <w:szCs w:val="18"/>
          <w:color w:val="auto"/>
        </w:rPr>
        <w:t>We have currency exposure arising from our net investments in foreign operations. We enter into currency derivatives to mitigate the impact of currency rate changes on certain net investments.</w:t>
      </w:r>
    </w:p>
    <w:p>
      <w:pPr>
        <w:spacing w:after="0" w:line="151"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Remeasurement of monetary assets and liabilities: </w:t>
      </w:r>
      <w:r>
        <w:rPr>
          <w:rFonts w:ascii="Arial" w:cs="Arial" w:eastAsia="Arial" w:hAnsi="Arial"/>
          <w:sz w:val="18"/>
          <w:szCs w:val="18"/>
          <w:color w:val="auto"/>
        </w:rPr>
        <w:t>Transaction gains and losses generated from remeasurement of monetary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denominated in currencies other than the functional currency of a subsidiary are included in other (expense)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(expense) income, net. We expect these impacts may be volatile in the future, although our largest intercompany loans do not have a U.S. dollar cash impact for the consolidated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35" w:right="259" w:bottom="1440" w:gutter="0" w:footer="0" w:header="0"/>
        </w:sectPr>
      </w:pPr>
    </w:p>
    <w:bookmarkStart w:id="51" w:name="page52"/>
    <w:bookmarkEnd w:id="51"/>
    <w:p>
      <w:pPr>
        <w:spacing w:after="0" w:line="299" w:lineRule="auto"/>
        <w:rPr>
          <w:sz w:val="20"/>
          <w:szCs w:val="20"/>
          <w:color w:val="auto"/>
        </w:rPr>
      </w:pPr>
      <w:r>
        <w:rPr>
          <w:rFonts w:ascii="Arial" w:cs="Arial" w:eastAsia="Arial" w:hAnsi="Arial"/>
          <w:sz w:val="18"/>
          <w:szCs w:val="18"/>
          <w:color w:val="auto"/>
        </w:rPr>
        <w:t>group because they are either 1) U.S. dollar loans or 2) we elect to hedge certain non-U.S. dollar loans with cross currency swaps.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 currency swaps designated as cash flow hedges. A hypothetical decrease in exchange rates of 10% against the functional currency of our subsidiaries would have resulted in an increase of $51.1 million, $61.3 million and $21.3 million on our income before income taxes for the years ended June 30, 2018, 2017 and 2016, respectively.</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40"/>
          </w:cols>
          <w:pgMar w:left="900" w:top="598"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CIMPRESS N.V.</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1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22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52</w:t>
              </w:r>
            </w:hyperlink>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2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54</w:t>
              </w:r>
            </w:hyperlink>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622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Consolidated Statements of Comprehensive Income (Loss)</w:t>
            </w:r>
          </w:p>
        </w:tc>
        <w:tc>
          <w:tcPr>
            <w:tcW w:w="622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56</w:t>
              </w:r>
            </w:hyperlink>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Consolidated Statements of Shareholders’ Equity</w:t>
            </w:r>
          </w:p>
        </w:tc>
        <w:tc>
          <w:tcPr>
            <w:tcW w:w="622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57</w:t>
              </w:r>
            </w:hyperlink>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622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59</w:t>
              </w:r>
            </w:hyperlink>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22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61</w:t>
              </w:r>
            </w:hyperlink>
          </w:p>
        </w:tc>
      </w:tr>
      <w:tr>
        <w:trPr>
          <w:trHeight w:val="689"/>
        </w:trPr>
        <w:tc>
          <w:tcPr>
            <w:tcW w:w="5140" w:type="dxa"/>
            <w:vAlign w:val="bottom"/>
          </w:tcPr>
          <w:p>
            <w:pPr>
              <w:spacing w:after="0"/>
              <w:rPr>
                <w:sz w:val="24"/>
                <w:szCs w:val="24"/>
                <w:color w:val="auto"/>
              </w:rPr>
            </w:pPr>
          </w:p>
        </w:tc>
        <w:tc>
          <w:tcPr>
            <w:tcW w:w="6220" w:type="dxa"/>
            <w:vAlign w:val="bottom"/>
          </w:tcPr>
          <w:p>
            <w:pPr>
              <w:jc w:val="right"/>
              <w:ind w:right="549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00"/>
          </w:cols>
          <w:pgMar w:left="240" w:top="535" w:right="259" w:bottom="1440" w:gutter="0" w:footer="0" w:header="0"/>
        </w:sectPr>
      </w:pPr>
    </w:p>
    <w:bookmarkStart w:id="53" w:name="page54"/>
    <w:bookmarkEnd w:id="53"/>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Supervisory Board and Shareholders of Cimpress N.V.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47"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Cimpress N.V. and its subsidiaries as of June 30, 2018 and June 30, 2017, and the related consolidated statements of operations, consolidated statements of comprehensive income (loss), consolidated statements of shareholders’ equity, and consolidated statements of cash flows for each of the three years in the period ended June 30, 2018, including the related notes and financial statement schedules listed in the accompanying index (collectively referred to as the “consolidated financial statements”). We also have audited the Company's internal control over financial reporting as of June 30,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June 30, 2018 and June 30, 2017</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their operations and their cash flows for each of the three years in the period ended June 30, 2018 in conformity with accounting principles generally accepted in the United States of America. Also in our opinion, the Company maintained, in all material respects, effective internal control over financial reporting as of June 30,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47"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60" w:right="259" w:bottom="1440" w:gutter="0" w:footer="0" w:header="0"/>
        </w:sectPr>
      </w:pPr>
    </w:p>
    <w:bookmarkStart w:id="54" w:name="page55"/>
    <w:bookmarkEnd w:id="54"/>
    <w:p>
      <w:pPr>
        <w:ind w:right="360"/>
        <w:spacing w:after="0" w:line="262" w:lineRule="auto"/>
        <w:rPr>
          <w:sz w:val="20"/>
          <w:szCs w:val="20"/>
          <w:color w:val="auto"/>
        </w:rPr>
      </w:pPr>
      <w:r>
        <w:rPr>
          <w:rFonts w:ascii="Arial" w:cs="Arial" w:eastAsia="Arial" w:hAnsi="Arial"/>
          <w:sz w:val="18"/>
          <w:szCs w:val="18"/>
          <w:color w:val="auto"/>
        </w:rPr>
        <w:t>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PricewaterhouseCoopers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82"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25,697</w:t>
            </w:r>
          </w:p>
        </w:tc>
        <w:tc>
          <w:tcPr>
            <w:tcW w:w="0" w:type="dxa"/>
            <w:vAlign w:val="bottom"/>
          </w:tcPr>
          <w:p>
            <w:pPr>
              <w:spacing w:after="0"/>
              <w:rPr>
                <w:sz w:val="1"/>
                <w:szCs w:val="1"/>
                <w:color w:val="auto"/>
              </w:rPr>
            </w:pP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 of allowances of $6,898 and $3,590, respectively</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55,621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48,630</w:t>
            </w: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46,563</w:t>
            </w:r>
          </w:p>
        </w:tc>
        <w:tc>
          <w:tcPr>
            <w:tcW w:w="0" w:type="dxa"/>
            <w:vAlign w:val="bottom"/>
          </w:tcPr>
          <w:p>
            <w:pPr>
              <w:spacing w:after="0"/>
              <w:rPr>
                <w:sz w:val="1"/>
                <w:szCs w:val="1"/>
                <w:color w:val="auto"/>
              </w:rPr>
            </w:pP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78,846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78,835</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Assets held for sale</w:t>
            </w: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46,276</w:t>
            </w:r>
          </w:p>
        </w:tc>
        <w:tc>
          <w:tcPr>
            <w:tcW w:w="0" w:type="dxa"/>
            <w:vAlign w:val="bottom"/>
          </w:tcPr>
          <w:p>
            <w:pPr>
              <w:spacing w:after="0"/>
              <w:rPr>
                <w:sz w:val="1"/>
                <w:szCs w:val="1"/>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239,296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246,001</w:t>
            </w: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483,664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511,947</w:t>
            </w:r>
          </w:p>
        </w:tc>
        <w:tc>
          <w:tcPr>
            <w:tcW w:w="0" w:type="dxa"/>
            <w:vAlign w:val="bottom"/>
          </w:tcPr>
          <w:p>
            <w:pPr>
              <w:spacing w:after="0"/>
              <w:rPr>
                <w:sz w:val="1"/>
                <w:szCs w:val="1"/>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Software and website development costs, net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56,199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48,470</w:t>
            </w: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48,004</w:t>
            </w:r>
          </w:p>
        </w:tc>
        <w:tc>
          <w:tcPr>
            <w:tcW w:w="0" w:type="dxa"/>
            <w:vAlign w:val="bottom"/>
          </w:tcPr>
          <w:p>
            <w:pPr>
              <w:spacing w:after="0"/>
              <w:rPr>
                <w:sz w:val="1"/>
                <w:szCs w:val="1"/>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520,843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514,963</w:t>
            </w: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230,201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275,924</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54,927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34,560</w:t>
            </w: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1,652,217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1,679,869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noncontrolling interests and shareholders’ equity</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152,436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127,386</w:t>
            </w: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186,661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175,567</w:t>
            </w:r>
          </w:p>
        </w:tc>
        <w:tc>
          <w:tcPr>
            <w:tcW w:w="0" w:type="dxa"/>
            <w:vAlign w:val="bottom"/>
          </w:tcPr>
          <w:p>
            <w:pPr>
              <w:spacing w:after="0"/>
              <w:rPr>
                <w:sz w:val="1"/>
                <w:szCs w:val="1"/>
                <w:color w:val="auto"/>
              </w:rPr>
            </w:pP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27,697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30,372</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Short-term debt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59,259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28,926</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54,971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78,435</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Liabilities held for sale</w:t>
            </w: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8,797</w:t>
            </w:r>
          </w:p>
        </w:tc>
        <w:tc>
          <w:tcPr>
            <w:tcW w:w="0" w:type="dxa"/>
            <w:vAlign w:val="bottom"/>
          </w:tcPr>
          <w:p>
            <w:pPr>
              <w:spacing w:after="0"/>
              <w:rPr>
                <w:sz w:val="1"/>
                <w:szCs w:val="1"/>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481,024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449,483</w:t>
            </w: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60,743</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Lease financing obligation</w:t>
            </w: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102,743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106,606</w:t>
            </w: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767,585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847,730</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69,524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94,683</w:t>
            </w: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1,472,119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1,559,245</w:t>
            </w:r>
          </w:p>
        </w:tc>
        <w:tc>
          <w:tcPr>
            <w:tcW w:w="0" w:type="dxa"/>
            <w:vAlign w:val="bottom"/>
          </w:tcPr>
          <w:p>
            <w:pPr>
              <w:spacing w:after="0"/>
              <w:rPr>
                <w:sz w:val="1"/>
                <w:szCs w:val="1"/>
                <w:color w:val="auto"/>
              </w:rPr>
            </w:pPr>
          </w:p>
        </w:tc>
      </w:tr>
      <w:tr>
        <w:trPr>
          <w:trHeight w:val="254"/>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(Note 17)</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86,151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45,412</w:t>
            </w:r>
          </w:p>
        </w:tc>
        <w:tc>
          <w:tcPr>
            <w:tcW w:w="0" w:type="dxa"/>
            <w:vAlign w:val="bottom"/>
          </w:tcPr>
          <w:p>
            <w:pPr>
              <w:spacing w:after="0"/>
              <w:rPr>
                <w:sz w:val="1"/>
                <w:szCs w:val="1"/>
                <w:color w:val="auto"/>
              </w:rPr>
            </w:pPr>
          </w:p>
        </w:tc>
      </w:tr>
      <w:tr>
        <w:trPr>
          <w:trHeight w:val="227"/>
        </w:trPr>
        <w:tc>
          <w:tcPr>
            <w:tcW w:w="834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Preferred shares, par value €0.01 per share, 100,000,000 shares authorized; none issued and outstanding</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8340" w:type="dxa"/>
            <w:vAlign w:val="bottom"/>
          </w:tcPr>
          <w:p>
            <w:pPr>
              <w:ind w:left="280"/>
              <w:spacing w:after="0"/>
              <w:rPr>
                <w:sz w:val="20"/>
                <w:szCs w:val="20"/>
                <w:color w:val="auto"/>
              </w:rPr>
            </w:pPr>
            <w:r>
              <w:rPr>
                <w:rFonts w:ascii="Arial" w:cs="Arial" w:eastAsia="Arial" w:hAnsi="Arial"/>
                <w:sz w:val="16"/>
                <w:szCs w:val="16"/>
                <w:color w:val="auto"/>
              </w:rPr>
              <w:t>Ordinary shares, par value €0.01 per share, 100,000,000 shares authorized; 44,080,627 shares issued; and</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40" w:type="dxa"/>
            <w:vAlign w:val="bottom"/>
          </w:tcPr>
          <w:p>
            <w:pPr>
              <w:ind w:left="280"/>
              <w:spacing w:after="0"/>
              <w:rPr>
                <w:sz w:val="20"/>
                <w:szCs w:val="20"/>
                <w:color w:val="auto"/>
              </w:rPr>
            </w:pPr>
            <w:r>
              <w:rPr>
                <w:rFonts w:ascii="Arial" w:cs="Arial" w:eastAsia="Arial" w:hAnsi="Arial"/>
                <w:sz w:val="16"/>
                <w:szCs w:val="16"/>
                <w:color w:val="auto"/>
              </w:rPr>
              <w:t>30,876,193 and 31,415,503 shares outstanding, respectively</w:t>
            </w:r>
          </w:p>
        </w:tc>
        <w:tc>
          <w:tcPr>
            <w:tcW w:w="28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Treasury shares, at cost, 13,204,434 and 12,665,124 shares, respectively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(588,365)</w:t>
            </w:r>
          </w:p>
        </w:tc>
        <w:tc>
          <w:tcPr>
            <w:tcW w:w="0" w:type="dxa"/>
            <w:vAlign w:val="bottom"/>
          </w:tcPr>
          <w:p>
            <w:pPr>
              <w:spacing w:after="0"/>
              <w:rPr>
                <w:sz w:val="1"/>
                <w:szCs w:val="1"/>
                <w:color w:val="auto"/>
              </w:rPr>
            </w:pP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395,682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361,376</w:t>
            </w:r>
          </w:p>
        </w:tc>
        <w:tc>
          <w:tcPr>
            <w:tcW w:w="0" w:type="dxa"/>
            <w:vAlign w:val="bottom"/>
          </w:tcPr>
          <w:p>
            <w:pPr>
              <w:spacing w:after="0"/>
              <w:rPr>
                <w:sz w:val="1"/>
                <w:szCs w:val="1"/>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452,756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414,771</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(69,814)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(113,398)</w:t>
            </w: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shareholders’ equity attributable to Cimpress N.V.</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93,662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74,999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Noncontrolling interests (Note 14)</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93,947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75,212</w:t>
            </w:r>
          </w:p>
        </w:tc>
        <w:tc>
          <w:tcPr>
            <w:tcW w:w="0" w:type="dxa"/>
            <w:vAlign w:val="bottom"/>
          </w:tcPr>
          <w:p>
            <w:pPr>
              <w:spacing w:after="0"/>
              <w:rPr>
                <w:sz w:val="1"/>
                <w:szCs w:val="1"/>
                <w:color w:val="auto"/>
              </w:rPr>
            </w:pP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noncontrolling interests and shareholders’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1,652,217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1,679,869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576" w:right="2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2,592,541</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2,135,405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1,788,044</w:t>
            </w:r>
          </w:p>
        </w:tc>
        <w:tc>
          <w:tcPr>
            <w:tcW w:w="0" w:type="dxa"/>
            <w:vAlign w:val="bottom"/>
          </w:tcPr>
          <w:p>
            <w:pPr>
              <w:spacing w:after="0"/>
              <w:rPr>
                <w:sz w:val="1"/>
                <w:szCs w:val="1"/>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Cost of revenue (1)</w:t>
            </w:r>
          </w:p>
        </w:tc>
        <w:tc>
          <w:tcPr>
            <w:tcW w:w="30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1,279,799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1,036,975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773,640</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and development expense (1)</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245,758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243,230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210,080</w:t>
            </w:r>
          </w:p>
        </w:tc>
        <w:tc>
          <w:tcPr>
            <w:tcW w:w="0" w:type="dxa"/>
            <w:vAlign w:val="bottom"/>
          </w:tcPr>
          <w:p>
            <w:pPr>
              <w:spacing w:after="0"/>
              <w:rPr>
                <w:sz w:val="1"/>
                <w:szCs w:val="1"/>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Marketing and selling expense (1)</w:t>
            </w:r>
          </w:p>
        </w:tc>
        <w:tc>
          <w:tcPr>
            <w:tcW w:w="30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714,654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610,932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508,502</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 (1)</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176,958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207,569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145,844</w:t>
            </w:r>
          </w:p>
        </w:tc>
        <w:tc>
          <w:tcPr>
            <w:tcW w:w="0" w:type="dxa"/>
            <w:vAlign w:val="bottom"/>
          </w:tcPr>
          <w:p>
            <w:pPr>
              <w:spacing w:after="0"/>
              <w:rPr>
                <w:sz w:val="1"/>
                <w:szCs w:val="1"/>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Amortization of acquired intangible assets</w:t>
            </w:r>
          </w:p>
        </w:tc>
        <w:tc>
          <w:tcPr>
            <w:tcW w:w="30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49,881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46,145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40,563</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 (1)</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15,236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26,700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(Gain) on sale of subsidiaries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(47,545)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Impairment of goodwill and acquired intangible assets</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9,556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30,841</w:t>
            </w:r>
          </w:p>
        </w:tc>
        <w:tc>
          <w:tcPr>
            <w:tcW w:w="0" w:type="dxa"/>
            <w:vAlign w:val="bottom"/>
          </w:tcPr>
          <w:p>
            <w:pPr>
              <w:spacing w:after="0"/>
              <w:rPr>
                <w:sz w:val="1"/>
                <w:szCs w:val="1"/>
                <w:color w:val="auto"/>
              </w:rPr>
            </w:pPr>
          </w:p>
        </w:tc>
      </w:tr>
      <w:tr>
        <w:trPr>
          <w:trHeight w:val="247"/>
        </w:trPr>
        <w:tc>
          <w:tcPr>
            <w:tcW w:w="7080" w:type="dxa"/>
            <w:vAlign w:val="bottom"/>
          </w:tcPr>
          <w:p>
            <w:pPr>
              <w:ind w:left="40"/>
              <w:spacing w:after="0"/>
              <w:rPr>
                <w:sz w:val="20"/>
                <w:szCs w:val="20"/>
                <w:color w:val="auto"/>
              </w:rPr>
            </w:pPr>
            <w:r>
              <w:rPr>
                <w:rFonts w:ascii="Arial" w:cs="Arial" w:eastAsia="Arial" w:hAnsi="Arial"/>
                <w:sz w:val="16"/>
                <w:szCs w:val="16"/>
                <w:color w:val="auto"/>
              </w:rPr>
              <w:t>Income (loss) from operations</w:t>
            </w:r>
          </w:p>
        </w:tc>
        <w:tc>
          <w:tcPr>
            <w:tcW w:w="30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157,800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(45,702)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78,193</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10,362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26,098</w:t>
            </w:r>
          </w:p>
        </w:tc>
        <w:tc>
          <w:tcPr>
            <w:tcW w:w="0" w:type="dxa"/>
            <w:vAlign w:val="bottom"/>
          </w:tcPr>
          <w:p>
            <w:pPr>
              <w:spacing w:after="0"/>
              <w:rPr>
                <w:sz w:val="1"/>
                <w:szCs w:val="1"/>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(53,043)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(43,977)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(38,196)</w:t>
            </w:r>
          </w:p>
        </w:tc>
        <w:tc>
          <w:tcPr>
            <w:tcW w:w="0" w:type="dxa"/>
            <w:vAlign w:val="bottom"/>
          </w:tcPr>
          <w:p>
            <w:pPr>
              <w:spacing w:after="0"/>
              <w:rPr>
                <w:sz w:val="1"/>
                <w:szCs w:val="1"/>
                <w:color w:val="auto"/>
              </w:rPr>
            </w:pPr>
          </w:p>
        </w:tc>
      </w:tr>
      <w:tr>
        <w:trPr>
          <w:trHeight w:val="246"/>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early extinguishment of debt</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708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66,366</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(79,317)</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66,095</w:t>
            </w:r>
          </w:p>
        </w:tc>
        <w:tc>
          <w:tcPr>
            <w:tcW w:w="0" w:type="dxa"/>
            <w:vAlign w:val="bottom"/>
          </w:tcPr>
          <w:p>
            <w:pPr>
              <w:spacing w:after="0"/>
              <w:rPr>
                <w:sz w:val="1"/>
                <w:szCs w:val="1"/>
                <w:color w:val="auto"/>
              </w:rPr>
            </w:pPr>
          </w:p>
        </w:tc>
      </w:tr>
      <w:tr>
        <w:trPr>
          <w:trHeight w:val="27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19,578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15,684</w:t>
            </w:r>
          </w:p>
        </w:tc>
        <w:tc>
          <w:tcPr>
            <w:tcW w:w="0" w:type="dxa"/>
            <w:vAlign w:val="bottom"/>
          </w:tcPr>
          <w:p>
            <w:pPr>
              <w:spacing w:after="0"/>
              <w:rPr>
                <w:sz w:val="1"/>
                <w:szCs w:val="1"/>
                <w:color w:val="auto"/>
              </w:rPr>
            </w:pPr>
          </w:p>
        </w:tc>
      </w:tr>
      <w:tr>
        <w:trPr>
          <w:trHeight w:val="247"/>
        </w:trPr>
        <w:tc>
          <w:tcPr>
            <w:tcW w:w="70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0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46,788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(72,199)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50,411</w:t>
            </w:r>
          </w:p>
        </w:tc>
        <w:tc>
          <w:tcPr>
            <w:tcW w:w="0" w:type="dxa"/>
            <w:vAlign w:val="bottom"/>
          </w:tcPr>
          <w:p>
            <w:pPr>
              <w:spacing w:after="0"/>
              <w:rPr>
                <w:sz w:val="1"/>
                <w:szCs w:val="1"/>
                <w:color w:val="auto"/>
              </w:rPr>
            </w:pPr>
          </w:p>
        </w:tc>
      </w:tr>
      <w:tr>
        <w:trPr>
          <w:trHeight w:val="27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Net (income) loss attributable to noncontrolling interest</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3,938</w:t>
            </w:r>
          </w:p>
        </w:tc>
        <w:tc>
          <w:tcPr>
            <w:tcW w:w="0" w:type="dxa"/>
            <w:vAlign w:val="bottom"/>
          </w:tcPr>
          <w:p>
            <w:pPr>
              <w:spacing w:after="0"/>
              <w:rPr>
                <w:sz w:val="1"/>
                <w:szCs w:val="1"/>
                <w:color w:val="auto"/>
              </w:rPr>
            </w:pPr>
          </w:p>
        </w:tc>
      </w:tr>
      <w:tr>
        <w:trPr>
          <w:trHeight w:val="28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attributable to Cimpress N.V.</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43,733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(71,711)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54,349</w:t>
            </w:r>
          </w:p>
        </w:tc>
        <w:tc>
          <w:tcPr>
            <w:tcW w:w="0" w:type="dxa"/>
            <w:vAlign w:val="bottom"/>
          </w:tcPr>
          <w:p>
            <w:pPr>
              <w:spacing w:after="0"/>
              <w:rPr>
                <w:sz w:val="1"/>
                <w:szCs w:val="1"/>
                <w:color w:val="auto"/>
              </w:rPr>
            </w:pPr>
          </w:p>
        </w:tc>
      </w:tr>
      <w:tr>
        <w:trPr>
          <w:trHeight w:val="22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 (loss) per share attributable to Cimpress N.V.</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6"/>
                <w:szCs w:val="16"/>
                <w:color w:val="auto"/>
              </w:rPr>
              <w:t>Diluted net income (loss) per share attributable to Cimpress N.V.</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24"/>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30,948,081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31,291,581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31,656,234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80" w:type="dxa"/>
            <w:vAlign w:val="bottom"/>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32,220,401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31,291,581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33,049,454</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7080" w:type="dxa"/>
            <w:vAlign w:val="bottom"/>
          </w:tcPr>
          <w:p>
            <w:pPr>
              <w:ind w:left="60"/>
              <w:spacing w:after="0"/>
              <w:rPr>
                <w:sz w:val="20"/>
                <w:szCs w:val="20"/>
                <w:color w:val="auto"/>
              </w:rPr>
            </w:pPr>
            <w:r>
              <w:rPr>
                <w:rFonts w:ascii="Arial" w:cs="Arial" w:eastAsia="Arial" w:hAnsi="Arial"/>
                <w:sz w:val="14"/>
                <w:szCs w:val="14"/>
                <w:color w:val="auto"/>
              </w:rPr>
              <w:t>(1) Share-based compensation is allocated as follows: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361</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Technology and development expense</w:t>
            </w:r>
          </w:p>
        </w:tc>
        <w:tc>
          <w:tcPr>
            <w:tcW w:w="30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10,580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8,724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5,892</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Marketing and selling expense</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1,591</w:t>
            </w:r>
          </w:p>
        </w:tc>
        <w:tc>
          <w:tcPr>
            <w:tcW w:w="0" w:type="dxa"/>
            <w:vAlign w:val="bottom"/>
          </w:tcPr>
          <w:p>
            <w:pPr>
              <w:spacing w:after="0"/>
              <w:rPr>
                <w:sz w:val="1"/>
                <w:szCs w:val="1"/>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30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31,515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28,500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16,273</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7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8"/>
        </w:trPr>
        <w:tc>
          <w:tcPr>
            <w:tcW w:w="7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r>
      <w:tr>
        <w:trPr>
          <w:trHeight w:val="256"/>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46,788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50,411</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gains (losses), net of hedges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35,148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(7,537)</w:t>
            </w:r>
          </w:p>
        </w:tc>
      </w:tr>
      <w:tr>
        <w:trPr>
          <w:trHeight w:val="218"/>
        </w:trPr>
        <w:tc>
          <w:tcPr>
            <w:tcW w:w="7200" w:type="dxa"/>
            <w:vAlign w:val="bottom"/>
          </w:tcPr>
          <w:p>
            <w:pPr>
              <w:ind w:left="280"/>
              <w:spacing w:after="0"/>
              <w:rPr>
                <w:sz w:val="20"/>
                <w:szCs w:val="20"/>
                <w:color w:val="auto"/>
              </w:rPr>
            </w:pPr>
            <w:r>
              <w:rPr>
                <w:rFonts w:ascii="Arial" w:cs="Arial" w:eastAsia="Arial" w:hAnsi="Arial"/>
                <w:sz w:val="16"/>
                <w:szCs w:val="16"/>
                <w:color w:val="auto"/>
              </w:rPr>
              <w:t>Net unrealized gain (loss) on derivative instruments designated and qualifying as cash flow</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4"/>
        </w:trPr>
        <w:tc>
          <w:tcPr>
            <w:tcW w:w="7200" w:type="dxa"/>
            <w:vAlign w:val="bottom"/>
          </w:tcPr>
          <w:p>
            <w:pPr>
              <w:ind w:left="280"/>
              <w:spacing w:after="0"/>
              <w:rPr>
                <w:sz w:val="20"/>
                <w:szCs w:val="20"/>
                <w:color w:val="auto"/>
              </w:rPr>
            </w:pPr>
            <w:r>
              <w:rPr>
                <w:rFonts w:ascii="Arial" w:cs="Arial" w:eastAsia="Arial" w:hAnsi="Arial"/>
                <w:sz w:val="16"/>
                <w:szCs w:val="16"/>
                <w:color w:val="auto"/>
              </w:rPr>
              <w:t>hedges</w:t>
            </w:r>
          </w:p>
        </w:tc>
        <w:tc>
          <w:tcPr>
            <w:tcW w:w="32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11,521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(2,504)</w:t>
            </w:r>
          </w:p>
        </w:tc>
      </w:tr>
      <w:tr>
        <w:trPr>
          <w:trHeight w:val="228"/>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loss to net income (loss) 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4"/>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derivative instruments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1,587</w:t>
            </w:r>
          </w:p>
        </w:tc>
      </w:tr>
      <w:tr>
        <w:trPr>
          <w:trHeight w:val="260"/>
        </w:trPr>
        <w:tc>
          <w:tcPr>
            <w:tcW w:w="7200" w:type="dxa"/>
            <w:vAlign w:val="bottom"/>
          </w:tcPr>
          <w:p>
            <w:pPr>
              <w:ind w:left="280"/>
              <w:spacing w:after="0"/>
              <w:rPr>
                <w:sz w:val="20"/>
                <w:szCs w:val="20"/>
                <w:color w:val="auto"/>
              </w:rPr>
            </w:pPr>
            <w:r>
              <w:rPr>
                <w:rFonts w:ascii="Arial" w:cs="Arial" w:eastAsia="Arial" w:hAnsi="Arial"/>
                <w:sz w:val="16"/>
                <w:szCs w:val="16"/>
                <w:color w:val="auto"/>
              </w:rPr>
              <w:t>Unrealized (loss) gain on available-for-sale-securities</w:t>
            </w:r>
          </w:p>
        </w:tc>
        <w:tc>
          <w:tcPr>
            <w:tcW w:w="32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517</w:t>
            </w:r>
          </w:p>
        </w:tc>
      </w:tr>
      <w:tr>
        <w:trPr>
          <w:trHeight w:val="228"/>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loss to net income (loss) for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4"/>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realized gains on available-for-sale 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Gain on pension benefit obligation,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2,194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561</w:t>
            </w: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92,854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43,035</w:t>
            </w: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Add: Comprehensive (income) loss attributable to noncontrolling interests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2,208</w:t>
            </w:r>
          </w:p>
        </w:tc>
      </w:tr>
      <w:tr>
        <w:trPr>
          <w:trHeight w:val="24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 attributable to Cimpress N.V.</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87,433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(77,094)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45,243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CIMPRESS N.V.</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Pr>
          <w:p>
            <w:pPr>
              <w:spacing w:after="0"/>
              <w:rPr>
                <w:sz w:val="15"/>
                <w:szCs w:val="15"/>
                <w:color w:val="auto"/>
              </w:rPr>
            </w:pPr>
          </w:p>
        </w:tc>
        <w:tc>
          <w:tcPr>
            <w:tcW w:w="1980" w:type="dxa"/>
            <w:vAlign w:val="bottom"/>
            <w:gridSpan w:val="5"/>
          </w:tcPr>
          <w:p>
            <w:pPr>
              <w:ind w:left="460"/>
              <w:spacing w:after="0"/>
              <w:rPr>
                <w:sz w:val="20"/>
                <w:szCs w:val="20"/>
                <w:color w:val="auto"/>
              </w:rPr>
            </w:pPr>
            <w:r>
              <w:rPr>
                <w:rFonts w:ascii="Arial" w:cs="Arial" w:eastAsia="Arial" w:hAnsi="Arial"/>
                <w:sz w:val="13"/>
                <w:szCs w:val="13"/>
                <w:b w:val="1"/>
                <w:bCs w:val="1"/>
                <w:color w:val="auto"/>
              </w:rPr>
              <w:t>Ordinary Shares</w:t>
            </w:r>
          </w:p>
        </w:tc>
        <w:tc>
          <w:tcPr>
            <w:tcW w:w="2220" w:type="dxa"/>
            <w:vAlign w:val="bottom"/>
            <w:gridSpan w:val="5"/>
          </w:tcPr>
          <w:p>
            <w:pPr>
              <w:ind w:left="580"/>
              <w:spacing w:after="0"/>
              <w:rPr>
                <w:sz w:val="20"/>
                <w:szCs w:val="20"/>
                <w:color w:val="auto"/>
              </w:rPr>
            </w:pPr>
            <w:r>
              <w:rPr>
                <w:rFonts w:ascii="Arial" w:cs="Arial" w:eastAsia="Arial" w:hAnsi="Arial"/>
                <w:sz w:val="13"/>
                <w:szCs w:val="13"/>
                <w:b w:val="1"/>
                <w:bCs w:val="1"/>
                <w:color w:val="auto"/>
              </w:rPr>
              <w:t>Treasury Shares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0"/>
        </w:trPr>
        <w:tc>
          <w:tcPr>
            <w:tcW w:w="2520" w:type="dxa"/>
            <w:vAlign w:val="bottom"/>
          </w:tcPr>
          <w:p>
            <w:pPr>
              <w:spacing w:after="0"/>
              <w:rPr>
                <w:sz w:val="12"/>
                <w:szCs w:val="12"/>
                <w:color w:val="auto"/>
              </w:rPr>
            </w:pPr>
          </w:p>
        </w:tc>
        <w:tc>
          <w:tcPr>
            <w:tcW w:w="1160" w:type="dxa"/>
            <w:vAlign w:val="bottom"/>
            <w:tcBorders>
              <w:top w:val="single" w:sz="8" w:color="auto"/>
            </w:tcBorders>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8"/>
              </w:rPr>
              <w:t>Number of</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3"/>
              </w:rPr>
              <w:t>Number</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2"/>
                <w:szCs w:val="12"/>
                <w:color w:val="auto"/>
              </w:rPr>
            </w:pPr>
          </w:p>
        </w:tc>
        <w:tc>
          <w:tcPr>
            <w:tcW w:w="1000" w:type="dxa"/>
            <w:vAlign w:val="bottom"/>
          </w:tcPr>
          <w:p>
            <w:pPr>
              <w:jc w:val="center"/>
              <w:ind w:right="49"/>
              <w:spacing w:after="0" w:line="140"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5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of</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1"/>
                <w:szCs w:val="11"/>
                <w:color w:val="auto"/>
              </w:rPr>
            </w:pPr>
          </w:p>
        </w:tc>
        <w:tc>
          <w:tcPr>
            <w:tcW w:w="10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6"/>
              </w:rPr>
              <w:t>Shareholders’</w:t>
            </w:r>
          </w:p>
        </w:tc>
      </w:tr>
      <w:tr>
        <w:trPr>
          <w:trHeight w:val="178"/>
        </w:trPr>
        <w:tc>
          <w:tcPr>
            <w:tcW w:w="252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Issued</w:t>
            </w:r>
          </w:p>
        </w:tc>
        <w:tc>
          <w:tcPr>
            <w:tcW w:w="1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Shares</w:t>
            </w: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1000" w:type="dxa"/>
            <w:vAlign w:val="bottom"/>
          </w:tcPr>
          <w:p>
            <w:pPr>
              <w:jc w:val="center"/>
              <w:ind w:right="49"/>
              <w:spacing w:after="0"/>
              <w:rPr>
                <w:sz w:val="20"/>
                <w:szCs w:val="20"/>
                <w:color w:val="auto"/>
              </w:rPr>
            </w:pPr>
            <w:r>
              <w:rPr>
                <w:rFonts w:ascii="Arial" w:cs="Arial" w:eastAsia="Arial" w:hAnsi="Arial"/>
                <w:sz w:val="13"/>
                <w:szCs w:val="13"/>
                <w:b w:val="1"/>
                <w:bCs w:val="1"/>
                <w:color w:val="auto"/>
              </w:rPr>
              <w:t>Equity</w:t>
            </w:r>
          </w:p>
        </w:tc>
      </w:tr>
      <w:tr>
        <w:trPr>
          <w:trHeight w:val="257"/>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June 30, 2015</w:t>
            </w:r>
          </w:p>
        </w:tc>
        <w:tc>
          <w:tcPr>
            <w:tcW w:w="10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44,080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615</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(10,878)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(412,132)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324,281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435,052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248,907</w:t>
            </w:r>
          </w:p>
        </w:tc>
      </w:tr>
      <w:tr>
        <w:trPr>
          <w:trHeight w:val="174"/>
        </w:trPr>
        <w:tc>
          <w:tcPr>
            <w:tcW w:w="2520" w:type="dxa"/>
            <w:vAlign w:val="bottom"/>
          </w:tcPr>
          <w:p>
            <w:pPr>
              <w:ind w:left="40"/>
              <w:spacing w:after="0"/>
              <w:rPr>
                <w:sz w:val="20"/>
                <w:szCs w:val="20"/>
                <w:color w:val="auto"/>
              </w:rPr>
            </w:pPr>
            <w:r>
              <w:rPr>
                <w:rFonts w:ascii="Arial" w:cs="Arial" w:eastAsia="Arial" w:hAnsi="Arial"/>
                <w:sz w:val="14"/>
                <w:szCs w:val="14"/>
                <w:color w:val="auto"/>
              </w:rPr>
              <w:t>Cumulative effect adjustment related</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2520" w:type="dxa"/>
            <w:vAlign w:val="bottom"/>
          </w:tcPr>
          <w:p>
            <w:pPr>
              <w:ind w:left="40"/>
              <w:spacing w:after="0"/>
              <w:rPr>
                <w:sz w:val="20"/>
                <w:szCs w:val="20"/>
                <w:color w:val="auto"/>
              </w:rPr>
            </w:pPr>
            <w:r>
              <w:rPr>
                <w:rFonts w:ascii="Arial" w:cs="Arial" w:eastAsia="Arial" w:hAnsi="Arial"/>
                <w:sz w:val="14"/>
                <w:szCs w:val="14"/>
                <w:color w:val="auto"/>
              </w:rPr>
              <w:t>to adoption of share-based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2520" w:type="dxa"/>
            <w:vAlign w:val="bottom"/>
          </w:tcPr>
          <w:p>
            <w:pPr>
              <w:ind w:left="40"/>
              <w:spacing w:after="0"/>
              <w:rPr>
                <w:sz w:val="20"/>
                <w:szCs w:val="20"/>
                <w:color w:val="auto"/>
              </w:rPr>
            </w:pPr>
            <w:r>
              <w:rPr>
                <w:rFonts w:ascii="Arial" w:cs="Arial" w:eastAsia="Arial" w:hAnsi="Arial"/>
                <w:sz w:val="14"/>
                <w:szCs w:val="14"/>
                <w:color w:val="auto"/>
              </w:rPr>
              <w:t>compensation standard (ASU 2016-</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09)</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2,546</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ordinary shares due to</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62"/>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option exercises, net of shares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withheld for taxes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4,706</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Issuance of ordinary shares in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62"/>
        </w:trPr>
        <w:tc>
          <w:tcPr>
            <w:tcW w:w="2520" w:type="dxa"/>
            <w:vAlign w:val="bottom"/>
          </w:tcPr>
          <w:p>
            <w:pPr>
              <w:ind w:left="40"/>
              <w:spacing w:after="0"/>
              <w:rPr>
                <w:sz w:val="20"/>
                <w:szCs w:val="20"/>
                <w:color w:val="auto"/>
              </w:rPr>
            </w:pPr>
            <w:r>
              <w:rPr>
                <w:rFonts w:ascii="Arial" w:cs="Arial" w:eastAsia="Arial" w:hAnsi="Arial"/>
                <w:sz w:val="14"/>
                <w:szCs w:val="14"/>
                <w:color w:val="auto"/>
              </w:rPr>
              <w:t>conjunction with WIRmachenDRUCK</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acquisition</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4,900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3,910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8,810</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share units vested,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taxes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(7,469)</w:t>
            </w: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Grant of restricted share awards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3,094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21,368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21,368</w:t>
            </w: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Purchase of ordinary shares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(2,160)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(153,467)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(153,467)</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accretion to redemption value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(4,919)</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Net income attributable to Cimpress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N.V.</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54,349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54,349</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unrealized loss on derivative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62"/>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instruments designated and qualifying</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cash flow hedges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Unrealized gain on marketable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securities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517</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hedges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(9,267)</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Unrealized gain on pension benefit</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obligation, net of tax</w:t>
            </w: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561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561</w:t>
            </w:r>
          </w:p>
        </w:tc>
      </w:tr>
      <w:tr>
        <w:trPr>
          <w:trHeight w:val="25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June 30, 2016</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44,080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(12,544)</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(548,549)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335,192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486,482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(108,015)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165,725</w:t>
            </w:r>
          </w:p>
        </w:tc>
      </w:tr>
      <w:tr>
        <w:trPr>
          <w:trHeight w:val="174"/>
        </w:trPr>
        <w:tc>
          <w:tcPr>
            <w:tcW w:w="2520" w:type="dxa"/>
            <w:vAlign w:val="bottom"/>
          </w:tcPr>
          <w:p>
            <w:pPr>
              <w:ind w:left="40"/>
              <w:spacing w:after="0"/>
              <w:rPr>
                <w:sz w:val="20"/>
                <w:szCs w:val="20"/>
                <w:color w:val="auto"/>
              </w:rPr>
            </w:pPr>
            <w:r>
              <w:rPr>
                <w:rFonts w:ascii="Arial" w:cs="Arial" w:eastAsia="Arial" w:hAnsi="Arial"/>
                <w:sz w:val="14"/>
                <w:szCs w:val="14"/>
                <w:color w:val="auto"/>
              </w:rPr>
              <w:t>Issuance of ordinary shares due to</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2520" w:type="dxa"/>
            <w:vAlign w:val="bottom"/>
          </w:tcPr>
          <w:p>
            <w:pPr>
              <w:ind w:left="40"/>
              <w:spacing w:after="0"/>
              <w:rPr>
                <w:sz w:val="20"/>
                <w:szCs w:val="20"/>
                <w:color w:val="auto"/>
              </w:rPr>
            </w:pPr>
            <w:r>
              <w:rPr>
                <w:rFonts w:ascii="Arial" w:cs="Arial" w:eastAsia="Arial" w:hAnsi="Arial"/>
                <w:sz w:val="14"/>
                <w:szCs w:val="14"/>
                <w:color w:val="auto"/>
              </w:rPr>
              <w:t>share option exercises, net of shares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withheld for taxes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6,949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3,494</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share units vested,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taxes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(7,333)</w:t>
            </w: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43,504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43,504</w:t>
            </w: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ordinary shares</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(50,008)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(50,008)</w:t>
            </w: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Net loss attributable to Cimpress N.V.</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(71,711)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(71,711)</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accretion to redemption value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Reclassification of mandatorily</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redeemable noncontrolling interest</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(3,357)</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unrealized gain on derivative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62"/>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instruments designated and qualifying</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cash flow hedges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Unrealized loss on marketable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securities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(5,756)</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Realized gain on sale of marketable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2,268</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Foreign currency translation,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hedges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(4,161)</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pension benefit</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8"/>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 net of tax</w:t>
            </w: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2,194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2,194</w:t>
            </w:r>
          </w:p>
        </w:tc>
      </w:tr>
      <w:tr>
        <w:trPr>
          <w:trHeight w:val="250"/>
        </w:trPr>
        <w:tc>
          <w:tcPr>
            <w:tcW w:w="2520" w:type="dxa"/>
            <w:vAlign w:val="bottom"/>
          </w:tcPr>
          <w:p>
            <w:pPr>
              <w:ind w:left="40"/>
              <w:spacing w:after="0"/>
              <w:rPr>
                <w:sz w:val="20"/>
                <w:szCs w:val="20"/>
                <w:color w:val="auto"/>
              </w:rPr>
            </w:pPr>
            <w:r>
              <w:rPr>
                <w:rFonts w:ascii="Arial" w:cs="Arial" w:eastAsia="Arial" w:hAnsi="Arial"/>
                <w:sz w:val="14"/>
                <w:szCs w:val="14"/>
                <w:color w:val="auto"/>
              </w:rPr>
              <w:t>Balance at June 30, 2017</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44,080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(12,665)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(588,365)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361,376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414,771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(113,398)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74,999</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18" w:right="2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118"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Pr>
          <w:p>
            <w:pPr>
              <w:spacing w:after="0"/>
              <w:rPr>
                <w:sz w:val="15"/>
                <w:szCs w:val="15"/>
                <w:color w:val="auto"/>
              </w:rPr>
            </w:pPr>
          </w:p>
        </w:tc>
        <w:tc>
          <w:tcPr>
            <w:tcW w:w="1980" w:type="dxa"/>
            <w:vAlign w:val="bottom"/>
            <w:gridSpan w:val="4"/>
          </w:tcPr>
          <w:p>
            <w:pPr>
              <w:ind w:left="460"/>
              <w:spacing w:after="0"/>
              <w:rPr>
                <w:sz w:val="20"/>
                <w:szCs w:val="20"/>
                <w:color w:val="auto"/>
              </w:rPr>
            </w:pPr>
            <w:r>
              <w:rPr>
                <w:rFonts w:ascii="Arial" w:cs="Arial" w:eastAsia="Arial" w:hAnsi="Arial"/>
                <w:sz w:val="13"/>
                <w:szCs w:val="13"/>
                <w:b w:val="1"/>
                <w:bCs w:val="1"/>
                <w:color w:val="auto"/>
              </w:rPr>
              <w:t>Ordinary Shares</w:t>
            </w:r>
          </w:p>
        </w:tc>
        <w:tc>
          <w:tcPr>
            <w:tcW w:w="2220" w:type="dxa"/>
            <w:vAlign w:val="bottom"/>
            <w:gridSpan w:val="5"/>
          </w:tcPr>
          <w:p>
            <w:pPr>
              <w:ind w:left="580"/>
              <w:spacing w:after="0"/>
              <w:rPr>
                <w:sz w:val="20"/>
                <w:szCs w:val="20"/>
                <w:color w:val="auto"/>
              </w:rPr>
            </w:pPr>
            <w:r>
              <w:rPr>
                <w:rFonts w:ascii="Arial" w:cs="Arial" w:eastAsia="Arial" w:hAnsi="Arial"/>
                <w:sz w:val="13"/>
                <w:szCs w:val="13"/>
                <w:b w:val="1"/>
                <w:bCs w:val="1"/>
                <w:color w:val="auto"/>
              </w:rPr>
              <w:t>Treasury Shares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0"/>
        </w:trPr>
        <w:tc>
          <w:tcPr>
            <w:tcW w:w="2520" w:type="dxa"/>
            <w:vAlign w:val="bottom"/>
          </w:tcPr>
          <w:p>
            <w:pPr>
              <w:spacing w:after="0"/>
              <w:rPr>
                <w:sz w:val="12"/>
                <w:szCs w:val="12"/>
                <w:color w:val="auto"/>
              </w:rPr>
            </w:pPr>
          </w:p>
        </w:tc>
        <w:tc>
          <w:tcPr>
            <w:tcW w:w="1160" w:type="dxa"/>
            <w:vAlign w:val="bottom"/>
            <w:tcBorders>
              <w:top w:val="single" w:sz="8" w:color="auto"/>
            </w:tcBorders>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8"/>
              </w:rPr>
              <w:t>Number of</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3"/>
              </w:rPr>
              <w:t>Number</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7"/>
              </w:rPr>
              <w:t>Additional</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2"/>
                <w:szCs w:val="12"/>
                <w:color w:val="auto"/>
              </w:rPr>
            </w:pPr>
          </w:p>
        </w:tc>
        <w:tc>
          <w:tcPr>
            <w:tcW w:w="1000" w:type="dxa"/>
            <w:vAlign w:val="bottom"/>
          </w:tcPr>
          <w:p>
            <w:pPr>
              <w:jc w:val="center"/>
              <w:ind w:right="50"/>
              <w:spacing w:after="0" w:line="140"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5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Shares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of</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00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1"/>
                <w:szCs w:val="11"/>
                <w:color w:val="auto"/>
              </w:rPr>
            </w:pPr>
          </w:p>
        </w:tc>
        <w:tc>
          <w:tcPr>
            <w:tcW w:w="100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6"/>
              </w:rPr>
              <w:t>Shareholders’</w:t>
            </w:r>
          </w:p>
        </w:tc>
      </w:tr>
      <w:tr>
        <w:trPr>
          <w:trHeight w:val="178"/>
        </w:trPr>
        <w:tc>
          <w:tcPr>
            <w:tcW w:w="252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Issued</w:t>
            </w:r>
          </w:p>
        </w:tc>
        <w:tc>
          <w:tcPr>
            <w:tcW w:w="82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Shares</w:t>
            </w: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1000" w:type="dxa"/>
            <w:vAlign w:val="bottom"/>
          </w:tcPr>
          <w:p>
            <w:pPr>
              <w:jc w:val="center"/>
              <w:ind w:right="50"/>
              <w:spacing w:after="0"/>
              <w:rPr>
                <w:sz w:val="20"/>
                <w:szCs w:val="20"/>
                <w:color w:val="auto"/>
              </w:rPr>
            </w:pPr>
            <w:r>
              <w:rPr>
                <w:rFonts w:ascii="Arial" w:cs="Arial" w:eastAsia="Arial" w:hAnsi="Arial"/>
                <w:sz w:val="13"/>
                <w:szCs w:val="13"/>
                <w:b w:val="1"/>
                <w:bCs w:val="1"/>
                <w:color w:val="auto"/>
              </w:rPr>
              <w:t>Equity</w:t>
            </w:r>
          </w:p>
        </w:tc>
      </w:tr>
      <w:tr>
        <w:trPr>
          <w:trHeight w:val="180"/>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Cumulative effect adjustment related</w:t>
            </w: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62"/>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 adoption of income tax standard</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(ASU 2016-16)</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(5,864)</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Issuance of ordinary shares due to</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62"/>
        </w:trPr>
        <w:tc>
          <w:tcPr>
            <w:tcW w:w="2520" w:type="dxa"/>
            <w:vAlign w:val="bottom"/>
          </w:tcPr>
          <w:p>
            <w:pPr>
              <w:ind w:left="40"/>
              <w:spacing w:after="0"/>
              <w:rPr>
                <w:sz w:val="20"/>
                <w:szCs w:val="20"/>
                <w:color w:val="auto"/>
              </w:rPr>
            </w:pPr>
            <w:r>
              <w:rPr>
                <w:rFonts w:ascii="Arial" w:cs="Arial" w:eastAsia="Arial" w:hAnsi="Arial"/>
                <w:sz w:val="14"/>
                <w:szCs w:val="14"/>
                <w:color w:val="auto"/>
              </w:rPr>
              <w:t>share option exercises, net of shares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withheld for taxes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(4,999)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(8,173)</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share units vested,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taxes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w:t>
            </w: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Grant of restricted share awards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44,089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44,089</w:t>
            </w: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Purchase of ordinary shares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(94,710)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(94,710)</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Cimpress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N.V.</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43,733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43,733</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Net unrealized gain on derivative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62"/>
        </w:trPr>
        <w:tc>
          <w:tcPr>
            <w:tcW w:w="2520" w:type="dxa"/>
            <w:vAlign w:val="bottom"/>
          </w:tcPr>
          <w:p>
            <w:pPr>
              <w:ind w:left="40"/>
              <w:spacing w:after="0"/>
              <w:rPr>
                <w:sz w:val="20"/>
                <w:szCs w:val="20"/>
                <w:color w:val="auto"/>
              </w:rPr>
            </w:pPr>
            <w:r>
              <w:rPr>
                <w:rFonts w:ascii="Arial" w:cs="Arial" w:eastAsia="Arial" w:hAnsi="Arial"/>
                <w:sz w:val="14"/>
                <w:szCs w:val="14"/>
                <w:color w:val="auto"/>
              </w:rPr>
              <w:t>instruments designated and qualifying</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as cash flow hedges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51"/>
              <w:spacing w:after="0"/>
              <w:rPr>
                <w:sz w:val="20"/>
                <w:szCs w:val="20"/>
                <w:color w:val="auto"/>
              </w:rPr>
            </w:pPr>
            <w:r>
              <w:rPr>
                <w:rFonts w:ascii="Arial" w:cs="Arial" w:eastAsia="Arial" w:hAnsi="Arial"/>
                <w:sz w:val="14"/>
                <w:szCs w:val="14"/>
                <w:color w:val="auto"/>
              </w:rPr>
              <w:t>10,561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10,561</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net of</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hedges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32,782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32,782</w:t>
            </w:r>
          </w:p>
        </w:tc>
      </w:tr>
      <w:tr>
        <w:trPr>
          <w:trHeight w:val="194"/>
        </w:trPr>
        <w:tc>
          <w:tcPr>
            <w:tcW w:w="2520" w:type="dxa"/>
            <w:vAlign w:val="bottom"/>
          </w:tcPr>
          <w:p>
            <w:pPr>
              <w:ind w:left="40"/>
              <w:spacing w:after="0"/>
              <w:rPr>
                <w:sz w:val="20"/>
                <w:szCs w:val="20"/>
                <w:color w:val="auto"/>
              </w:rPr>
            </w:pPr>
            <w:r>
              <w:rPr>
                <w:rFonts w:ascii="Arial" w:cs="Arial" w:eastAsia="Arial" w:hAnsi="Arial"/>
                <w:sz w:val="14"/>
                <w:szCs w:val="14"/>
                <w:color w:val="auto"/>
              </w:rPr>
              <w:t>Unrealized gain on pension benefit</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obligation, net of tax</w:t>
            </w: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357</w:t>
            </w:r>
          </w:p>
        </w:tc>
      </w:tr>
      <w:tr>
        <w:trPr>
          <w:trHeight w:val="25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June 30, 2018</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44,080</w:t>
            </w:r>
          </w:p>
        </w:tc>
        <w:tc>
          <w:tcPr>
            <w:tcW w:w="1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   615</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(13,206)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(685,577)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395,682</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  452,756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(69,814)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93,662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76"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June 30,</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46,788</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(72,199)</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50,411</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70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169,005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158,400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131,918</w:t>
            </w:r>
          </w:p>
        </w:tc>
      </w:tr>
      <w:tr>
        <w:trPr>
          <w:trHeight w:val="280"/>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of goodwill and acquired intangible assets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30,841</w:t>
            </w:r>
          </w:p>
        </w:tc>
      </w:tr>
      <w:tr>
        <w:trPr>
          <w:trHeight w:val="260"/>
        </w:trPr>
        <w:tc>
          <w:tcPr>
            <w:tcW w:w="7080" w:type="dxa"/>
            <w:vAlign w:val="bottom"/>
          </w:tcPr>
          <w:p>
            <w:pPr>
              <w:ind w:left="280"/>
              <w:spacing w:after="0"/>
              <w:rPr>
                <w:sz w:val="20"/>
                <w:szCs w:val="20"/>
                <w:color w:val="auto"/>
              </w:rPr>
            </w:pPr>
            <w:r>
              <w:rPr>
                <w:rFonts w:ascii="Arial" w:cs="Arial" w:eastAsia="Arial" w:hAnsi="Arial"/>
                <w:sz w:val="16"/>
                <w:szCs w:val="16"/>
                <w:color w:val="auto"/>
              </w:rPr>
              <w:t>Share-based compensation expense</w:t>
            </w:r>
          </w:p>
        </w:tc>
        <w:tc>
          <w:tcPr>
            <w:tcW w:w="3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50,466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48,627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23,772</w:t>
            </w:r>
          </w:p>
        </w:tc>
      </w:tr>
      <w:tr>
        <w:trPr>
          <w:trHeight w:val="280"/>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taxes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(15,922)</w:t>
            </w:r>
          </w:p>
        </w:tc>
      </w:tr>
      <w:tr>
        <w:trPr>
          <w:trHeight w:val="260"/>
        </w:trPr>
        <w:tc>
          <w:tcPr>
            <w:tcW w:w="7080" w:type="dxa"/>
            <w:vAlign w:val="bottom"/>
          </w:tcPr>
          <w:p>
            <w:pPr>
              <w:ind w:left="280"/>
              <w:spacing w:after="0"/>
              <w:rPr>
                <w:sz w:val="20"/>
                <w:szCs w:val="20"/>
                <w:color w:val="auto"/>
              </w:rPr>
            </w:pPr>
            <w:r>
              <w:rPr>
                <w:rFonts w:ascii="Arial" w:cs="Arial" w:eastAsia="Arial" w:hAnsi="Arial"/>
                <w:sz w:val="16"/>
                <w:szCs w:val="16"/>
                <w:color w:val="auto"/>
              </w:rPr>
              <w:t>Abandonment of long-lived assets</w:t>
            </w:r>
          </w:p>
        </w:tc>
        <w:tc>
          <w:tcPr>
            <w:tcW w:w="3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10,979</w:t>
            </w:r>
          </w:p>
        </w:tc>
      </w:tr>
      <w:tr>
        <w:trPr>
          <w:trHeight w:val="280"/>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subsidiaries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7080" w:type="dxa"/>
            <w:vAlign w:val="bottom"/>
          </w:tcPr>
          <w:p>
            <w:pPr>
              <w:ind w:left="280"/>
              <w:spacing w:after="0"/>
              <w:rPr>
                <w:sz w:val="20"/>
                <w:szCs w:val="20"/>
                <w:color w:val="auto"/>
              </w:rPr>
            </w:pPr>
            <w:r>
              <w:rPr>
                <w:rFonts w:ascii="Arial" w:cs="Arial" w:eastAsia="Arial" w:hAnsi="Arial"/>
                <w:sz w:val="16"/>
                <w:szCs w:val="16"/>
                <w:color w:val="auto"/>
              </w:rPr>
              <w:t>Loss on early extinguishment of debt</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17,359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 in contingent earn-out liability</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39,377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080" w:type="dxa"/>
            <w:vAlign w:val="bottom"/>
          </w:tcPr>
          <w:p>
            <w:pPr>
              <w:ind w:left="280"/>
              <w:spacing w:after="0"/>
              <w:rPr>
                <w:sz w:val="20"/>
                <w:szCs w:val="20"/>
                <w:color w:val="auto"/>
              </w:rPr>
            </w:pPr>
            <w:r>
              <w:rPr>
                <w:rFonts w:ascii="Arial" w:cs="Arial" w:eastAsia="Arial" w:hAnsi="Arial"/>
                <w:sz w:val="16"/>
                <w:szCs w:val="16"/>
                <w:color w:val="auto"/>
              </w:rPr>
              <w:t>Gain on sale of available-for-sale securities</w:t>
            </w:r>
          </w:p>
        </w:tc>
        <w:tc>
          <w:tcPr>
            <w:tcW w:w="3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(gain) loss on derivatives not designated as hedging instruments included in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4"/>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(loss)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(8,163)</w:t>
            </w:r>
          </w:p>
        </w:tc>
      </w:tr>
      <w:tr>
        <w:trPr>
          <w:trHeight w:val="260"/>
        </w:trPr>
        <w:tc>
          <w:tcPr>
            <w:tcW w:w="7080" w:type="dxa"/>
            <w:vAlign w:val="bottom"/>
          </w:tcPr>
          <w:p>
            <w:pPr>
              <w:ind w:left="280"/>
              <w:spacing w:after="0"/>
              <w:rPr>
                <w:sz w:val="20"/>
                <w:szCs w:val="20"/>
                <w:color w:val="auto"/>
              </w:rPr>
            </w:pPr>
            <w:r>
              <w:rPr>
                <w:rFonts w:ascii="Arial" w:cs="Arial" w:eastAsia="Arial" w:hAnsi="Arial"/>
                <w:sz w:val="16"/>
                <w:szCs w:val="16"/>
                <w:color w:val="auto"/>
              </w:rPr>
              <w:t>Payments of contingent consideration in excess of acquisition date fair value</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(8,613)</w:t>
            </w:r>
          </w:p>
        </w:tc>
      </w:tr>
      <w:tr>
        <w:trPr>
          <w:trHeight w:val="228"/>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Effect of exchange rate changes on monetary assets and liabilities denominated in non-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4"/>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functional currency</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(9,199)</w:t>
            </w:r>
          </w:p>
        </w:tc>
      </w:tr>
      <w:tr>
        <w:trPr>
          <w:trHeight w:val="260"/>
        </w:trPr>
        <w:tc>
          <w:tcPr>
            <w:tcW w:w="7080" w:type="dxa"/>
            <w:vAlign w:val="bottom"/>
          </w:tcPr>
          <w:p>
            <w:pPr>
              <w:ind w:left="280"/>
              <w:spacing w:after="0"/>
              <w:rPr>
                <w:sz w:val="20"/>
                <w:szCs w:val="20"/>
                <w:color w:val="auto"/>
              </w:rPr>
            </w:pPr>
            <w:r>
              <w:rPr>
                <w:rFonts w:ascii="Arial" w:cs="Arial" w:eastAsia="Arial" w:hAnsi="Arial"/>
                <w:sz w:val="16"/>
                <w:szCs w:val="16"/>
                <w:color w:val="auto"/>
              </w:rPr>
              <w:t>Other non-cash items</w:t>
            </w:r>
          </w:p>
        </w:tc>
        <w:tc>
          <w:tcPr>
            <w:tcW w:w="3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4,668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5,784</w:t>
            </w:r>
          </w:p>
        </w:tc>
      </w:tr>
      <w:tr>
        <w:trPr>
          <w:trHeight w:val="280"/>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proceeds from insurance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w:t>
            </w:r>
          </w:p>
        </w:tc>
      </w:tr>
      <w:tr>
        <w:trPr>
          <w:trHeight w:val="260"/>
        </w:trPr>
        <w:tc>
          <w:tcPr>
            <w:tcW w:w="708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7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6,766</w:t>
            </w:r>
          </w:p>
        </w:tc>
      </w:tr>
      <w:tr>
        <w:trPr>
          <w:trHeight w:val="260"/>
        </w:trPr>
        <w:tc>
          <w:tcPr>
            <w:tcW w:w="7080" w:type="dxa"/>
            <w:vAlign w:val="bottom"/>
          </w:tcPr>
          <w:p>
            <w:pPr>
              <w:ind w:left="60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0"/>
        </w:trPr>
        <w:tc>
          <w:tcPr>
            <w:tcW w:w="7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(7,668)</w:t>
            </w:r>
          </w:p>
        </w:tc>
      </w:tr>
      <w:tr>
        <w:trPr>
          <w:trHeight w:val="260"/>
        </w:trPr>
        <w:tc>
          <w:tcPr>
            <w:tcW w:w="708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21,782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25,332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25,670</w:t>
            </w:r>
          </w:p>
        </w:tc>
      </w:tr>
      <w:tr>
        <w:trPr>
          <w:trHeight w:val="273"/>
        </w:trPr>
        <w:tc>
          <w:tcPr>
            <w:tcW w:w="7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(42,544)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13,929</w:t>
            </w: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192,332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156,736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247,358</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(60,930)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(74,157)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(80,435)</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the sale of subsidiaries, net of transaction costs and cash divested</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93,779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Business acquisitions, net of cash acquired</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(204,875)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(164,412)</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intangible assets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Capitalization of software and website development costs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(40,847)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(37,307)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(26,324)</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the sale of assets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Proceeds from insurance related to investing activities</w:t>
            </w:r>
          </w:p>
        </w:tc>
        <w:tc>
          <w:tcPr>
            <w:tcW w:w="3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3,624</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available-for-sale securities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6,346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investing activities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2,485</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(301,789)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(265,538)</w:t>
            </w:r>
          </w:p>
        </w:tc>
      </w:tr>
      <w:tr>
        <w:trPr>
          <w:trHeight w:val="254"/>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borrowings of debt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805,995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737,075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598,008</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Proceeds from issuance of senior notes</w:t>
            </w:r>
          </w:p>
        </w:tc>
        <w:tc>
          <w:tcPr>
            <w:tcW w:w="3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debt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(974,781)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(430,622)</w:t>
            </w:r>
          </w:p>
        </w:tc>
      </w:tr>
      <w:tr>
        <w:trPr>
          <w:trHeight w:val="233"/>
        </w:trPr>
        <w:tc>
          <w:tcPr>
            <w:tcW w:w="7080" w:type="dxa"/>
            <w:vAlign w:val="bottom"/>
          </w:tcPr>
          <w:p>
            <w:pPr>
              <w:ind w:left="40"/>
              <w:spacing w:after="0"/>
              <w:rPr>
                <w:sz w:val="20"/>
                <w:szCs w:val="20"/>
                <w:color w:val="auto"/>
              </w:rPr>
            </w:pPr>
            <w:r>
              <w:rPr>
                <w:rFonts w:ascii="Arial" w:cs="Arial" w:eastAsia="Arial" w:hAnsi="Arial"/>
                <w:sz w:val="16"/>
                <w:szCs w:val="16"/>
                <w:color w:val="auto"/>
              </w:rPr>
              <w:t>Payments for early redemption of senior notes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early redemption fees for senior notes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Payments of debt issuance costs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70"/>
        </w:trPr>
        <w:tc>
          <w:tcPr>
            <w:tcW w:w="7080" w:type="dxa"/>
            <w:vAlign w:val="bottom"/>
          </w:tcPr>
          <w:p>
            <w:pPr>
              <w:ind w:left="40"/>
              <w:spacing w:after="0"/>
              <w:rPr>
                <w:sz w:val="20"/>
                <w:szCs w:val="20"/>
                <w:color w:val="auto"/>
              </w:rPr>
            </w:pPr>
            <w:r>
              <w:rPr>
                <w:rFonts w:ascii="Arial" w:cs="Arial" w:eastAsia="Arial" w:hAnsi="Arial"/>
                <w:sz w:val="16"/>
                <w:szCs w:val="16"/>
                <w:color w:val="auto"/>
              </w:rPr>
              <w:t>Payments of purchase consideration included in acquisition-date fair value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360"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360"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June 30,</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9"/>
        </w:trPr>
        <w:tc>
          <w:tcPr>
            <w:tcW w:w="70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8"/>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 (continued)</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Payments of withholding taxes in connection with equity awards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(14,568)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(7,467)</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capital lease obligations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(13,933)</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Purchase of ordinary shares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(94,710)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(153,467)</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 interests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Proceeds from issuance of ordinary shares</w:t>
            </w:r>
          </w:p>
        </w:tc>
        <w:tc>
          <w:tcPr>
            <w:tcW w:w="3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11,981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4,705</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loans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Proceeds from sale of noncontrolling interest</w:t>
            </w:r>
          </w:p>
        </w:tc>
        <w:tc>
          <w:tcPr>
            <w:tcW w:w="3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35,390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contribution from noncontrolling interest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5,141</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financing activities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(177,757)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104,578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(5,338)</w:t>
            </w:r>
          </w:p>
        </w:tc>
      </w:tr>
      <w:tr>
        <w:trPr>
          <w:trHeight w:val="247"/>
        </w:trPr>
        <w:tc>
          <w:tcPr>
            <w:tcW w:w="70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(2,640)</w:t>
            </w:r>
          </w:p>
        </w:tc>
      </w:tr>
      <w:tr>
        <w:trPr>
          <w:trHeight w:val="27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cash held for sale</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12,042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708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18,530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(26,158)</w:t>
            </w:r>
          </w:p>
        </w:tc>
      </w:tr>
      <w:tr>
        <w:trPr>
          <w:trHeight w:val="27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25,697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77,426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103,584</w:t>
            </w:r>
          </w:p>
        </w:tc>
      </w:tr>
      <w:tr>
        <w:trPr>
          <w:trHeight w:val="240"/>
        </w:trPr>
        <w:tc>
          <w:tcPr>
            <w:tcW w:w="708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44,227</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25,697</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77,426</w:t>
            </w:r>
          </w:p>
        </w:tc>
      </w:tr>
      <w:tr>
        <w:trPr>
          <w:trHeight w:val="20"/>
        </w:trPr>
        <w:tc>
          <w:tcPr>
            <w:tcW w:w="7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19"/>
        </w:trPr>
        <w:tc>
          <w:tcPr>
            <w:tcW w:w="7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Interest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56,614</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37,623</w:t>
            </w:r>
          </w:p>
        </w:tc>
      </w:tr>
      <w:tr>
        <w:trPr>
          <w:trHeight w:val="260"/>
        </w:trPr>
        <w:tc>
          <w:tcPr>
            <w:tcW w:w="708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3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32,278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49,342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19,750</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Capitalization of construction costs related to financing lease obligation</w:t>
            </w:r>
          </w:p>
        </w:tc>
        <w:tc>
          <w:tcPr>
            <w:tcW w:w="3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19,264</w:t>
            </w:r>
          </w:p>
        </w:tc>
      </w:tr>
      <w:tr>
        <w:trPr>
          <w:trHeight w:val="26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Property and equipment acquired under capital leases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7,535</w:t>
            </w:r>
          </w:p>
        </w:tc>
      </w:tr>
      <w:tr>
        <w:trPr>
          <w:trHeight w:val="251"/>
        </w:trPr>
        <w:tc>
          <w:tcPr>
            <w:tcW w:w="7080" w:type="dxa"/>
            <w:vAlign w:val="bottom"/>
          </w:tcPr>
          <w:p>
            <w:pPr>
              <w:ind w:left="40"/>
              <w:spacing w:after="0"/>
              <w:rPr>
                <w:sz w:val="20"/>
                <w:szCs w:val="20"/>
                <w:color w:val="auto"/>
              </w:rPr>
            </w:pPr>
            <w:r>
              <w:rPr>
                <w:rFonts w:ascii="Arial" w:cs="Arial" w:eastAsia="Arial" w:hAnsi="Arial"/>
                <w:sz w:val="16"/>
                <w:szCs w:val="16"/>
                <w:color w:val="auto"/>
              </w:rPr>
              <w:t>Amounts accrued related to business acquisitions</w:t>
            </w:r>
          </w:p>
        </w:tc>
        <w:tc>
          <w:tcPr>
            <w:tcW w:w="34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46,124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5,868</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0" w:right="23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June 30, 2018, 2017 and 2016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Cimpress is a strategically-focused group of more than a dozen businesses that specialize in mass customization, via which we deliver large volumes of individually small-sized customized orders for a broad spectrum of print, signage, photo merchandise, invitations and announcements, packaging, apparel and other categories. We invest in and build customer-focused, entrepreneurial mass customization businesses for the long term, which we manage in a decentralized, autonomous manner. Mass customization is a core element of the business model of each Cimpress business.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239" w:lineRule="exact"/>
        <w:rPr>
          <w:sz w:val="20"/>
          <w:szCs w:val="20"/>
          <w:color w:val="auto"/>
        </w:rPr>
      </w:pPr>
    </w:p>
    <w:p>
      <w:pPr>
        <w:ind w:right="7400" w:firstLine="8"/>
        <w:spacing w:after="0" w:line="498" w:lineRule="auto"/>
        <w:tabs>
          <w:tab w:leader="none" w:pos="2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20" w:firstLine="648"/>
        <w:spacing w:after="0" w:line="253" w:lineRule="auto"/>
        <w:rPr>
          <w:sz w:val="20"/>
          <w:szCs w:val="20"/>
          <w:color w:val="auto"/>
        </w:rPr>
      </w:pPr>
      <w:r>
        <w:rPr>
          <w:rFonts w:ascii="Arial" w:cs="Arial" w:eastAsia="Arial" w:hAnsi="Arial"/>
          <w:sz w:val="18"/>
          <w:szCs w:val="18"/>
          <w:color w:val="auto"/>
        </w:rPr>
        <w:t>The consolidated financial statements include the accounts of Cimpress N.V.,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the related equity securities do not have a readily determinable fair value, are accounted for using the cost method and are included in other assets on the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0" w:lineRule="exact"/>
        <w:rPr>
          <w:sz w:val="20"/>
          <w:szCs w:val="20"/>
          <w:color w:val="auto"/>
        </w:rPr>
      </w:pPr>
    </w:p>
    <w:p>
      <w:pPr>
        <w:ind w:right="140" w:firstLine="662"/>
        <w:spacing w:after="0" w:line="254"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the equivalent of cash for the purpose of balance sheet and statement of cash flows presentation. Cash equivalents consist of depository accounts and money market funds. Cash and cash equivalents restricted for use were $90 and $520 as of June 30, 2018 and 2017, respectively, and are included in other assets in the accompanying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determine the appropriate classification of marketable securities at the date of purchase and reevaluate the classification at each balance sheet date. Our marketable securities are classified as "available-for-sale" and carried at fair value, with the unrealized gains and losses, net of taxes if applicable, reported as a separate component of accumulated other comprehensive loss. On December 22, 2016, we sold all of our Plaza Create Co. Ltd. common shares, which were classified as held for sale. We recognized a net gain of $2,268 as part of other (expense) income, net on our statement of operations for the year ended June 30, 2017. We did not sell marketable securities during the years ended June 30, 2018 or 2016.</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360"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Accounts Receivable</w:t>
      </w:r>
    </w:p>
    <w:p>
      <w:pPr>
        <w:spacing w:after="0" w:line="220" w:lineRule="exact"/>
        <w:rPr>
          <w:sz w:val="20"/>
          <w:szCs w:val="20"/>
          <w:color w:val="auto"/>
        </w:rPr>
      </w:pPr>
    </w:p>
    <w:p>
      <w:pPr>
        <w:jc w:val="both"/>
        <w:ind w:right="80" w:firstLine="662"/>
        <w:spacing w:after="0" w:line="256" w:lineRule="auto"/>
        <w:rPr>
          <w:sz w:val="20"/>
          <w:szCs w:val="20"/>
          <w:color w:val="auto"/>
        </w:rPr>
      </w:pPr>
      <w:r>
        <w:rPr>
          <w:rFonts w:ascii="Arial" w:cs="Arial" w:eastAsia="Arial" w:hAnsi="Arial"/>
          <w:sz w:val="18"/>
          <w:szCs w:val="18"/>
          <w:color w:val="auto"/>
        </w:rPr>
        <w:t>Accounts receivable includes amounts due from customers. We offset gross trade accounts receivable with an allowance for doubtful accounts, which is our best estimate of the amount of probable credit losses in existing accounts receivable. Account balances are charged off against the allowance when the potential for recovery is no longer reasonably assured.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0" w:lineRule="exact"/>
        <w:rPr>
          <w:sz w:val="20"/>
          <w:szCs w:val="20"/>
          <w:color w:val="auto"/>
        </w:rPr>
      </w:pPr>
    </w:p>
    <w:p>
      <w:pPr>
        <w:ind w:right="380" w:firstLine="662"/>
        <w:spacing w:after="0" w:line="262" w:lineRule="auto"/>
        <w:rPr>
          <w:sz w:val="20"/>
          <w:szCs w:val="20"/>
          <w:color w:val="auto"/>
        </w:rPr>
      </w:pPr>
      <w:r>
        <w:rPr>
          <w:rFonts w:ascii="Arial" w:cs="Arial" w:eastAsia="Arial" w:hAnsi="Arial"/>
          <w:sz w:val="18"/>
          <w:szCs w:val="18"/>
          <w:color w:val="auto"/>
        </w:rPr>
        <w:t>Inventories consist primarily of raw materials and are recorded at the lower of cost or net realizable value using the first-in, first-out method. Costs to produce free products are included in cost of revenues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0" w:lineRule="exact"/>
        <w:rPr>
          <w:sz w:val="20"/>
          <w:szCs w:val="20"/>
          <w:color w:val="auto"/>
        </w:rPr>
      </w:pPr>
    </w:p>
    <w:p>
      <w:pPr>
        <w:ind w:right="160" w:firstLine="662"/>
        <w:spacing w:after="0" w:line="253" w:lineRule="auto"/>
        <w:rPr>
          <w:sz w:val="20"/>
          <w:szCs w:val="20"/>
          <w:color w:val="auto"/>
        </w:rPr>
      </w:pPr>
      <w:r>
        <w:rPr>
          <w:rFonts w:ascii="Arial" w:cs="Arial" w:eastAsia="Arial" w:hAnsi="Arial"/>
          <w:sz w:val="18"/>
          <w:szCs w:val="18"/>
          <w:color w:val="auto"/>
        </w:rPr>
        <w:t>Property, plant and equipment are stated at cost less accumulated depreciation and amortization. Additions and improvements that substantially extend the useful life of a particular asset are capitalized while repairs and maintenance costs are expensed as incurred. Assets that qualify for the capitalization of interest cost during their construction period are evaluated on a per project basis and, if material, the costs are capitalized. No interest costs associated with our construction projects were capitalized in fiscal 2018 or 2017 as the amounts were not material. Depreciation of plant and equipment is recorded on a straight-line basis over the estimated useful lives of the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Web Site Development Costs</w:t>
      </w:r>
    </w:p>
    <w:p>
      <w:pPr>
        <w:spacing w:after="0" w:line="220" w:lineRule="exact"/>
        <w:rPr>
          <w:sz w:val="20"/>
          <w:szCs w:val="20"/>
          <w:color w:val="auto"/>
        </w:rPr>
      </w:pPr>
    </w:p>
    <w:p>
      <w:pPr>
        <w:ind w:firstLine="662"/>
        <w:spacing w:after="0" w:line="252" w:lineRule="auto"/>
        <w:rPr>
          <w:sz w:val="20"/>
          <w:szCs w:val="20"/>
          <w:color w:val="auto"/>
        </w:rPr>
      </w:pPr>
      <w:r>
        <w:rPr>
          <w:rFonts w:ascii="Arial" w:cs="Arial" w:eastAsia="Arial" w:hAnsi="Arial"/>
          <w:sz w:val="18"/>
          <w:szCs w:val="18"/>
          <w:color w:val="auto"/>
        </w:rPr>
        <w:t>We capitalize eligible salaries and payroll-related costs of employees who devote time to the development of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generally over a three year period. Costs associated with preliminary stage software development, repair, maintenance or the development of website content are expensed as incurred.</w:t>
      </w:r>
    </w:p>
    <w:p>
      <w:pPr>
        <w:spacing w:after="0" w:line="182" w:lineRule="exact"/>
        <w:rPr>
          <w:sz w:val="20"/>
          <w:szCs w:val="20"/>
          <w:color w:val="auto"/>
        </w:rPr>
      </w:pPr>
    </w:p>
    <w:p>
      <w:pPr>
        <w:ind w:right="80" w:firstLine="662"/>
        <w:spacing w:after="0" w:line="262" w:lineRule="auto"/>
        <w:rPr>
          <w:sz w:val="20"/>
          <w:szCs w:val="20"/>
          <w:color w:val="auto"/>
        </w:rPr>
      </w:pPr>
      <w:r>
        <w:rPr>
          <w:rFonts w:ascii="Arial" w:cs="Arial" w:eastAsia="Arial" w:hAnsi="Arial"/>
          <w:sz w:val="18"/>
          <w:szCs w:val="18"/>
          <w:color w:val="auto"/>
        </w:rPr>
        <w:t>Amortization of previously capitalized amounts in the years ended June 30, 2018, 2017 and 2016 was $31,332, $24,571 and $14,355, respectively, resulting in accumulated amortization of $84,279 and $59,554 at June 30, 2018 and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0" w:lineRule="exact"/>
        <w:rPr>
          <w:sz w:val="20"/>
          <w:szCs w:val="20"/>
          <w:color w:val="auto"/>
        </w:rPr>
      </w:pPr>
    </w:p>
    <w:p>
      <w:pPr>
        <w:ind w:right="40" w:firstLine="540"/>
        <w:spacing w:after="0" w:line="254" w:lineRule="auto"/>
        <w:rPr>
          <w:sz w:val="20"/>
          <w:szCs w:val="20"/>
          <w:color w:val="auto"/>
        </w:rPr>
      </w:pPr>
      <w:r>
        <w:rPr>
          <w:rFonts w:ascii="Arial" w:cs="Arial" w:eastAsia="Arial" w:hAnsi="Arial"/>
          <w:sz w:val="18"/>
          <w:szCs w:val="18"/>
          <w:color w:val="auto"/>
        </w:rPr>
        <w:t>We categorize leases at their inception as either operating or capital leases. Costs for operating leases that include incentives such as payment escalations or rent abatements are recognized on a straight-line basis over the term of the lease. Additionally, inducements received are treated as a reduction of our costs over the term of the agreement. Leasehold improvements are capitalized at cost and amortized over the shorter of their expected useful life or the life of the lease, excluding renewal periods.</w:t>
      </w:r>
    </w:p>
    <w:p>
      <w:pPr>
        <w:spacing w:after="0" w:line="177" w:lineRule="exact"/>
        <w:rPr>
          <w:sz w:val="20"/>
          <w:szCs w:val="20"/>
          <w:color w:val="auto"/>
        </w:rPr>
      </w:pPr>
    </w:p>
    <w:p>
      <w:pPr>
        <w:ind w:right="320" w:firstLine="540"/>
        <w:spacing w:after="0" w:line="254" w:lineRule="auto"/>
        <w:rPr>
          <w:sz w:val="20"/>
          <w:szCs w:val="20"/>
          <w:color w:val="auto"/>
        </w:rPr>
      </w:pPr>
      <w:r>
        <w:rPr>
          <w:rFonts w:ascii="Arial" w:cs="Arial" w:eastAsia="Arial" w:hAnsi="Arial"/>
          <w:sz w:val="18"/>
          <w:szCs w:val="18"/>
          <w:color w:val="auto"/>
        </w:rPr>
        <w:t>Capital leases are accounted for as an acquisition of an asset and incurrence of an obligation. Assets held under capital leases are recorded at the lower of the present value of the minimum lease payments or the fair value of the leased asset at the inception of the lease, and amortized over the useful life of the asset. The corresponding capital lease obligation is recorded at the present value of the minimum lease payments at inception of the lease.</w:t>
      </w:r>
    </w:p>
    <w:p>
      <w:pPr>
        <w:spacing w:after="0" w:line="177" w:lineRule="exact"/>
        <w:rPr>
          <w:sz w:val="20"/>
          <w:szCs w:val="20"/>
          <w:color w:val="auto"/>
        </w:rPr>
      </w:pPr>
    </w:p>
    <w:p>
      <w:pPr>
        <w:ind w:right="20" w:firstLine="540"/>
        <w:spacing w:after="0" w:line="252" w:lineRule="auto"/>
        <w:rPr>
          <w:sz w:val="20"/>
          <w:szCs w:val="20"/>
          <w:color w:val="auto"/>
        </w:rPr>
      </w:pPr>
      <w:r>
        <w:rPr>
          <w:rFonts w:ascii="Arial" w:cs="Arial" w:eastAsia="Arial" w:hAnsi="Arial"/>
          <w:sz w:val="18"/>
          <w:szCs w:val="18"/>
          <w:color w:val="auto"/>
        </w:rPr>
        <w:t>For lease arrangements where we are deemed to be involved in the construction of structural improvements prior to the commencement of the lease or take some level of construction risk, we are considered the owner of the assets during the construction period. Accordingly, as the lessor incurs the construction project costs, the assets and corresponding financial obligation are recorded in our consolidated balance sheet. Once the construction is completed, if the lease meets certain “sale-leaseback” criteria, we will remove the asset and related financial obligation from the balance sheet and treat the building lease as either an operating or capital lease based on our assessment of the guidance. If, upon completion of construction, the project does not meet the “sale-leaseback” criteria, the lease will be treated as a financing obligation and we will depreciate the asset over its estimated useful life for financial reporting purposes.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49"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Insurance Recoveries</w:t>
      </w:r>
    </w:p>
    <w:p>
      <w:pPr>
        <w:spacing w:after="0" w:line="22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Insurance proceeds related to incurred losses are recognized when recovery is probable, while business interruption recoveries follow the gain contingency model and are recognized when realized or realizable and earned. During the years ended June 30, 2018, 2017 and 2016, we received insurance proceeds of $327, $829 and $11,943, respectively, which were used to offset any incurred losses, relating to the write-off of the net book value of damaged machinery, equipment and inventory and property-related cleanup costs, as well as claim preparation costs. We also recognized net gains within other (expense) income, net of $675, $807 and $3,947, respectively, which includes the recovery of business interruption lost profits and the recovery of the replacement value of damaged machinery and equipment in excess of carrying value. As of June 30, 2018, all of these claims are closed.</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0" w:lineRule="exact"/>
        <w:rPr>
          <w:sz w:val="20"/>
          <w:szCs w:val="20"/>
          <w:color w:val="auto"/>
        </w:rPr>
      </w:pPr>
    </w:p>
    <w:p>
      <w:pPr>
        <w:ind w:firstLine="662"/>
        <w:spacing w:after="0" w:line="256" w:lineRule="auto"/>
        <w:rPr>
          <w:sz w:val="20"/>
          <w:szCs w:val="20"/>
          <w:color w:val="auto"/>
        </w:rPr>
      </w:pPr>
      <w:r>
        <w:rPr>
          <w:rFonts w:ascii="Arial" w:cs="Arial" w:eastAsia="Arial" w:hAnsi="Arial"/>
          <w:sz w:val="18"/>
          <w:szCs w:val="18"/>
          <w:color w:val="auto"/>
        </w:rPr>
        <w:t>We capitalize the costs of purchasing patents from unrelated third parties and amortize these costs over the estimated useful life of the patent. The costs related to patent applications, pursuing others who we believe infringe on our patents, and defending against patent-infringement claims are expensed as incurred.</w:t>
      </w:r>
    </w:p>
    <w:p>
      <w:pPr>
        <w:spacing w:after="0" w:line="215" w:lineRule="exact"/>
        <w:rPr>
          <w:sz w:val="20"/>
          <w:szCs w:val="20"/>
          <w:color w:val="auto"/>
        </w:rPr>
      </w:pPr>
    </w:p>
    <w:p>
      <w:pPr>
        <w:ind w:right="40" w:firstLine="662"/>
        <w:spacing w:after="0" w:line="251" w:lineRule="auto"/>
        <w:rPr>
          <w:sz w:val="20"/>
          <w:szCs w:val="20"/>
          <w:color w:val="auto"/>
        </w:rPr>
      </w:pPr>
      <w:r>
        <w:rPr>
          <w:rFonts w:ascii="Arial" w:cs="Arial" w:eastAsia="Arial" w:hAnsi="Arial"/>
          <w:sz w:val="18"/>
          <w:szCs w:val="18"/>
          <w:color w:val="auto"/>
        </w:rPr>
        <w:t>We record acquired intangible assets at fair value on the date of acquisition using the income approach to value the trade names, customer relationships and customer network and a replacement cost approach to value developed technology and our print network. The income approach calculates fair value by discounting the forecasted after-tax cash flows back to a present value using an appropriate discount rate. The baseline data for this analysis was the cash flow estimates used to price the transaction. We amortize such assets using the straight-line method over the expected useful life of the asset, unless another amortization method is deemed to be more appropriate. In estimating the useful life of the acquired assets, we reviewed the expected use of the assets acquired, factors that may limit the useful life of an acquired asset or may enable the extension of the useful life of an acquired asset without substantial cost, the effects of obsolescence, demand, competition and other economic factors, and the level of maintenance expenditures required to obtain the expected future cash flows from the asset.</w:t>
      </w:r>
    </w:p>
    <w:p>
      <w:pPr>
        <w:spacing w:after="0" w:line="186" w:lineRule="exact"/>
        <w:rPr>
          <w:sz w:val="20"/>
          <w:szCs w:val="20"/>
          <w:color w:val="auto"/>
        </w:rPr>
      </w:pPr>
    </w:p>
    <w:p>
      <w:pPr>
        <w:ind w:right="100" w:firstLine="662"/>
        <w:spacing w:after="0" w:line="256" w:lineRule="auto"/>
        <w:rPr>
          <w:sz w:val="20"/>
          <w:szCs w:val="20"/>
          <w:color w:val="auto"/>
        </w:rPr>
      </w:pPr>
      <w:r>
        <w:rPr>
          <w:rFonts w:ascii="Arial" w:cs="Arial" w:eastAsia="Arial" w:hAnsi="Arial"/>
          <w:sz w:val="18"/>
          <w:szCs w:val="18"/>
          <w:color w:val="auto"/>
        </w:rPr>
        <w:t>We evaluate the remaining useful life of intangible assets on a periodic basis to determine whether events and circumstances warrant a revision to the remaining useful life. If the estimate of an intangible asset’s remaining useful life is changed, we amortize the remaining carrying value of the intangible asset prospectively over the revised remaining useful life.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Long-lived assets with a finite life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During the year ended June 30, 2017, we recognized a partial impairment charge for the acquired intangible assets of our Tradeprint reporting unit of $3,211. Refer to Note 8 for additional information. We recognized no impairment charges for acquired intangible assets in the other periods presented.</w:t>
      </w:r>
    </w:p>
    <w:p>
      <w:pPr>
        <w:spacing w:after="0" w:line="18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During the years ended June 30, 2017 and 2016 we committed to plans to abandon certain manufacturing equipment and recognized losses of $2,408 and $10,979, respectively. The related loss during the year ended June 30, 2017 was recognized in cost of revenue, technology and development expense, and restructuring expense for $1,119, $678, and $611, respectively, while the entire loss for the previous year was allocated to cost of revenue. We did not recognize any abandonment charges during the fiscal year ended June 30,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recognize the assets acquired and liabilities assumed in business combinations on the basis of their fair values at the date of acquisition. We assess the fair value of assets, including intangible assets, using a variety of methods and each asset is measured at fair value from the perspective of a market participant. The method used to estimate the fair values of intangible assets incorporates significant assumptions regarding the estimates a market participant would make in order to evaluate an asset, including a market participant’s use of the asset and the appropriate discount rates. Assets acquired that are determined to not have economic use for us are expensed immediately. Any excess purchase price over the fair value of the net tangible and intangible assets acquired is</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549"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allocated to goodwill. Transaction costs and restructuring costs associated with a business combination are expensed as incurred.</w:t>
      </w:r>
    </w:p>
    <w:p>
      <w:pPr>
        <w:spacing w:after="0" w:line="198"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consideration for our acquisitions often includes future payments that are contingent upon the occurrence of a particular event. For acquisitions that qualify as business combinations, we record an obligation for such contingent payments at fair value on the acquisition date. We estimate the fair value of contingent consideration obligations through valuation models that incorporate probability adjusted assumptions related to the achievement of the milestones and thus likelihood of making related payments or by using a Monte Carlo simulation model. We revalue these contingent consideration obligations each reporting period. Changes in the fair value of our contingent consideration obligations are recognized within general and administrative expense in our consolidated statements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7" w:lineRule="exact"/>
        <w:rPr>
          <w:sz w:val="20"/>
          <w:szCs w:val="20"/>
          <w:color w:val="auto"/>
        </w:rPr>
      </w:pPr>
    </w:p>
    <w:p>
      <w:pPr>
        <w:ind w:right="120" w:firstLine="662"/>
        <w:spacing w:after="0" w:line="252" w:lineRule="auto"/>
        <w:rPr>
          <w:sz w:val="20"/>
          <w:szCs w:val="20"/>
          <w:color w:val="auto"/>
        </w:rPr>
      </w:pPr>
      <w:r>
        <w:rPr>
          <w:rFonts w:ascii="Arial" w:cs="Arial" w:eastAsia="Arial" w:hAnsi="Arial"/>
          <w:sz w:val="18"/>
          <w:szCs w:val="18"/>
          <w:color w:val="auto"/>
        </w:rPr>
        <w:t>The evaluation of goodwill for impairment is performed at a level referred to as a reporting unit. A reporting unit is either the “operating segment level” or one level below, which is referred to as a “component.” The level at which the impairment test is performed requires an assessment as to whether the operations below the operating segment should be aggregated as one reporting unit due to their similarity or reviewed individually. Goodwill is evaluated for impairment on an annual basis or more frequently when an event occurs or circumstances change that indicate that the carrying value may not be recoverable. Goodwill is considered to be impaired when the carrying amount of a reporting unit exceeds its estimated fair value.</w:t>
      </w:r>
    </w:p>
    <w:p>
      <w:pPr>
        <w:spacing w:after="0" w:line="209"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have the option to first assess qualitative factors to determine whether it is more likely than not that the fair value of a reporting unit is less than its carrying value. If the results of this analysis indicate that the fair value of a reporting unit is less than its carrying value, the quantitative impairment test is required; otherwise, no further assessment is necessary. To perform the quantitative approach, we estimate the fair value of our reporting units using a discounted cash flow methodology. If the carrying value of the net assets assigned to the reporting unit exceeds the fair value of the reporting unit, then a second step of the impairment test is performed in order to determine the implied fair value of our reporting unit’s goodwill. If the carrying value of a reporting unit’s goodwill exceeds its implied fair value, then we record an impairment loss equal to the difference. Refer to Note 8 for additional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Expenses associated with the issuance of debt instruments are capitalized and are amortized over the terms of the respective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financing arrangement on a straight-line basis through the maturity date of the related debt instrument. During the years ended June 30,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2017, we capitalized debt issuance costs related to the refinancing of our senior secured credit facility and senior unsecured notes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$11,666 and $229, respectively. Amortization expense and the write-off of costs related to debt modifications are included in interest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 the consolidated statements of operations and amounted to $1,821, $1,578, and $1,588, for the years ended June 30, 2018, 2017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2016, respectively. During the year ended June 30, 2018, we also expensed $2,921 of unamortized costs related to the extinguishment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 which has been presented separately in the consolidated statements of operations as part of loss on early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extinguishment of debt. Refer to Note 10 for additional information.</w:t>
      </w:r>
    </w:p>
    <w:p>
      <w:pPr>
        <w:spacing w:after="0" w:line="22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Unamortized debt issuance costs were $12,585 and $5,661 as of June 30, 2018 and 2017, respectively. When we make changes to our financing arrangements, we re-evaluate the capitalization of these costs which could result in the immediate recognition of any unamortized debt issuance costs in our statement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record all derivatives on the consolidated balance sheet at fair value. We apply hedge accounting to arrangements that qualify and are designated for hedge accounting treatment, which includes cash flow and net investment hedges. Hedge accounting is discontinued prospectively if the hedging relationship ceases to be effective or the hedging or hedged items cease to exist as a result of maturity, sale, termination or cancellation.</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Derivatives designated and qualifying as hedges of the exposure to variability in expected future cash flows, or other types of forecasted transactions, are considered cash flow hedges which could include interest rate swap contracts and cross-currency swap contracts. In a cash flow hedging relationship, the effective portion of the change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71" w:right="239" w:bottom="1440" w:gutter="0" w:footer="0" w:header="0"/>
        </w:sectPr>
      </w:pPr>
    </w:p>
    <w:bookmarkStart w:id="66" w:name="page67"/>
    <w:bookmarkEnd w:id="66"/>
    <w:p>
      <w:pPr>
        <w:jc w:val="both"/>
        <w:spacing w:after="0" w:line="254" w:lineRule="auto"/>
        <w:rPr>
          <w:sz w:val="20"/>
          <w:szCs w:val="20"/>
          <w:color w:val="auto"/>
        </w:rPr>
      </w:pPr>
      <w:r>
        <w:rPr>
          <w:rFonts w:ascii="Arial" w:cs="Arial" w:eastAsia="Arial" w:hAnsi="Arial"/>
          <w:sz w:val="18"/>
          <w:szCs w:val="18"/>
          <w:color w:val="auto"/>
        </w:rPr>
        <w:t>in the fair value of the hedging derivative is initially recorded in accumulated other comprehensive loss, while any ineffective portion is recognized directly in earnings, as a component of other (expense) income, net. The portion of gain or loss on the derivative instrument previously recorded in accumulated other comprehensive (loss) income remains in accumulated other comprehensive (loss) income until the forecasted transaction is recognized in earnings.</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Derivatives designated and qualifying as hedges of currency exposure of a net investment in a foreign operation are considered net investment hedges which could include cross-currency swap and currency forward contracts. In hedging the currency exposure of a net investment in a foreign operation, the effective portion of gains and losses on the hedging instruments is recognized in accumulated other comprehensive (loss) income as part of currency translation adjustment, while any ineffective portion is recognized directly in earnings, as a component of other (expense) income, net. The portion of gain or loss on the derivative instrument previously recorded in accumulated other comprehensive (loss) income remains in accumulated other comprehensive (loss) income until we reduce our investment in the hedged foreign operation through a sale or substantial liquidation.</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also enter into derivative contracts that are intended to economically hedge certain of our risks, even though we may not elect to apply hedge accounting or the instrument may not qualify for hedge accounting. When hedge accounting is not applied, the changes in the fair value of the derivatives are recorded directly in earnings as a component of other (expense) income, net.</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accordance with the fair value measurement guidance, our accounting policy is to measure the credit risk of our derivative financial instruments that are subject to master netting agreements on a net basis by counterparty portfolio. We execute our derivative instruments with financial institutions that we judge to be credit-worthy, defined as institutions that hold an investment grade credit rating.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Mandatorily Redeemable Noncontrolling Interest</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Noncontrolling interests held by third parties in consolidated subsidiaries are considered mandatorily redeemable when they are subject to an unconditional obligation to be redeemed by both parties. The redeemable noncontrolling interest must be required to be repurchased on a specified date or on the occurrence of a specified event that is certain to occur and are to be redeemed via the transfer of assets. Mandatorily redeemable noncontrolling interests are presented as liability-based financial instruments and are re-measured on a recurring basis to the expected redemption value. During the year ended June 30, 2017, the terms of our arrangement with the shareholders of Printi LLC were amended, resulting in the inclusion of a mandatory redemption feature as part of the amended arrangement. Refer to Note 15 for additional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47"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Comprehensive income (loss) is defined as the change in equity of a business enterprise during a period from transactions and other events and circumstances from non-owner sources. Comprehensive income (loss) is composed of net income (loss), unrealized gains and losses on marketable securities and derivatives, unrealized loss on pension benefit obligation, and cumulative foreign currency translation adjustments, which are included in the accompanying consolidated statements of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247" w:lineRule="exact"/>
        <w:rPr>
          <w:sz w:val="20"/>
          <w:szCs w:val="20"/>
          <w:color w:val="auto"/>
        </w:rPr>
      </w:pPr>
    </w:p>
    <w:p>
      <w:pPr>
        <w:jc w:val="both"/>
        <w:ind w:right="600" w:firstLine="648"/>
        <w:spacing w:after="0" w:line="256" w:lineRule="auto"/>
        <w:rPr>
          <w:sz w:val="20"/>
          <w:szCs w:val="20"/>
          <w:color w:val="auto"/>
        </w:rPr>
      </w:pPr>
      <w:r>
        <w:rPr>
          <w:rFonts w:ascii="Arial" w:cs="Arial" w:eastAsia="Arial" w:hAnsi="Arial"/>
          <w:sz w:val="18"/>
          <w:szCs w:val="18"/>
          <w:color w:val="auto"/>
        </w:rPr>
        <w:t>Treasury shares are accounted for using the cost method and are included as a component of shareholders' equity. We reissue treasury shares as part of our share-based compensation programs and as consideration for some of our acquisition transactions. Upon issuance of treasury shares we determine the cost using the average cost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47"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Our businesses generate revenue primarily from the sale and shipping of customized manufactured products, as well as providing digital services, website design and hosting, email marketing services, order referral fees and other third party offerings. We recognize revenue arising from sales of products and services when we have persuasive evidence of an arrangement, the product has been shipped or service rendered with no significant post-delivery obligations on our part, the net sales price is fixed or determinable and collectability is reasonably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82" w:right="239" w:bottom="1440" w:gutter="0" w:footer="0" w:header="0"/>
        </w:sectPr>
      </w:pPr>
    </w:p>
    <w:bookmarkStart w:id="67" w:name="page68"/>
    <w:bookmarkEnd w:id="67"/>
    <w:p>
      <w:pPr>
        <w:jc w:val="both"/>
        <w:ind w:right="180"/>
        <w:spacing w:after="0" w:line="256" w:lineRule="auto"/>
        <w:rPr>
          <w:sz w:val="20"/>
          <w:szCs w:val="20"/>
          <w:color w:val="auto"/>
        </w:rPr>
      </w:pPr>
      <w:r>
        <w:rPr>
          <w:rFonts w:ascii="Arial" w:cs="Arial" w:eastAsia="Arial" w:hAnsi="Arial"/>
          <w:sz w:val="18"/>
          <w:szCs w:val="18"/>
          <w:color w:val="auto"/>
        </w:rPr>
        <w:t>assured. For subscription services we recognize revenue for the fees charged to customers ratably over the term of the service arrangement. Revenue is recognized net of discounts we offer to our customers as part of advertising campaigns. Revenue from sales of prepaid orders on our websites are deferred until shipment of fulfilled orders or until the prepaid service has been rendered.</w:t>
      </w:r>
    </w:p>
    <w:p>
      <w:pPr>
        <w:spacing w:after="0" w:line="20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For arrangements with multiple deliverables, we allocate revenue to each deliverable if the delivered item(s) has value to the customer on a standalone basis and, if the arrangement includes a general right of return relative to the delivered item, delivery or performance of the undelivered item(s) is considered probable and substantially within our control. The stand-alone selling price for a deliverable is determined using a hierarchy of (1) Company specific objective and reliable evidence, then (2) third-party evidence, then (3) best estimate of selling price. We allocate total arrangement fee to each of the deliverables based on their relative stand-alone selling prices.</w:t>
      </w:r>
    </w:p>
    <w:p>
      <w:pPr>
        <w:spacing w:after="0" w:line="20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Shipping, handling and processing costs billed to customers are included in revenue and the related costs are included in cost of revenue at the time of shipment or rendering of service. Sales and purchases in jurisdictions which are subject to indirect taxes, such as value added tax (“VAT”), are recorded net of tax collected and paid as we act as an agent for the government.</w:t>
      </w:r>
    </w:p>
    <w:p>
      <w:pPr>
        <w:spacing w:after="0" w:line="202"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For promotions through discount voucher websites, we recognize revenue on a gross basis, as we are the primary obligor, when redeemed items are shipped. As the vouchers do not expire, any unredeemed vouchers are recorded as deferred revenue. We recognize revenue on the portion of unredeemed vouchers when the likelihood of redemption becomes remote (referred to as "breakage"), and we determine there is no legal obligation to remit the value of the unredeemed coupons to government agencies. We estimate the breakage rate based upon the pattern of historical redemptions.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Restructuring costs are recorded in connection with initiatives designed to improve efficiency or enhance competitiveness. Restructuring initiatives require us to make estimates in several areas, including expenses for severance and other employee separation costs and our ability to generate sublease income to enable us to terminate lease obligations at the estimated amounts. One-time termination benefits are expensed at the date we notify the employee, unless the employee must provide future service beyond the statutory minimum retention period, in which case the benefits are expensed ratably over the future service period. Liabilities for costs associated with a facility exit or disposal activity are recognized when the liability is incurred, as opposed to when management commits to an exit plan, and are measured at fair value. Restructuring costs are presented as a separate financial statement line within our consolidated statement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47"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Our advertising costs are primarily expensed as incurred and included in marketing and selling expense. We capitalize direct response advertising, which consists of customized product sample mailings, and amortize over the expected future revenue stream. Amortization of capitalized advertising costs is determined using historical revenue data. The capitalized costs of direct response advertising are amortized, commencing with the date the product samples are mailed. Capitalized direct response advertising costs included in prepaid expenses and other current assets as of June 30, 2018 and June 30, 2017 was $4,220 and $4,861, respectively. These capitalized costs relate to direct response marketing initiatives of our National Pen business. As part of our adoption of Accounting Standards Update No. 2014-09, "Revenue from Contracts with Customers" (ASU 2014-09) in the first quarter of fiscal 2019, these costs will no longer be capitalized as direct response advertising costs, and will be expensed as incurred. Refer below to the recently issued or adopted accounting pronouncements section for additional details relating to the new standard.</w:t>
      </w:r>
    </w:p>
    <w:p>
      <w:pPr>
        <w:spacing w:after="0" w:line="213"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Advertising expense for the years ended June 30, 2018, 2017 and 2016 was $432,546, $363,936, and $305,701, respectively, which consisted of external costs related to customer acquisition and retention marketing campaigns.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47" w:lineRule="exact"/>
        <w:rPr>
          <w:sz w:val="20"/>
          <w:szCs w:val="20"/>
          <w:color w:val="auto"/>
        </w:rPr>
      </w:pPr>
    </w:p>
    <w:p>
      <w:pPr>
        <w:ind w:right="440" w:firstLine="648"/>
        <w:spacing w:after="0" w:line="262" w:lineRule="auto"/>
        <w:rPr>
          <w:sz w:val="20"/>
          <w:szCs w:val="20"/>
          <w:color w:val="auto"/>
        </w:rPr>
      </w:pPr>
      <w:r>
        <w:rPr>
          <w:rFonts w:ascii="Arial" w:cs="Arial" w:eastAsia="Arial" w:hAnsi="Arial"/>
          <w:sz w:val="18"/>
          <w:szCs w:val="18"/>
          <w:color w:val="auto"/>
        </w:rPr>
        <w:t>Research and development costs are expensed as incurred and included in technology and development expense. Research and development expense for the years ended June 30, 2018, 2017 and 2016 was $41,451,</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82"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$51,811, and $35,449, respectively, which consisted of costs related to enhancing our manufacturing engineering and technology capabilities.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As part of the process of preparing our consolidated financial statements, we calculate our income taxes in each of the jurisdictions in which we operate. This process involves estimating our current tax expense and deferred tax expense based on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206"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upon examination by the taxing authorities, based on the technical merits of the tax position. The tax benefits recognized in our financial statements from such positions are measured as the largest benefit that has a greater than 50% likelihood of being realized upon ultimate resolution. The unrecognized tax benefits will reduce our effective tax rate if recognized. Interest and, if applicable, penalties related to unrecognized tax benefits are recorded in the provision for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(expense) income, net in our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(expense) income,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(Losses) gains on derivatives not designated as hedging instruments (1)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14,026</w:t>
            </w:r>
          </w:p>
        </w:tc>
        <w:tc>
          <w:tcPr>
            <w:tcW w:w="0" w:type="dxa"/>
            <w:vAlign w:val="bottom"/>
          </w:tcPr>
          <w:p>
            <w:pPr>
              <w:spacing w:after="0"/>
              <w:rPr>
                <w:sz w:val="1"/>
                <w:szCs w:val="1"/>
                <w:color w:val="auto"/>
              </w:rPr>
            </w:pPr>
          </w:p>
        </w:tc>
      </w:tr>
      <w:tr>
        <w:trPr>
          <w:trHeight w:val="233"/>
        </w:trPr>
        <w:tc>
          <w:tcPr>
            <w:tcW w:w="6640" w:type="dxa"/>
            <w:vAlign w:val="bottom"/>
          </w:tcPr>
          <w:p>
            <w:pPr>
              <w:ind w:left="40"/>
              <w:spacing w:after="0"/>
              <w:rPr>
                <w:sz w:val="20"/>
                <w:szCs w:val="20"/>
                <w:color w:val="auto"/>
              </w:rPr>
            </w:pPr>
            <w:r>
              <w:rPr>
                <w:rFonts w:ascii="Arial" w:cs="Arial" w:eastAsia="Arial" w:hAnsi="Arial"/>
                <w:sz w:val="16"/>
                <w:szCs w:val="16"/>
                <w:color w:val="auto"/>
              </w:rPr>
              <w:t>Currency-related (losses) gains, net (2)</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25"/>
              <w:spacing w:after="0"/>
              <w:rPr>
                <w:sz w:val="20"/>
                <w:szCs w:val="20"/>
                <w:color w:val="auto"/>
              </w:rPr>
            </w:pPr>
            <w:r>
              <w:rPr>
                <w:rFonts w:ascii="Arial" w:cs="Arial" w:eastAsia="Arial" w:hAnsi="Arial"/>
                <w:sz w:val="16"/>
                <w:szCs w:val="16"/>
                <w:color w:val="auto"/>
              </w:rPr>
              <w:t>5,577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6,864</w:t>
            </w:r>
          </w:p>
        </w:tc>
        <w:tc>
          <w:tcPr>
            <w:tcW w:w="0" w:type="dxa"/>
            <w:vAlign w:val="bottom"/>
          </w:tcPr>
          <w:p>
            <w:pPr>
              <w:spacing w:after="0"/>
              <w:rPr>
                <w:sz w:val="1"/>
                <w:szCs w:val="1"/>
                <w:color w:val="auto"/>
              </w:rPr>
            </w:pPr>
          </w:p>
        </w:tc>
      </w:tr>
      <w:tr>
        <w:trPr>
          <w:trHeight w:val="246"/>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gains (3)</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3,849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5,208</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Total other (expense) income, net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10,362</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26,098</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6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Primarily relates to both realized and unrealized (losses) gains on derivative currency forward and option contracts not designated as hedging instruments.</w:t>
      </w:r>
    </w:p>
    <w:p>
      <w:pPr>
        <w:spacing w:after="0" w:line="82" w:lineRule="exact"/>
        <w:rPr>
          <w:rFonts w:ascii="Arial" w:cs="Arial" w:eastAsia="Arial" w:hAnsi="Arial"/>
          <w:sz w:val="14"/>
          <w:szCs w:val="14"/>
          <w:color w:val="auto"/>
        </w:rPr>
      </w:pPr>
    </w:p>
    <w:p>
      <w:pPr>
        <w:ind w:left="260" w:right="140" w:hanging="252"/>
        <w:spacing w:after="0" w:line="247" w:lineRule="auto"/>
        <w:tabs>
          <w:tab w:leader="none" w:pos="233"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have significant non-functional currency intercompany financing relationships that we may change at times and are subject to currency exchange rate volatility. The currency-related gains (losses), net for the years ended June 30, 2018 and 2017 are primarily driven by this intercompany activity. In addition, we have certain cross-currency swaps designated as cash flow hedges, which hedge the remeasurement of certain intercompany loans, both presented in the same component above. Unrealized losses related to cross-currency swaps were $2,722, $3,737 and $1,991 for the years ended June 30, 2018, 2017 and 2016, respectively.</w:t>
      </w:r>
    </w:p>
    <w:p>
      <w:pPr>
        <w:spacing w:after="0" w:line="66" w:lineRule="exact"/>
        <w:rPr>
          <w:rFonts w:ascii="Arial" w:cs="Arial" w:eastAsia="Arial" w:hAnsi="Arial"/>
          <w:sz w:val="14"/>
          <w:szCs w:val="14"/>
          <w:color w:val="auto"/>
        </w:rPr>
      </w:pPr>
    </w:p>
    <w:p>
      <w:pPr>
        <w:ind w:left="260" w:right="120" w:hanging="252"/>
        <w:spacing w:after="0" w:line="258" w:lineRule="auto"/>
        <w:tabs>
          <w:tab w:leader="none" w:pos="233"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gains recognized during the years ended June 30, 2018 and 2016, were primarily related to insurance recoveries of $675 and $3,947, respectively. During the year ended June 30, 2017, we recognized a gain of $2,268 related to the sale of Plaza Create Co. Ltd. available for sale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Attributable to Cimpress N.V.</w:t>
      </w:r>
    </w:p>
    <w:p>
      <w:pPr>
        <w:spacing w:after="0" w:line="220"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Basic net income (loss) per share attributable to Cimpress N.V. is computed by dividing net income (loss) attributable to Cimpress N.V. by the weighted-average number of ordinary shares outstanding for the respective period. Diluted net income (loss) per share attributable to Cimpress N.V. gives effect to all potentially dilutive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82" w:right="239" w:bottom="1440" w:gutter="0" w:footer="0" w:header="0"/>
        </w:sectPr>
      </w:pPr>
    </w:p>
    <w:bookmarkStart w:id="69" w:name="page70"/>
    <w:bookmarkEnd w:id="69"/>
    <w:p>
      <w:pPr>
        <w:ind w:right="160"/>
        <w:spacing w:after="0" w:line="256" w:lineRule="auto"/>
        <w:rPr>
          <w:sz w:val="20"/>
          <w:szCs w:val="20"/>
          <w:color w:val="auto"/>
        </w:rPr>
      </w:pPr>
      <w:r>
        <w:rPr>
          <w:rFonts w:ascii="Arial" w:cs="Arial" w:eastAsia="Arial" w:hAnsi="Arial"/>
          <w:sz w:val="18"/>
          <w:szCs w:val="18"/>
          <w:color w:val="auto"/>
        </w:rPr>
        <w:t>securities, including share options, restricted share units (“RSUs”), restricted share awards ("RSAs")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 weighted-average number of ordinary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8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Year Ended June 30,</w:t>
            </w: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basic</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30,948,081</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31,291,581</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31,656,234</w:t>
            </w:r>
          </w:p>
        </w:tc>
        <w:tc>
          <w:tcPr>
            <w:tcW w:w="0" w:type="dxa"/>
            <w:vAlign w:val="bottom"/>
          </w:tcPr>
          <w:p>
            <w:pPr>
              <w:spacing w:after="0"/>
              <w:rPr>
                <w:sz w:val="1"/>
                <w:szCs w:val="1"/>
                <w:color w:val="auto"/>
              </w:rPr>
            </w:pPr>
          </w:p>
        </w:tc>
      </w:tr>
      <w:tr>
        <w:trPr>
          <w:trHeight w:val="218"/>
        </w:trPr>
        <w:tc>
          <w:tcPr>
            <w:tcW w:w="7080" w:type="dxa"/>
            <w:vAlign w:val="bottom"/>
          </w:tcPr>
          <w:p>
            <w:pPr>
              <w:ind w:left="40"/>
              <w:spacing w:after="0"/>
              <w:rPr>
                <w:sz w:val="20"/>
                <w:szCs w:val="20"/>
                <w:color w:val="auto"/>
              </w:rPr>
            </w:pPr>
            <w:r>
              <w:rPr>
                <w:rFonts w:ascii="Arial" w:cs="Arial" w:eastAsia="Arial" w:hAnsi="Arial"/>
                <w:sz w:val="16"/>
                <w:szCs w:val="16"/>
                <w:color w:val="auto"/>
              </w:rPr>
              <w:t>Weighted average shares issuable upon exercise/vesting of outstanding share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40"/>
              <w:spacing w:after="0"/>
              <w:rPr>
                <w:sz w:val="20"/>
                <w:szCs w:val="20"/>
                <w:color w:val="auto"/>
              </w:rPr>
            </w:pPr>
            <w:r>
              <w:rPr>
                <w:rFonts w:ascii="Arial" w:cs="Arial" w:eastAsia="Arial" w:hAnsi="Arial"/>
                <w:sz w:val="16"/>
                <w:szCs w:val="16"/>
                <w:color w:val="auto"/>
              </w:rPr>
              <w:t>options/RSUs/RSAs (1)</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1,272,320</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1,393,220</w:t>
            </w:r>
          </w:p>
        </w:tc>
        <w:tc>
          <w:tcPr>
            <w:tcW w:w="0" w:type="dxa"/>
            <w:vAlign w:val="bottom"/>
          </w:tcPr>
          <w:p>
            <w:pPr>
              <w:spacing w:after="0"/>
              <w:rPr>
                <w:sz w:val="1"/>
                <w:szCs w:val="1"/>
                <w:color w:val="auto"/>
              </w:rPr>
            </w:pPr>
          </w:p>
        </w:tc>
      </w:tr>
      <w:tr>
        <w:trPr>
          <w:trHeight w:val="24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used in computing diluted net income (loss) per share attributable to Cimpress N.V.</w:t>
            </w:r>
          </w:p>
        </w:tc>
        <w:tc>
          <w:tcPr>
            <w:tcW w:w="13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32,220,401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31,291,581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33,049,454</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6"/>
                <w:szCs w:val="16"/>
                <w:color w:val="auto"/>
              </w:rPr>
              <w:t>Weighted average anti-dilutive shares excluded from diluted net income (loss) per share</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80" w:type="dxa"/>
            <w:vAlign w:val="bottom"/>
          </w:tcPr>
          <w:p>
            <w:pPr>
              <w:ind w:left="40"/>
              <w:spacing w:after="0"/>
              <w:rPr>
                <w:sz w:val="20"/>
                <w:szCs w:val="20"/>
                <w:color w:val="auto"/>
              </w:rPr>
            </w:pPr>
            <w:r>
              <w:rPr>
                <w:rFonts w:ascii="Arial" w:cs="Arial" w:eastAsia="Arial" w:hAnsi="Arial"/>
                <w:sz w:val="16"/>
                <w:szCs w:val="16"/>
                <w:color w:val="auto"/>
              </w:rPr>
              <w:t>attributable to Cimpress N.V.</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2,291</w:t>
            </w:r>
          </w:p>
        </w:tc>
        <w:tc>
          <w:tcPr>
            <w:tcW w:w="120" w:type="dxa"/>
            <w:vAlign w:val="bottom"/>
          </w:tcPr>
          <w:p>
            <w:pPr>
              <w:spacing w:after="0"/>
              <w:rPr>
                <w:sz w:val="16"/>
                <w:szCs w:val="16"/>
                <w:color w:val="auto"/>
              </w:rPr>
            </w:pP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21,978</w:t>
            </w:r>
          </w:p>
        </w:tc>
        <w:tc>
          <w:tcPr>
            <w:tcW w:w="100" w:type="dxa"/>
            <w:vAlign w:val="bottom"/>
          </w:tcPr>
          <w:p>
            <w:pPr>
              <w:spacing w:after="0"/>
              <w:rPr>
                <w:sz w:val="16"/>
                <w:szCs w:val="16"/>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35,725</w:t>
            </w:r>
          </w:p>
        </w:tc>
        <w:tc>
          <w:tcPr>
            <w:tcW w:w="0" w:type="dxa"/>
            <w:vAlign w:val="bottom"/>
          </w:tcPr>
          <w:p>
            <w:pPr>
              <w:spacing w:after="0"/>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______</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 In the periods we report a net loss, the impact of share options, RSUs, and RSAs is not included as they are anti-dilutive.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0" w:lineRule="exact"/>
        <w:rPr>
          <w:sz w:val="20"/>
          <w:szCs w:val="20"/>
          <w:color w:val="auto"/>
        </w:rPr>
      </w:pPr>
    </w:p>
    <w:p>
      <w:pPr>
        <w:ind w:right="300" w:firstLine="662"/>
        <w:spacing w:after="0" w:line="252" w:lineRule="auto"/>
        <w:rPr>
          <w:sz w:val="20"/>
          <w:szCs w:val="20"/>
          <w:color w:val="auto"/>
        </w:rPr>
      </w:pPr>
      <w:r>
        <w:rPr>
          <w:rFonts w:ascii="Arial" w:cs="Arial" w:eastAsia="Arial" w:hAnsi="Arial"/>
          <w:sz w:val="18"/>
          <w:szCs w:val="18"/>
          <w:color w:val="auto"/>
        </w:rPr>
        <w:t>Compensation expense for all share-based awards is measured at fair value on the date of grant and recognized over the requisite service period. We recognize the impact of forfeitures as they occur. The fair value of share options is determined using the Black-Scholes valuation model, or lattice model for share options with a market condition or subsidiary share options. The fair value of RSUs and RSAs is determined based on the quoted price of our ordinary shares on the date of the grant. Such value is recognized ratably as expense over the requisite service period, or on an accelerated method for awards with a performance or market condition. For awards that are ultimately settleable in cash, we treat as liability awards and mark the award to market each reporting period, recognizing any gain or loss in our statements of operations. For awards with a performance condition vesting feature, compensation cost is recorded if it is probable that the performance condition will be achieved.</w:t>
      </w:r>
    </w:p>
    <w:p>
      <w:pPr>
        <w:spacing w:after="0" w:line="179" w:lineRule="exact"/>
        <w:rPr>
          <w:sz w:val="20"/>
          <w:szCs w:val="20"/>
          <w:color w:val="auto"/>
        </w:rPr>
      </w:pPr>
    </w:p>
    <w:p>
      <w:pPr>
        <w:ind w:firstLine="662"/>
        <w:spacing w:after="0" w:line="252" w:lineRule="auto"/>
        <w:rPr>
          <w:sz w:val="20"/>
          <w:szCs w:val="20"/>
          <w:color w:val="auto"/>
        </w:rPr>
      </w:pPr>
      <w:r>
        <w:rPr>
          <w:rFonts w:ascii="Arial" w:cs="Arial" w:eastAsia="Arial" w:hAnsi="Arial"/>
          <w:sz w:val="18"/>
          <w:szCs w:val="18"/>
          <w:color w:val="auto"/>
        </w:rPr>
        <w:t>In addition to a service vesting and market condition (based on the three year moving average of the Cimpress share price) contained in our standard performance share units, we also issue awards that contain financial performance conditions. These awards with a discretionary performance condition are subject to mark-to-market accounting throughout the performance vesting period. The compensation expense for these awards is estimated at fair value using a Monte Carlo simulation valuation model and compensation costs are recorded only if it is probable that the performance condition will be achieved. We are required to reassess the probability each reporting period. If we determine the awards are not probable at some point during the performance vesting period we would reverse any expense recognized to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Sabbatical Leave</w:t>
      </w:r>
    </w:p>
    <w:p>
      <w:pPr>
        <w:spacing w:after="0" w:line="247"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Compensation expense associated with a sabbatical leave, or other similar benefit arrangements, is accrued over the requisite service period during which an employee earns the benefit, net of estimated forfeitures, and is included in other liabilities on our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4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monitor the creditworthiness of our customers to which we grant credit terms in the normal course of business. We do not have any customers that accounted for greater than 10% of our accounts receivable as of June 30, 2018 and 2017. We do not have any customers that accounted for greater than 10% of our revenue for the years ended June 30, 2018, 2017 and 2016.</w:t>
      </w:r>
    </w:p>
    <w:p>
      <w:pPr>
        <w:spacing w:after="0" w:line="202" w:lineRule="exact"/>
        <w:rPr>
          <w:sz w:val="20"/>
          <w:szCs w:val="20"/>
          <w:color w:val="auto"/>
        </w:rPr>
      </w:pPr>
    </w:p>
    <w:p>
      <w:pPr>
        <w:ind w:right="600" w:firstLine="648"/>
        <w:spacing w:after="0" w:line="262" w:lineRule="auto"/>
        <w:rPr>
          <w:sz w:val="20"/>
          <w:szCs w:val="20"/>
          <w:color w:val="auto"/>
        </w:rPr>
      </w:pPr>
      <w:r>
        <w:rPr>
          <w:rFonts w:ascii="Arial" w:cs="Arial" w:eastAsia="Arial" w:hAnsi="Arial"/>
          <w:sz w:val="18"/>
          <w:szCs w:val="18"/>
          <w:color w:val="auto"/>
        </w:rPr>
        <w:t>We maintain an allowance for doubtful accounts for potential credit losses based upon specific customer accounts and historical trends, and such losses to date in the aggregate have not materially exceeded our expectations.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7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Waltham Lease Arrangement</w:t>
      </w:r>
    </w:p>
    <w:p>
      <w:pPr>
        <w:spacing w:after="0" w:line="220"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In July 2013, we executed a lease agreement to move our Lexington, Massachusetts, USA operations to a then yet to be constructed facility in Waltham, Massachusetts, USA. During the first quarter of fiscal 2016, the building was completed and we commenced lease payments in September 2015 and will make lease payments through September 2026.</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accounting purposes, we were deemed to be the owner of the Waltham building during the construction period, and accordingly we recorded the construction project costs incurred by the landlord as an asset with a corresponding financing obligation on our balance sheet. We evaluated the Waltham lease in the first quarter of fiscal 2016 and determined that the transaction did not meet the criteria for "sale-leaseback" treatment due to our planned subleasing activity over the term of the lease. Accordingly, we began depreciating the asset and incurring interest expense related to the financing obligation recorded on our consolidated balance sheet. We bifurcate the lease payments pursuant to the Waltham lease into (i) a portion that is allocated to the building and (ii) a portion that is allocated to the land on which the building was constructed. The portion of the lease obligations allocated to the land is treated as an operating lease that commenced in fiscal 2014.</w:t>
      </w:r>
    </w:p>
    <w:p>
      <w:pPr>
        <w:spacing w:after="0" w:line="207" w:lineRule="exact"/>
        <w:rPr>
          <w:sz w:val="20"/>
          <w:szCs w:val="20"/>
          <w:color w:val="auto"/>
        </w:rPr>
      </w:pPr>
    </w:p>
    <w:p>
      <w:pPr>
        <w:jc w:val="both"/>
        <w:ind w:right="220" w:firstLine="648"/>
        <w:spacing w:after="0" w:line="256" w:lineRule="auto"/>
        <w:rPr>
          <w:sz w:val="20"/>
          <w:szCs w:val="20"/>
          <w:color w:val="auto"/>
        </w:rPr>
      </w:pPr>
      <w:r>
        <w:rPr>
          <w:rFonts w:ascii="Arial" w:cs="Arial" w:eastAsia="Arial" w:hAnsi="Arial"/>
          <w:sz w:val="18"/>
          <w:szCs w:val="18"/>
          <w:color w:val="auto"/>
        </w:rPr>
        <w:t>Property, plant and equipment, net, included $111,926 and $116,045 as of June 30, 2018 and June 30, 2017, respectively, related to the building. The financing lease obligation and deferred rent credit related to the building on our consolidated balance sheets was $115,312 and $119,176 as of June 30, 2018 and June 30, 2017,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16"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In October 2016, the FASB issued Accounting Standards Update No. 2016-16, "Income Taxes (Topic 740): Intra-Entity Transfers of Assets Other Than Inventory" (ASU 2016-16), which requires the recognition for income tax consequences of an intra-entity transfer of an asset other than inventory when the transfer occurs. We elected to early adopt the new standard during the first quarter of fiscal 2018, and recognized a reduction to prepaid and other current assets of $24,573, an increase in deferred tax assets of $18,710 and a cumulative-effect adjustment to retained earnings of $5,863. If we had not early adopted, the fiscal 2018 tax expense would be lower by $8,363.</w:t>
      </w:r>
    </w:p>
    <w:p>
      <w:pPr>
        <w:spacing w:after="0" w:line="179"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In February 2018, the FASB issued Accounting Standards Update No. 2018-02, "Income Statement - Reporting Comprehensive Income (Topic 220): Reclassification of Certain Tax Effects from Accumulated Other Comprehensive Income" (ASU 2018-02), which allows a reclassification from accumulated other comprehensive income to retained earnings for stranded tax effects resulting from the U.S. Tax Cuts and Jobs Act. We elected to early adopt the new standard during the fourth quarter of fiscal 2018, and reclassified the income tax effects from accumulated other comprehensive income to retained earnings in the amount of $116. We do not expect any additional impacts from the new standard.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Accounting Standards to be Adopted</w:t>
      </w:r>
    </w:p>
    <w:p>
      <w:pPr>
        <w:spacing w:after="0" w:line="21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August 2017, the FASB issued Accounting Standards Update No. 2017-12, "Derivatives and Hedging: Targeted Improvements to Accounting for Hedging Activities (Topic 815)," (ASU 2017-12), which better aligns a company’s financial reporting for hedging activities with the economic objectives of those activities. The amendment is effective for us on July 1, 2019 and permits early adoption, including adoption in an interim period. The standard requires a modified retrospective transition approach, in which the Company will recognize the cumulative effect of the change on the opening balance of each affected component of equity in the statement of financial position as of the date of adoption. We do not expect this standard to have material impact on our consolidated financial statements.</w:t>
      </w:r>
    </w:p>
    <w:p>
      <w:pPr>
        <w:spacing w:after="0" w:line="18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May 2017, the FASB issued Accounting Standards Update No. 2017-09, "Compensation - Stock Compensation (Topic 718)," (ASU 2017-09), which clarifies the application of Topic 718 when accounting for changes in the terms and conditions of a share-based payment award. The new standard requires changes to the terms or conditions of a share-based payment award to be accounted for under modification accounting unless there is no change to the fair value, vesting conditions and classification of the award after modification. The amendment is effective for us and will be adopted on July 1, 2018. The amendment is to be applied prospectively, and we do not expect it to have a material impact on our consolidated financial statements.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549" w:right="259" w:bottom="1440" w:gutter="0" w:footer="0" w:header="0"/>
        </w:sectPr>
      </w:pPr>
    </w:p>
    <w:bookmarkStart w:id="71" w:name="page72"/>
    <w:bookmarkEnd w:id="71"/>
    <w:p>
      <w:pPr>
        <w:ind w:firstLine="648"/>
        <w:spacing w:after="0" w:line="252" w:lineRule="auto"/>
        <w:rPr>
          <w:sz w:val="20"/>
          <w:szCs w:val="20"/>
          <w:color w:val="auto"/>
        </w:rPr>
      </w:pPr>
      <w:r>
        <w:rPr>
          <w:rFonts w:ascii="Arial" w:cs="Arial" w:eastAsia="Arial" w:hAnsi="Arial"/>
          <w:sz w:val="18"/>
          <w:szCs w:val="18"/>
          <w:color w:val="auto"/>
        </w:rPr>
        <w:t>In November 2016, the FASB issued Accounting Standards Update No. 2016-18, "Statement of Cash Flows (Topic 230) Restricted Cash" (ASU 2016-18),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 is effective for us and will be adopted on July 1, 2018. This amendment will affect the presentation of our statement of cash flows once adopted, and we do not expect it to have material impact on our consolidated financial statements.</w:t>
      </w:r>
    </w:p>
    <w:p>
      <w:pPr>
        <w:spacing w:after="0" w:line="180"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 March 2016, the FASB issued Accounting Standards Update No. 2016-04, "Liabilities - Extinguishment of Liabilities (Subtopic 405-20): Recognition of Breakage for Certain Prepaid Stored-Value Products" (ASU 2016-04), which requires an entity to recognize breakage for a liability resulting from the sale of a prepaid stored-value product in proportion to the pattern of rights expected to be exercised by the product holder only to the extent that it is probable that a significant reversal of the recognized breakage amount will not subsequently occur. The new standard is effective for us on July 1, 2018. The standard permits early adoption and should be applied either retrospectively to each period presented or by means of a cumulative adjustment to retained earnings as of the beginning of the fiscal year adopted. We do not expect the effect of ASU 2016-04 to have a material impact on our consolidated financial statements.</w:t>
      </w:r>
    </w:p>
    <w:p>
      <w:pPr>
        <w:spacing w:after="0" w:line="18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March 2016, the FASB issued Accounting Standards Update No. 2016-02, "Leases (Topic 842)" (ASU 2016-02), which requires the recognition of lease assets and lease liabilities by lessees for those leases currently classified as operating leases. The standard also retains a distinction between finance leases and operating leases. The new standard is effective for us on July 1, 2019 and we expect to adopt the new standard using the modified retrospective approach. We also plan to use the transition relief package, in which we will not reassess the classification of our existing leases, whether any expired or existing contracts contain leases and if our existing leases have any initial direct costs. We are currently evaluating the requirements of the standard and we have not yet determined the impact of adoption on our consolidated financial statements.</w:t>
      </w:r>
    </w:p>
    <w:p>
      <w:pPr>
        <w:spacing w:after="0" w:line="180"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which requires an entity to recognize the amount of revenue to which it expects to be entitled for the transfer of promised goods or services to customers. This guidance will replace most existing revenue recognition guidance in U.S. GAAP when it becomes effective. The new standard is effective for fiscal years beginning after December 15, 2017, which would result in an effective date for us of July 1, 2018. The standard permits the use of either the retrospective or modified retrospective method. We will adopt the new standard in the first quarter of fiscal 2019, and we will apply the modified retrospective approach.</w:t>
      </w:r>
    </w:p>
    <w:p>
      <w:pPr>
        <w:spacing w:after="0" w:line="18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completed our impact assessment of the new standard, which was performed on a business by business basis through a review of contract terms and material revenue streams. We have identified an impact related to direct-response advertising costs, which are costs currently capitalized and expensed based on the guidance outlined in ASC 340 - "Other Assets and Deferred Assets". The guidance included in ASC 340 has been eliminated, and under the new revenue standard these costs will be expensed as incurred because they do not meet the requirements for capitalization since they are not direct and incremental to obtaining a contract. We expect this change to impact the timing for a portion of advertising expenses within our National Pen business, but we do not expect it to have a material impact on our consolidated results. By applying the modified retrospective approach for implementing the standard, we expect to adjust approximately $3,800 of capitalized costs as of June 30, 2018 to retained earnings during the first quarter of fiscal 2019.</w:t>
      </w:r>
    </w:p>
    <w:p>
      <w:pPr>
        <w:spacing w:after="0" w:line="179"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We have also identified an impact related to customer loyalty programs that are offered by several of our businesses. Under the new revenue standard, the rewards associated with these programs will be recognized as an additional performance obligation, resulting in an allocation of the transaction price and deferral of revenue until the subsequent reward redemption. We do not expect this change to have a material impact on our consolidated results.</w:t>
      </w:r>
    </w:p>
    <w:p>
      <w:pPr>
        <w:spacing w:after="0" w:line="177" w:lineRule="exact"/>
        <w:rPr>
          <w:sz w:val="20"/>
          <w:szCs w:val="20"/>
          <w:color w:val="auto"/>
        </w:rPr>
      </w:pPr>
    </w:p>
    <w:p>
      <w:pPr>
        <w:jc w:val="both"/>
        <w:ind w:right="200" w:firstLine="648"/>
        <w:spacing w:after="0" w:line="256" w:lineRule="auto"/>
        <w:rPr>
          <w:sz w:val="20"/>
          <w:szCs w:val="20"/>
          <w:color w:val="auto"/>
        </w:rPr>
      </w:pPr>
      <w:r>
        <w:rPr>
          <w:rFonts w:ascii="Arial" w:cs="Arial" w:eastAsia="Arial" w:hAnsi="Arial"/>
          <w:sz w:val="18"/>
          <w:szCs w:val="18"/>
          <w:color w:val="auto"/>
        </w:rPr>
        <w:t>We are continuing to make changes to certain processes and internal controls, in order to address the impacts of the new standard, which we expect to finalize during the first quarter of fiscal 2019. Lastly, we are continuing to evaluate the disclosure requirements of the new standard.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571"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3. Fair Value Measurements</w:t>
      </w:r>
    </w:p>
    <w:p>
      <w:pPr>
        <w:spacing w:after="0" w:line="22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76"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ind w:left="660" w:right="160" w:hanging="328"/>
        <w:spacing w:after="0" w:line="26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to the valuation methodology include quoted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in markets that are not active and inputs that are observable for the asset or liability, either directly or indirectly, for substantially the full term of the financial instrument.</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w:t>
      </w:r>
    </w:p>
    <w:p>
      <w:pPr>
        <w:spacing w:after="0" w:line="189" w:lineRule="exact"/>
        <w:rPr>
          <w:sz w:val="20"/>
          <w:szCs w:val="20"/>
          <w:color w:val="auto"/>
        </w:rPr>
      </w:pPr>
    </w:p>
    <w:p>
      <w:pPr>
        <w:ind w:right="80" w:firstLine="662"/>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ind w:left="940"/>
              <w:spacing w:after="0"/>
              <w:rPr>
                <w:sz w:val="20"/>
                <w:szCs w:val="20"/>
                <w:color w:val="auto"/>
              </w:rPr>
            </w:pPr>
            <w:r>
              <w:rPr>
                <w:rFonts w:ascii="Arial" w:cs="Arial" w:eastAsia="Arial" w:hAnsi="Arial"/>
                <w:sz w:val="13"/>
                <w:szCs w:val="13"/>
                <w:b w:val="1"/>
                <w:bCs w:val="1"/>
                <w:color w:val="auto"/>
              </w:rPr>
              <w:t>June 30, 2018</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1)</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45"/>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13,370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4"/>
              <w:spacing w:after="0"/>
              <w:rPr>
                <w:sz w:val="20"/>
                <w:szCs w:val="20"/>
                <w:color w:val="auto"/>
              </w:rPr>
            </w:pPr>
            <w:r>
              <w:rPr>
                <w:rFonts w:ascii="Arial" w:cs="Arial" w:eastAsia="Arial" w:hAnsi="Arial"/>
                <w:sz w:val="16"/>
                <w:szCs w:val="16"/>
                <w:color w:val="auto"/>
              </w:rPr>
              <w:t>13,370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9,202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1,782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24,354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24,354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Cross-currency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(25,348)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(25,348)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30"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ind w:left="940"/>
              <w:spacing w:after="0"/>
              <w:rPr>
                <w:sz w:val="20"/>
                <w:szCs w:val="20"/>
                <w:color w:val="auto"/>
              </w:rPr>
            </w:pPr>
            <w:r>
              <w:rPr>
                <w:rFonts w:ascii="Arial" w:cs="Arial" w:eastAsia="Arial" w:hAnsi="Arial"/>
                <w:sz w:val="13"/>
                <w:szCs w:val="13"/>
                <w:b w:val="1"/>
                <w:bCs w:val="1"/>
                <w:color w:val="auto"/>
              </w:rPr>
              <w:t>June 30, 2017</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1)</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45"/>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1,717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1,717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Contingent consideration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(5,453)</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(41,047)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(35,594)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900" w:firstLine="648"/>
        <w:spacing w:after="0" w:line="262" w:lineRule="auto"/>
        <w:rPr>
          <w:sz w:val="20"/>
          <w:szCs w:val="20"/>
          <w:color w:val="auto"/>
        </w:rPr>
      </w:pPr>
      <w:r>
        <w:rPr>
          <w:rFonts w:ascii="Arial" w:cs="Arial" w:eastAsia="Arial" w:hAnsi="Arial"/>
          <w:sz w:val="18"/>
          <w:szCs w:val="18"/>
          <w:color w:val="auto"/>
        </w:rPr>
        <w:t>During the years ended June 30, 2018 and 2017, there were no significant transfers in or out of Level 1, Level 2 and Level 3 classifications.</w:t>
      </w:r>
    </w:p>
    <w:p>
      <w:pPr>
        <w:spacing w:after="0" w:line="16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82"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June 30, 2018,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18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Contingent consideration obligations are measured at fair value and are based on significant inputs not observable in the market, which represents a Level 3 measurement within the fair value hierarchy. The valuation of contingent consideration uses assumptions and estimates to forecast a range of outcomes and probabilities for the contingent consideration. Certain contingent consideration obligations are valued using a Monte Carlo simulation model. We assess these assumptions and estimates on a quarterly basis as additional data impacting the assumptions is obtained. Any changes in the fair value of contingent consideration related to updated assumptions and estimates will be recognized within general and administrative expenses in the consolidated statements of operations during the period in which the change occurs.</w:t>
      </w:r>
    </w:p>
    <w:p>
      <w:pPr>
        <w:spacing w:after="0" w:line="182" w:lineRule="exact"/>
        <w:rPr>
          <w:sz w:val="20"/>
          <w:szCs w:val="20"/>
          <w:color w:val="auto"/>
        </w:rPr>
      </w:pPr>
    </w:p>
    <w:p>
      <w:pPr>
        <w:ind w:right="340" w:firstLine="648"/>
        <w:spacing w:after="0" w:line="253" w:lineRule="auto"/>
        <w:rPr>
          <w:sz w:val="20"/>
          <w:szCs w:val="20"/>
          <w:color w:val="auto"/>
        </w:rPr>
      </w:pPr>
      <w:r>
        <w:rPr>
          <w:rFonts w:ascii="Arial" w:cs="Arial" w:eastAsia="Arial" w:hAnsi="Arial"/>
          <w:sz w:val="18"/>
          <w:szCs w:val="18"/>
          <w:color w:val="auto"/>
        </w:rPr>
        <w:t>Our acquisition of WIRmachenDRUCK on February 1, 2016 included a variable contingent payment up to €40,000 based on the achievement of a cumulative gross profit target for calendar years 2016 and 2017. During the fourth quarter of fiscal 2017, we determined it was reasonably certain, based on recent performance, that the maximum earn-out would be achieved. On January 2, 2018, we paid the maximum amount of €40,000 ($48,069 based on the exchange rate on the day of payment) and $5,951 of the amount paid is considered contingent consideration and included in the table below.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23"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The following table represents the changes in fair value of Level 3 contingent consideration: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163"/>
              <w:spacing w:after="0"/>
              <w:rPr>
                <w:sz w:val="20"/>
                <w:szCs w:val="20"/>
                <w:color w:val="auto"/>
              </w:rPr>
            </w:pPr>
            <w:r>
              <w:rPr>
                <w:rFonts w:ascii="Arial" w:cs="Arial" w:eastAsia="Arial" w:hAnsi="Arial"/>
                <w:sz w:val="13"/>
                <w:szCs w:val="13"/>
                <w:b w:val="1"/>
                <w:bCs w:val="1"/>
                <w:color w:val="auto"/>
              </w:rPr>
              <w:t>Total Contingent</w:t>
            </w:r>
          </w:p>
        </w:tc>
        <w:tc>
          <w:tcPr>
            <w:tcW w:w="0" w:type="dxa"/>
            <w:vAlign w:val="bottom"/>
          </w:tcPr>
          <w:p>
            <w:pPr>
              <w:spacing w:after="0"/>
              <w:rPr>
                <w:sz w:val="1"/>
                <w:szCs w:val="1"/>
                <w:color w:val="auto"/>
              </w:rPr>
            </w:pPr>
          </w:p>
        </w:tc>
      </w:tr>
      <w:tr>
        <w:trPr>
          <w:trHeight w:val="178"/>
        </w:trPr>
        <w:tc>
          <w:tcPr>
            <w:tcW w:w="9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Consideration</w:t>
            </w:r>
          </w:p>
        </w:tc>
        <w:tc>
          <w:tcPr>
            <w:tcW w:w="0" w:type="dxa"/>
            <w:vAlign w:val="bottom"/>
          </w:tcPr>
          <w:p>
            <w:pPr>
              <w:spacing w:after="0"/>
              <w:rPr>
                <w:sz w:val="1"/>
                <w:szCs w:val="1"/>
                <w:color w:val="auto"/>
              </w:rPr>
            </w:pP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Balance at June 30, 2016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adjustment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4,030</w:t>
            </w:r>
          </w:p>
        </w:tc>
        <w:tc>
          <w:tcPr>
            <w:tcW w:w="0" w:type="dxa"/>
            <w:vAlign w:val="bottom"/>
          </w:tcPr>
          <w:p>
            <w:pPr>
              <w:spacing w:after="0"/>
              <w:rPr>
                <w:sz w:val="1"/>
                <w:szCs w:val="1"/>
                <w:color w:val="auto"/>
              </w:rPr>
            </w:pP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impact</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June 30, 2017 (1)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5,453</w:t>
            </w:r>
          </w:p>
        </w:tc>
        <w:tc>
          <w:tcPr>
            <w:tcW w:w="0" w:type="dxa"/>
            <w:vAlign w:val="bottom"/>
          </w:tcPr>
          <w:p>
            <w:pPr>
              <w:spacing w:after="0"/>
              <w:rPr>
                <w:sz w:val="1"/>
                <w:szCs w:val="1"/>
                <w:color w:val="auto"/>
              </w:rPr>
            </w:pP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Fair value adjustment</w:t>
            </w:r>
          </w:p>
        </w:tc>
        <w:tc>
          <w:tcPr>
            <w:tcW w:w="180" w:type="dxa"/>
            <w:vAlign w:val="bottom"/>
          </w:tcPr>
          <w:p>
            <w:pPr>
              <w:spacing w:after="0"/>
              <w:rPr>
                <w:sz w:val="20"/>
                <w:szCs w:val="20"/>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(5,951)</w:t>
            </w:r>
          </w:p>
        </w:tc>
        <w:tc>
          <w:tcPr>
            <w:tcW w:w="0" w:type="dxa"/>
            <w:vAlign w:val="bottom"/>
          </w:tcPr>
          <w:p>
            <w:pPr>
              <w:spacing w:after="0"/>
              <w:rPr>
                <w:sz w:val="1"/>
                <w:szCs w:val="1"/>
                <w:color w:val="auto"/>
              </w:rPr>
            </w:pP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impact</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at June 30, 2018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9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60" w:right="180" w:hanging="252"/>
        <w:spacing w:after="0" w:line="258" w:lineRule="auto"/>
        <w:tabs>
          <w:tab w:leader="none" w:pos="233"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contingent consideration relates to the WIRmachenDUCK earn-out arrangement, which was paid on January 2, 2018. As of June 30, 2017, contingent consideration was classified as a current liability on the consolidated balance sheet. As of June 30, 2016 the liability was classified as a long-term liability on the consolidated balance sheet.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and June 30, 2017, the carrying amounts of our cash and cash equivalents, accounts receivable,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payable, and other current liabilities approximated their estimated fair values. As of June 30, 2018 and June 30, 2017 the carrying value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excluding debt issuance costs and debt discounts, was $839,429 and $882,578, respectively, and the fair value was $847,520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$906,744, respectively. Our debt at June 30, 2018 includes variable rate debt instruments indexed to LIBOR that resets periodically and fixed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rate debt instruments. The estimated fair value of our debt was determined using available market information based on recent trades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activity of debt instruments with substantially similar risks, terms and maturities, which fall within Level 2 under the fair value hierarchy.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assets and liabilities disclosed above may not be representative of actual values that could have been or will be realized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future.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the derivative is designated as a cash flow hedge or net investment hedge, then the effective portion of changes in the fair value of the derivative is recorded in accumulated other comprehensive loss and is subsequently reclassified into earnings in the period the hedged forecasted transaction affects earnings. If a derivative is deemed to be ineffective, then the ineffective portion of the change in fair value of the derivative is recognized directly in earnings. The change in the fair value of derivatives not designated as hedges is recognized directly in earnings, as a component of other (expense) income,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Interest Rate Risk</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 portion of six of our interest rate swap contracts was deemed to be ineffective during the year ended June 30, 2018 and during the year ended June 30, 2017 a portion of two of our interest rate swap contracts was deemed to be ineffective.</w:t>
      </w:r>
    </w:p>
    <w:p>
      <w:pPr>
        <w:spacing w:after="0" w:line="180"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Amounts reported in accumulated other comprehensive loss related to interest rate swap contracts will be reclassified to interest expense as interest payments are accrued or made on our variable-rate debt. As of June 30, 2018, we estimate that $730 of income will be reclassified from accumulated other comprehensive loss to interest expense during the twelve months ending June 30, 2019. As of June 30, 2018, we had nine outstanding interest rate swap contracts indexed to USD LIBOR. These instruments were designated as cash flow hedges of interest rate risk and have varying start dates and maturity dates through December 2025.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76"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Interest rate swap contracts outstanding:</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Notional Amounts</w:t>
            </w:r>
          </w:p>
        </w:tc>
      </w:tr>
      <w:tr>
        <w:trPr>
          <w:trHeight w:val="25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Contracts accruing interest as of June 30, 2018</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115,000</w:t>
            </w:r>
          </w:p>
        </w:tc>
      </w:tr>
      <w:tr>
        <w:trPr>
          <w:trHeight w:val="264"/>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Contracts with a future start date</w:t>
            </w:r>
          </w:p>
        </w:tc>
        <w:tc>
          <w:tcPr>
            <w:tcW w:w="3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300,000</w:t>
            </w:r>
          </w:p>
        </w:tc>
      </w:tr>
      <w:tr>
        <w:trPr>
          <w:trHeight w:val="24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415,000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Currency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 Contracts</w:t>
      </w:r>
    </w:p>
    <w:p>
      <w:pPr>
        <w:spacing w:after="0" w:line="27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From time to time, we execute cross-currency swap contracts designated as cash flow hedges or net investment hedges. Cross-currency swaps involve an initial receipt of the notional amount in the hedge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23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June 30, 2018, we had two outstanding cross-currency swap contracts designated as cash flow hedges with a total notional amount of $120,011, both maturing during June 2019. We entered into the two cross-currency swap contracts to hedge the risk of changes in one Euro denominated intercompany loan entered into with one of our consolidated subsidiaries that has the Euro as its functional currency.</w:t>
      </w:r>
    </w:p>
    <w:p>
      <w:pPr>
        <w:spacing w:after="0" w:line="23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Amounts reported in accumulated other comprehensive loss will be reclassified to other (expense) income, net as interest payments are accrued or paid and upon remeasuring the intercompany loan. As of June 30, 2018, we estimate that $1,387 of income will be reclassified from accumulated other comprehensive loss to interest expense, net during the twelve months ending June 30, 2019.</w:t>
      </w:r>
    </w:p>
    <w:p>
      <w:pPr>
        <w:spacing w:after="0" w:line="229"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Cross-currency swap contracts designated as net investment hedges are executed to mitigate our currency exposure of net investments in subsidiaries that have reporting currencies other than the U.S. Dollar. As of June 30, 2018, we had two outstanding cross-currency swap contracts designated as net investment hedges with a total notional amount of $122,969, both maturing during April 2019. We entered into the two cross-currency swap contracts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236" w:lineRule="exact"/>
        <w:rPr>
          <w:sz w:val="20"/>
          <w:szCs w:val="20"/>
          <w:color w:val="auto"/>
        </w:rPr>
      </w:pPr>
    </w:p>
    <w:p>
      <w:pPr>
        <w:ind w:right="2100" w:firstLine="648"/>
        <w:spacing w:after="0" w:line="481" w:lineRule="auto"/>
        <w:rPr>
          <w:sz w:val="20"/>
          <w:szCs w:val="20"/>
          <w:color w:val="auto"/>
        </w:rPr>
      </w:pPr>
      <w:r>
        <w:rPr>
          <w:rFonts w:ascii="Arial" w:cs="Arial" w:eastAsia="Arial" w:hAnsi="Arial"/>
          <w:sz w:val="18"/>
          <w:szCs w:val="18"/>
          <w:color w:val="auto"/>
        </w:rPr>
        <w:t xml:space="preserve">We did not hold any ineffective cross-currency swaps during the years ended June 30, 2018, 2017 and 2016. </w:t>
      </w:r>
      <w:r>
        <w:rPr>
          <w:rFonts w:ascii="Arial" w:cs="Arial" w:eastAsia="Arial" w:hAnsi="Arial"/>
          <w:sz w:val="18"/>
          <w:szCs w:val="18"/>
          <w:i w:val="1"/>
          <w:iCs w:val="1"/>
          <w:color w:val="auto"/>
        </w:rPr>
        <w:t>Other Currency Contracts</w:t>
      </w:r>
    </w:p>
    <w:p>
      <w:pPr>
        <w:spacing w:after="0" w:line="62"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execute currency forward and option contracts in order to mitigate our exposure to fluctuations in various currencies against our reporting currency, the U.S. Dollar.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we had six currency forward contracts designated as net investment hedges with a total notional amount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$175,262, maturing during various dates through October 2022. We entered into these contracts to hedge the risk of changes in the U.S. Dollar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equivalent value of a portion of our net investment in two consolidated subsidiaries that have Euro as their functional currency.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reported in accumulated other comprehensive loss are recognized as a component of our cumulative translation adjustment.</w:t>
      </w:r>
    </w:p>
    <w:p>
      <w:pPr>
        <w:spacing w:after="0" w:line="19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have elected to not apply hedge accounting for all other currency forward and option contracts. During the years ended June 30, 2018, 2017 and 2016, we have experienced volatility within other (expense)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54" w:right="239" w:bottom="1440" w:gutter="0" w:footer="0" w:header="0"/>
        </w:sectPr>
      </w:pPr>
    </w:p>
    <w:bookmarkStart w:id="76" w:name="page77"/>
    <w:bookmarkEnd w:id="76"/>
    <w:p>
      <w:pPr>
        <w:ind w:right="100"/>
        <w:spacing w:after="0" w:line="262" w:lineRule="auto"/>
        <w:rPr>
          <w:sz w:val="20"/>
          <w:szCs w:val="20"/>
          <w:color w:val="auto"/>
        </w:rPr>
      </w:pPr>
      <w:r>
        <w:rPr>
          <w:rFonts w:ascii="Arial" w:cs="Arial" w:eastAsia="Arial" w:hAnsi="Arial"/>
          <w:sz w:val="18"/>
          <w:szCs w:val="18"/>
          <w:color w:val="auto"/>
        </w:rPr>
        <w:t>financial metrics that exclude non-cash items such as depreciation and amortization, we may experience increased, not decreased, volatility in our GAAP results as a result of our currency hedging program.</w:t>
      </w:r>
    </w:p>
    <w:p>
      <w:pPr>
        <w:spacing w:after="0" w:line="16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As of June 30, 2018, we had the following outstanding currency derivative contracts that were not designated for hedge accounting and were used to hedge fluctuations in the U.S. Dollar value of forecasted transactions denominated in Australian Dollar, British Pound, Canadian Dollar, Danish Krone, Euro, Indian Rupee, Mexican Peso, New Zealand Dollar, Norwegian Krone, Philippine Peso and Swedish Krona: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Notional Amount</w:t>
            </w:r>
          </w:p>
        </w:tc>
        <w:tc>
          <w:tcPr>
            <w:tcW w:w="120" w:type="dxa"/>
            <w:vAlign w:val="bottom"/>
            <w:tcBorders>
              <w:bottom w:val="single" w:sz="8" w:color="CCEEFF"/>
            </w:tcBorders>
          </w:tcPr>
          <w:p>
            <w:pPr>
              <w:spacing w:after="0"/>
              <w:rPr>
                <w:sz w:val="17"/>
                <w:szCs w:val="17"/>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Date</w:t>
            </w:r>
          </w:p>
        </w:tc>
        <w:tc>
          <w:tcPr>
            <w:tcW w:w="12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Instruments</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217"/>
        </w:trPr>
        <w:tc>
          <w:tcPr>
            <w:tcW w:w="1840" w:type="dxa"/>
            <w:vAlign w:val="bottom"/>
            <w:vMerge w:val="restart"/>
            <w:shd w:val="clear" w:color="auto" w:fill="CCEEFF"/>
          </w:tcPr>
          <w:p>
            <w:pPr>
              <w:jc w:val="right"/>
              <w:ind w:right="503"/>
              <w:spacing w:after="0"/>
              <w:rPr>
                <w:sz w:val="20"/>
                <w:szCs w:val="20"/>
                <w:color w:val="auto"/>
              </w:rPr>
            </w:pPr>
            <w:r>
              <w:rPr>
                <w:rFonts w:ascii="Arial" w:cs="Arial" w:eastAsia="Arial" w:hAnsi="Arial"/>
                <w:sz w:val="16"/>
                <w:szCs w:val="16"/>
                <w:color w:val="auto"/>
              </w:rPr>
              <w:t>$606,461</w:t>
            </w:r>
          </w:p>
        </w:tc>
        <w:tc>
          <w:tcPr>
            <w:tcW w:w="120" w:type="dxa"/>
            <w:vAlign w:val="bottom"/>
            <w:shd w:val="clear" w:color="auto" w:fill="CCEEFF"/>
          </w:tcPr>
          <w:p>
            <w:pPr>
              <w:spacing w:after="0"/>
              <w:rPr>
                <w:sz w:val="18"/>
                <w:szCs w:val="18"/>
                <w:color w:val="auto"/>
              </w:rPr>
            </w:pPr>
          </w:p>
        </w:tc>
        <w:tc>
          <w:tcPr>
            <w:tcW w:w="25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March 2017 through June 2018</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Various dates through June</w:t>
            </w:r>
          </w:p>
        </w:tc>
        <w:tc>
          <w:tcPr>
            <w:tcW w:w="2160" w:type="dxa"/>
            <w:vAlign w:val="bottom"/>
            <w:vMerge w:val="restart"/>
            <w:shd w:val="clear" w:color="auto" w:fill="CCEEFF"/>
          </w:tcPr>
          <w:p>
            <w:pPr>
              <w:jc w:val="right"/>
              <w:ind w:right="883"/>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8"/>
                <w:szCs w:val="18"/>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00"/>
        </w:trPr>
        <w:tc>
          <w:tcPr>
            <w:tcW w:w="1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540" w:type="dxa"/>
            <w:vAlign w:val="bottom"/>
            <w:gridSpan w:val="2"/>
            <w:vMerge w:val="continue"/>
            <w:shd w:val="clear" w:color="auto" w:fill="CCEEFF"/>
          </w:tcPr>
          <w:p>
            <w:pPr>
              <w:spacing w:after="0"/>
              <w:rPr>
                <w:sz w:val="8"/>
                <w:szCs w:val="8"/>
                <w:color w:val="auto"/>
              </w:rPr>
            </w:pP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 Presentation</w:t>
      </w:r>
    </w:p>
    <w:p>
      <w:pPr>
        <w:spacing w:after="0" w:line="22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 table below presents the fair value of our derivative financial instruments as well as their classification on the balance sheet as of June 30, 2018 and June 30, 2017. Our derivative asset and liability balances will fluctuate with interest rate and currency exchange rate volatility.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June 30, 2018</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13,374</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13,370</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0" w:type="dxa"/>
            <w:vAlign w:val="bottom"/>
          </w:tcPr>
          <w:p>
            <w:pPr>
              <w:spacing w:after="0"/>
              <w:rPr>
                <w:sz w:val="1"/>
                <w:szCs w:val="1"/>
                <w:color w:val="auto"/>
              </w:rPr>
            </w:pPr>
          </w:p>
        </w:tc>
      </w:tr>
      <w:tr>
        <w:trPr>
          <w:trHeight w:val="140"/>
        </w:trPr>
        <w:tc>
          <w:tcPr>
            <w:tcW w:w="178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95"/>
              </w:rPr>
              <w:t>Derivatives in net investment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(13,387)</w:t>
            </w:r>
          </w:p>
        </w:tc>
        <w:tc>
          <w:tcPr>
            <w:tcW w:w="0" w:type="dxa"/>
            <w:vAlign w:val="bottom"/>
          </w:tcPr>
          <w:p>
            <w:pPr>
              <w:spacing w:after="0"/>
              <w:rPr>
                <w:sz w:val="1"/>
                <w:szCs w:val="1"/>
                <w:color w:val="auto"/>
              </w:rPr>
            </w:pPr>
          </w:p>
        </w:tc>
      </w:tr>
      <w:tr>
        <w:trPr>
          <w:trHeight w:val="180"/>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13,374</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13,370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(38,735)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(38,735)</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9,202</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12,215</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10,984</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71"/>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7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June 30, 2017</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2,072</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1,717</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(7,640)</w:t>
            </w:r>
          </w:p>
        </w:tc>
        <w:tc>
          <w:tcPr>
            <w:tcW w:w="0" w:type="dxa"/>
            <w:vAlign w:val="bottom"/>
          </w:tcPr>
          <w:p>
            <w:pPr>
              <w:spacing w:after="0"/>
              <w:rPr>
                <w:sz w:val="1"/>
                <w:szCs w:val="1"/>
                <w:color w:val="auto"/>
              </w:rPr>
            </w:pPr>
          </w:p>
        </w:tc>
      </w:tr>
      <w:tr>
        <w:trPr>
          <w:trHeight w:val="140"/>
        </w:trPr>
        <w:tc>
          <w:tcPr>
            <w:tcW w:w="178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95"/>
              </w:rPr>
              <w:t>Derivatives in net investment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(9,896)</w:t>
            </w:r>
          </w:p>
        </w:tc>
        <w:tc>
          <w:tcPr>
            <w:tcW w:w="0" w:type="dxa"/>
            <w:vAlign w:val="bottom"/>
          </w:tcPr>
          <w:p>
            <w:pPr>
              <w:spacing w:after="0"/>
              <w:rPr>
                <w:sz w:val="1"/>
                <w:szCs w:val="1"/>
                <w:color w:val="auto"/>
              </w:rPr>
            </w:pPr>
          </w:p>
        </w:tc>
      </w:tr>
      <w:tr>
        <w:trPr>
          <w:trHeight w:val="180"/>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2,072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1,717</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(30,139)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(30,139)</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(4,804)</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1780" w:type="dxa"/>
            <w:vAlign w:val="bottom"/>
            <w:vMerge w:val="restart"/>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000" w:type="dxa"/>
            <w:vAlign w:val="bottom"/>
            <w:gridSpan w:val="2"/>
          </w:tcPr>
          <w:p>
            <w:pPr>
              <w:ind w:left="20"/>
              <w:spacing w:after="0" w:line="119" w:lineRule="exact"/>
              <w:rPr>
                <w:sz w:val="20"/>
                <w:szCs w:val="20"/>
                <w:color w:val="auto"/>
              </w:rPr>
            </w:pPr>
            <w:r>
              <w:rPr>
                <w:rFonts w:ascii="Arial" w:cs="Arial" w:eastAsia="Arial" w:hAnsi="Arial"/>
                <w:sz w:val="13"/>
                <w:szCs w:val="13"/>
                <w:color w:val="auto"/>
              </w:rPr>
              <w:t>liabilities /</w:t>
            </w: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78"/>
        </w:trPr>
        <w:tc>
          <w:tcPr>
            <w:tcW w:w="1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other liabilities</w:t>
            </w: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(8,684)</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3,229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(5,455)</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60" w:firstLine="648"/>
        <w:spacing w:after="0" w:line="262" w:lineRule="auto"/>
        <w:rPr>
          <w:sz w:val="20"/>
          <w:szCs w:val="20"/>
          <w:color w:val="auto"/>
        </w:rPr>
      </w:pPr>
      <w:r>
        <w:rPr>
          <w:rFonts w:ascii="Arial" w:cs="Arial" w:eastAsia="Arial" w:hAnsi="Arial"/>
          <w:sz w:val="18"/>
          <w:szCs w:val="18"/>
          <w:color w:val="auto"/>
        </w:rPr>
        <w:t>The following table presents the effect of the effective portion of our derivative financial instruments designated as hedging instruments and their classification within comprehensive income (loss) for the years ended June 30, 2018, 2017 and 2016:</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in Hedging Relationships</w:t>
            </w:r>
          </w:p>
        </w:tc>
        <w:tc>
          <w:tcPr>
            <w:tcW w:w="4680" w:type="dxa"/>
            <w:vAlign w:val="bottom"/>
            <w:gridSpan w:val="8"/>
          </w:tcPr>
          <w:p>
            <w:pPr>
              <w:jc w:val="center"/>
              <w:spacing w:after="0"/>
              <w:rPr>
                <w:sz w:val="20"/>
                <w:szCs w:val="20"/>
                <w:color w:val="auto"/>
              </w:rPr>
            </w:pPr>
            <w:r>
              <w:rPr>
                <w:rFonts w:ascii="Arial" w:cs="Arial" w:eastAsia="Arial" w:hAnsi="Arial"/>
                <w:sz w:val="13"/>
                <w:szCs w:val="13"/>
                <w:b w:val="1"/>
                <w:bCs w:val="1"/>
                <w:color w:val="auto"/>
                <w:w w:val="96"/>
              </w:rPr>
              <w:t>Amount of Gain (Loss) Recognized in Comprehensive Income (Loss) on</w:t>
            </w:r>
          </w:p>
        </w:tc>
        <w:tc>
          <w:tcPr>
            <w:tcW w:w="0" w:type="dxa"/>
            <w:vAlign w:val="bottom"/>
          </w:tcPr>
          <w:p>
            <w:pPr>
              <w:spacing w:after="0"/>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Derivatives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 June 30,</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Interest rate swaps</w:t>
            </w:r>
          </w:p>
        </w:tc>
        <w:tc>
          <w:tcPr>
            <w:tcW w:w="920" w:type="dxa"/>
            <w:vAlign w:val="bottom"/>
          </w:tcPr>
          <w:p>
            <w:pPr>
              <w:jc w:val="right"/>
              <w:ind w:right="728"/>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8,545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6"/>
              <w:spacing w:after="0"/>
              <w:rPr>
                <w:sz w:val="20"/>
                <w:szCs w:val="20"/>
                <w:color w:val="auto"/>
              </w:rPr>
            </w:pPr>
            <w:r>
              <w:rPr>
                <w:rFonts w:ascii="Arial" w:cs="Arial" w:eastAsia="Arial" w:hAnsi="Arial"/>
                <w:sz w:val="16"/>
                <w:szCs w:val="16"/>
                <w:color w:val="auto"/>
              </w:rPr>
              <w:t>2,287</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9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9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forward contracts</w:t>
            </w:r>
          </w:p>
        </w:tc>
        <w:tc>
          <w:tcPr>
            <w:tcW w:w="9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12" w:right="239" w:bottom="1440" w:gutter="0" w:footer="0" w:header="0"/>
        </w:sectPr>
      </w:pPr>
    </w:p>
    <w:bookmarkStart w:id="78" w:name="page79"/>
    <w:bookmarkEnd w:id="78"/>
    <w:p>
      <w:pPr>
        <w:ind w:right="240" w:firstLine="648"/>
        <w:spacing w:after="0" w:line="262" w:lineRule="auto"/>
        <w:rPr>
          <w:sz w:val="20"/>
          <w:szCs w:val="20"/>
          <w:color w:val="auto"/>
        </w:rPr>
      </w:pPr>
      <w:r>
        <w:rPr>
          <w:rFonts w:ascii="Arial" w:cs="Arial" w:eastAsia="Arial" w:hAnsi="Arial"/>
          <w:sz w:val="18"/>
          <w:szCs w:val="18"/>
          <w:color w:val="auto"/>
        </w:rPr>
        <w:t>The following table presents reclassifications out of accumulated other comprehensive loss for the years ended June 30, 2018, 2017 and 2016:</w:t>
      </w:r>
    </w:p>
    <w:p>
      <w:pPr>
        <w:sectPr>
          <w:pgSz w:w="11900" w:h="16838" w:orient="portrait"/>
          <w:cols w:equalWidth="0" w:num="1">
            <w:col w:w="11420"/>
          </w:cols>
          <w:pgMar w:left="240" w:top="571" w:right="239" w:bottom="1440" w:gutter="0" w:footer="0" w:header="0"/>
        </w:sectPr>
      </w:pP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260" w:type="dxa"/>
            <w:vAlign w:val="bottom"/>
          </w:tcPr>
          <w:p>
            <w:pPr>
              <w:spacing w:after="0"/>
              <w:rPr>
                <w:sz w:val="20"/>
                <w:szCs w:val="20"/>
                <w:color w:val="auto"/>
              </w:rPr>
            </w:pPr>
            <w:r>
              <w:rPr>
                <w:rFonts w:ascii="Arial" w:cs="Arial" w:eastAsia="Arial" w:hAnsi="Arial"/>
                <w:sz w:val="14"/>
                <w:szCs w:val="14"/>
                <w:b w:val="1"/>
                <w:bCs w:val="1"/>
                <w:color w:val="auto"/>
              </w:rPr>
              <w:t>Details about Accumulated Other</w:t>
            </w: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60" w:type="dxa"/>
            <w:vAlign w:val="bottom"/>
            <w:gridSpan w:val="7"/>
          </w:tcPr>
          <w:p>
            <w:pPr>
              <w:jc w:val="center"/>
              <w:ind w:right="82"/>
              <w:spacing w:after="0"/>
              <w:rPr>
                <w:sz w:val="20"/>
                <w:szCs w:val="20"/>
                <w:color w:val="auto"/>
              </w:rPr>
            </w:pPr>
            <w:r>
              <w:rPr>
                <w:rFonts w:ascii="Arial" w:cs="Arial" w:eastAsia="Arial" w:hAnsi="Arial"/>
                <w:sz w:val="13"/>
                <w:szCs w:val="13"/>
                <w:b w:val="1"/>
                <w:bCs w:val="1"/>
                <w:color w:val="auto"/>
                <w:w w:val="96"/>
              </w:rPr>
              <w:t>Amount of Net Gain (Loss) Reclassified from Accumulated Other</w:t>
            </w:r>
          </w:p>
        </w:tc>
      </w:tr>
      <w:tr>
        <w:trPr>
          <w:trHeight w:val="189"/>
        </w:trPr>
        <w:tc>
          <w:tcPr>
            <w:tcW w:w="3260" w:type="dxa"/>
            <w:vAlign w:val="bottom"/>
          </w:tcPr>
          <w:p>
            <w:pPr>
              <w:spacing w:after="0"/>
              <w:rPr>
                <w:sz w:val="20"/>
                <w:szCs w:val="20"/>
                <w:color w:val="auto"/>
              </w:rPr>
            </w:pPr>
            <w:r>
              <w:rPr>
                <w:rFonts w:ascii="Arial" w:cs="Arial" w:eastAsia="Arial" w:hAnsi="Arial"/>
                <w:sz w:val="14"/>
                <w:szCs w:val="14"/>
                <w:b w:val="1"/>
                <w:bCs w:val="1"/>
                <w:color w:val="auto"/>
              </w:rPr>
              <w:t>Comprehensive Loss Components</w:t>
            </w:r>
          </w:p>
        </w:tc>
        <w:tc>
          <w:tcPr>
            <w:tcW w:w="1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center"/>
              <w:ind w:left="626"/>
              <w:spacing w:after="0"/>
              <w:rPr>
                <w:sz w:val="20"/>
                <w:szCs w:val="20"/>
                <w:color w:val="auto"/>
              </w:rPr>
            </w:pPr>
            <w:r>
              <w:rPr>
                <w:rFonts w:ascii="Arial" w:cs="Arial" w:eastAsia="Arial" w:hAnsi="Arial"/>
                <w:sz w:val="13"/>
                <w:szCs w:val="13"/>
                <w:b w:val="1"/>
                <w:bCs w:val="1"/>
                <w:color w:val="auto"/>
                <w:w w:val="97"/>
              </w:rPr>
              <w:t>Comprehensive Income (Loss) into Income</w:t>
            </w:r>
          </w:p>
        </w:tc>
        <w:tc>
          <w:tcPr>
            <w:tcW w:w="840" w:type="dxa"/>
            <w:vAlign w:val="bottom"/>
            <w:tcBorders>
              <w:bottom w:val="single" w:sz="8" w:color="auto"/>
            </w:tcBorders>
          </w:tcPr>
          <w:p>
            <w:pPr>
              <w:spacing w:after="0"/>
              <w:rPr>
                <w:sz w:val="16"/>
                <w:szCs w:val="16"/>
                <w:color w:val="auto"/>
              </w:rPr>
            </w:pPr>
          </w:p>
        </w:tc>
      </w:tr>
      <w:tr>
        <w:trPr>
          <w:trHeight w:val="257"/>
        </w:trPr>
        <w:tc>
          <w:tcPr>
            <w:tcW w:w="3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5"/>
              </w:rPr>
              <w:t>Year Ended June 30,</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r>
      <w:tr>
        <w:trPr>
          <w:trHeight w:val="264"/>
        </w:trPr>
        <w:tc>
          <w:tcPr>
            <w:tcW w:w="3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62"/>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w w:val="96"/>
              </w:rPr>
              <w:t>2016</w:t>
            </w:r>
          </w:p>
        </w:tc>
      </w:tr>
      <w:tr>
        <w:trPr>
          <w:trHeight w:val="258"/>
        </w:trPr>
        <w:tc>
          <w:tcPr>
            <w:tcW w:w="3260" w:type="dxa"/>
            <w:vAlign w:val="bottom"/>
          </w:tcPr>
          <w:p>
            <w:pPr>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4"/>
                <w:szCs w:val="14"/>
                <w:color w:val="auto"/>
              </w:rPr>
              <w:t>Interest rate swaps</w:t>
            </w:r>
          </w:p>
        </w:tc>
        <w:tc>
          <w:tcPr>
            <w:tcW w:w="1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6"/>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3"/>
                <w:szCs w:val="23"/>
                <w:color w:val="auto"/>
              </w:rPr>
            </w:pPr>
          </w:p>
        </w:tc>
        <w:tc>
          <w:tcPr>
            <w:tcW w:w="34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3"/>
                <w:szCs w:val="23"/>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(947)</w:t>
            </w:r>
          </w:p>
        </w:tc>
      </w:tr>
      <w:tr>
        <w:trPr>
          <w:trHeight w:val="276"/>
        </w:trPr>
        <w:tc>
          <w:tcPr>
            <w:tcW w:w="3260" w:type="dxa"/>
            <w:vAlign w:val="bottom"/>
          </w:tcPr>
          <w:p>
            <w:pPr>
              <w:spacing w:after="0"/>
              <w:rPr>
                <w:sz w:val="20"/>
                <w:szCs w:val="20"/>
                <w:color w:val="auto"/>
              </w:rPr>
            </w:pPr>
            <w:r>
              <w:rPr>
                <w:rFonts w:ascii="Arial" w:cs="Arial" w:eastAsia="Arial" w:hAnsi="Arial"/>
                <w:sz w:val="14"/>
                <w:szCs w:val="14"/>
                <w:color w:val="auto"/>
              </w:rPr>
              <w:t>Cross-currency swaps</w:t>
            </w:r>
          </w:p>
        </w:tc>
        <w:tc>
          <w:tcPr>
            <w:tcW w:w="1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w:t>
            </w:r>
          </w:p>
        </w:tc>
      </w:tr>
      <w:tr>
        <w:trPr>
          <w:trHeight w:val="352"/>
        </w:trPr>
        <w:tc>
          <w:tcPr>
            <w:tcW w:w="326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4"/>
                <w:szCs w:val="14"/>
                <w:color w:val="auto"/>
              </w:rPr>
              <w:t>Total before income tax</w:t>
            </w:r>
          </w:p>
        </w:tc>
        <w:tc>
          <w:tcPr>
            <w:tcW w:w="122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(2,118)</w:t>
            </w:r>
          </w:p>
        </w:tc>
      </w:tr>
      <w:tr>
        <w:trPr>
          <w:trHeight w:val="276"/>
        </w:trPr>
        <w:tc>
          <w:tcPr>
            <w:tcW w:w="3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Income tax</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531</w:t>
            </w:r>
          </w:p>
        </w:tc>
      </w:tr>
      <w:tr>
        <w:trPr>
          <w:trHeight w:val="243"/>
        </w:trPr>
        <w:tc>
          <w:tcPr>
            <w:tcW w:w="3260" w:type="dxa"/>
            <w:vAlign w:val="bottom"/>
          </w:tcPr>
          <w:p>
            <w:pPr>
              <w:spacing w:after="0"/>
              <w:rPr>
                <w:sz w:val="21"/>
                <w:szCs w:val="21"/>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1"/>
                <w:szCs w:val="21"/>
                <w:color w:val="auto"/>
              </w:rPr>
            </w:pPr>
          </w:p>
        </w:tc>
        <w:tc>
          <w:tcPr>
            <w:tcW w:w="34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(1,369)</w:t>
            </w:r>
          </w:p>
        </w:tc>
        <w:tc>
          <w:tcPr>
            <w:tcW w:w="120" w:type="dxa"/>
            <w:vAlign w:val="bottom"/>
          </w:tcPr>
          <w:p>
            <w:pPr>
              <w:spacing w:after="0"/>
              <w:rPr>
                <w:sz w:val="21"/>
                <w:szCs w:val="21"/>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(1,587)</w:t>
            </w:r>
          </w:p>
        </w:tc>
      </w:tr>
      <w:tr>
        <w:trPr>
          <w:trHeight w:val="20"/>
        </w:trPr>
        <w:tc>
          <w:tcPr>
            <w:tcW w:w="3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-942975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80" w:right="300" w:firstLine="21"/>
        <w:spacing w:after="0" w:line="287" w:lineRule="auto"/>
        <w:rPr>
          <w:sz w:val="20"/>
          <w:szCs w:val="20"/>
          <w:color w:val="auto"/>
        </w:rPr>
      </w:pPr>
      <w:r>
        <w:rPr>
          <w:rFonts w:ascii="Arial" w:cs="Arial" w:eastAsia="Arial" w:hAnsi="Arial"/>
          <w:sz w:val="12"/>
          <w:szCs w:val="12"/>
          <w:b w:val="1"/>
          <w:bCs w:val="1"/>
          <w:color w:val="auto"/>
        </w:rPr>
        <w:t>Affected line item in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-6350</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expense,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(expense) income, net</w:t>
      </w:r>
    </w:p>
    <w:p>
      <w:pPr>
        <w:spacing w:after="0" w:line="55" w:lineRule="exact"/>
        <w:rPr>
          <w:sz w:val="20"/>
          <w:szCs w:val="20"/>
          <w:color w:val="auto"/>
        </w:rPr>
      </w:pPr>
    </w:p>
    <w:p>
      <w:pPr>
        <w:jc w:val="center"/>
        <w:ind w:right="120"/>
        <w:spacing w:after="0" w:line="258" w:lineRule="auto"/>
        <w:rPr>
          <w:sz w:val="20"/>
          <w:szCs w:val="20"/>
          <w:color w:val="auto"/>
        </w:rPr>
      </w:pPr>
      <w:r>
        <w:rPr>
          <w:rFonts w:ascii="Arial" w:cs="Arial" w:eastAsia="Arial" w:hAnsi="Arial"/>
          <w:sz w:val="14"/>
          <w:szCs w:val="14"/>
          <w:color w:val="auto"/>
        </w:rPr>
        <w:t>Income (loss) before income taxes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Income tax expense</w:t>
      </w:r>
    </w:p>
    <w:p>
      <w:pPr>
        <w:spacing w:after="0" w:line="520" w:lineRule="exact"/>
        <w:rPr>
          <w:sz w:val="20"/>
          <w:szCs w:val="20"/>
          <w:color w:val="auto"/>
        </w:rPr>
      </w:pPr>
    </w:p>
    <w:p>
      <w:pPr>
        <w:sectPr>
          <w:pgSz w:w="11900" w:h="16838" w:orient="portrait"/>
          <w:cols w:equalWidth="0" w:num="2">
            <w:col w:w="9260" w:space="220"/>
            <w:col w:w="1940"/>
          </w:cols>
          <w:pgMar w:left="240" w:top="571" w:right="239" w:bottom="1440" w:gutter="0" w:footer="0" w:header="0"/>
          <w:type w:val="continuous"/>
        </w:sectPr>
      </w:pPr>
    </w:p>
    <w:p>
      <w:pPr>
        <w:spacing w:after="0" w:line="69"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The following table presents the adjustment to fair value recorded within the consolidated statements of operations for derivative instruments for which we did not elect hedge accounting, as well as the effect of the ineffective portion and de-designated derivative financial instruments that no longer qualify as hedging instruments in the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6"/>
              </w:rPr>
              <w:t>Location of Gain (Loss)</w:t>
            </w:r>
          </w:p>
        </w:tc>
      </w:tr>
      <w:tr>
        <w:trPr>
          <w:trHeight w:val="135"/>
        </w:trPr>
        <w:tc>
          <w:tcPr>
            <w:tcW w:w="4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Recognized in Income</w:t>
            </w:r>
          </w:p>
        </w:tc>
      </w:tr>
      <w:tr>
        <w:trPr>
          <w:trHeight w:val="178"/>
        </w:trPr>
        <w:tc>
          <w:tcPr>
            <w:tcW w:w="4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7"/>
          </w:tcPr>
          <w:p>
            <w:pPr>
              <w:jc w:val="center"/>
              <w:ind w:right="183"/>
              <w:spacing w:after="0"/>
              <w:rPr>
                <w:sz w:val="20"/>
                <w:szCs w:val="20"/>
                <w:color w:val="auto"/>
              </w:rPr>
            </w:pPr>
            <w:r>
              <w:rPr>
                <w:rFonts w:ascii="Arial" w:cs="Arial" w:eastAsia="Arial" w:hAnsi="Arial"/>
                <w:sz w:val="13"/>
                <w:szCs w:val="13"/>
                <w:b w:val="1"/>
                <w:bCs w:val="1"/>
                <w:color w:val="auto"/>
                <w:w w:val="97"/>
              </w:rPr>
              <w:t>Amount of Gain (Loss) Recognized in Net Income (Loss)</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(Ineffective Portion)</w:t>
            </w:r>
          </w:p>
        </w:tc>
      </w:tr>
      <w:tr>
        <w:trPr>
          <w:trHeight w:val="264"/>
        </w:trPr>
        <w:tc>
          <w:tcPr>
            <w:tcW w:w="49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5"/>
              </w:rPr>
              <w:t>Year Ended June 30,</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63"/>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spacing w:after="0"/>
              <w:rPr>
                <w:sz w:val="22"/>
                <w:szCs w:val="22"/>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Currency contracts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(2,942)</w:t>
            </w:r>
          </w:p>
        </w:tc>
        <w:tc>
          <w:tcPr>
            <w:tcW w:w="100" w:type="dxa"/>
            <w:vAlign w:val="bottom"/>
          </w:tcPr>
          <w:p>
            <w:pPr>
              <w:spacing w:after="0"/>
              <w:rPr>
                <w:sz w:val="22"/>
                <w:szCs w:val="22"/>
                <w:color w:val="auto"/>
              </w:rPr>
            </w:pPr>
          </w:p>
        </w:tc>
        <w:tc>
          <w:tcPr>
            <w:tcW w:w="34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14,037</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Other (expense) income, net</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Other (expense) income, net</w:t>
            </w:r>
          </w:p>
        </w:tc>
      </w:tr>
      <w:tr>
        <w:trPr>
          <w:trHeight w:val="236"/>
        </w:trPr>
        <w:tc>
          <w:tcPr>
            <w:tcW w:w="49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14,026</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71" w:right="2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220"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The following table presents a roll forward of amounts recognized in accumulated other comprehensive loss by component, net of tax of $1,371, $(710), and $293 for the years ended June 30, 2018, 2017 and 2016: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Gains (losses) on</w:t>
            </w:r>
          </w:p>
        </w:tc>
        <w:tc>
          <w:tcPr>
            <w:tcW w:w="14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Gains (losses) on</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Translation</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Gains (losses) on</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available for sale</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pension benefit</w:t>
            </w:r>
          </w:p>
        </w:tc>
        <w:tc>
          <w:tcPr>
            <w:tcW w:w="14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adjustments, net of</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cash flow hedges (1)</w:t>
            </w:r>
          </w:p>
        </w:tc>
        <w:tc>
          <w:tcPr>
            <w:tcW w:w="14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securities</w:t>
            </w:r>
          </w:p>
        </w:tc>
        <w:tc>
          <w:tcPr>
            <w:tcW w:w="14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obligation</w:t>
            </w:r>
          </w:p>
        </w:tc>
        <w:tc>
          <w:tcPr>
            <w:tcW w:w="2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hedges (2)</w:t>
            </w:r>
          </w:p>
        </w:tc>
        <w:tc>
          <w:tcPr>
            <w:tcW w:w="300" w:type="dxa"/>
            <w:vAlign w:val="bottom"/>
          </w:tcPr>
          <w:p>
            <w:pPr>
              <w:spacing w:after="0"/>
              <w:rPr>
                <w:sz w:val="15"/>
                <w:szCs w:val="15"/>
                <w:color w:val="auto"/>
              </w:rPr>
            </w:pPr>
          </w:p>
        </w:tc>
        <w:tc>
          <w:tcPr>
            <w:tcW w:w="960" w:type="dxa"/>
            <w:vAlign w:val="bottom"/>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2,971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(97,363)</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(98,909)</w:t>
            </w:r>
          </w:p>
        </w:tc>
        <w:tc>
          <w:tcPr>
            <w:tcW w:w="0" w:type="dxa"/>
            <w:vAlign w:val="bottom"/>
          </w:tcPr>
          <w:p>
            <w:pPr>
              <w:spacing w:after="0"/>
              <w:rPr>
                <w:sz w:val="1"/>
                <w:szCs w:val="1"/>
                <w:color w:val="auto"/>
              </w:rPr>
            </w:pPr>
          </w:p>
        </w:tc>
      </w:tr>
      <w:tr>
        <w:trPr>
          <w:trHeight w:val="198"/>
        </w:trPr>
        <w:tc>
          <w:tcPr>
            <w:tcW w:w="4240" w:type="dxa"/>
            <w:vAlign w:val="bottom"/>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Arial" w:cs="Arial" w:eastAsia="Arial" w:hAnsi="Arial"/>
                <w:sz w:val="16"/>
                <w:szCs w:val="16"/>
                <w:color w:val="auto"/>
              </w:rPr>
              <w:t>reclassifications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(10,693)</w:t>
            </w: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comprehensive loss to net income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561</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(9,267)</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(9,106)</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June 30, 2016</w:t>
            </w:r>
          </w:p>
        </w:tc>
        <w:tc>
          <w:tcPr>
            <w:tcW w:w="1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3,488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(106,630)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(108,015)</w:t>
            </w:r>
          </w:p>
        </w:tc>
        <w:tc>
          <w:tcPr>
            <w:tcW w:w="0" w:type="dxa"/>
            <w:vAlign w:val="bottom"/>
          </w:tcPr>
          <w:p>
            <w:pPr>
              <w:spacing w:after="0"/>
              <w:rPr>
                <w:sz w:val="1"/>
                <w:szCs w:val="1"/>
                <w:color w:val="auto"/>
              </w:rPr>
            </w:pPr>
          </w:p>
        </w:tc>
      </w:tr>
      <w:tr>
        <w:trPr>
          <w:trHeight w:val="198"/>
        </w:trPr>
        <w:tc>
          <w:tcPr>
            <w:tcW w:w="4240" w:type="dxa"/>
            <w:vAlign w:val="bottom"/>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Arial" w:cs="Arial" w:eastAsia="Arial" w:hAnsi="Arial"/>
                <w:sz w:val="16"/>
                <w:szCs w:val="16"/>
                <w:color w:val="auto"/>
              </w:rPr>
              <w:t>reclassifications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2,194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(9,020)</w:t>
            </w: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comprehensive loss to net income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3,637</w:t>
            </w: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2,194</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(4,161)</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(5,383)</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June 30, 2017</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(113,398)</w:t>
            </w:r>
          </w:p>
        </w:tc>
        <w:tc>
          <w:tcPr>
            <w:tcW w:w="0" w:type="dxa"/>
            <w:vAlign w:val="bottom"/>
          </w:tcPr>
          <w:p>
            <w:pPr>
              <w:spacing w:after="0"/>
              <w:rPr>
                <w:sz w:val="1"/>
                <w:szCs w:val="1"/>
                <w:color w:val="auto"/>
              </w:rPr>
            </w:pPr>
          </w:p>
        </w:tc>
      </w:tr>
      <w:tr>
        <w:trPr>
          <w:trHeight w:val="198"/>
        </w:trPr>
        <w:tc>
          <w:tcPr>
            <w:tcW w:w="4240" w:type="dxa"/>
            <w:vAlign w:val="bottom"/>
          </w:tcPr>
          <w:p>
            <w:pPr>
              <w:ind w:left="40"/>
              <w:spacing w:after="0"/>
              <w:rPr>
                <w:sz w:val="20"/>
                <w:szCs w:val="20"/>
                <w:color w:val="auto"/>
              </w:rPr>
            </w:pPr>
            <w:r>
              <w:rPr>
                <w:rFonts w:ascii="Arial" w:cs="Arial" w:eastAsia="Arial" w:hAnsi="Arial"/>
                <w:sz w:val="16"/>
                <w:szCs w:val="16"/>
                <w:color w:val="auto"/>
              </w:rPr>
              <w:t>Amounts reclassified from accumulated other</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40"/>
              <w:spacing w:after="0"/>
              <w:rPr>
                <w:sz w:val="20"/>
                <w:szCs w:val="20"/>
                <w:color w:val="auto"/>
              </w:rPr>
            </w:pPr>
            <w:r>
              <w:rPr>
                <w:rFonts w:ascii="Arial" w:cs="Arial" w:eastAsia="Arial" w:hAnsi="Arial"/>
                <w:sz w:val="16"/>
                <w:szCs w:val="16"/>
                <w:color w:val="auto"/>
              </w:rPr>
              <w:t>comprehensive loss to retained earnings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reclassifications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11,521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32,782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44,362</w:t>
            </w:r>
          </w:p>
        </w:tc>
        <w:tc>
          <w:tcPr>
            <w:tcW w:w="0" w:type="dxa"/>
            <w:vAlign w:val="bottom"/>
          </w:tcPr>
          <w:p>
            <w:pPr>
              <w:spacing w:after="0"/>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comprehensive loss to net income (loss)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10,561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32,782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43,700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Balance as of June 30, 2018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8,195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5"/>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(78,009)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(69,814)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1"/>
                <w:szCs w:val="11"/>
                <w:color w:val="auto"/>
              </w:rPr>
              <w:t>________________________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2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Gains (losses) on cash flow hedges include our interest rate swap and cross-currency swap contracts designated in cash flow hedging relationships.</w:t>
      </w:r>
    </w:p>
    <w:p>
      <w:pPr>
        <w:spacing w:after="0" w:line="1" w:lineRule="exact"/>
        <w:rPr>
          <w:rFonts w:ascii="Arial" w:cs="Arial" w:eastAsia="Arial" w:hAnsi="Arial"/>
          <w:sz w:val="14"/>
          <w:szCs w:val="14"/>
          <w:color w:val="auto"/>
        </w:rPr>
      </w:pPr>
    </w:p>
    <w:p>
      <w:pPr>
        <w:ind w:left="260" w:right="220" w:hanging="252"/>
        <w:spacing w:after="0" w:line="258" w:lineRule="auto"/>
        <w:tabs>
          <w:tab w:leader="none" w:pos="233"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June 30, 2018, 2017 and 2016, the translation adjustment is inclusive of the effects of our net investment hedges, of which, unrealized losses of $22,014, $17,048, and $4,965 respectively, net of tax, have been included in accumulated other comprehensive loss.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3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3"/>
                <w:szCs w:val="13"/>
                <w:b w:val="1"/>
                <w:bCs w:val="1"/>
                <w:color w:val="auto"/>
              </w:rPr>
              <w:t>June 30,</w:t>
            </w:r>
          </w:p>
        </w:tc>
        <w:tc>
          <w:tcPr>
            <w:tcW w:w="980" w:type="dxa"/>
            <w:vAlign w:val="bottom"/>
            <w:tcBorders>
              <w:bottom w:val="single" w:sz="8" w:color="auto"/>
            </w:tcBorders>
          </w:tcPr>
          <w:p>
            <w:pPr>
              <w:spacing w:after="0"/>
              <w:rPr>
                <w:sz w:val="15"/>
                <w:szCs w:val="15"/>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264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Estimated useful lives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2017</w:t>
            </w:r>
          </w:p>
        </w:tc>
      </w:tr>
      <w:tr>
        <w:trPr>
          <w:trHeight w:val="257"/>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 improvements</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 years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3,440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2,235</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Building and building improvements</w:t>
            </w:r>
          </w:p>
        </w:tc>
        <w:tc>
          <w:tcPr>
            <w:tcW w:w="2760" w:type="dxa"/>
            <w:vAlign w:val="bottom"/>
            <w:gridSpan w:val="2"/>
          </w:tcPr>
          <w:p>
            <w:pPr>
              <w:jc w:val="right"/>
              <w:ind w:right="140"/>
              <w:spacing w:after="0"/>
              <w:rPr>
                <w:sz w:val="20"/>
                <w:szCs w:val="20"/>
                <w:color w:val="auto"/>
              </w:rPr>
            </w:pPr>
            <w:r>
              <w:rPr>
                <w:rFonts w:ascii="Arial" w:cs="Arial" w:eastAsia="Arial" w:hAnsi="Arial"/>
                <w:sz w:val="16"/>
                <w:szCs w:val="16"/>
                <w:color w:val="auto"/>
              </w:rPr>
              <w:t>10 - 30 years</w:t>
            </w:r>
          </w:p>
        </w:tc>
        <w:tc>
          <w:tcPr>
            <w:tcW w:w="3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310,947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319,822</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production equipment</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4 - 10 years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299,760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274,813</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Machinery and production equipment under capital lease</w:t>
            </w:r>
          </w:p>
        </w:tc>
        <w:tc>
          <w:tcPr>
            <w:tcW w:w="2760" w:type="dxa"/>
            <w:vAlign w:val="bottom"/>
            <w:gridSpan w:val="2"/>
          </w:tcPr>
          <w:p>
            <w:pPr>
              <w:jc w:val="right"/>
              <w:ind w:right="140"/>
              <w:spacing w:after="0"/>
              <w:rPr>
                <w:sz w:val="20"/>
                <w:szCs w:val="20"/>
                <w:color w:val="auto"/>
              </w:rPr>
            </w:pPr>
            <w:r>
              <w:rPr>
                <w:rFonts w:ascii="Arial" w:cs="Arial" w:eastAsia="Arial" w:hAnsi="Arial"/>
                <w:sz w:val="16"/>
                <w:szCs w:val="16"/>
                <w:color w:val="auto"/>
              </w:rPr>
              <w:t>4 - 10 years</w:t>
            </w:r>
          </w:p>
        </w:tc>
        <w:tc>
          <w:tcPr>
            <w:tcW w:w="3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67,702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54,673</w:t>
            </w: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software and equipment</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3 - 5 years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166,523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165,812</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Furniture, fixtures and office equipment</w:t>
            </w:r>
          </w:p>
        </w:tc>
        <w:tc>
          <w:tcPr>
            <w:tcW w:w="2760" w:type="dxa"/>
            <w:vAlign w:val="bottom"/>
            <w:gridSpan w:val="2"/>
          </w:tcPr>
          <w:p>
            <w:pPr>
              <w:jc w:val="right"/>
              <w:ind w:right="140"/>
              <w:spacing w:after="0"/>
              <w:rPr>
                <w:sz w:val="20"/>
                <w:szCs w:val="20"/>
                <w:color w:val="auto"/>
              </w:rPr>
            </w:pPr>
            <w:r>
              <w:rPr>
                <w:rFonts w:ascii="Arial" w:cs="Arial" w:eastAsia="Arial" w:hAnsi="Arial"/>
                <w:sz w:val="16"/>
                <w:szCs w:val="16"/>
                <w:color w:val="auto"/>
              </w:rPr>
              <w:t>5 - 7 years</w:t>
            </w:r>
          </w:p>
        </w:tc>
        <w:tc>
          <w:tcPr>
            <w:tcW w:w="3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43,010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41,612</w:t>
            </w:r>
          </w:p>
        </w:tc>
      </w:tr>
      <w:tr>
        <w:trPr>
          <w:trHeight w:val="228"/>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Shorter of lease term or expected</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53,753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51,582</w:t>
            </w:r>
          </w:p>
        </w:tc>
      </w:tr>
      <w:tr>
        <w:trPr>
          <w:trHeight w:val="214"/>
        </w:trPr>
        <w:tc>
          <w:tcPr>
            <w:tcW w:w="58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life of the asset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w:t>
            </w: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11,734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12,240</w:t>
            </w:r>
          </w:p>
        </w:tc>
      </w:tr>
      <w:tr>
        <w:trPr>
          <w:trHeight w:val="257"/>
        </w:trPr>
        <w:tc>
          <w:tcPr>
            <w:tcW w:w="5820" w:type="dxa"/>
            <w:vAlign w:val="bottom"/>
            <w:shd w:val="clear" w:color="auto" w:fill="CCEEFF"/>
          </w:tcPr>
          <w:p>
            <w:pPr>
              <w:spacing w:after="0"/>
              <w:rPr>
                <w:sz w:val="22"/>
                <w:szCs w:val="22"/>
                <w:color w:val="auto"/>
              </w:rPr>
            </w:pPr>
          </w:p>
        </w:tc>
        <w:tc>
          <w:tcPr>
            <w:tcW w:w="2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956,869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922,789</w:t>
            </w: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 inclusive of assets under capital lease</w:t>
            </w: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(505,803)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(443,273)</w:t>
            </w:r>
          </w:p>
        </w:tc>
      </w:tr>
      <w:tr>
        <w:trPr>
          <w:trHeight w:val="257"/>
        </w:trPr>
        <w:tc>
          <w:tcPr>
            <w:tcW w:w="5820" w:type="dxa"/>
            <w:vAlign w:val="bottom"/>
            <w:shd w:val="clear" w:color="auto" w:fill="CCEEFF"/>
          </w:tcPr>
          <w:p>
            <w:pPr>
              <w:spacing w:after="0"/>
              <w:rPr>
                <w:sz w:val="22"/>
                <w:szCs w:val="22"/>
                <w:color w:val="auto"/>
              </w:rPr>
            </w:pPr>
          </w:p>
        </w:tc>
        <w:tc>
          <w:tcPr>
            <w:tcW w:w="2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451,066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479,516</w:t>
            </w: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Land</w:t>
            </w:r>
          </w:p>
        </w:tc>
        <w:tc>
          <w:tcPr>
            <w:tcW w:w="2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32,598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32,431</w:t>
            </w:r>
          </w:p>
        </w:tc>
      </w:tr>
      <w:tr>
        <w:trPr>
          <w:trHeight w:val="24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483,664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511,947</w:t>
            </w:r>
          </w:p>
        </w:tc>
      </w:tr>
      <w:tr>
        <w:trPr>
          <w:trHeight w:val="20"/>
        </w:trPr>
        <w:tc>
          <w:tcPr>
            <w:tcW w:w="58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Depreciation expense, inclusive of assets under capital leases, totaled $87,956, $87,145, and $76,435 for the years ended June 30, 2018, 2017 and 2016,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and Divestitures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divestiture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Albumprinter</w:t>
      </w:r>
    </w:p>
    <w:p>
      <w:pPr>
        <w:spacing w:after="0" w:line="22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August 31, 2017 we sold our Albumprinter business, including FotoKnudsen AS, for a total of €78,382 ($93,071 based on the exchange rate as of the date of sale) in cash, net of transaction costs and cash divested (after $11,874 in pre-closing dividends). As a result of the sale, we recognized a gain of $47,545, net of transaction costs, within our consolidated statement of operations for the year ended June 30, 2018. In connection with the divestiture, we entered into an agreement with Albumprinter under which Albumprinter will continue to fulfill photo book orders for our Vistaprint business. Additionally, we agreed to provide Albumprinter with certain transitional support services for a period of up to one year from the date of the sale.</w:t>
      </w:r>
    </w:p>
    <w:p>
      <w:pPr>
        <w:spacing w:after="0" w:line="209"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The transaction did not qualify for discontinued operations presentation, and as of June 30, 2017, the Albumprinter business assets and liabilities were presented as held-for-sale in our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National Pen Co. LLC</w:t>
      </w:r>
    </w:p>
    <w:p>
      <w:pPr>
        <w:spacing w:after="0" w:line="220"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On December 30, 2016, we acquired 100% of the equity interests of National Pen Co. LLC, a manufacturer and marketer of custom writing instruments for small- and medium-sized businesses. At closing, we paid $214,573 in cash, subject to post closing adjustments based on acquired cash, debt and working capital balances. During the third quarter of fiscal 2017, we finalized and received payment for the post closing adjustment, which reduced the purchase price by $1,941. The acquisition supports our strategy to build competitively differentiated supply chain capabilities that we can make available via our mass customization platform, which we bring to market through a portfolio of focused brands. We expect National Pen will also complement our organic investments in technology and supply chain capabilities for promotional products, apparel and gift offerings.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49" w:right="2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The table below details the consideration transferred to acquire National Pen: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consideration</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214,573</w:t>
            </w:r>
          </w:p>
        </w:tc>
      </w:tr>
      <w:tr>
        <w:trPr>
          <w:trHeight w:val="237"/>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Final post closing adjustment</w:t>
            </w:r>
          </w:p>
        </w:tc>
        <w:tc>
          <w:tcPr>
            <w:tcW w:w="8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w:t>
            </w:r>
          </w:p>
        </w:tc>
      </w:tr>
      <w:tr>
        <w:trPr>
          <w:trHeight w:val="24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purchase price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212,632</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excess purchase price over the fair value of National Pen's net assets was recorded as goodwill, which is primarily attributable to the value of its workforce, its manufacturing and marketing process and know-how, as well as synergies which include leveraging National Pen's scale-based sourcing channels, integrating into our mass customization platform, and supporting the development of its e-commerce platform. We attributed $34,520 of goodwill to the National Pen reportable segment, and allocated $23,200 of goodwill to the Vistaprint segment for certain synergies that are expected to be realized by the Vistaprint segment as a result of the acquisition. The amount of goodwill that is deductible for tax purposes is approximately $19,000.</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assets acquired and liabilities assumed was: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right"/>
              <w:ind w:right="402"/>
              <w:spacing w:after="0"/>
              <w:rPr>
                <w:sz w:val="20"/>
                <w:szCs w:val="20"/>
                <w:color w:val="auto"/>
              </w:rPr>
            </w:pPr>
            <w:r>
              <w:rPr>
                <w:rFonts w:ascii="Arial" w:cs="Arial" w:eastAsia="Arial" w:hAnsi="Arial"/>
                <w:sz w:val="13"/>
                <w:szCs w:val="13"/>
                <w:b w:val="1"/>
                <w:bCs w:val="1"/>
                <w:color w:val="auto"/>
              </w:rPr>
              <w:t>Weighted Average</w:t>
            </w:r>
          </w:p>
        </w:tc>
      </w:tr>
      <w:tr>
        <w:trPr>
          <w:trHeight w:val="178"/>
        </w:trPr>
        <w:tc>
          <w:tcPr>
            <w:tcW w:w="13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55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Useful Life in Years</w:t>
            </w:r>
          </w:p>
        </w:tc>
      </w:tr>
      <w:tr>
        <w:trPr>
          <w:trHeight w:val="270"/>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Tangible assets acquired and liabilities assumed (1):</w:t>
            </w: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r>
      <w:tr>
        <w:trPr>
          <w:trHeight w:val="260"/>
        </w:trPr>
        <w:tc>
          <w:tcPr>
            <w:tcW w:w="7200" w:type="dxa"/>
            <w:vAlign w:val="bottom"/>
            <w:gridSpan w:val="3"/>
          </w:tcPr>
          <w:p>
            <w:pPr>
              <w:ind w:left="300"/>
              <w:spacing w:after="0"/>
              <w:rPr>
                <w:sz w:val="20"/>
                <w:szCs w:val="20"/>
                <w:color w:val="auto"/>
              </w:rPr>
            </w:pPr>
            <w:r>
              <w:rPr>
                <w:rFonts w:ascii="Arial" w:cs="Arial" w:eastAsia="Arial" w:hAnsi="Arial"/>
                <w:sz w:val="16"/>
                <w:szCs w:val="16"/>
                <w:color w:val="auto"/>
              </w:rPr>
              <w:t>Cash and cash equivalents</w:t>
            </w:r>
          </w:p>
        </w:tc>
        <w:tc>
          <w:tcPr>
            <w:tcW w:w="132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8,337</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20,921</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7200" w:type="dxa"/>
            <w:vAlign w:val="bottom"/>
            <w:gridSpan w:val="3"/>
          </w:tcPr>
          <w:p>
            <w:pPr>
              <w:ind w:left="300"/>
              <w:spacing w:after="0"/>
              <w:rPr>
                <w:sz w:val="20"/>
                <w:szCs w:val="20"/>
                <w:color w:val="auto"/>
              </w:rPr>
            </w:pPr>
            <w:r>
              <w:rPr>
                <w:rFonts w:ascii="Arial" w:cs="Arial" w:eastAsia="Arial" w:hAnsi="Arial"/>
                <w:sz w:val="16"/>
                <w:szCs w:val="16"/>
                <w:color w:val="auto"/>
              </w:rPr>
              <w:t>Inventory</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19,854</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Other current assets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11,281</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7200" w:type="dxa"/>
            <w:vAlign w:val="bottom"/>
            <w:gridSpan w:val="3"/>
          </w:tcPr>
          <w:p>
            <w:pPr>
              <w:ind w:left="300"/>
              <w:spacing w:after="0"/>
              <w:rPr>
                <w:sz w:val="20"/>
                <w:szCs w:val="20"/>
                <w:color w:val="auto"/>
              </w:rPr>
            </w:pPr>
            <w:r>
              <w:rPr>
                <w:rFonts w:ascii="Arial" w:cs="Arial" w:eastAsia="Arial" w:hAnsi="Arial"/>
                <w:sz w:val="16"/>
                <w:szCs w:val="16"/>
                <w:color w:val="auto"/>
              </w:rPr>
              <w:t>Property, plant and equipment, net</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29,472</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Other non-current assets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7200" w:type="dxa"/>
            <w:vAlign w:val="bottom"/>
            <w:gridSpan w:val="3"/>
          </w:tcPr>
          <w:p>
            <w:pPr>
              <w:ind w:left="300"/>
              <w:spacing w:after="0"/>
              <w:rPr>
                <w:sz w:val="20"/>
                <w:szCs w:val="20"/>
                <w:color w:val="auto"/>
              </w:rPr>
            </w:pPr>
            <w:r>
              <w:rPr>
                <w:rFonts w:ascii="Arial" w:cs="Arial" w:eastAsia="Arial" w:hAnsi="Arial"/>
                <w:sz w:val="16"/>
                <w:szCs w:val="16"/>
                <w:color w:val="auto"/>
              </w:rPr>
              <w:t>Accounts payable</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(12,590)</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Accrued expenses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(17,805)</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7200" w:type="dxa"/>
            <w:vAlign w:val="bottom"/>
            <w:gridSpan w:val="3"/>
          </w:tcPr>
          <w:p>
            <w:pPr>
              <w:ind w:left="300"/>
              <w:spacing w:after="0"/>
              <w:rPr>
                <w:sz w:val="20"/>
                <w:szCs w:val="20"/>
                <w:color w:val="auto"/>
              </w:rPr>
            </w:pPr>
            <w:r>
              <w:rPr>
                <w:rFonts w:ascii="Arial" w:cs="Arial" w:eastAsia="Arial" w:hAnsi="Arial"/>
                <w:sz w:val="16"/>
                <w:szCs w:val="16"/>
                <w:color w:val="auto"/>
              </w:rPr>
              <w:t>Other current liabilities</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Deferred tax liabilities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7200" w:type="dxa"/>
            <w:vAlign w:val="bottom"/>
            <w:gridSpan w:val="3"/>
          </w:tcPr>
          <w:p>
            <w:pPr>
              <w:ind w:left="300"/>
              <w:spacing w:after="0"/>
              <w:rPr>
                <w:sz w:val="20"/>
                <w:szCs w:val="20"/>
                <w:color w:val="auto"/>
              </w:rPr>
            </w:pPr>
            <w:r>
              <w:rPr>
                <w:rFonts w:ascii="Arial" w:cs="Arial" w:eastAsia="Arial" w:hAnsi="Arial"/>
                <w:sz w:val="16"/>
                <w:szCs w:val="16"/>
                <w:color w:val="auto"/>
              </w:rPr>
              <w:t>Long-term liabilities</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(9,665)</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Identifiable intangible assets: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r>
      <w:tr>
        <w:trPr>
          <w:trHeight w:val="260"/>
        </w:trPr>
        <w:tc>
          <w:tcPr>
            <w:tcW w:w="7200" w:type="dxa"/>
            <w:vAlign w:val="bottom"/>
            <w:gridSpan w:val="3"/>
          </w:tcPr>
          <w:p>
            <w:pPr>
              <w:ind w:left="380"/>
              <w:spacing w:after="0"/>
              <w:rPr>
                <w:sz w:val="20"/>
                <w:szCs w:val="20"/>
                <w:color w:val="auto"/>
              </w:rPr>
            </w:pPr>
            <w:r>
              <w:rPr>
                <w:rFonts w:ascii="Arial" w:cs="Arial" w:eastAsia="Arial" w:hAnsi="Arial"/>
                <w:sz w:val="16"/>
                <w:szCs w:val="16"/>
                <w:color w:val="auto"/>
              </w:rPr>
              <w:t>Developed Technology</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19,000</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80"/>
        </w:trPr>
        <w:tc>
          <w:tcPr>
            <w:tcW w:w="720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Trade Name</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33,000</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60"/>
        </w:trPr>
        <w:tc>
          <w:tcPr>
            <w:tcW w:w="7200" w:type="dxa"/>
            <w:vAlign w:val="bottom"/>
            <w:gridSpan w:val="3"/>
          </w:tcPr>
          <w:p>
            <w:pPr>
              <w:ind w:left="380"/>
              <w:spacing w:after="0"/>
              <w:rPr>
                <w:sz w:val="20"/>
                <w:szCs w:val="20"/>
                <w:color w:val="auto"/>
              </w:rPr>
            </w:pPr>
            <w:r>
              <w:rPr>
                <w:rFonts w:ascii="Arial" w:cs="Arial" w:eastAsia="Arial" w:hAnsi="Arial"/>
                <w:sz w:val="16"/>
                <w:szCs w:val="16"/>
                <w:color w:val="auto"/>
              </w:rPr>
              <w:t>Customer Relationships</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56,000</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73"/>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3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57,720</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40"/>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Total purchase price</w:t>
            </w:r>
          </w:p>
        </w:tc>
        <w:tc>
          <w:tcPr>
            <w:tcW w:w="1320" w:type="dxa"/>
            <w:vAlign w:val="bottom"/>
            <w:tcBorders>
              <w:bottom w:val="single" w:sz="8" w:color="auto"/>
            </w:tcBorders>
          </w:tcPr>
          <w:p>
            <w:pPr>
              <w:jc w:val="right"/>
              <w:ind w:right="1125"/>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212,632</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32"/>
        </w:trPr>
        <w:tc>
          <w:tcPr>
            <w:tcW w:w="13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r>
    </w:tbl>
    <w:p>
      <w:pPr>
        <w:spacing w:after="0" w:line="86" w:lineRule="exact"/>
        <w:rPr>
          <w:sz w:val="20"/>
          <w:szCs w:val="20"/>
          <w:color w:val="auto"/>
        </w:rPr>
      </w:pPr>
    </w:p>
    <w:p>
      <w:pPr>
        <w:ind w:left="260" w:right="480" w:hanging="252"/>
        <w:spacing w:after="0" w:line="258" w:lineRule="auto"/>
        <w:tabs>
          <w:tab w:leader="none" w:pos="233" w:val="left"/>
        </w:tabs>
        <w:numPr>
          <w:ilvl w:val="0"/>
          <w:numId w:val="50"/>
        </w:numPr>
        <w:rPr>
          <w:rFonts w:ascii="Arial" w:cs="Arial" w:eastAsia="Arial" w:hAnsi="Arial"/>
          <w:sz w:val="14"/>
          <w:szCs w:val="14"/>
          <w:color w:val="auto"/>
        </w:rPr>
      </w:pPr>
      <w:r>
        <w:rPr>
          <w:rFonts w:ascii="Arial" w:cs="Arial" w:eastAsia="Arial" w:hAnsi="Arial"/>
          <w:sz w:val="14"/>
          <w:szCs w:val="14"/>
          <w:color w:val="auto"/>
        </w:rPr>
        <w:t>National Pen has materially impacted our working capital balances post-acquisition, resulting in increased accounts receivable, inventory, accounts payable and accrued expenses balances in our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Pen Pro Forma Financial Information</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National Pen has been included in our consolidated financial statements starting on its acquisition date. The following unaudited pro forma financial information presents our results as if the National Pen acquisition had occurred on July 1, 2015. The pro forma financial information for all periods presented adjusts for the effects of material business combination items, including estimated amortization of acquired intangible assets and transaction related costs. The unaudited pro forma results are not necessarily indicative of what actually would have occurred had the acquisition been in effect for the periods presented as the pre-acquisition results include revenue and profit related to certain operations that are no longer active: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90"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8"/>
        </w:trPr>
        <w:tc>
          <w:tcPr>
            <w:tcW w:w="8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June 30,</w:t>
            </w:r>
          </w:p>
        </w:tc>
        <w:tc>
          <w:tcPr>
            <w:tcW w:w="900" w:type="dxa"/>
            <w:vAlign w:val="bottom"/>
            <w:tcBorders>
              <w:bottom w:val="single" w:sz="8" w:color="auto"/>
            </w:tcBorders>
          </w:tcPr>
          <w:p>
            <w:pPr>
              <w:spacing w:after="0"/>
              <w:rPr>
                <w:sz w:val="15"/>
                <w:szCs w:val="15"/>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w w:val="96"/>
              </w:rPr>
              <w:t>2016</w:t>
            </w: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 forma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2,294,347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2,060,426</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color w:val="auto"/>
              </w:rPr>
              <w:t>Pro forma net (loss) income attributable to Cimpress N.V.</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(71,084)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25"/>
              <w:spacing w:after="0"/>
              <w:rPr>
                <w:sz w:val="20"/>
                <w:szCs w:val="20"/>
                <w:color w:val="auto"/>
              </w:rPr>
            </w:pPr>
            <w:r>
              <w:rPr>
                <w:rFonts w:ascii="Arial" w:cs="Arial" w:eastAsia="Arial" w:hAnsi="Arial"/>
                <w:sz w:val="16"/>
                <w:szCs w:val="16"/>
                <w:color w:val="auto"/>
              </w:rPr>
              <w:t>41,370</w:t>
            </w:r>
          </w:p>
        </w:tc>
      </w:tr>
    </w:tbl>
    <w:p>
      <w:pPr>
        <w:spacing w:after="0" w:line="208" w:lineRule="exact"/>
        <w:rPr>
          <w:sz w:val="20"/>
          <w:szCs w:val="20"/>
          <w:color w:val="auto"/>
        </w:rPr>
      </w:pPr>
    </w:p>
    <w:p>
      <w:pPr>
        <w:jc w:val="both"/>
        <w:ind w:right="80" w:firstLine="648"/>
        <w:spacing w:after="0" w:line="262" w:lineRule="auto"/>
        <w:rPr>
          <w:sz w:val="20"/>
          <w:szCs w:val="20"/>
          <w:color w:val="auto"/>
        </w:rPr>
      </w:pPr>
      <w:r>
        <w:rPr>
          <w:rFonts w:ascii="Arial" w:cs="Arial" w:eastAsia="Arial" w:hAnsi="Arial"/>
          <w:sz w:val="18"/>
          <w:szCs w:val="18"/>
          <w:color w:val="auto"/>
        </w:rPr>
        <w:t>We utilized proceeds from our credit facility in order to finance the acquisition. In connection with the acquisition, we incurred $2,005 in general and administrative expenses during the year ended June 30, 2017, primarily related to legal, financial, and other professional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WIRmachenDRUCK GmbH</w:t>
      </w:r>
    </w:p>
    <w:p>
      <w:pPr>
        <w:spacing w:after="0" w:line="24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On February 1, 2016, we acquired 100% of the outstanding shares of WIRmachenDRUCK GmbH, a web-to-print business focused primarily on the German market. At closing, we paid €138,383 ($150,128 based on the exchange rate as of the date of acquisition) in cash and transferred €8,121 ($8,810 based on the exchange rate as of the date of acquisition) in ordinary shares of Cimpress N.V. We paid €1,850 in cash ($2,082 based on the exchange rate on the date of payment) during the fourth quarter of fiscal 2016 as a post-closing adjustment based on WIRmachenDRUCK's net cash and working capital position as of the acquisition date.</w:t>
      </w:r>
    </w:p>
    <w:p>
      <w:pPr>
        <w:spacing w:after="0" w:line="206"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In addition, we agreed to a sliding scale earn-out of up to €40,000 ($43,395 based on the exchange rate as of the date of acquisition) based on the achievement of a cumulative gross profit target for calendar years 2016 and 2017. The maximum earn-out was paid in cash during the third quarter of 2018. Refer to Note 9 for additional discussion relating to the earn-out arrangement.</w:t>
      </w:r>
    </w:p>
    <w:p>
      <w:pPr>
        <w:spacing w:after="0" w:line="202"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acquisition supports our strategy to invest in and build customer-focused entrepreneurial, mass customization businesses for the long-term, which we manage in a decentralized and autonomous manner and complements similar previous investments in Europe. WIRmachenDRUCK brings internet-based capabilities that aggregate and route large numbers of small orders to a network of specialized production partners. Their outsourced supply chain model allows them to compete across a vast selection of product types, formats, sizes, finishing options and delivery choices.</w:t>
      </w:r>
    </w:p>
    <w:p>
      <w:pPr>
        <w:spacing w:after="0" w:line="206"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Our consolidated financial statements include WIRmachenDRUCK from February 1, 2016, the date of acquisition. WIRmachenDRUCK's revenue included in our consolidated revenues for the year ended June 30, 2016 was $72,620. WIRmachenDRUCK's net income included in our consolidated net income attributable to Cimpress N.V. for the year ended June 30, 2016 was $3,420, inclusive of amortization of identifiable intangible assets but exclusive of earn-out related compensation expense and corporate level interest expense.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details the consideration transferred to acquire WIRmachenDRUCK: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360" w:type="dxa"/>
            <w:vAlign w:val="bottom"/>
          </w:tcPr>
          <w:p>
            <w:pPr>
              <w:ind w:left="40"/>
              <w:spacing w:after="0"/>
              <w:rPr>
                <w:sz w:val="20"/>
                <w:szCs w:val="20"/>
                <w:color w:val="auto"/>
              </w:rPr>
            </w:pPr>
            <w:r>
              <w:rPr>
                <w:rFonts w:ascii="Arial" w:cs="Arial" w:eastAsia="Arial" w:hAnsi="Arial"/>
                <w:sz w:val="16"/>
                <w:szCs w:val="16"/>
                <w:color w:val="auto"/>
              </w:rPr>
              <w:t>Cash consideration</w:t>
            </w:r>
          </w:p>
        </w:tc>
        <w:tc>
          <w:tcPr>
            <w:tcW w:w="7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152,100</w:t>
            </w:r>
          </w:p>
        </w:tc>
      </w:tr>
      <w:tr>
        <w:trPr>
          <w:trHeight w:val="253"/>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Cimpress N.V. shares transferred</w:t>
            </w:r>
          </w:p>
        </w:tc>
        <w:tc>
          <w:tcPr>
            <w:tcW w:w="7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8,810</w:t>
            </w:r>
          </w:p>
        </w:tc>
      </w:tr>
      <w:tr>
        <w:trPr>
          <w:trHeight w:val="237"/>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Fair value of contingent consideration</w:t>
            </w:r>
          </w:p>
        </w:tc>
        <w:tc>
          <w:tcPr>
            <w:tcW w:w="7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1,185</w:t>
            </w:r>
          </w:p>
        </w:tc>
      </w:tr>
      <w:tr>
        <w:trPr>
          <w:trHeight w:val="24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consideration</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162,095</w:t>
            </w: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excess of the purchase price paid over the fair value of WIRmachenDRUCK's net assets was recorded as goodwill, which is primarily attributed to expected expansion of the customer base and value of the workforce of WIRmachenDRUCK. Goodwill is not expected to be deductible for tax purposes, and has been attributed to our Upload and Print reportable segment. The fair value of the assets acquired and liabilities assumed was: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23"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49"/>
        </w:trPr>
        <w:tc>
          <w:tcPr>
            <w:tcW w:w="7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right"/>
              <w:ind w:right="403"/>
              <w:spacing w:after="0"/>
              <w:rPr>
                <w:sz w:val="20"/>
                <w:szCs w:val="20"/>
                <w:color w:val="auto"/>
              </w:rPr>
            </w:pPr>
            <w:r>
              <w:rPr>
                <w:rFonts w:ascii="Arial" w:cs="Arial" w:eastAsia="Arial" w:hAnsi="Arial"/>
                <w:sz w:val="13"/>
                <w:szCs w:val="13"/>
                <w:b w:val="1"/>
                <w:bCs w:val="1"/>
                <w:color w:val="auto"/>
              </w:rPr>
              <w:t>Weighted Average</w:t>
            </w:r>
          </w:p>
        </w:tc>
      </w:tr>
      <w:tr>
        <w:trPr>
          <w:trHeight w:val="178"/>
        </w:trPr>
        <w:tc>
          <w:tcPr>
            <w:tcW w:w="72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Useful Life in Years</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Tangible assets acquired and liabilities assumed</w:t>
            </w: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132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15,220</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assets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5,231</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Other non-current assets</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(17,566)</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Deferred tax liability</w:t>
            </w:r>
          </w:p>
        </w:tc>
        <w:tc>
          <w:tcPr>
            <w:tcW w:w="1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(26,863)</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Identifiable intangible assets:</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Customer relationships</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24,952</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Trade name</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24,952</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Print network</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23,867</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9</w:t>
            </w:r>
          </w:p>
        </w:tc>
      </w:tr>
      <w:tr>
        <w:trPr>
          <w:trHeight w:val="280"/>
        </w:trPr>
        <w:tc>
          <w:tcPr>
            <w:tcW w:w="7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Referral network</w:t>
            </w: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10,849</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60"/>
        </w:trPr>
        <w:tc>
          <w:tcPr>
            <w:tcW w:w="7200" w:type="dxa"/>
            <w:vAlign w:val="bottom"/>
          </w:tcPr>
          <w:p>
            <w:pPr>
              <w:ind w:left="300"/>
              <w:spacing w:after="0"/>
              <w:rPr>
                <w:sz w:val="20"/>
                <w:szCs w:val="20"/>
                <w:color w:val="auto"/>
              </w:rPr>
            </w:pPr>
            <w:r>
              <w:rPr>
                <w:rFonts w:ascii="Arial" w:cs="Arial" w:eastAsia="Arial" w:hAnsi="Arial"/>
                <w:sz w:val="16"/>
                <w:szCs w:val="16"/>
                <w:color w:val="auto"/>
              </w:rPr>
              <w:t>Developed technology</w:t>
            </w:r>
          </w:p>
        </w:tc>
        <w:tc>
          <w:tcPr>
            <w:tcW w:w="132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8,679</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7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3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91,515</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40"/>
        </w:trPr>
        <w:tc>
          <w:tcPr>
            <w:tcW w:w="7200" w:type="dxa"/>
            <w:vAlign w:val="bottom"/>
          </w:tcPr>
          <w:p>
            <w:pPr>
              <w:ind w:left="40"/>
              <w:spacing w:after="0"/>
              <w:rPr>
                <w:sz w:val="20"/>
                <w:szCs w:val="20"/>
                <w:color w:val="auto"/>
              </w:rPr>
            </w:pPr>
            <w:r>
              <w:rPr>
                <w:rFonts w:ascii="Arial" w:cs="Arial" w:eastAsia="Arial" w:hAnsi="Arial"/>
                <w:sz w:val="16"/>
                <w:szCs w:val="16"/>
                <w:color w:val="auto"/>
              </w:rPr>
              <w:t>Total purchase price</w:t>
            </w:r>
          </w:p>
        </w:tc>
        <w:tc>
          <w:tcPr>
            <w:tcW w:w="1320" w:type="dxa"/>
            <w:vAlign w:val="bottom"/>
            <w:tcBorders>
              <w:bottom w:val="single" w:sz="8" w:color="auto"/>
            </w:tcBorders>
          </w:tcPr>
          <w:p>
            <w:pPr>
              <w:jc w:val="right"/>
              <w:ind w:right="1125"/>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162,095</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fiscal 2016 acquisitions</w:t>
      </w:r>
    </w:p>
    <w:p>
      <w:pPr>
        <w:spacing w:after="0" w:line="22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During fiscal 2016, we acquired two businesses that were not material to our results either individually or in the aggregate. Complementing our Upload and Print segment, we acquired all of the outstanding capital stock of Tradeprint Distribution Limited (formerly known as Fairprint Distribution Limited) and Litotipografia Alcione S.r.l. on July 31, 2015 and July 29, 2015, respectively. The aggregate consideration for these two acquisitions was $25,547, net of cash acquired. The consideration was allocated to the fair value of the assets acquired and liabilities assumed based on estimated fair values as of the respective acquisition dates. The aggregate allocation to goodwill, intangible assets, and net tangible assets was $9,571, $14,359 and $1,617, respectively. During the third quarter of fiscal 2017 we recognized a charge for the full impairment of goodwill and a portion of the intangible assets related to the Tradeprint reporting unit. Refer to our discussion in Note 8 for additional details of the impairment loss.</w:t>
      </w:r>
    </w:p>
    <w:p>
      <w:pPr>
        <w:spacing w:after="0" w:line="179" w:lineRule="exact"/>
        <w:rPr>
          <w:sz w:val="20"/>
          <w:szCs w:val="20"/>
          <w:color w:val="auto"/>
        </w:rPr>
      </w:pPr>
    </w:p>
    <w:p>
      <w:pPr>
        <w:ind w:right="260" w:firstLine="648"/>
        <w:spacing w:after="0" w:line="252" w:lineRule="auto"/>
        <w:rPr>
          <w:sz w:val="20"/>
          <w:szCs w:val="20"/>
          <w:color w:val="auto"/>
        </w:rPr>
      </w:pPr>
      <w:r>
        <w:rPr>
          <w:rFonts w:ascii="Arial" w:cs="Arial" w:eastAsia="Arial" w:hAnsi="Arial"/>
          <w:sz w:val="18"/>
          <w:szCs w:val="18"/>
          <w:color w:val="auto"/>
        </w:rPr>
        <w:t>Goodwill is calculated as the excess of the consideration over the fair value of the net assets, including intangible assets, and is primarily related to expected synergies from the transactions. The goodwill for these two acquisitions is not deductible for tax purposes, and has been attributed to our Upload and Print reportable segment. The results of these acquisitions have been included in the consolidated financial statements from the date of purchase and were not material for the year ended June 30, 2016. We utilized proceeds from our credit facility to finance our fiscal 2016 acquisitions. In connection with these acquisitions, we incurred transaction costs related to investment banking, legal, financial, and other professional services of $1,289 during the year ended June 30, 2016. We have not presented pro forma results of the operations of the companies we acquired in fiscal 2016 because the effects of the acquired companies are not material to our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08"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8. Goodwill and Acquired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of goodwill by reportable segment as of June 30, 2018 and June 30, 2017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Vistaprint</w:t>
            </w:r>
          </w:p>
        </w:tc>
        <w:tc>
          <w:tcPr>
            <w:tcW w:w="12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Upload and Print</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All Other</w:t>
            </w:r>
          </w:p>
        </w:tc>
        <w:tc>
          <w:tcPr>
            <w:tcW w:w="300" w:type="dxa"/>
            <w:vAlign w:val="bottom"/>
          </w:tcPr>
          <w:p>
            <w:pPr>
              <w:spacing w:after="0"/>
              <w:rPr>
                <w:sz w:val="13"/>
                <w:szCs w:val="13"/>
                <w:color w:val="auto"/>
              </w:rPr>
            </w:pPr>
          </w:p>
        </w:tc>
        <w:tc>
          <w:tcPr>
            <w:tcW w:w="960" w:type="dxa"/>
            <w:vAlign w:val="bottom"/>
            <w:vMerge w:val="restart"/>
          </w:tcPr>
          <w:p>
            <w:pPr>
              <w:jc w:val="right"/>
              <w:ind w:right="40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1"/>
        </w:trPr>
        <w:tc>
          <w:tcPr>
            <w:tcW w:w="4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vMerge w:val="restart"/>
          </w:tcPr>
          <w:p>
            <w:pPr>
              <w:jc w:val="right"/>
              <w:ind w:right="202"/>
              <w:spacing w:after="0"/>
              <w:rPr>
                <w:sz w:val="20"/>
                <w:szCs w:val="20"/>
                <w:color w:val="auto"/>
              </w:rPr>
            </w:pPr>
            <w:r>
              <w:rPr>
                <w:rFonts w:ascii="Arial" w:cs="Arial" w:eastAsia="Arial" w:hAnsi="Arial"/>
                <w:sz w:val="13"/>
                <w:szCs w:val="13"/>
                <w:b w:val="1"/>
                <w:bCs w:val="1"/>
                <w:color w:val="auto"/>
              </w:rPr>
              <w:t>Businesses</w:t>
            </w:r>
          </w:p>
        </w:tc>
        <w:tc>
          <w:tcPr>
            <w:tcW w:w="10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7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June 30, 2016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121,752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319,373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24,880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466,005</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Acquisitions (1)</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57,720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57,720</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Impairments (2)</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(6,345)</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Adjustments (3)(4)</w:t>
            </w:r>
          </w:p>
        </w:tc>
        <w:tc>
          <w:tcPr>
            <w:tcW w:w="22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23,200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(23,200)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(13,768)</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currency translation adjustments (5)</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9,005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11,351</w:t>
            </w:r>
          </w:p>
        </w:tc>
        <w:tc>
          <w:tcPr>
            <w:tcW w:w="0" w:type="dxa"/>
            <w:vAlign w:val="bottom"/>
          </w:tcPr>
          <w:p>
            <w:pPr>
              <w:spacing w:after="0"/>
              <w:rPr>
                <w:sz w:val="1"/>
                <w:szCs w:val="1"/>
                <w:color w:val="auto"/>
              </w:rPr>
            </w:pPr>
          </w:p>
        </w:tc>
      </w:tr>
      <w:tr>
        <w:trPr>
          <w:trHeight w:val="247"/>
        </w:trPr>
        <w:tc>
          <w:tcPr>
            <w:tcW w:w="4700" w:type="dxa"/>
            <w:vAlign w:val="bottom"/>
          </w:tcPr>
          <w:p>
            <w:pPr>
              <w:ind w:left="40"/>
              <w:spacing w:after="0"/>
              <w:rPr>
                <w:sz w:val="20"/>
                <w:szCs w:val="20"/>
                <w:color w:val="auto"/>
              </w:rPr>
            </w:pPr>
            <w:r>
              <w:rPr>
                <w:rFonts w:ascii="Arial" w:cs="Arial" w:eastAsia="Arial" w:hAnsi="Arial"/>
                <w:sz w:val="16"/>
                <w:szCs w:val="16"/>
                <w:color w:val="auto"/>
              </w:rPr>
              <w:t>Balance as of June 30, 2017</w:t>
            </w: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147,207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321,805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34,520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11,431</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514,963</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6"/>
                <w:szCs w:val="16"/>
                <w:color w:val="auto"/>
              </w:rPr>
              <w:t>Effect of currency translation adjustments (5)</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6,966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6,024</w:t>
            </w:r>
          </w:p>
        </w:tc>
        <w:tc>
          <w:tcPr>
            <w:tcW w:w="0" w:type="dxa"/>
            <w:vAlign w:val="bottom"/>
          </w:tcPr>
          <w:p>
            <w:pPr>
              <w:spacing w:after="0"/>
              <w:rPr>
                <w:sz w:val="1"/>
                <w:szCs w:val="1"/>
                <w:color w:val="auto"/>
              </w:rPr>
            </w:pP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146,207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328,771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34,434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11,431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520,843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Refer to Note 7 for additional details related to our acquisitions.</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fiscal 2017 we recorded an impairment charge of $6,345 related to our Tradeprint reporting unit. See below for additional details.</w:t>
      </w:r>
    </w:p>
    <w:p>
      <w:pPr>
        <w:spacing w:after="0" w:line="82" w:lineRule="exact"/>
        <w:rPr>
          <w:rFonts w:ascii="Arial" w:cs="Arial" w:eastAsia="Arial" w:hAnsi="Arial"/>
          <w:sz w:val="14"/>
          <w:szCs w:val="14"/>
          <w:color w:val="auto"/>
        </w:rPr>
      </w:pPr>
    </w:p>
    <w:p>
      <w:pPr>
        <w:ind w:left="260" w:right="440" w:hanging="252"/>
        <w:spacing w:after="0" w:line="258" w:lineRule="auto"/>
        <w:tabs>
          <w:tab w:leader="none" w:pos="233" w:val="left"/>
        </w:tabs>
        <w:numPr>
          <w:ilvl w:val="0"/>
          <w:numId w:val="51"/>
        </w:numPr>
        <w:rPr>
          <w:rFonts w:ascii="Arial" w:cs="Arial" w:eastAsia="Arial" w:hAnsi="Arial"/>
          <w:sz w:val="14"/>
          <w:szCs w:val="14"/>
          <w:color w:val="auto"/>
        </w:rPr>
      </w:pPr>
      <w:r>
        <w:rPr>
          <w:rFonts w:ascii="Arial" w:cs="Arial" w:eastAsia="Arial" w:hAnsi="Arial"/>
          <w:sz w:val="14"/>
          <w:szCs w:val="14"/>
          <w:color w:val="auto"/>
        </w:rPr>
        <w:t>We allocated $23,200 of goodwill to the Vistaprint segment for certain synergies that are expected to be realized by the Vistaprint segment as a result of the National Pen acquisition. Refer to Note 7 for additional details.</w:t>
      </w:r>
    </w:p>
    <w:p>
      <w:pPr>
        <w:spacing w:after="0" w:line="59" w:lineRule="exact"/>
        <w:rPr>
          <w:rFonts w:ascii="Arial" w:cs="Arial" w:eastAsia="Arial" w:hAnsi="Arial"/>
          <w:sz w:val="14"/>
          <w:szCs w:val="14"/>
          <w:color w:val="auto"/>
        </w:rPr>
      </w:pPr>
    </w:p>
    <w:p>
      <w:pPr>
        <w:ind w:left="260" w:right="320" w:hanging="252"/>
        <w:spacing w:after="0" w:line="258" w:lineRule="auto"/>
        <w:tabs>
          <w:tab w:leader="none" w:pos="233"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Albumprinter business, part of our All Other Businesses reportable segment, was reclassified as held for sale on the consolidated balance sheet at June 30, 2017. The Albumprinter business was sold during the first quarter of fiscal 2018. Refer to Note 7 for additional details.</w:t>
      </w:r>
    </w:p>
    <w:p>
      <w:pPr>
        <w:spacing w:after="0" w:line="59" w:lineRule="exact"/>
        <w:rPr>
          <w:rFonts w:ascii="Arial" w:cs="Arial" w:eastAsia="Arial" w:hAnsi="Arial"/>
          <w:sz w:val="14"/>
          <w:szCs w:val="14"/>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Related to goodwill held by subsidiaries whose functional currency is not the U.S. Dollar.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Review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w:t>
      </w:r>
    </w:p>
    <w:p>
      <w:pPr>
        <w:spacing w:after="0" w:line="203" w:lineRule="exact"/>
        <w:rPr>
          <w:sz w:val="20"/>
          <w:szCs w:val="20"/>
          <w:color w:val="auto"/>
        </w:rPr>
      </w:pPr>
    </w:p>
    <w:p>
      <w:pPr>
        <w:ind w:firstLine="662"/>
        <w:spacing w:after="0" w:line="253" w:lineRule="auto"/>
        <w:rPr>
          <w:sz w:val="20"/>
          <w:szCs w:val="20"/>
          <w:color w:val="auto"/>
        </w:rPr>
      </w:pPr>
      <w:r>
        <w:rPr>
          <w:rFonts w:ascii="Arial" w:cs="Arial" w:eastAsia="Arial" w:hAnsi="Arial"/>
          <w:sz w:val="18"/>
          <w:szCs w:val="18"/>
          <w:color w:val="auto"/>
        </w:rPr>
        <w:t>For our annual goodwill impairment test as of May 31, 2018, we evaluated each of our ten reporting units with goodwill individually. We considered the timing of our most recent fair value assessment and associated headroom, the actual operating results as compared to the cash flow forecasts used in those fair value assessments, the current long-term forecasts for each reporting unit, and the general market and economic environment of each reporting unit. After performing this qualitative assessment for seven of our reporting units, we determined that there was no indication the carrying values of those reporting units exceeded their respective fair values.</w:t>
      </w:r>
    </w:p>
    <w:p>
      <w:pPr>
        <w:spacing w:after="0" w:line="165" w:lineRule="exact"/>
        <w:rPr>
          <w:sz w:val="20"/>
          <w:szCs w:val="20"/>
          <w:color w:val="auto"/>
        </w:rPr>
      </w:pPr>
    </w:p>
    <w:p>
      <w:pPr>
        <w:ind w:right="20" w:firstLine="662"/>
        <w:spacing w:after="0" w:line="251" w:lineRule="auto"/>
        <w:rPr>
          <w:sz w:val="20"/>
          <w:szCs w:val="20"/>
          <w:color w:val="auto"/>
        </w:rPr>
      </w:pPr>
      <w:r>
        <w:rPr>
          <w:rFonts w:ascii="Arial" w:cs="Arial" w:eastAsia="Arial" w:hAnsi="Arial"/>
          <w:sz w:val="18"/>
          <w:szCs w:val="18"/>
          <w:color w:val="auto"/>
        </w:rPr>
        <w:t>Some of our reporting units are early-stage businesses that are subject to high degrees of risk and their business models continually evolve as they seek to establish foundations in large markets, resulting in greater volatility in their actual results and forecasted future results. We have a number of investments that fit this profile and we expect this type of volatility to prompt a quantitative analysis in our goodwill impairment testing from time to time. We performed a quantitative analysis for three such reporting units during this testing cycle in order to gain additional assurance there were no impairments. We estimated the fair value of each reporting unit, using the income approach, which was determined based on the present value of estimated future cash flows. The cash flow projections are based on our estimates of revenue growth rates and operating margins, taking into consideration recent business and market trends. The discount rates used were based on the weighted-average cost of capital adjusted for the related business-specific risks. For each of these reporting units, we compared the estimated fair value to the carrying value, and considered the estimated level of headroom. Based on the substantial level of headroom associated with each of these reporting units, we concluded there was no impairment. As a result of these qualitative and quantitative tests, there have been no identified impairments for the year ended June 30, 2018.</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49"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Fiscal 2017</w:t>
      </w:r>
    </w:p>
    <w:p>
      <w:pPr>
        <w:spacing w:after="0" w:line="189"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During the third quarter fiscal 2017, we changed the composition of our Tradeprint reporting unit (a part of our Upload and Print reportable segment). This change, when combined with an updated profit outlook that was lower than originally forecasted as of the acquisition date, indicated that it was more likely than not that the fair value of the reporting unit was below the carrying amount.</w:t>
      </w:r>
    </w:p>
    <w:p>
      <w:pPr>
        <w:spacing w:after="0" w:line="148" w:lineRule="exact"/>
        <w:rPr>
          <w:sz w:val="20"/>
          <w:szCs w:val="20"/>
          <w:color w:val="auto"/>
        </w:rPr>
      </w:pPr>
    </w:p>
    <w:p>
      <w:pPr>
        <w:ind w:right="380" w:firstLine="190"/>
        <w:spacing w:after="0" w:line="253" w:lineRule="auto"/>
        <w:rPr>
          <w:sz w:val="20"/>
          <w:szCs w:val="20"/>
          <w:color w:val="auto"/>
        </w:rPr>
      </w:pPr>
      <w:r>
        <w:rPr>
          <w:rFonts w:ascii="Arial" w:cs="Arial" w:eastAsia="Arial" w:hAnsi="Arial"/>
          <w:sz w:val="18"/>
          <w:szCs w:val="18"/>
          <w:color w:val="auto"/>
        </w:rPr>
        <w:t>As required, prior to performing the quantitative goodwill impairment test, we first evaluated the recoverability of the Tradeprint long-lived assets as the change in expected long-term cash flows was indicative of a potential impairment. We performed the recoverability test using undiscounted cash flows for our Tradeprint asset group and concluded that an impairment of long-lived assets existed. We proceeded to estimate the fair value the assets, using an income and cost approach based on market participant assumptions and recognized a partial impairment charge for our acquired intangible assets of $3,211.</w:t>
      </w:r>
    </w:p>
    <w:p>
      <w:pPr>
        <w:spacing w:after="0" w:line="152"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Subsequent to performing the long-lived asset impairment test, we performed our goodwill impairment test which resulted in an additional impairment charge of the total goodwill of the Tradeprint reporting unit of $6,345. In order to execute the quantitative goodwill impairment test, we compared the fair value of the Tradeprint reporting unit to its carrying value. We used the income approach, specifically the discounted cash flow method, to derive the fair value. This approach calculates fair value by estimating the after-tax cash flows attributable to a reporting unit and then discounting the after-tax cash flows to a present value using a risk-adjusted discount rate. We selected this method as being the most meaningful in preparing our goodwill assessment as we believed the income approach most appropriately measured our income producing assets. We considered using the market approach but concluded it was not appropriate in valuing this particular reporting unit given the lack of relevant market comparisons available for application of the market approach. The cash flow projections in the Tradeprint fair value analysis are based on management's estimates of revenue growth rates and operating margins, taking into consideration historical results, as well as industry and market conditions. The discount rate is based on a weighted average cost of capital (“WACC”), which represented the average rate a business must pay its providers of debt and equity, plus a risk premium. The WACC of 11.5% used to test the Tradeprint goodwill was derived from a group of comparable companies.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June 30, 2018</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June 30, 2017</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0"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0"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Gross Carrying</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2"/>
                <w:szCs w:val="12"/>
                <w:color w:val="auto"/>
              </w:rPr>
            </w:pPr>
          </w:p>
        </w:tc>
        <w:tc>
          <w:tcPr>
            <w:tcW w:w="1080" w:type="dxa"/>
            <w:vAlign w:val="bottom"/>
            <w:vMerge w:val="restart"/>
          </w:tcPr>
          <w:p>
            <w:pPr>
              <w:jc w:val="right"/>
              <w:ind w:right="163"/>
              <w:spacing w:after="0"/>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restart"/>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restart"/>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Carrying</w:t>
            </w: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Amortization</w:t>
            </w:r>
          </w:p>
        </w:tc>
        <w:tc>
          <w:tcPr>
            <w:tcW w:w="180" w:type="dxa"/>
            <w:vAlign w:val="bottom"/>
          </w:tcPr>
          <w:p>
            <w:pPr>
              <w:spacing w:after="0"/>
              <w:rPr>
                <w:sz w:val="5"/>
                <w:szCs w:val="5"/>
                <w:color w:val="auto"/>
              </w:rPr>
            </w:pPr>
          </w:p>
        </w:tc>
        <w:tc>
          <w:tcPr>
            <w:tcW w:w="1080" w:type="dxa"/>
            <w:vAlign w:val="bottom"/>
            <w:vMerge w:val="restart"/>
          </w:tcPr>
          <w:p>
            <w:pPr>
              <w:jc w:val="right"/>
              <w:ind w:right="303"/>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01"/>
        </w:trPr>
        <w:tc>
          <w:tcPr>
            <w:tcW w:w="3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99,102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(23,821)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75,281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97,728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82,889</w:t>
            </w:r>
          </w:p>
        </w:tc>
        <w:tc>
          <w:tcPr>
            <w:tcW w:w="0" w:type="dxa"/>
            <w:vAlign w:val="bottom"/>
          </w:tcPr>
          <w:p>
            <w:pPr>
              <w:spacing w:after="0"/>
              <w:rPr>
                <w:sz w:val="1"/>
                <w:szCs w:val="1"/>
                <w:color w:val="auto"/>
              </w:rPr>
            </w:pP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2"/>
                <w:szCs w:val="22"/>
                <w:color w:val="auto"/>
              </w:rPr>
            </w:pPr>
          </w:p>
        </w:tc>
        <w:tc>
          <w:tcPr>
            <w:tcW w:w="1020" w:type="dxa"/>
            <w:vAlign w:val="bottom"/>
          </w:tcPr>
          <w:p>
            <w:pPr>
              <w:jc w:val="right"/>
              <w:ind w:right="25"/>
              <w:spacing w:after="0"/>
              <w:rPr>
                <w:sz w:val="20"/>
                <w:szCs w:val="20"/>
                <w:color w:val="auto"/>
              </w:rPr>
            </w:pPr>
            <w:r>
              <w:rPr>
                <w:rFonts w:ascii="Arial" w:cs="Arial" w:eastAsia="Arial" w:hAnsi="Arial"/>
                <w:sz w:val="16"/>
                <w:szCs w:val="16"/>
                <w:color w:val="auto"/>
              </w:rPr>
              <w:t>55,460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(39,218)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16,242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55,423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(28,943)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26,480</w:t>
            </w: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182,545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111,890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179,715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135,240</w:t>
            </w:r>
          </w:p>
        </w:tc>
        <w:tc>
          <w:tcPr>
            <w:tcW w:w="0" w:type="dxa"/>
            <w:vAlign w:val="bottom"/>
          </w:tcPr>
          <w:p>
            <w:pPr>
              <w:spacing w:after="0"/>
              <w:rPr>
                <w:sz w:val="1"/>
                <w:szCs w:val="1"/>
                <w:color w:val="auto"/>
              </w:rPr>
            </w:pP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Customer network and other</w:t>
            </w:r>
          </w:p>
        </w:tc>
        <w:tc>
          <w:tcPr>
            <w:tcW w:w="240" w:type="dxa"/>
            <w:vAlign w:val="bottom"/>
          </w:tcPr>
          <w:p>
            <w:pPr>
              <w:spacing w:after="0"/>
              <w:rPr>
                <w:sz w:val="22"/>
                <w:szCs w:val="22"/>
                <w:color w:val="auto"/>
              </w:rPr>
            </w:pPr>
          </w:p>
        </w:tc>
        <w:tc>
          <w:tcPr>
            <w:tcW w:w="1020" w:type="dxa"/>
            <w:vAlign w:val="bottom"/>
          </w:tcPr>
          <w:p>
            <w:pPr>
              <w:jc w:val="right"/>
              <w:ind w:right="25"/>
              <w:spacing w:after="0"/>
              <w:rPr>
                <w:sz w:val="20"/>
                <w:szCs w:val="20"/>
                <w:color w:val="auto"/>
              </w:rPr>
            </w:pPr>
            <w:r>
              <w:rPr>
                <w:rFonts w:ascii="Arial" w:cs="Arial" w:eastAsia="Arial" w:hAnsi="Arial"/>
                <w:sz w:val="16"/>
                <w:szCs w:val="16"/>
                <w:color w:val="auto"/>
              </w:rPr>
              <w:t>16,289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7,977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16,291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10,106</w:t>
            </w:r>
          </w:p>
        </w:tc>
        <w:tc>
          <w:tcPr>
            <w:tcW w:w="0" w:type="dxa"/>
            <w:vAlign w:val="bottom"/>
          </w:tcPr>
          <w:p>
            <w:pPr>
              <w:spacing w:after="0"/>
              <w:rPr>
                <w:sz w:val="1"/>
                <w:szCs w:val="1"/>
                <w:color w:val="auto"/>
              </w:rPr>
            </w:pPr>
          </w:p>
        </w:tc>
      </w:tr>
      <w:tr>
        <w:trPr>
          <w:trHeight w:val="27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Print network</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25,716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18,811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25,171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21,209</w:t>
            </w:r>
          </w:p>
        </w:tc>
        <w:tc>
          <w:tcPr>
            <w:tcW w:w="0" w:type="dxa"/>
            <w:vAlign w:val="bottom"/>
          </w:tcPr>
          <w:p>
            <w:pPr>
              <w:spacing w:after="0"/>
              <w:rPr>
                <w:sz w:val="1"/>
                <w:szCs w:val="1"/>
                <w:color w:val="auto"/>
              </w:rPr>
            </w:pPr>
          </w:p>
        </w:tc>
      </w:tr>
      <w:tr>
        <w:trPr>
          <w:trHeight w:val="240"/>
        </w:trPr>
        <w:tc>
          <w:tcPr>
            <w:tcW w:w="3340" w:type="dxa"/>
            <w:vAlign w:val="bottom"/>
          </w:tcPr>
          <w:p>
            <w:pPr>
              <w:ind w:left="40"/>
              <w:spacing w:after="0"/>
              <w:rPr>
                <w:sz w:val="20"/>
                <w:szCs w:val="20"/>
                <w:color w:val="auto"/>
              </w:rPr>
            </w:pPr>
            <w:r>
              <w:rPr>
                <w:rFonts w:ascii="Arial" w:cs="Arial" w:eastAsia="Arial" w:hAnsi="Arial"/>
                <w:sz w:val="16"/>
                <w:szCs w:val="16"/>
                <w:color w:val="auto"/>
              </w:rPr>
              <w:t>Total intangible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379,112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(148,911)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230,201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374,328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(98,404)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275,924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Acquired intangible assets amortization expense for the years ended June 30, 2018, 2017 and 2016 was$49,881, $46,145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$40,563. During the year ended June 30, 2018, the increase in acquired intangible asset amortization is primarily related to our fiscal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National Pen. Estimated intangible assets amortization expense for each of the five succeeding fiscal years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jc w:val="right"/>
              <w:ind w:right="8779"/>
              <w:spacing w:after="0"/>
              <w:rPr>
                <w:sz w:val="20"/>
                <w:szCs w:val="20"/>
                <w:color w:val="auto"/>
              </w:rPr>
            </w:pPr>
            <w:r>
              <w:rPr>
                <w:rFonts w:ascii="Arial" w:cs="Arial" w:eastAsia="Arial" w:hAnsi="Arial"/>
                <w:sz w:val="16"/>
                <w:szCs w:val="16"/>
                <w:color w:val="auto"/>
              </w:rPr>
              <w:t>2019</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42,582</w:t>
            </w:r>
          </w:p>
        </w:tc>
      </w:tr>
      <w:tr>
        <w:trPr>
          <w:trHeight w:val="260"/>
        </w:trPr>
        <w:tc>
          <w:tcPr>
            <w:tcW w:w="9260" w:type="dxa"/>
            <w:vAlign w:val="bottom"/>
          </w:tcPr>
          <w:p>
            <w:pPr>
              <w:jc w:val="right"/>
              <w:ind w:right="8779"/>
              <w:spacing w:after="0"/>
              <w:rPr>
                <w:sz w:val="20"/>
                <w:szCs w:val="20"/>
                <w:color w:val="auto"/>
              </w:rPr>
            </w:pPr>
            <w:r>
              <w:rPr>
                <w:rFonts w:ascii="Arial" w:cs="Arial" w:eastAsia="Arial" w:hAnsi="Arial"/>
                <w:sz w:val="16"/>
                <w:szCs w:val="16"/>
                <w:color w:val="auto"/>
              </w:rPr>
              <w:t>2020</w:t>
            </w:r>
          </w:p>
        </w:tc>
        <w:tc>
          <w:tcPr>
            <w:tcW w:w="8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37,967</w:t>
            </w:r>
          </w:p>
        </w:tc>
      </w:tr>
      <w:tr>
        <w:trPr>
          <w:trHeight w:val="280"/>
        </w:trPr>
        <w:tc>
          <w:tcPr>
            <w:tcW w:w="9260" w:type="dxa"/>
            <w:vAlign w:val="bottom"/>
            <w:shd w:val="clear" w:color="auto" w:fill="CCEEFF"/>
          </w:tcPr>
          <w:p>
            <w:pPr>
              <w:jc w:val="right"/>
              <w:ind w:right="8779"/>
              <w:spacing w:after="0"/>
              <w:rPr>
                <w:sz w:val="20"/>
                <w:szCs w:val="20"/>
                <w:color w:val="auto"/>
              </w:rPr>
            </w:pPr>
            <w:r>
              <w:rPr>
                <w:rFonts w:ascii="Arial" w:cs="Arial" w:eastAsia="Arial" w:hAnsi="Arial"/>
                <w:sz w:val="16"/>
                <w:szCs w:val="16"/>
                <w:color w:val="auto"/>
              </w:rPr>
              <w:t>2021</w:t>
            </w:r>
          </w:p>
        </w:tc>
        <w:tc>
          <w:tcPr>
            <w:tcW w:w="8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37,859</w:t>
            </w:r>
          </w:p>
        </w:tc>
      </w:tr>
      <w:tr>
        <w:trPr>
          <w:trHeight w:val="260"/>
        </w:trPr>
        <w:tc>
          <w:tcPr>
            <w:tcW w:w="9260" w:type="dxa"/>
            <w:vAlign w:val="bottom"/>
          </w:tcPr>
          <w:p>
            <w:pPr>
              <w:jc w:val="right"/>
              <w:ind w:right="8779"/>
              <w:spacing w:after="0"/>
              <w:rPr>
                <w:sz w:val="20"/>
                <w:szCs w:val="20"/>
                <w:color w:val="auto"/>
              </w:rPr>
            </w:pPr>
            <w:r>
              <w:rPr>
                <w:rFonts w:ascii="Arial" w:cs="Arial" w:eastAsia="Arial" w:hAnsi="Arial"/>
                <w:sz w:val="16"/>
                <w:szCs w:val="16"/>
                <w:color w:val="auto"/>
              </w:rPr>
              <w:t>2022</w:t>
            </w:r>
          </w:p>
        </w:tc>
        <w:tc>
          <w:tcPr>
            <w:tcW w:w="8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36,297</w:t>
            </w:r>
          </w:p>
        </w:tc>
      </w:tr>
      <w:tr>
        <w:trPr>
          <w:trHeight w:val="273"/>
        </w:trPr>
        <w:tc>
          <w:tcPr>
            <w:tcW w:w="9260" w:type="dxa"/>
            <w:vAlign w:val="bottom"/>
            <w:shd w:val="clear" w:color="auto" w:fill="CCEEFF"/>
          </w:tcPr>
          <w:p>
            <w:pPr>
              <w:jc w:val="right"/>
              <w:ind w:right="8779"/>
              <w:spacing w:after="0"/>
              <w:rPr>
                <w:sz w:val="20"/>
                <w:szCs w:val="20"/>
                <w:color w:val="auto"/>
              </w:rPr>
            </w:pPr>
            <w:r>
              <w:rPr>
                <w:rFonts w:ascii="Arial" w:cs="Arial" w:eastAsia="Arial" w:hAnsi="Arial"/>
                <w:sz w:val="16"/>
                <w:szCs w:val="16"/>
                <w:color w:val="auto"/>
              </w:rPr>
              <w:t>2023</w:t>
            </w:r>
          </w:p>
        </w:tc>
        <w:tc>
          <w:tcPr>
            <w:tcW w:w="8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28,386</w:t>
            </w:r>
          </w:p>
        </w:tc>
      </w:tr>
      <w:tr>
        <w:trPr>
          <w:trHeight w:val="237"/>
        </w:trPr>
        <w:tc>
          <w:tcPr>
            <w:tcW w:w="9260" w:type="dxa"/>
            <w:vAlign w:val="bottom"/>
          </w:tcPr>
          <w:p>
            <w:pPr>
              <w:spacing w:after="0"/>
              <w:rPr>
                <w:sz w:val="20"/>
                <w:szCs w:val="20"/>
                <w:color w:val="auto"/>
              </w:rPr>
            </w:pP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183,091</w:t>
            </w: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26"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9. Other Balance Sheet Components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2018</w:t>
            </w:r>
          </w:p>
        </w:tc>
        <w:tc>
          <w:tcPr>
            <w:tcW w:w="280" w:type="dxa"/>
            <w:vAlign w:val="bottom"/>
          </w:tcPr>
          <w:p>
            <w:pPr>
              <w:spacing w:after="0"/>
              <w:rPr>
                <w:sz w:val="15"/>
                <w:szCs w:val="15"/>
                <w:color w:val="auto"/>
              </w:rPr>
            </w:pPr>
          </w:p>
        </w:tc>
        <w:tc>
          <w:tcPr>
            <w:tcW w:w="1420" w:type="dxa"/>
            <w:vAlign w:val="bottom"/>
          </w:tcPr>
          <w:p>
            <w:pPr>
              <w:jc w:val="right"/>
              <w:ind w:right="361"/>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5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costs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57,024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54,487</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Income and indirect taxes</w:t>
            </w:r>
          </w:p>
        </w:tc>
        <w:tc>
          <w:tcPr>
            <w:tcW w:w="2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33,557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34,469</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costs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28,140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26,641</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Production costs</w:t>
            </w:r>
          </w:p>
        </w:tc>
        <w:tc>
          <w:tcPr>
            <w:tcW w:w="2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8,903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7,472</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Shipping costs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6,651</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Sales returns</w:t>
            </w:r>
          </w:p>
        </w:tc>
        <w:tc>
          <w:tcPr>
            <w:tcW w:w="2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5,076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4,474</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3,786</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Professional fees</w:t>
            </w:r>
          </w:p>
        </w:tc>
        <w:tc>
          <w:tcPr>
            <w:tcW w:w="2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3,802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3,021</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payable</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5,263</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38,776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29,303</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accrued expenses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186,661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175,567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660"/>
              <w:spacing w:after="0"/>
              <w:rPr>
                <w:sz w:val="20"/>
                <w:szCs w:val="20"/>
                <w:color w:val="auto"/>
              </w:rPr>
            </w:pPr>
            <w:r>
              <w:rPr>
                <w:rFonts w:ascii="Arial" w:cs="Arial" w:eastAsia="Arial" w:hAnsi="Arial"/>
                <w:sz w:val="18"/>
                <w:szCs w:val="18"/>
                <w:color w:val="auto"/>
              </w:rPr>
              <w:t>Other current liabilities included the following:</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7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2018</w:t>
            </w:r>
          </w:p>
        </w:tc>
        <w:tc>
          <w:tcPr>
            <w:tcW w:w="280" w:type="dxa"/>
            <w:vAlign w:val="bottom"/>
          </w:tcPr>
          <w:p>
            <w:pPr>
              <w:spacing w:after="0"/>
              <w:rPr>
                <w:sz w:val="24"/>
                <w:szCs w:val="24"/>
                <w:color w:val="auto"/>
              </w:rPr>
            </w:pPr>
          </w:p>
        </w:tc>
        <w:tc>
          <w:tcPr>
            <w:tcW w:w="1420" w:type="dxa"/>
            <w:vAlign w:val="bottom"/>
          </w:tcPr>
          <w:p>
            <w:pPr>
              <w:jc w:val="right"/>
              <w:ind w:right="361"/>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Short-term derivative liabilities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31,054</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7,243</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portion of lease financing obligation</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12,569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12,569</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portion of capital lease obligations</w:t>
            </w:r>
          </w:p>
        </w:tc>
        <w:tc>
          <w:tcPr>
            <w:tcW w:w="2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10,747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11,573</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Contingent earn-out liability (1)</w:t>
            </w: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44,049</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Mandatorily redeemable noncontrolling interest (2)</w:t>
            </w: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 other current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54,971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78,435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720"/>
              <w:spacing w:after="0"/>
              <w:rPr>
                <w:sz w:val="20"/>
                <w:szCs w:val="20"/>
                <w:color w:val="auto"/>
              </w:rPr>
            </w:pPr>
            <w:r>
              <w:rPr>
                <w:rFonts w:ascii="Arial" w:cs="Arial" w:eastAsia="Arial" w:hAnsi="Arial"/>
                <w:sz w:val="18"/>
                <w:szCs w:val="18"/>
                <w:color w:val="auto"/>
              </w:rPr>
              <w:t>Other liabilities included the following:</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2018</w:t>
            </w:r>
          </w:p>
        </w:tc>
        <w:tc>
          <w:tcPr>
            <w:tcW w:w="280" w:type="dxa"/>
            <w:vAlign w:val="bottom"/>
          </w:tcPr>
          <w:p>
            <w:pPr>
              <w:spacing w:after="0"/>
              <w:rPr>
                <w:sz w:val="24"/>
                <w:szCs w:val="24"/>
                <w:color w:val="auto"/>
              </w:rPr>
            </w:pPr>
          </w:p>
        </w:tc>
        <w:tc>
          <w:tcPr>
            <w:tcW w:w="1420" w:type="dxa"/>
            <w:vAlign w:val="bottom"/>
          </w:tcPr>
          <w:p>
            <w:pPr>
              <w:jc w:val="right"/>
              <w:ind w:right="361"/>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Long-term capital lease obligations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16,883</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28,306</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derivative liabilities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31,936</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Mandatorily redeemable noncontrolling interest (2)</w:t>
            </w:r>
          </w:p>
        </w:tc>
        <w:tc>
          <w:tcPr>
            <w:tcW w:w="2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4,366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2,456</w:t>
            </w:r>
          </w:p>
        </w:tc>
        <w:tc>
          <w:tcPr>
            <w:tcW w:w="0" w:type="dxa"/>
            <w:vAlign w:val="bottom"/>
          </w:tcPr>
          <w:p>
            <w:pPr>
              <w:spacing w:after="0"/>
              <w:rPr>
                <w:sz w:val="1"/>
                <w:szCs w:val="1"/>
                <w:color w:val="auto"/>
              </w:rPr>
            </w:pP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(3)</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38,195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31,985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 other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69,524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94,683</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79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January 2, 2018, we paid the WIRmachenDRUCK contingent earn-out liability, refer to the summary below for additional details.</w:t>
      </w:r>
    </w:p>
    <w:p>
      <w:pPr>
        <w:spacing w:after="0" w:line="1" w:lineRule="exact"/>
        <w:rPr>
          <w:rFonts w:ascii="Arial" w:cs="Arial" w:eastAsia="Arial" w:hAnsi="Arial"/>
          <w:sz w:val="14"/>
          <w:szCs w:val="14"/>
          <w:color w:val="auto"/>
        </w:rPr>
      </w:pPr>
    </w:p>
    <w:p>
      <w:pPr>
        <w:ind w:left="260" w:right="140" w:hanging="252"/>
        <w:spacing w:after="0" w:line="241" w:lineRule="auto"/>
        <w:tabs>
          <w:tab w:leader="none" w:pos="233"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Relates to the mandatorily redeemable noncontrolling interest of Printi LLC. The short-term liability as of June 30, 2017 was redeemed during the fourth quarter of fiscal 2018. Refer to Note 15 for additional details.</w:t>
      </w:r>
    </w:p>
    <w:p>
      <w:pPr>
        <w:ind w:left="260" w:right="80" w:hanging="252"/>
        <w:spacing w:after="0" w:line="258" w:lineRule="auto"/>
        <w:tabs>
          <w:tab w:leader="none" w:pos="233" w:val="left"/>
        </w:tabs>
        <w:numPr>
          <w:ilvl w:val="0"/>
          <w:numId w:val="52"/>
        </w:numPr>
        <w:rPr>
          <w:rFonts w:ascii="Arial" w:cs="Arial" w:eastAsia="Arial" w:hAnsi="Arial"/>
          <w:sz w:val="14"/>
          <w:szCs w:val="14"/>
          <w:color w:val="auto"/>
        </w:rPr>
      </w:pPr>
      <w:r>
        <w:rPr>
          <w:rFonts w:ascii="Arial" w:cs="Arial" w:eastAsia="Arial" w:hAnsi="Arial"/>
          <w:sz w:val="14"/>
          <w:szCs w:val="14"/>
          <w:color w:val="auto"/>
        </w:rPr>
        <w:t>As of June 30, 2018 and 2017, other liabilities includes $15,464 and $8,713, respectively, related to share-based compensation awards associated with our investment in Printi LLC. Refer to Note 15 for additional details.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earn-out liability</w:t>
      </w:r>
    </w:p>
    <w:p>
      <w:pPr>
        <w:spacing w:after="0" w:line="216" w:lineRule="exact"/>
        <w:rPr>
          <w:sz w:val="20"/>
          <w:szCs w:val="20"/>
          <w:color w:val="auto"/>
        </w:rPr>
      </w:pPr>
    </w:p>
    <w:p>
      <w:pPr>
        <w:ind w:left="60" w:right="140" w:firstLine="648"/>
        <w:spacing w:after="0" w:line="252" w:lineRule="auto"/>
        <w:rPr>
          <w:sz w:val="20"/>
          <w:szCs w:val="20"/>
          <w:color w:val="auto"/>
        </w:rPr>
      </w:pPr>
      <w:r>
        <w:rPr>
          <w:rFonts w:ascii="Arial" w:cs="Arial" w:eastAsia="Arial" w:hAnsi="Arial"/>
          <w:sz w:val="18"/>
          <w:szCs w:val="18"/>
          <w:color w:val="auto"/>
        </w:rPr>
        <w:t>Under the original terms of the WIRmachenDRUCK earn-out arrangement, a portion of the earn-out attributed to the minority selling shareholders was included as a component of purchase consideration as of the acquisition date, with any subsequent changes to fair value recognized within general and administrative expense. This earn-out was previously calculated on a sliding scale, based on the achievement of cumulative gross profit against a predetermined target. The liability represented the present value of the agreed payment amount as of the respective date. We recognized $1,774, $32,550 and $1,961 of expense during the years ended June 30, 2018, 2017 and 2016, respectively, as part of general and administrative expense. We paid the maximum amount on January 2, 2018. Refer to Note 3 of the consolidated financial statements for additional details of this payment.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49"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10. Debt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2018</w:t>
            </w:r>
          </w:p>
        </w:tc>
        <w:tc>
          <w:tcPr>
            <w:tcW w:w="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432,414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600,037</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7.0% Senior unsecured notes due 2026 (1)</w:t>
            </w:r>
          </w:p>
        </w:tc>
        <w:tc>
          <w:tcPr>
            <w:tcW w:w="24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7.0% Senior unsecured notes due 2022 (1)</w:t>
            </w:r>
          </w:p>
        </w:tc>
        <w:tc>
          <w:tcPr>
            <w:tcW w:w="2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275,000</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7,015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7,541</w:t>
            </w:r>
          </w:p>
        </w:tc>
        <w:tc>
          <w:tcPr>
            <w:tcW w:w="0" w:type="dxa"/>
            <w:vAlign w:val="bottom"/>
          </w:tcPr>
          <w:p>
            <w:pPr>
              <w:spacing w:after="0"/>
              <w:rPr>
                <w:sz w:val="1"/>
                <w:szCs w:val="1"/>
                <w:color w:val="auto"/>
              </w:rPr>
            </w:pP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issuance costs and debt discounts (2)</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(5,922)</w:t>
            </w:r>
          </w:p>
        </w:tc>
        <w:tc>
          <w:tcPr>
            <w:tcW w:w="0" w:type="dxa"/>
            <w:vAlign w:val="bottom"/>
          </w:tcPr>
          <w:p>
            <w:pPr>
              <w:spacing w:after="0"/>
              <w:rPr>
                <w:sz w:val="1"/>
                <w:szCs w:val="1"/>
                <w:color w:val="auto"/>
              </w:rPr>
            </w:pP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Total debt outstanding, net</w:t>
            </w:r>
          </w:p>
        </w:tc>
        <w:tc>
          <w:tcPr>
            <w:tcW w:w="240" w:type="dxa"/>
            <w:vAlign w:val="bottom"/>
          </w:tcPr>
          <w:p>
            <w:pPr>
              <w:spacing w:after="0"/>
              <w:rPr>
                <w:sz w:val="21"/>
                <w:szCs w:val="21"/>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826,844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876,656</w:t>
            </w:r>
          </w:p>
        </w:tc>
        <w:tc>
          <w:tcPr>
            <w:tcW w:w="0" w:type="dxa"/>
            <w:vAlign w:val="bottom"/>
          </w:tcPr>
          <w:p>
            <w:pPr>
              <w:spacing w:after="0"/>
              <w:rPr>
                <w:sz w:val="1"/>
                <w:szCs w:val="1"/>
                <w:color w:val="auto"/>
              </w:rPr>
            </w:pP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short-term debt (3)</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59,259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28,926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767,585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847,730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60" w:right="460" w:hanging="252"/>
        <w:spacing w:after="0" w:line="258" w:lineRule="auto"/>
        <w:tabs>
          <w:tab w:leader="none" w:pos="233" w:val="left"/>
        </w:tabs>
        <w:numPr>
          <w:ilvl w:val="0"/>
          <w:numId w:val="53"/>
        </w:numPr>
        <w:rPr>
          <w:rFonts w:ascii="Arial" w:cs="Arial" w:eastAsia="Arial" w:hAnsi="Arial"/>
          <w:sz w:val="14"/>
          <w:szCs w:val="14"/>
          <w:color w:val="auto"/>
        </w:rPr>
      </w:pPr>
      <w:r>
        <w:rPr>
          <w:rFonts w:ascii="Arial" w:cs="Arial" w:eastAsia="Arial" w:hAnsi="Arial"/>
          <w:sz w:val="14"/>
          <w:szCs w:val="14"/>
          <w:color w:val="auto"/>
        </w:rPr>
        <w:t>On June 15, 2018, we completed a debt offering of $400,000 in aggregate principal amount of 7.0% senior notes due 2026. We used a portion of the net proceeds of this offering to extinguish the $275,000 of senior notes due 2022 and fund the satisfaction of the indenture governing those notes.</w:t>
      </w:r>
    </w:p>
    <w:p>
      <w:pPr>
        <w:spacing w:after="0" w:line="59" w:lineRule="exact"/>
        <w:rPr>
          <w:rFonts w:ascii="Arial" w:cs="Arial" w:eastAsia="Arial" w:hAnsi="Arial"/>
          <w:sz w:val="14"/>
          <w:szCs w:val="14"/>
          <w:color w:val="auto"/>
        </w:rPr>
      </w:pPr>
    </w:p>
    <w:p>
      <w:pPr>
        <w:jc w:val="both"/>
        <w:ind w:left="260" w:right="120" w:hanging="252"/>
        <w:spacing w:after="0" w:line="241" w:lineRule="auto"/>
        <w:tabs>
          <w:tab w:leader="none" w:pos="233" w:val="left"/>
        </w:tabs>
        <w:numPr>
          <w:ilvl w:val="0"/>
          <w:numId w:val="53"/>
        </w:numPr>
        <w:rPr>
          <w:rFonts w:ascii="Arial" w:cs="Arial" w:eastAsia="Arial" w:hAnsi="Arial"/>
          <w:sz w:val="14"/>
          <w:szCs w:val="14"/>
          <w:color w:val="auto"/>
        </w:rPr>
      </w:pPr>
      <w:r>
        <w:rPr>
          <w:rFonts w:ascii="Arial" w:cs="Arial" w:eastAsia="Arial" w:hAnsi="Arial"/>
          <w:sz w:val="14"/>
          <w:szCs w:val="14"/>
          <w:color w:val="auto"/>
        </w:rPr>
        <w:t>During the year ended June 30, 2018, we capitalized $11,666 in debt issuance costs, which related to the private placement of our 7.0% senior unsecured notes due 2026, as well as the amendment to our senior secured credit facility. We wrote-off $3,164 of unamortized costs related to the redemption of our 7.0% Senior unsecured notes due 2022 and amendment to our senior unsecured credit facility. Refer below for additional details.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Balances as of June 30, 2018 and June 30, 2017 are inclusive of short-term debt issuance costs and debt discounts of $2,012 and $1,693,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w:t>
      </w:r>
    </w:p>
    <w:p>
      <w:pPr>
        <w:spacing w:after="0" w:line="247" w:lineRule="exact"/>
        <w:rPr>
          <w:sz w:val="20"/>
          <w:szCs w:val="20"/>
          <w:color w:val="auto"/>
        </w:rPr>
      </w:pPr>
    </w:p>
    <w:p>
      <w:pPr>
        <w:ind w:left="60" w:right="160" w:firstLine="648"/>
        <w:spacing w:after="0" w:line="262" w:lineRule="auto"/>
        <w:rPr>
          <w:sz w:val="20"/>
          <w:szCs w:val="20"/>
          <w:color w:val="auto"/>
        </w:rPr>
      </w:pPr>
      <w:r>
        <w:rPr>
          <w:rFonts w:ascii="Arial" w:cs="Arial" w:eastAsia="Arial" w:hAnsi="Arial"/>
          <w:sz w:val="18"/>
          <w:szCs w:val="18"/>
          <w:color w:val="auto"/>
        </w:rPr>
        <w:t>Our various debt arrangements described below contain customary representations, warranties and events of default. As of June 30, 2018, we were in compliance with all financial and other covenants related to our debt.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and Senior Unsecured Notes</w:t>
      </w:r>
    </w:p>
    <w:p>
      <w:pPr>
        <w:spacing w:after="0" w:line="324" w:lineRule="exact"/>
        <w:rPr>
          <w:sz w:val="20"/>
          <w:szCs w:val="20"/>
          <w:color w:val="auto"/>
        </w:rPr>
      </w:pPr>
    </w:p>
    <w:p>
      <w:pPr>
        <w:ind w:left="60" w:right="60" w:firstLine="648"/>
        <w:spacing w:after="0" w:line="252" w:lineRule="auto"/>
        <w:rPr>
          <w:sz w:val="20"/>
          <w:szCs w:val="20"/>
          <w:color w:val="auto"/>
        </w:rPr>
      </w:pPr>
      <w:r>
        <w:rPr>
          <w:rFonts w:ascii="Arial" w:cs="Arial" w:eastAsia="Arial" w:hAnsi="Arial"/>
          <w:sz w:val="18"/>
          <w:szCs w:val="18"/>
          <w:color w:val="auto"/>
        </w:rPr>
        <w:t>On June 15, 2018, we completed a private placement of $ 400,000 in aggregate principal amount of 7.0% senior unsecured notes due 2026 (the “2026 Notes”). We issued the 2026 Notes pursuant to a senior notes indenture dated as of June 15, 2018, among Cimpress N.V., our subsidiary guarantors, and MUFG Union Bank, N.A., as trustee (the "Indenture"). We used a portion of the net proceeds from the 2026 Notes to redeem all of the outstanding 7.0% senior unsecured notes due 2022 at a redemption price equal to 105.25% of the principal amount and all accrued unpaid interest. As a result of the redemption, we incurred a loss on the extinguishment of debt of $17,359, which included the early redemption premium of $14,438 and the write-off of unamortized debt issuance costs of $2,921. The remaining proceeds were used to repay a portion of the indebtedness outstanding under our revolving credit facility and pay all related fees and expenses.</w:t>
      </w:r>
    </w:p>
    <w:p>
      <w:pPr>
        <w:spacing w:after="0" w:line="207"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The 2026 Notes bear interest at a rate of 7.0% per annum and mature on June 15, 2026. Interest on the Notes is payable semi-annually on June 15 and December 15 of each year, commencing on December 15, 2018, to the holders of record of the 2026 Notes at the close of business on June 1 and December 1, respectively, preceding such interest payment date.</w:t>
      </w:r>
    </w:p>
    <w:p>
      <w:pPr>
        <w:spacing w:after="0" w:line="20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2026 Notes are senior unsecured obligations and rank equally in right of payment to all our existing and future senior unsecured debt and senior in right of payment to all of our existing and future subordinated debt. The Notes are effectively subordinated to any of our existing and future secured debt to the extent of the value of the assets securing such debt. Subject to certain exceptions, each of our existing and future subsidiaries that is a borrower under or guarantees our senior secured credit facilities will guarantee the 2026 Notes.</w:t>
      </w:r>
    </w:p>
    <w:p>
      <w:pPr>
        <w:spacing w:after="0" w:line="20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indenture under which the 2026 Notes are issued contains various covenants, including covenants that, subject to certain exceptions, limit our and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enter into sale and leaseback transactions; merge, consolidate or transfer or dispose of substantially all of our consolidated assets; sell, transfer or otherwise dispose of property and assets; and engage in transactions with affiliates.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630" w:right="239" w:bottom="1440" w:gutter="0" w:footer="0" w:header="0"/>
        </w:sectPr>
      </w:pPr>
    </w:p>
    <w:bookmarkStart w:id="88" w:name="page89"/>
    <w:bookmarkEnd w:id="88"/>
    <w:p>
      <w:pPr>
        <w:ind w:firstLine="648"/>
        <w:spacing w:after="0" w:line="252" w:lineRule="auto"/>
        <w:rPr>
          <w:sz w:val="20"/>
          <w:szCs w:val="20"/>
          <w:color w:val="auto"/>
        </w:rPr>
      </w:pPr>
      <w:r>
        <w:rPr>
          <w:rFonts w:ascii="Arial" w:cs="Arial" w:eastAsia="Arial" w:hAnsi="Arial"/>
          <w:sz w:val="18"/>
          <w:szCs w:val="18"/>
          <w:color w:val="auto"/>
        </w:rPr>
        <w:t>We have the right to redeem, at any time prior to June 15, 2021, some or all of the 2026 Notes at a redemption price equal to 100% of the principal amount redeemed, plus a make-whole amount as set forth in the Indenture, plus, in each case, accrued and unpaid interest to, but not including, the redemption date. In addition, we have the right to redeem, at any time prior to June 15, 2021, up to 40% of the aggregate outstanding principal amount of the 2026 Notes at a redemption price equal to 107% of the principal amount thereof, plus accrued and unpaid interest to, but not including, the redemption date, with the net proceeds of certain equity offerings by Cimpress. At any time on or after June 15, 2021, we may redeem some or all of the Notes at the redemption prices specified in the Indenture, plus accrued and unpaid interest to, but not including, the redemption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24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On June 14, 2018, we entered into an amendment to our senior secured credit facility resulting in an increase to aggregate loan commitments under the credit agreement to a total of $1,128,172. The amendment also extended the tenor of our borrowings to a maturity date of June 14, 2023 and changed some additional terms.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we have a committed credit facility of $1,124,422 as follows:</w:t>
      </w:r>
    </w:p>
    <w:p>
      <w:pPr>
        <w:spacing w:after="0" w:line="198"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Revolving loans of $839,422 with a maturity date of June 14, 2023</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Term loan of $285,000 amortizing over the loan period, with a final maturity date of June 14, 2023</w:t>
      </w:r>
    </w:p>
    <w:p>
      <w:pPr>
        <w:spacing w:after="0" w:line="27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Under the terms of our credit agreement, borrowings bear interest at a variable rate of interest based on LIBOR plus 1.375% to 2.0%. Interest rates prior to and after the amendment depend on our leverage ratio, which is the ratio of our consolidated total indebtedness to our consolidated EBITDA, as defined by the credit agreement. As of June 30, 2018, the weighted-average interest rate on outstanding borrowings was 3.77%, inclusive of interest rate swap rates. We are also required to pay a commitment fee on unused balances of 0.225% to 0.35% depending on our leverage ratio. We have pledged the assets and/or share capital of several of our subsidiaries as collateral for our outstanding debt as of June 30, 2018.</w:t>
      </w:r>
    </w:p>
    <w:p>
      <w:pPr>
        <w:spacing w:after="0" w:line="263" w:lineRule="exact"/>
        <w:rPr>
          <w:sz w:val="20"/>
          <w:szCs w:val="20"/>
          <w:color w:val="auto"/>
        </w:rPr>
      </w:pPr>
    </w:p>
    <w:p>
      <w:pPr>
        <w:ind w:right="100" w:firstLine="648"/>
        <w:spacing w:after="0" w:line="250" w:lineRule="auto"/>
        <w:rPr>
          <w:sz w:val="20"/>
          <w:szCs w:val="20"/>
          <w:color w:val="auto"/>
        </w:rPr>
      </w:pPr>
      <w:r>
        <w:rPr>
          <w:rFonts w:ascii="Arial" w:cs="Arial" w:eastAsia="Arial" w:hAnsi="Arial"/>
          <w:sz w:val="18"/>
          <w:szCs w:val="18"/>
          <w:color w:val="auto"/>
        </w:rPr>
        <w:t>Our credit agreement contains financial and other covenants, including but not limited to limitations on (1) our incurrence of additional indebtedness and liens, (2) the consummation of certain fundamental organizational changes or intercompany activities, for example acquisitions, (3) investments and restricted payments including the amount of purchases of our ordinary shares or payments of dividends, and</w:t>
      </w:r>
    </w:p>
    <w:p>
      <w:pPr>
        <w:spacing w:after="0" w:line="1" w:lineRule="exact"/>
        <w:rPr>
          <w:sz w:val="20"/>
          <w:szCs w:val="20"/>
          <w:color w:val="auto"/>
        </w:rPr>
      </w:pPr>
    </w:p>
    <w:p>
      <w:pPr>
        <w:ind w:right="40" w:firstLine="8"/>
        <w:spacing w:after="0" w:line="262"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of consolidated capital expenditures that we may make in each of our fiscal years through June 30, 2023. The credit agreement also contains financial covenants calculated on a trailing twelve month, or TTM, basis that:</w:t>
      </w:r>
    </w:p>
    <w:p>
      <w:pPr>
        <w:spacing w:after="0" w:line="250" w:lineRule="exact"/>
        <w:rPr>
          <w:rFonts w:ascii="Arial" w:cs="Arial" w:eastAsia="Arial" w:hAnsi="Arial"/>
          <w:sz w:val="18"/>
          <w:szCs w:val="18"/>
          <w:color w:val="auto"/>
        </w:rPr>
      </w:pPr>
    </w:p>
    <w:p>
      <w:pPr>
        <w:ind w:left="660" w:right="320" w:hanging="328"/>
        <w:spacing w:after="0" w:line="256"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our consolidated leverage ratio, which is the ratio of our consolidated indebtedness (*) to our TTM consolidated EBITDA (*), will not exceed 4.75, but may, on no more than three occasions during the term of the Credit Agreement, be increased to 5.00 for four consecutive quarters for certain permitted acquisitions;</w:t>
      </w:r>
    </w:p>
    <w:p>
      <w:pPr>
        <w:spacing w:after="0" w:line="256" w:lineRule="exact"/>
        <w:rPr>
          <w:rFonts w:ascii="Arial" w:cs="Arial" w:eastAsia="Arial" w:hAnsi="Arial"/>
          <w:sz w:val="18"/>
          <w:szCs w:val="18"/>
          <w:color w:val="auto"/>
        </w:rPr>
      </w:pPr>
    </w:p>
    <w:p>
      <w:pPr>
        <w:ind w:left="660" w:right="520" w:hanging="328"/>
        <w:spacing w:after="0" w:line="256"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our senior secured leverage ratio, which is the ratio of our consolidated senior secured indebtedness (*) to our TTM consolidated EBITDA (*), will not exceed 3.25 to 1.00, but may, on no more than three occasions during the term of the Credit Agreement, be increased to 3.50 for four consecutive quarters for certain permitted acquisitions.</w:t>
      </w:r>
    </w:p>
    <w:p>
      <w:pPr>
        <w:spacing w:after="0" w:line="256" w:lineRule="exact"/>
        <w:rPr>
          <w:rFonts w:ascii="Arial" w:cs="Arial" w:eastAsia="Arial" w:hAnsi="Arial"/>
          <w:sz w:val="18"/>
          <w:szCs w:val="18"/>
          <w:color w:val="auto"/>
        </w:rPr>
      </w:pPr>
    </w:p>
    <w:p>
      <w:pPr>
        <w:ind w:left="660" w:hanging="328"/>
        <w:spacing w:after="0"/>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our interest coverage ratio, which is the ratio of our consolidated EBITDA (*) to our consolidated interest expense, will be at least 3.00.</w:t>
      </w:r>
    </w:p>
    <w:p>
      <w:pPr>
        <w:spacing w:after="0" w:line="282" w:lineRule="exact"/>
        <w:rPr>
          <w:sz w:val="20"/>
          <w:szCs w:val="20"/>
          <w:color w:val="auto"/>
        </w:rPr>
      </w:pPr>
    </w:p>
    <w:p>
      <w:pPr>
        <w:ind w:right="180" w:firstLine="8"/>
        <w:spacing w:after="0" w:line="260" w:lineRule="auto"/>
        <w:tabs>
          <w:tab w:leader="none" w:pos="21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definitions of EBITDA and consolidated indebtedness are maintained in our credit agreement included as an exhibit to our Form 8-K filed on June 18,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16"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Other debt consists primarily of term loans acquired through our various acquisitions. As of June 30, 2018 and June 30, 2017 we had $7,015 and $7,541, respectively, outstanding for those obligations that are payable through September 2024.</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598" w:right="259" w:bottom="1440" w:gutter="0" w:footer="0" w:header="0"/>
        </w:sectPr>
      </w:pPr>
    </w:p>
    <w:bookmarkStart w:id="89" w:name="page90"/>
    <w:bookmarkEnd w:id="89"/>
    <w:p>
      <w:pPr>
        <w:ind w:left="340" w:right="9300" w:hanging="332"/>
        <w:spacing w:after="0" w:line="527" w:lineRule="auto"/>
        <w:tabs>
          <w:tab w:leader="none" w:pos="316"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Shareholders’ Equity </w:t>
      </w:r>
      <w:r>
        <w:rPr>
          <w:rFonts w:ascii="Arial" w:cs="Arial" w:eastAsia="Arial" w:hAnsi="Arial"/>
          <w:sz w:val="17"/>
          <w:szCs w:val="17"/>
          <w:b w:val="1"/>
          <w:bCs w:val="1"/>
          <w:i w:val="1"/>
          <w:iCs w:val="1"/>
          <w:color w:val="auto"/>
        </w:rPr>
        <w:t>Treasury shares</w:t>
      </w:r>
    </w:p>
    <w:p>
      <w:pPr>
        <w:spacing w:after="0" w:line="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March 22, 2017, we announced that our Supervisory Board authorized the purchase of up to 6,300,000 of our ordinary shares and during the year ended June 30, 2018, we purchased 452,820 shares under this authorization for a cost of $40,674. On November 14, 2017, our Supervisory Board authorized the repurchase of up to 6,300,000 of our ordinary shares, which replaced the previous authorization. During the year ended June 30, 2018, we purchased 442,557 shares under this authorization for a cost of $54,036.</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awards</w:t>
      </w:r>
    </w:p>
    <w:p>
      <w:pPr>
        <w:spacing w:after="0" w:line="2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2016 Performance Equity Plan (the "2016 Plan") became effective upon shareholder approval on May 27, 2016 and allows us to grant PSUs, entitling the recipient to receive Cimpress ordinary shares based upon continued service to Cimpress and the achievement of objective, predetermined appreciation of Cimpress' three -year moving average share price. We may grant PSUs under the 2016 Plan to our employees, officers, directors (including members of the Management and Supervisory Boards), consultants, and advisors. Subject to adjustment in the event of stock splits, stock dividends and other similar events, we may make awards under the 2016 Plan for up to 8,000,000 of our ordinary shares.</w:t>
      </w:r>
    </w:p>
    <w:p>
      <w:pPr>
        <w:spacing w:after="0" w:line="182" w:lineRule="exact"/>
        <w:rPr>
          <w:sz w:val="20"/>
          <w:szCs w:val="20"/>
          <w:color w:val="auto"/>
        </w:rPr>
      </w:pPr>
    </w:p>
    <w:p>
      <w:pPr>
        <w:ind w:firstLine="662"/>
        <w:spacing w:after="0" w:line="251" w:lineRule="auto"/>
        <w:rPr>
          <w:sz w:val="20"/>
          <w:szCs w:val="20"/>
          <w:color w:val="auto"/>
        </w:rPr>
      </w:pPr>
      <w:r>
        <w:rPr>
          <w:rFonts w:ascii="Arial" w:cs="Arial" w:eastAsia="Arial" w:hAnsi="Arial"/>
          <w:sz w:val="18"/>
          <w:szCs w:val="18"/>
          <w:color w:val="auto"/>
        </w:rPr>
        <w:t>The 2011 Equity Incentive Plan (the “2011 Plan”) became effective upon shareholder approval on June 30, 2011 and allows us to grant share options, share appreciation rights, restricted shares, restricted share units and other awards based on our ordinary shares to our employees, officers, non-employee directors, consultants and advisors. Among other terms, the 2011 Plan requires that the exercise price of any share option or share appreciation right granted under the 2011 Plan be at least 100% of the fair market value of the ordinary shares on the date of grant; limits the term of any share option or share appreciation right to a maximum period of 10 years; provides that shares underlying outstanding awards under the Amended and Restated 2005 Equity Incentive Plan that are canceled, forfeited, expired or otherwise terminated without having been issued in full will become available for the grant of new awards under the 2011 Plan; and prohibits the repricing of any share options or share appreciation rights without shareholder approval. In addition, the 2011 Plan provides that the number of ordinary shares available for issuance under the plan will be reduced by (i) 1.56 ordinary shares for each share subject to a restricted share or other share -based award with a per share or per unit purchase price lower than 100% of the fair market value of the ordinary shares on the date of grant and (ii) one ordinary share for each share subject to any other award under the 2011 Plan.</w:t>
      </w:r>
    </w:p>
    <w:p>
      <w:pPr>
        <w:spacing w:after="0" w:line="185" w:lineRule="exact"/>
        <w:rPr>
          <w:sz w:val="20"/>
          <w:szCs w:val="20"/>
          <w:color w:val="auto"/>
        </w:rPr>
      </w:pPr>
    </w:p>
    <w:p>
      <w:pPr>
        <w:ind w:right="60" w:firstLine="662"/>
        <w:spacing w:after="0" w:line="256" w:lineRule="auto"/>
        <w:rPr>
          <w:sz w:val="20"/>
          <w:szCs w:val="20"/>
          <w:color w:val="auto"/>
        </w:rPr>
      </w:pPr>
      <w:r>
        <w:rPr>
          <w:rFonts w:ascii="Arial" w:cs="Arial" w:eastAsia="Arial" w:hAnsi="Arial"/>
          <w:sz w:val="18"/>
          <w:szCs w:val="18"/>
          <w:color w:val="auto"/>
        </w:rPr>
        <w:t>Our 2005 Non-Employee Directors’ Share Option Plan allows us to grant share options to our non-employee directors upon initial appointment as a director and annually thereafter in connection with our annual general meeting of shareholders if they are continuing to serve as a director at such time. We also have two additional plans with outstanding awards from which we will not grant any additional awards.</w:t>
      </w:r>
    </w:p>
    <w:p>
      <w:pPr>
        <w:spacing w:after="0" w:line="175" w:lineRule="exact"/>
        <w:rPr>
          <w:sz w:val="20"/>
          <w:szCs w:val="20"/>
          <w:color w:val="auto"/>
        </w:rPr>
      </w:pPr>
    </w:p>
    <w:p>
      <w:pPr>
        <w:ind w:right="180" w:firstLine="662"/>
        <w:spacing w:after="0" w:line="254" w:lineRule="auto"/>
        <w:rPr>
          <w:sz w:val="20"/>
          <w:szCs w:val="20"/>
          <w:color w:val="auto"/>
        </w:rPr>
      </w:pPr>
      <w:r>
        <w:rPr>
          <w:rFonts w:ascii="Arial" w:cs="Arial" w:eastAsia="Arial" w:hAnsi="Arial"/>
          <w:sz w:val="18"/>
          <w:szCs w:val="18"/>
          <w:color w:val="auto"/>
        </w:rPr>
        <w:t>An aggregate of 8,771,434 ordinary shares were available for future awards under all of our share-based award plans as of June 30, 2018. For PSUs under our 2016 Plan, we assumed that we would issue ordinary shares equal to 250% of the outstanding PSUs, which is the maximum potential share issuance. A combination of new shares and treasury shares has historically been used in fulfillment of our share based awards.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options</w:t>
      </w:r>
    </w:p>
    <w:p>
      <w:pPr>
        <w:spacing w:after="0" w:line="220" w:lineRule="exact"/>
        <w:rPr>
          <w:sz w:val="20"/>
          <w:szCs w:val="20"/>
          <w:color w:val="auto"/>
        </w:rPr>
      </w:pPr>
    </w:p>
    <w:p>
      <w:pPr>
        <w:ind w:right="20" w:firstLine="662"/>
        <w:spacing w:after="0" w:line="256" w:lineRule="auto"/>
        <w:rPr>
          <w:sz w:val="20"/>
          <w:szCs w:val="20"/>
          <w:color w:val="auto"/>
        </w:rPr>
      </w:pPr>
      <w:r>
        <w:rPr>
          <w:rFonts w:ascii="Arial" w:cs="Arial" w:eastAsia="Arial" w:hAnsi="Arial"/>
          <w:sz w:val="18"/>
          <w:szCs w:val="18"/>
          <w:color w:val="auto"/>
        </w:rPr>
        <w:t>We have granted options to purchase ordinary shares at prices that are at least equal to the fair market value of the shares on the date the option is granted and have a contractual term of approximately eight to ten years. Options generally vest over 3 years for non-employee supervisory directors and over 4 years for employees.</w:t>
      </w:r>
    </w:p>
    <w:p>
      <w:pPr>
        <w:spacing w:after="0" w:line="175" w:lineRule="exact"/>
        <w:rPr>
          <w:sz w:val="20"/>
          <w:szCs w:val="20"/>
          <w:color w:val="auto"/>
        </w:rPr>
      </w:pPr>
    </w:p>
    <w:p>
      <w:pPr>
        <w:ind w:right="120" w:firstLine="662"/>
        <w:spacing w:after="0" w:line="252" w:lineRule="auto"/>
        <w:rPr>
          <w:sz w:val="20"/>
          <w:szCs w:val="20"/>
          <w:color w:val="auto"/>
        </w:rPr>
      </w:pPr>
      <w:r>
        <w:rPr>
          <w:rFonts w:ascii="Arial" w:cs="Arial" w:eastAsia="Arial" w:hAnsi="Arial"/>
          <w:sz w:val="18"/>
          <w:szCs w:val="18"/>
          <w:color w:val="auto"/>
        </w:rPr>
        <w:t>The fair value of each option award subject only to service period vesting is estimated on the date of grant using the Black-Scholes option pricing model and is recognized as expense on a straight-line basis over the requisite service period. Use of a valuation model requires management to make certain assumptions with respect to inputs. The expected volatility assumption is based upon historical volatility of our share price. The expected term assumption is based on the contractual and vesting term of the option and historical experience. The risk-free interest rate is based on the U.S. Treasury yield curve with a maturity equal to the expected life assumed at the grant date. We value share options with a market condition using a lattice model with compensation expense recorded on an accelerated basis over the requisite service period.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630" w:right="25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We did not grant any share options in fiscal 2018 or 2017. Weighted-average values used for option awards in fiscal 2016 were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Year Ended June 30,</w:t>
            </w:r>
          </w:p>
        </w:tc>
      </w:tr>
      <w:tr>
        <w:trPr>
          <w:trHeight w:val="183"/>
        </w:trPr>
        <w:tc>
          <w:tcPr>
            <w:tcW w:w="9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84"/>
              <w:spacing w:after="0"/>
              <w:rPr>
                <w:sz w:val="20"/>
                <w:szCs w:val="20"/>
                <w:color w:val="auto"/>
              </w:rPr>
            </w:pPr>
            <w:r>
              <w:rPr>
                <w:rFonts w:ascii="Arial" w:cs="Arial" w:eastAsia="Arial" w:hAnsi="Arial"/>
                <w:sz w:val="13"/>
                <w:szCs w:val="13"/>
                <w:b w:val="1"/>
                <w:bCs w:val="1"/>
                <w:color w:val="auto"/>
              </w:rPr>
              <w:t>2016</w:t>
            </w:r>
          </w:p>
        </w:tc>
      </w:tr>
      <w:tr>
        <w:trPr>
          <w:trHeight w:val="243"/>
        </w:trPr>
        <w:tc>
          <w:tcPr>
            <w:tcW w:w="9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33"/>
        </w:trPr>
        <w:tc>
          <w:tcPr>
            <w:tcW w:w="9620" w:type="dxa"/>
            <w:vAlign w:val="bottom"/>
          </w:tcPr>
          <w:p>
            <w:pPr>
              <w:ind w:left="40"/>
              <w:spacing w:after="0"/>
              <w:rPr>
                <w:sz w:val="20"/>
                <w:szCs w:val="20"/>
                <w:color w:val="auto"/>
              </w:rPr>
            </w:pPr>
            <w:r>
              <w:rPr>
                <w:rFonts w:ascii="Arial" w:cs="Arial" w:eastAsia="Arial" w:hAnsi="Arial"/>
                <w:sz w:val="16"/>
                <w:szCs w:val="16"/>
                <w:color w:val="auto"/>
              </w:rPr>
              <w:t>Expected dividend yield</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9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6.00</w:t>
            </w:r>
          </w:p>
        </w:tc>
      </w:tr>
      <w:tr>
        <w:trPr>
          <w:trHeight w:val="233"/>
        </w:trPr>
        <w:tc>
          <w:tcPr>
            <w:tcW w:w="962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53"/>
        </w:trPr>
        <w:tc>
          <w:tcPr>
            <w:tcW w:w="9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 of options granted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38.18</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share option activity and related information for the year ended June 30, 2018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Weighted-</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35"/>
        </w:trPr>
        <w:tc>
          <w:tcPr>
            <w:tcW w:w="5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Weighted-</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Average</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35"/>
        </w:trPr>
        <w:tc>
          <w:tcPr>
            <w:tcW w:w="5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Average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Remaining</w:t>
            </w:r>
          </w:p>
        </w:tc>
        <w:tc>
          <w:tcPr>
            <w:tcW w:w="240" w:type="dxa"/>
            <w:vAlign w:val="bottom"/>
          </w:tcPr>
          <w:p>
            <w:pPr>
              <w:spacing w:after="0"/>
              <w:rPr>
                <w:sz w:val="11"/>
                <w:szCs w:val="11"/>
                <w:color w:val="auto"/>
              </w:rPr>
            </w:pPr>
          </w:p>
        </w:tc>
        <w:tc>
          <w:tcPr>
            <w:tcW w:w="1120" w:type="dxa"/>
            <w:vAlign w:val="bottom"/>
          </w:tcPr>
          <w:p>
            <w:pPr>
              <w:jc w:val="center"/>
              <w:ind w:right="190"/>
              <w:spacing w:after="0" w:line="135" w:lineRule="exact"/>
              <w:rPr>
                <w:sz w:val="20"/>
                <w:szCs w:val="20"/>
                <w:color w:val="auto"/>
              </w:rPr>
            </w:pPr>
            <w:r>
              <w:rPr>
                <w:rFonts w:ascii="Arial" w:cs="Arial" w:eastAsia="Arial" w:hAnsi="Arial"/>
                <w:sz w:val="13"/>
                <w:szCs w:val="13"/>
                <w:b w:val="1"/>
                <w:bCs w:val="1"/>
                <w:color w:val="auto"/>
                <w:w w:val="96"/>
              </w:rPr>
              <w:t>Aggregate</w:t>
            </w:r>
          </w:p>
        </w:tc>
      </w:tr>
      <w:tr>
        <w:trPr>
          <w:trHeight w:val="135"/>
        </w:trPr>
        <w:tc>
          <w:tcPr>
            <w:tcW w:w="5620" w:type="dxa"/>
            <w:vAlign w:val="bottom"/>
          </w:tcPr>
          <w:p>
            <w:pPr>
              <w:spacing w:after="0"/>
              <w:rPr>
                <w:sz w:val="11"/>
                <w:szCs w:val="11"/>
                <w:color w:val="auto"/>
              </w:rPr>
            </w:pPr>
          </w:p>
        </w:tc>
        <w:tc>
          <w:tcPr>
            <w:tcW w:w="1380" w:type="dxa"/>
            <w:vAlign w:val="bottom"/>
          </w:tcPr>
          <w:p>
            <w:pPr>
              <w:jc w:val="right"/>
              <w:ind w:right="43"/>
              <w:spacing w:after="0" w:line="135" w:lineRule="exact"/>
              <w:rPr>
                <w:sz w:val="20"/>
                <w:szCs w:val="20"/>
                <w:color w:val="auto"/>
              </w:rPr>
            </w:pPr>
            <w:r>
              <w:rPr>
                <w:rFonts w:ascii="Arial" w:cs="Arial" w:eastAsia="Arial" w:hAnsi="Arial"/>
                <w:sz w:val="13"/>
                <w:szCs w:val="13"/>
                <w:b w:val="1"/>
                <w:bCs w:val="1"/>
                <w:color w:val="auto"/>
              </w:rPr>
              <w:t>Shares Pursuant to</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7"/>
              </w:rPr>
              <w:t>Exercise</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Contractual</w:t>
            </w:r>
          </w:p>
        </w:tc>
        <w:tc>
          <w:tcPr>
            <w:tcW w:w="240" w:type="dxa"/>
            <w:vAlign w:val="bottom"/>
          </w:tcPr>
          <w:p>
            <w:pPr>
              <w:spacing w:after="0"/>
              <w:rPr>
                <w:sz w:val="11"/>
                <w:szCs w:val="11"/>
                <w:color w:val="auto"/>
              </w:rPr>
            </w:pPr>
          </w:p>
        </w:tc>
        <w:tc>
          <w:tcPr>
            <w:tcW w:w="1120" w:type="dxa"/>
            <w:vAlign w:val="bottom"/>
          </w:tcPr>
          <w:p>
            <w:pPr>
              <w:jc w:val="center"/>
              <w:ind w:right="170"/>
              <w:spacing w:after="0" w:line="135" w:lineRule="exact"/>
              <w:rPr>
                <w:sz w:val="20"/>
                <w:szCs w:val="20"/>
                <w:color w:val="auto"/>
              </w:rPr>
            </w:pPr>
            <w:r>
              <w:rPr>
                <w:rFonts w:ascii="Arial" w:cs="Arial" w:eastAsia="Arial" w:hAnsi="Arial"/>
                <w:sz w:val="13"/>
                <w:szCs w:val="13"/>
                <w:b w:val="1"/>
                <w:bCs w:val="1"/>
                <w:color w:val="auto"/>
                <w:w w:val="94"/>
              </w:rPr>
              <w:t>Intrinsic</w:t>
            </w:r>
          </w:p>
        </w:tc>
      </w:tr>
      <w:tr>
        <w:trPr>
          <w:trHeight w:val="178"/>
        </w:trPr>
        <w:tc>
          <w:tcPr>
            <w:tcW w:w="56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Options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86"/>
              <w:spacing w:after="0"/>
              <w:rPr>
                <w:sz w:val="20"/>
                <w:szCs w:val="20"/>
                <w:color w:val="auto"/>
              </w:rPr>
            </w:pPr>
            <w:r>
              <w:rPr>
                <w:rFonts w:ascii="Arial" w:cs="Arial" w:eastAsia="Arial" w:hAnsi="Arial"/>
                <w:sz w:val="13"/>
                <w:szCs w:val="13"/>
                <w:b w:val="1"/>
                <w:bCs w:val="1"/>
                <w:color w:val="auto"/>
                <w:w w:val="94"/>
              </w:rPr>
              <w:t>Price</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Term (years)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2"/>
              </w:rPr>
              <w:t>Value</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the beginning of the period</w:t>
            </w: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2,138,426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46.68</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(485,323)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39.63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Forfeited/expired</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(1,795)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ind w:right="46"/>
              <w:spacing w:after="0"/>
              <w:rPr>
                <w:sz w:val="20"/>
                <w:szCs w:val="20"/>
                <w:color w:val="auto"/>
              </w:rPr>
            </w:pPr>
            <w:r>
              <w:rPr>
                <w:rFonts w:ascii="Arial" w:cs="Arial" w:eastAsia="Arial" w:hAnsi="Arial"/>
                <w:sz w:val="16"/>
                <w:szCs w:val="16"/>
                <w:color w:val="auto"/>
              </w:rPr>
              <w:t>57.67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the end of the period</w:t>
            </w:r>
          </w:p>
        </w:tc>
        <w:tc>
          <w:tcPr>
            <w:tcW w:w="13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1,651,308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48.74</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6"/>
                <w:szCs w:val="16"/>
                <w:color w:val="auto"/>
              </w:rPr>
              <w:t>158,887</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5620" w:type="dxa"/>
            <w:vAlign w:val="bottom"/>
          </w:tcPr>
          <w:p>
            <w:pPr>
              <w:ind w:left="40"/>
              <w:spacing w:after="0"/>
              <w:rPr>
                <w:sz w:val="20"/>
                <w:szCs w:val="20"/>
                <w:color w:val="auto"/>
              </w:rPr>
            </w:pPr>
            <w:r>
              <w:rPr>
                <w:rFonts w:ascii="Arial" w:cs="Arial" w:eastAsia="Arial" w:hAnsi="Arial"/>
                <w:sz w:val="16"/>
                <w:szCs w:val="16"/>
                <w:color w:val="auto"/>
              </w:rPr>
              <w:t>Exercisable at the end of the period</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1,563,489</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6"/>
              <w:spacing w:after="0"/>
              <w:rPr>
                <w:sz w:val="20"/>
                <w:szCs w:val="20"/>
                <w:color w:val="auto"/>
              </w:rPr>
            </w:pPr>
            <w:r>
              <w:rPr>
                <w:rFonts w:ascii="Arial" w:cs="Arial" w:eastAsia="Arial" w:hAnsi="Arial"/>
                <w:sz w:val="16"/>
                <w:szCs w:val="16"/>
                <w:color w:val="auto"/>
              </w:rPr>
              <w:t>48.64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0"/>
              <w:spacing w:after="0"/>
              <w:rPr>
                <w:sz w:val="20"/>
                <w:szCs w:val="20"/>
                <w:color w:val="auto"/>
              </w:rPr>
            </w:pPr>
            <w:r>
              <w:rPr>
                <w:rFonts w:ascii="Arial" w:cs="Arial" w:eastAsia="Arial" w:hAnsi="Arial"/>
                <w:sz w:val="16"/>
                <w:szCs w:val="16"/>
                <w:color w:val="auto"/>
              </w:rPr>
              <w:t>150,589</w:t>
            </w:r>
          </w:p>
        </w:tc>
      </w:tr>
    </w:tbl>
    <w:p>
      <w:pPr>
        <w:spacing w:after="0" w:line="208"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intrinsic value in the table above represents the total pre-tax amount, net of exercise price, which would have been received if all option holders exercised in-the-money options on June 30, 2018. The total intrinsic value of options exercised during the fiscal years ended June 30, 2018, 2017 and 2016 was $46,853, $25,566, and $5,494, respectively.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share units - 2016 Performance Equity Plan</w:t>
      </w:r>
    </w:p>
    <w:p>
      <w:pPr>
        <w:spacing w:after="0" w:line="247"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began granting PSUs under our 2016 Plan during the first quarter of fiscal 2017. The PSU awards entitle the recipient to receive Cimpress ordinary shares between 0% and 250% of the number of units, based upon continued service to Cimpress and the achievement of a compounded annual growth rate target based on Cimpress' three-year moving average share price that will be assessed annually in years 6 - 10 following the grant date. The fair value of the PSUs is based on a Monte Carlo simulation, and the resulting expense is recognized on an accelerated basis over the requisite service period.</w:t>
      </w:r>
    </w:p>
    <w:p>
      <w:pPr>
        <w:spacing w:after="0" w:line="20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During the first quarter of fiscal 2018, we issued supplemental performance share unit awards to certain members of management. In addition to a service vesting and market condition (based on the three year moving average of the Cimpress share price) contained in our PSUs, these supplemental awards also contain a multi-year financial performance condition. The evaluation of achievement of the performance condition is at the discretion of the Compensation Committee and, therefore, the awards are subject to mark-to-market accounting throughout the three year performance vesting period. As of June 30, 2018, we concluded that the achievement of the performance condition is probable.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71" w:right="2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A summary of our PSU activity and related information for the fiscal year ended June 30, 2018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35"/>
        </w:trPr>
        <w:tc>
          <w:tcPr>
            <w:tcW w:w="6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1"/>
                <w:szCs w:val="11"/>
                <w:color w:val="auto"/>
              </w:rPr>
            </w:pPr>
          </w:p>
        </w:tc>
        <w:tc>
          <w:tcPr>
            <w:tcW w:w="1200" w:type="dxa"/>
            <w:vAlign w:val="bottom"/>
          </w:tcPr>
          <w:p>
            <w:pPr>
              <w:jc w:val="center"/>
              <w:ind w:right="192"/>
              <w:spacing w:after="0" w:line="135" w:lineRule="exact"/>
              <w:rPr>
                <w:sz w:val="20"/>
                <w:szCs w:val="20"/>
                <w:color w:val="auto"/>
              </w:rPr>
            </w:pPr>
            <w:r>
              <w:rPr>
                <w:rFonts w:ascii="Arial" w:cs="Arial" w:eastAsia="Arial" w:hAnsi="Arial"/>
                <w:sz w:val="13"/>
                <w:szCs w:val="13"/>
                <w:b w:val="1"/>
                <w:bCs w:val="1"/>
                <w:color w:val="auto"/>
                <w:w w:val="96"/>
              </w:rPr>
              <w:t>Aggregate</w:t>
            </w:r>
          </w:p>
        </w:tc>
      </w:tr>
      <w:tr>
        <w:trPr>
          <w:trHeight w:val="135"/>
        </w:trPr>
        <w:tc>
          <w:tcPr>
            <w:tcW w:w="6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Grant Date Fair</w:t>
            </w:r>
          </w:p>
        </w:tc>
        <w:tc>
          <w:tcPr>
            <w:tcW w:w="280" w:type="dxa"/>
            <w:vAlign w:val="bottom"/>
          </w:tcPr>
          <w:p>
            <w:pPr>
              <w:spacing w:after="0"/>
              <w:rPr>
                <w:sz w:val="11"/>
                <w:szCs w:val="11"/>
                <w:color w:val="auto"/>
              </w:rPr>
            </w:pPr>
          </w:p>
        </w:tc>
        <w:tc>
          <w:tcPr>
            <w:tcW w:w="1200" w:type="dxa"/>
            <w:vAlign w:val="bottom"/>
          </w:tcPr>
          <w:p>
            <w:pPr>
              <w:jc w:val="center"/>
              <w:ind w:right="212"/>
              <w:spacing w:after="0" w:line="135" w:lineRule="exact"/>
              <w:rPr>
                <w:sz w:val="20"/>
                <w:szCs w:val="20"/>
                <w:color w:val="auto"/>
              </w:rPr>
            </w:pPr>
            <w:r>
              <w:rPr>
                <w:rFonts w:ascii="Arial" w:cs="Arial" w:eastAsia="Arial" w:hAnsi="Arial"/>
                <w:sz w:val="13"/>
                <w:szCs w:val="13"/>
                <w:b w:val="1"/>
                <w:bCs w:val="1"/>
                <w:color w:val="auto"/>
                <w:w w:val="94"/>
              </w:rPr>
              <w:t>Intrinsic</w:t>
            </w:r>
          </w:p>
        </w:tc>
      </w:tr>
      <w:tr>
        <w:trPr>
          <w:trHeight w:val="178"/>
        </w:trPr>
        <w:tc>
          <w:tcPr>
            <w:tcW w:w="67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PSUs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2"/>
              <w:spacing w:after="0"/>
              <w:rPr>
                <w:sz w:val="20"/>
                <w:szCs w:val="20"/>
                <w:color w:val="auto"/>
              </w:rPr>
            </w:pPr>
            <w:r>
              <w:rPr>
                <w:rFonts w:ascii="Arial" w:cs="Arial" w:eastAsia="Arial" w:hAnsi="Arial"/>
                <w:sz w:val="13"/>
                <w:szCs w:val="13"/>
                <w:b w:val="1"/>
                <w:bCs w:val="1"/>
                <w:color w:val="auto"/>
                <w:w w:val="92"/>
              </w:rPr>
              <w:t>Value</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the beginning of the period</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375,038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123.06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361,582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7"/>
              <w:spacing w:after="0"/>
              <w:rPr>
                <w:sz w:val="20"/>
                <w:szCs w:val="20"/>
                <w:color w:val="auto"/>
              </w:rPr>
            </w:pPr>
            <w:r>
              <w:rPr>
                <w:rFonts w:ascii="Arial" w:cs="Arial" w:eastAsia="Arial" w:hAnsi="Arial"/>
                <w:sz w:val="16"/>
                <w:szCs w:val="16"/>
                <w:color w:val="auto"/>
              </w:rPr>
              <w:t>115.02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 and distributed</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(55,857)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ind w:right="27"/>
              <w:spacing w:after="0"/>
              <w:rPr>
                <w:sz w:val="20"/>
                <w:szCs w:val="20"/>
                <w:color w:val="auto"/>
              </w:rPr>
            </w:pPr>
            <w:r>
              <w:rPr>
                <w:rFonts w:ascii="Arial" w:cs="Arial" w:eastAsia="Arial" w:hAnsi="Arial"/>
                <w:sz w:val="16"/>
                <w:szCs w:val="16"/>
                <w:color w:val="auto"/>
              </w:rPr>
              <w:t>120.04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the end of the period</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680,763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119.04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98,683</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The weighted average fair value of PSUs granted during the fiscal years ended June 30, 2018 and 2017, was $115.02 and $123.51, respectively. The total intrinsic value of PSUs outstanding at the fiscal years ended June 30, 2018 and 2017, was $98,683 and $35,452, respectively. As of June 30, 2018, the number of shares subject to PSUs included in the table above assumes the issuance of one share for each PSU, but based on actual performance that amount delivered can range from zero shares to a maximum of 1,701,908 shares.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47"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The fair value of an RSU award is equal to the fair market value of our ordinary shares on the date of grant and the expense is recognized on a straight-line basis over the requisite service period. RSUs generally vest over 2 years for non-employee directors and over 4 years for employees. For awards with a performance condition, we recognize compensation cost on an accelerated basis over the requisite service period when achievement of the performance condition is deemed probable. As of June 30, 2018, we had 156,000 RSUs outstanding that were subject to various performance conditions. In July 2018, 140,000 of these RSUs were forfeited and the remaining shares vested during that period.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RSU activity and related information for the fiscal year ended June 30, 2018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35"/>
        </w:trPr>
        <w:tc>
          <w:tcPr>
            <w:tcW w:w="6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1"/>
                <w:szCs w:val="11"/>
                <w:color w:val="auto"/>
              </w:rPr>
            </w:pPr>
          </w:p>
        </w:tc>
        <w:tc>
          <w:tcPr>
            <w:tcW w:w="1200" w:type="dxa"/>
            <w:vAlign w:val="bottom"/>
          </w:tcPr>
          <w:p>
            <w:pPr>
              <w:jc w:val="center"/>
              <w:ind w:right="192"/>
              <w:spacing w:after="0" w:line="135" w:lineRule="exact"/>
              <w:rPr>
                <w:sz w:val="20"/>
                <w:szCs w:val="20"/>
                <w:color w:val="auto"/>
              </w:rPr>
            </w:pPr>
            <w:r>
              <w:rPr>
                <w:rFonts w:ascii="Arial" w:cs="Arial" w:eastAsia="Arial" w:hAnsi="Arial"/>
                <w:sz w:val="13"/>
                <w:szCs w:val="13"/>
                <w:b w:val="1"/>
                <w:bCs w:val="1"/>
                <w:color w:val="auto"/>
                <w:w w:val="96"/>
              </w:rPr>
              <w:t>Aggregate</w:t>
            </w:r>
          </w:p>
        </w:tc>
      </w:tr>
      <w:tr>
        <w:trPr>
          <w:trHeight w:val="135"/>
        </w:trPr>
        <w:tc>
          <w:tcPr>
            <w:tcW w:w="6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Grant Date Fair</w:t>
            </w:r>
          </w:p>
        </w:tc>
        <w:tc>
          <w:tcPr>
            <w:tcW w:w="280" w:type="dxa"/>
            <w:vAlign w:val="bottom"/>
          </w:tcPr>
          <w:p>
            <w:pPr>
              <w:spacing w:after="0"/>
              <w:rPr>
                <w:sz w:val="11"/>
                <w:szCs w:val="11"/>
                <w:color w:val="auto"/>
              </w:rPr>
            </w:pPr>
          </w:p>
        </w:tc>
        <w:tc>
          <w:tcPr>
            <w:tcW w:w="1200" w:type="dxa"/>
            <w:vAlign w:val="bottom"/>
          </w:tcPr>
          <w:p>
            <w:pPr>
              <w:jc w:val="center"/>
              <w:ind w:right="212"/>
              <w:spacing w:after="0" w:line="135" w:lineRule="exact"/>
              <w:rPr>
                <w:sz w:val="20"/>
                <w:szCs w:val="20"/>
                <w:color w:val="auto"/>
              </w:rPr>
            </w:pPr>
            <w:r>
              <w:rPr>
                <w:rFonts w:ascii="Arial" w:cs="Arial" w:eastAsia="Arial" w:hAnsi="Arial"/>
                <w:sz w:val="13"/>
                <w:szCs w:val="13"/>
                <w:b w:val="1"/>
                <w:bCs w:val="1"/>
                <w:color w:val="auto"/>
                <w:w w:val="94"/>
              </w:rPr>
              <w:t>Intrinsic</w:t>
            </w:r>
          </w:p>
        </w:tc>
      </w:tr>
      <w:tr>
        <w:trPr>
          <w:trHeight w:val="178"/>
        </w:trPr>
        <w:tc>
          <w:tcPr>
            <w:tcW w:w="67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RSUs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2"/>
              <w:spacing w:after="0"/>
              <w:rPr>
                <w:sz w:val="20"/>
                <w:szCs w:val="20"/>
                <w:color w:val="auto"/>
              </w:rPr>
            </w:pPr>
            <w:r>
              <w:rPr>
                <w:rFonts w:ascii="Arial" w:cs="Arial" w:eastAsia="Arial" w:hAnsi="Arial"/>
                <w:sz w:val="13"/>
                <w:szCs w:val="13"/>
                <w:b w:val="1"/>
                <w:bCs w:val="1"/>
                <w:color w:val="auto"/>
                <w:w w:val="92"/>
              </w:rPr>
              <w:t>Value</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at the beginning of the period</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334,370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74.57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 and distributed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69.03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(26,463)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ind w:right="27"/>
              <w:spacing w:after="0"/>
              <w:rPr>
                <w:sz w:val="20"/>
                <w:szCs w:val="20"/>
                <w:color w:val="auto"/>
              </w:rPr>
            </w:pPr>
            <w:r>
              <w:rPr>
                <w:rFonts w:ascii="Arial" w:cs="Arial" w:eastAsia="Arial" w:hAnsi="Arial"/>
                <w:sz w:val="16"/>
                <w:szCs w:val="16"/>
                <w:color w:val="auto"/>
              </w:rPr>
              <w:t>78.39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at the end of the period</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209,868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76.67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30,422</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weighted average fair value of RSUs granted during the fiscal years ended June 30, 2017 and 2016 was $97.25 and $75.63, respectively. We did not grant any RSUs during the fiscal year ended June 30, 2018. The total intrinsic value of RSUs vested during the fiscal years ended June 30, 2018, 2017 and 2016 was $11,581</w:t>
      </w:r>
      <w:r>
        <w:rPr>
          <w:rFonts w:ascii="Arial" w:cs="Arial" w:eastAsia="Arial" w:hAnsi="Arial"/>
          <w:sz w:val="18"/>
          <w:szCs w:val="18"/>
          <w:i w:val="1"/>
          <w:iCs w:val="1"/>
          <w:color w:val="auto"/>
        </w:rPr>
        <w:t>,</w:t>
      </w:r>
      <w:r>
        <w:rPr>
          <w:rFonts w:ascii="Arial" w:cs="Arial" w:eastAsia="Arial" w:hAnsi="Arial"/>
          <w:sz w:val="18"/>
          <w:szCs w:val="18"/>
          <w:color w:val="auto"/>
        </w:rPr>
        <w:t xml:space="preserve"> $21,130 and $21,810, respectively.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 awards</w:t>
      </w:r>
    </w:p>
    <w:p>
      <w:pPr>
        <w:spacing w:after="0" w:line="220" w:lineRule="exact"/>
        <w:rPr>
          <w:sz w:val="20"/>
          <w:szCs w:val="20"/>
          <w:color w:val="auto"/>
        </w:rPr>
      </w:pPr>
    </w:p>
    <w:p>
      <w:pPr>
        <w:ind w:right="20" w:firstLine="662"/>
        <w:spacing w:after="0" w:line="256" w:lineRule="auto"/>
        <w:rPr>
          <w:sz w:val="20"/>
          <w:szCs w:val="20"/>
          <w:color w:val="auto"/>
        </w:rPr>
      </w:pPr>
      <w:r>
        <w:rPr>
          <w:rFonts w:ascii="Arial" w:cs="Arial" w:eastAsia="Arial" w:hAnsi="Arial"/>
          <w:sz w:val="18"/>
          <w:szCs w:val="18"/>
          <w:color w:val="auto"/>
        </w:rPr>
        <w:t>As part of our acquisition of Tradeprint during the first quarter of fiscal 2016, we issued 65,050 restricted ordinary shares. The fair value of the RSAs was determined based on our share price on the date of grant and is recognized as share-based compensation expense over the applicable service period. These awards generally vest over a 2 to 4 year period.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71" w:right="23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A summary of our RSA activity and related information for the fiscal year ended June 30, 2018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35"/>
        </w:trPr>
        <w:tc>
          <w:tcPr>
            <w:tcW w:w="6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1"/>
                <w:szCs w:val="11"/>
                <w:color w:val="auto"/>
              </w:rPr>
            </w:pPr>
          </w:p>
        </w:tc>
        <w:tc>
          <w:tcPr>
            <w:tcW w:w="1200" w:type="dxa"/>
            <w:vAlign w:val="bottom"/>
          </w:tcPr>
          <w:p>
            <w:pPr>
              <w:jc w:val="center"/>
              <w:ind w:right="192"/>
              <w:spacing w:after="0" w:line="135" w:lineRule="exact"/>
              <w:rPr>
                <w:sz w:val="20"/>
                <w:szCs w:val="20"/>
                <w:color w:val="auto"/>
              </w:rPr>
            </w:pPr>
            <w:r>
              <w:rPr>
                <w:rFonts w:ascii="Arial" w:cs="Arial" w:eastAsia="Arial" w:hAnsi="Arial"/>
                <w:sz w:val="13"/>
                <w:szCs w:val="13"/>
                <w:b w:val="1"/>
                <w:bCs w:val="1"/>
                <w:color w:val="auto"/>
                <w:w w:val="96"/>
              </w:rPr>
              <w:t>Aggregate</w:t>
            </w:r>
          </w:p>
        </w:tc>
      </w:tr>
      <w:tr>
        <w:trPr>
          <w:trHeight w:val="135"/>
        </w:trPr>
        <w:tc>
          <w:tcPr>
            <w:tcW w:w="6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Grant Date Fair</w:t>
            </w:r>
          </w:p>
        </w:tc>
        <w:tc>
          <w:tcPr>
            <w:tcW w:w="280" w:type="dxa"/>
            <w:vAlign w:val="bottom"/>
          </w:tcPr>
          <w:p>
            <w:pPr>
              <w:spacing w:after="0"/>
              <w:rPr>
                <w:sz w:val="11"/>
                <w:szCs w:val="11"/>
                <w:color w:val="auto"/>
              </w:rPr>
            </w:pPr>
          </w:p>
        </w:tc>
        <w:tc>
          <w:tcPr>
            <w:tcW w:w="1200" w:type="dxa"/>
            <w:vAlign w:val="bottom"/>
          </w:tcPr>
          <w:p>
            <w:pPr>
              <w:jc w:val="center"/>
              <w:ind w:right="212"/>
              <w:spacing w:after="0" w:line="135" w:lineRule="exact"/>
              <w:rPr>
                <w:sz w:val="20"/>
                <w:szCs w:val="20"/>
                <w:color w:val="auto"/>
              </w:rPr>
            </w:pPr>
            <w:r>
              <w:rPr>
                <w:rFonts w:ascii="Arial" w:cs="Arial" w:eastAsia="Arial" w:hAnsi="Arial"/>
                <w:sz w:val="13"/>
                <w:szCs w:val="13"/>
                <w:b w:val="1"/>
                <w:bCs w:val="1"/>
                <w:color w:val="auto"/>
                <w:w w:val="94"/>
              </w:rPr>
              <w:t>Intrinsic</w:t>
            </w:r>
          </w:p>
        </w:tc>
      </w:tr>
      <w:tr>
        <w:trPr>
          <w:trHeight w:val="178"/>
        </w:trPr>
        <w:tc>
          <w:tcPr>
            <w:tcW w:w="67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RSAs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2"/>
              <w:spacing w:after="0"/>
              <w:rPr>
                <w:sz w:val="20"/>
                <w:szCs w:val="20"/>
                <w:color w:val="auto"/>
              </w:rPr>
            </w:pPr>
            <w:r>
              <w:rPr>
                <w:rFonts w:ascii="Arial" w:cs="Arial" w:eastAsia="Arial" w:hAnsi="Arial"/>
                <w:sz w:val="13"/>
                <w:szCs w:val="13"/>
                <w:b w:val="1"/>
                <w:bCs w:val="1"/>
                <w:color w:val="auto"/>
                <w:w w:val="92"/>
              </w:rPr>
              <w:t>Value</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at the beginning of the period</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12,437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64.53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 and distributed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64.53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at the end of the period</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8,291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64.53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1,202</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0" w:lineRule="exact"/>
        <w:rPr>
          <w:sz w:val="20"/>
          <w:szCs w:val="20"/>
          <w:color w:val="auto"/>
        </w:rPr>
      </w:pPr>
    </w:p>
    <w:p>
      <w:pPr>
        <w:ind w:right="60" w:firstLine="662"/>
        <w:spacing w:after="0" w:line="256" w:lineRule="auto"/>
        <w:rPr>
          <w:sz w:val="20"/>
          <w:szCs w:val="20"/>
          <w:color w:val="auto"/>
        </w:rPr>
      </w:pPr>
      <w:r>
        <w:rPr>
          <w:rFonts w:ascii="Arial" w:cs="Arial" w:eastAsia="Arial" w:hAnsi="Arial"/>
          <w:sz w:val="18"/>
          <w:szCs w:val="18"/>
          <w:color w:val="auto"/>
        </w:rPr>
        <w:t>Total share-based compensation costs were $50,466, $48,627 and $23,828 for the years ended June 30, 2018, 2017 and 2016, respectively, and we elected to recognize the impact of forfeitures as they occur. During the year ended June 30, 2018, we recognized $13,503 of share-based compensation expense related to the supplemental performance units issued during fiscal 2018.</w:t>
      </w:r>
    </w:p>
    <w:p>
      <w:pPr>
        <w:spacing w:after="0" w:line="175" w:lineRule="exact"/>
        <w:rPr>
          <w:sz w:val="20"/>
          <w:szCs w:val="20"/>
          <w:color w:val="auto"/>
        </w:rPr>
      </w:pPr>
    </w:p>
    <w:p>
      <w:pPr>
        <w:ind w:right="200" w:firstLine="662"/>
        <w:spacing w:after="0" w:line="256" w:lineRule="auto"/>
        <w:rPr>
          <w:sz w:val="20"/>
          <w:szCs w:val="20"/>
          <w:color w:val="auto"/>
        </w:rPr>
      </w:pPr>
      <w:r>
        <w:rPr>
          <w:rFonts w:ascii="Arial" w:cs="Arial" w:eastAsia="Arial" w:hAnsi="Arial"/>
          <w:sz w:val="18"/>
          <w:szCs w:val="18"/>
          <w:color w:val="auto"/>
        </w:rPr>
        <w:t>From time to time we issue awards that are considered liability-based awards as they are settleable in cash. As of June 30, 2018, we have a liability-based award associated with our Printi LLC investment, accrued as part of other liabilities in the amount of $15,464. Refer to Note 15 for additional details.</w:t>
      </w:r>
    </w:p>
    <w:p>
      <w:pPr>
        <w:spacing w:after="0" w:line="175" w:lineRule="exact"/>
        <w:rPr>
          <w:sz w:val="20"/>
          <w:szCs w:val="20"/>
          <w:color w:val="auto"/>
        </w:rPr>
      </w:pPr>
    </w:p>
    <w:p>
      <w:pPr>
        <w:ind w:right="40" w:firstLine="662"/>
        <w:spacing w:after="0" w:line="262" w:lineRule="auto"/>
        <w:rPr>
          <w:sz w:val="20"/>
          <w:szCs w:val="20"/>
          <w:color w:val="auto"/>
        </w:rPr>
      </w:pPr>
      <w:r>
        <w:rPr>
          <w:rFonts w:ascii="Arial" w:cs="Arial" w:eastAsia="Arial" w:hAnsi="Arial"/>
          <w:sz w:val="18"/>
          <w:szCs w:val="18"/>
          <w:color w:val="auto"/>
        </w:rPr>
        <w:t>Share-based compensation costs capitalized as part of software and website development costs were $1,607, $1,546 and $832 for the years ended June 30, 2018, 2017 and 2016, respectively.</w:t>
      </w:r>
    </w:p>
    <w:p>
      <w:pPr>
        <w:spacing w:after="0" w:line="169" w:lineRule="exact"/>
        <w:rPr>
          <w:sz w:val="20"/>
          <w:szCs w:val="20"/>
          <w:color w:val="auto"/>
        </w:rPr>
      </w:pPr>
    </w:p>
    <w:p>
      <w:pPr>
        <w:ind w:right="280" w:firstLine="662"/>
        <w:spacing w:after="0" w:line="262" w:lineRule="auto"/>
        <w:rPr>
          <w:sz w:val="20"/>
          <w:szCs w:val="20"/>
          <w:color w:val="auto"/>
        </w:rPr>
      </w:pPr>
      <w:r>
        <w:rPr>
          <w:rFonts w:ascii="Arial" w:cs="Arial" w:eastAsia="Arial" w:hAnsi="Arial"/>
          <w:sz w:val="18"/>
          <w:szCs w:val="18"/>
          <w:color w:val="auto"/>
        </w:rPr>
        <w:t>As of June 30, 2018, there was $36,213 of total unrecognized compensation cost related to non-vested, share-based compensation arrangements. This cost is expected to be recognized over a weighted average period of 1.6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Employees’ Savings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16" w:lineRule="exact"/>
        <w:rPr>
          <w:sz w:val="20"/>
          <w:szCs w:val="20"/>
          <w:color w:val="auto"/>
        </w:rPr>
      </w:pPr>
    </w:p>
    <w:p>
      <w:pPr>
        <w:ind w:right="200" w:firstLine="662"/>
        <w:spacing w:after="0" w:line="254" w:lineRule="auto"/>
        <w:rPr>
          <w:sz w:val="20"/>
          <w:szCs w:val="20"/>
          <w:color w:val="auto"/>
        </w:rPr>
      </w:pPr>
      <w:r>
        <w:rPr>
          <w:rFonts w:ascii="Arial" w:cs="Arial" w:eastAsia="Arial" w:hAnsi="Arial"/>
          <w:sz w:val="18"/>
          <w:szCs w:val="18"/>
          <w:color w:val="auto"/>
        </w:rPr>
        <w:t>We maintain certain government-mandated and defined contribution plans throughout the world. Our most significant defined contribution retirement plans are in the U.S. and comply with Section 401(k) of the Internal Revenue Code. We offer eligible employees in the U.S. the opportunity to participate in one of these plans and match most employees' eligible contributions at various rates subject to service vesting as specified in each of the related plan documents.</w:t>
      </w:r>
    </w:p>
    <w:p>
      <w:pPr>
        <w:spacing w:after="0" w:line="177" w:lineRule="exact"/>
        <w:rPr>
          <w:sz w:val="20"/>
          <w:szCs w:val="20"/>
          <w:color w:val="auto"/>
        </w:rPr>
      </w:pPr>
    </w:p>
    <w:p>
      <w:pPr>
        <w:ind w:right="100" w:firstLine="662"/>
        <w:spacing w:after="0" w:line="262" w:lineRule="auto"/>
        <w:rPr>
          <w:sz w:val="20"/>
          <w:szCs w:val="20"/>
          <w:color w:val="auto"/>
        </w:rPr>
      </w:pPr>
      <w:r>
        <w:rPr>
          <w:rFonts w:ascii="Arial" w:cs="Arial" w:eastAsia="Arial" w:hAnsi="Arial"/>
          <w:sz w:val="18"/>
          <w:szCs w:val="18"/>
          <w:color w:val="auto"/>
        </w:rPr>
        <w:t>We expensed $11,723, $11,691 and $9,073 for our government-mandated and defined contribution plans in the years ended June 30, 2018, 2017 and 2016,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216"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currently have a defined benefit plan that covers substantially all of our employees in Switzerland. Our Swiss plan is a government-mandated retirement fund with benefits generally earned based on years of service and compensation during active employment; however, the level of benefits varies within the plan. Eligibility is determined in accordance with local statutory requirements. Under this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June 30, 2018 and 2017, the plan had an unfunded net pension obligation of approximately $1,268 and $1,658, respectively, and plan assets which totaled approximately $3,050 and $3,920, respectively. For the years ended June 30, 2018, 2017 and 2016 we recognized expense totaling $55, $1,191, and $1,820, respectively, related to our Swiss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7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13. Income Taxes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income (loss) before income taxes by geography: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2016</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90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13,390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23,057</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Non-U.S.</w:t>
            </w:r>
          </w:p>
        </w:tc>
        <w:tc>
          <w:tcPr>
            <w:tcW w:w="9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57,183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(92,707)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43,038</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66,366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66,095</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provision (benefit) for income taxes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2016</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0"/>
        </w:trPr>
        <w:tc>
          <w:tcPr>
            <w:tcW w:w="6740" w:type="dxa"/>
            <w:vAlign w:val="bottom"/>
          </w:tcPr>
          <w:p>
            <w:pPr>
              <w:ind w:left="500"/>
              <w:spacing w:after="0"/>
              <w:rPr>
                <w:sz w:val="20"/>
                <w:szCs w:val="20"/>
                <w:color w:val="auto"/>
              </w:rPr>
            </w:pPr>
            <w:r>
              <w:rPr>
                <w:rFonts w:ascii="Arial" w:cs="Arial" w:eastAsia="Arial" w:hAnsi="Arial"/>
                <w:sz w:val="16"/>
                <w:szCs w:val="16"/>
                <w:color w:val="auto"/>
              </w:rPr>
              <w:t>U.S. Federal</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7,915</w:t>
            </w:r>
          </w:p>
        </w:tc>
      </w:tr>
      <w:tr>
        <w:trPr>
          <w:trHeight w:val="280"/>
        </w:trPr>
        <w:tc>
          <w:tcPr>
            <w:tcW w:w="6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U.S. State</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116</w:t>
            </w:r>
          </w:p>
        </w:tc>
      </w:tr>
      <w:tr>
        <w:trPr>
          <w:trHeight w:val="264"/>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Non-U.S.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33,065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26,191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23,164</w:t>
            </w:r>
          </w:p>
        </w:tc>
      </w:tr>
      <w:tr>
        <w:trPr>
          <w:trHeight w:val="257"/>
        </w:trPr>
        <w:tc>
          <w:tcPr>
            <w:tcW w:w="6740" w:type="dxa"/>
            <w:vAlign w:val="bottom"/>
            <w:shd w:val="clear" w:color="auto" w:fill="CCEEFF"/>
          </w:tcPr>
          <w:p>
            <w:pPr>
              <w:jc w:val="right"/>
              <w:ind w:right="5599"/>
              <w:spacing w:after="0"/>
              <w:rPr>
                <w:sz w:val="20"/>
                <w:szCs w:val="20"/>
                <w:color w:val="auto"/>
              </w:rPr>
            </w:pPr>
            <w:r>
              <w:rPr>
                <w:rFonts w:ascii="Arial" w:cs="Arial" w:eastAsia="Arial" w:hAnsi="Arial"/>
                <w:sz w:val="16"/>
                <w:szCs w:val="16"/>
                <w:color w:val="auto"/>
              </w:rPr>
              <w:t>Total current</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33,394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26,391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31,195</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Deferred:</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0"/>
        </w:trPr>
        <w:tc>
          <w:tcPr>
            <w:tcW w:w="6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U.S. Federal</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r>
      <w:tr>
        <w:trPr>
          <w:trHeight w:val="260"/>
        </w:trPr>
        <w:tc>
          <w:tcPr>
            <w:tcW w:w="6740" w:type="dxa"/>
            <w:vAlign w:val="bottom"/>
          </w:tcPr>
          <w:p>
            <w:pPr>
              <w:ind w:left="500"/>
              <w:spacing w:after="0"/>
              <w:rPr>
                <w:sz w:val="20"/>
                <w:szCs w:val="20"/>
                <w:color w:val="auto"/>
              </w:rPr>
            </w:pPr>
            <w:r>
              <w:rPr>
                <w:rFonts w:ascii="Arial" w:cs="Arial" w:eastAsia="Arial" w:hAnsi="Arial"/>
                <w:sz w:val="16"/>
                <w:szCs w:val="16"/>
                <w:color w:val="auto"/>
              </w:rPr>
              <w:t>U.S. State</w:t>
            </w:r>
          </w:p>
        </w:tc>
        <w:tc>
          <w:tcPr>
            <w:tcW w:w="38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w:t>
            </w:r>
          </w:p>
        </w:tc>
      </w:tr>
      <w:tr>
        <w:trPr>
          <w:trHeight w:val="273"/>
        </w:trPr>
        <w:tc>
          <w:tcPr>
            <w:tcW w:w="6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Non-U.S.</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(30,013)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(13,171)</w:t>
            </w:r>
          </w:p>
        </w:tc>
      </w:tr>
      <w:tr>
        <w:trPr>
          <w:trHeight w:val="250"/>
        </w:trPr>
        <w:tc>
          <w:tcPr>
            <w:tcW w:w="6740" w:type="dxa"/>
            <w:vAlign w:val="bottom"/>
            <w:tcBorders>
              <w:bottom w:val="single" w:sz="8" w:color="CCEEFF"/>
            </w:tcBorders>
          </w:tcPr>
          <w:p>
            <w:pPr>
              <w:jc w:val="right"/>
              <w:ind w:right="5599"/>
              <w:spacing w:after="0"/>
              <w:rPr>
                <w:sz w:val="20"/>
                <w:szCs w:val="20"/>
                <w:color w:val="auto"/>
              </w:rPr>
            </w:pPr>
            <w:r>
              <w:rPr>
                <w:rFonts w:ascii="Arial" w:cs="Arial" w:eastAsia="Arial" w:hAnsi="Arial"/>
                <w:sz w:val="16"/>
                <w:szCs w:val="16"/>
                <w:color w:val="auto"/>
              </w:rPr>
              <w:t>Total deferred</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(15,511)</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19,578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15,684</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0" w:right="2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The following is a reconciliation of the standard U.S. federal statutory tax rate and our effective tax rate:</w:t>
      </w:r>
    </w:p>
    <w:p>
      <w:pPr>
        <w:spacing w:after="0" w:line="150" w:lineRule="exact"/>
        <w:rPr>
          <w:sz w:val="20"/>
          <w:szCs w:val="20"/>
          <w:color w:val="auto"/>
        </w:rPr>
      </w:pPr>
    </w:p>
    <w:p>
      <w:pPr>
        <w:ind w:left="8360"/>
        <w:spacing w:after="0"/>
        <w:rPr>
          <w:sz w:val="20"/>
          <w:szCs w:val="20"/>
          <w:color w:val="auto"/>
        </w:rPr>
      </w:pPr>
      <w:r>
        <w:rPr>
          <w:rFonts w:ascii="Arial" w:cs="Arial" w:eastAsia="Arial" w:hAnsi="Arial"/>
          <w:sz w:val="13"/>
          <w:szCs w:val="13"/>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22225</wp:posOffset>
            </wp:positionV>
            <wp:extent cx="31216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2016</w:t>
            </w: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U.S. federal statutory income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State taxes, net of federal effect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0.1</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 rate differential on non-U.S. earnings</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(35.7)</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Goodwill impairment</w:t>
            </w: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16.1</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on sale of subsidiary</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Compensation related items</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2"/>
                <w:szCs w:val="22"/>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2"/>
                <w:szCs w:val="22"/>
                <w:color w:val="auto"/>
              </w:rPr>
            </w:pP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(2.2)</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26.9</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Nondeductible acquisition-related payments</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2"/>
                <w:szCs w:val="22"/>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4.0</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U.S. tax reform</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Notional interest deduction (Italy)</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(5.3)</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tax benefit on intellectual property transfer</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(17.7)</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Bonus depreciation</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 on unremitted earnings</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4.6</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Nondeductible interest expense</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0.2</w:t>
            </w: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 credits and incentives</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1.7</w:t>
            </w:r>
          </w:p>
        </w:tc>
      </w:tr>
      <w:tr>
        <w:trPr>
          <w:trHeight w:val="24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Effective income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For the year ended June 30, 2018, our U.S. federal statutory tax rate was reduced from 35% to 28% as a result of the passage of U.S. tax reform during our second quarter of fiscal year 2018. Our effective tax rate for the year was slightly above our U.S. federal statutory tax rate primarily as a result of one-time tax adjustments described below. Excluding these adjustments, our effective tax rate would have been lower than the U.S. federal statutory tax rate primarily due to the majority of our pretax income being earned in jurisdictions outside the U.S. where the applicable tax rates are lower than the U.S. federal statutory tax rate. The jurisdictions that have the most significant impact to our non-U.S. tax provision include Australia, Canada, France, Germany, Ireland, Italy, the Netherlands, Spain and Switzerland. The applicable tax rates in these jurisdictions range from 10% - 34%. The total tax rate benefit from operating in non-U.S. jurisdictions is included in the line “Tax rate differential on non-U.S. earnings” in the above tax rate reconciliation table.</w:t>
      </w:r>
    </w:p>
    <w:p>
      <w:pPr>
        <w:spacing w:after="0" w:line="206"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For the year ended June 30, 2018, our effective tax rate was 29.5% as compared to the prior year effective tax rate of 9.0%. The increase in our effective tax rate as compared to the prior year is primarily due to a less favorable geographic mix on increased profits, the unfavorable impact to our deferred tax assets as a result of U.S. tax reform, and the adoption of ASU 2016-16 that is described further below. If we had not adopted ASU 2016-16 in fiscal year 2018, tax expense would have been lower by $8,363. In addition, we recognized a reduction to our deferred tax assets of $ 4,908 related to expected future changes to our U.S. state apportionment. These impacts were offset by increased share based compensation tax benefits of $12,802 as compared to $8,003 in fiscal 2017. Our fiscal year 2017 effective tax rate was lower than fiscal year 2016 due primarily to a consolidated loss and more favorable geographical mix of earnings in fiscal 2017 as compared to fiscal</w:t>
      </w:r>
    </w:p>
    <w:p>
      <w:pPr>
        <w:spacing w:after="0" w:line="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2016. In addition, we recorded a larger goodwill impairment charge in fiscal year 2016 as compared to fiscal year 2017, which is non-deductible for tax purposes. This was offset by increased nondeductible acquisition-related charges in fiscal year 2017 as compared to fiscal year 2016.</w:t>
      </w:r>
    </w:p>
    <w:p>
      <w:pPr>
        <w:spacing w:after="0" w:line="19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On December 22, 2017, H.R.1, originally known as the Tax Cuts and Jobs Act, ("The Act"), was signed into law, resulting in significant changes to U.S. federal tax law for corporations. Among these changes was the immediate reduction in the federal statutory tax rate from 35% to 21%. The impact of The Act to our fiscal 2018 tax provision was $5,752 of additional tax expense, primarily due to a one-time reduction to our existing U.S. deferred tax assets. In addition, we expect some impact on our future taxes as it relates to certain other aspects of The Act, including limitations on the deductibility of executive share-based compensation awards, U.S. interest expense and meals and entertainment expenses as well as immediate expensing of certain fixed assets. Due to our current operating structure, we expect many of the international aspects of The Act will have little to no effect on our tax</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82" w:right="239" w:bottom="1440" w:gutter="0" w:footer="0" w:header="0"/>
        </w:sectPr>
      </w:pPr>
    </w:p>
    <w:bookmarkStart w:id="95" w:name="page96"/>
    <w:bookmarkEnd w:id="95"/>
    <w:p>
      <w:pPr>
        <w:ind w:right="720"/>
        <w:spacing w:after="0" w:line="262" w:lineRule="auto"/>
        <w:rPr>
          <w:sz w:val="20"/>
          <w:szCs w:val="20"/>
          <w:color w:val="auto"/>
        </w:rPr>
      </w:pPr>
      <w:r>
        <w:rPr>
          <w:rFonts w:ascii="Arial" w:cs="Arial" w:eastAsia="Arial" w:hAnsi="Arial"/>
          <w:sz w:val="18"/>
          <w:szCs w:val="18"/>
          <w:color w:val="auto"/>
        </w:rPr>
        <w:t>balances in the future including, but not limited to, the mandatory one-time deemed repatriation tax on accumulated non-U.S. earnings ("Transition Tax") and the base-erosion anti-avoidance tax on excessive payments to non-U.S. related parties ("BEAT").</w:t>
      </w:r>
    </w:p>
    <w:p>
      <w:pPr>
        <w:spacing w:after="0" w:line="19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response to The Act, the Securities and Exchange Commission issued Staff Accounting Bulletin 118 ("SAB 118"), to address the application of U.S. GAAP in situations where a company does not have the necessary information available, prepared, or analyzed (including computations) in reasonable detail to complete the accounting for certain income tax effects of The Act. SAB 118 allows us to record provisional amounts during a measurement period not to extend beyond one year of the enactment date. Our tax balances have been adjusted based upon our interpretation of The Act, although the final impact on our tax balances may change due to the issuance of additional guidance, changes in our interpretation of The Act, changes in assumptions made by Cimpress, and actions Cimpress may take as a result of The Act. There have been no material changes to our tax balances as of June 30, 2018 as a result of changes to our interpretation of nor the issuance of new guidance on The Act. We will continue to review and assess the potential impact of any new information on our financial statement positions.</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the first quarter of fiscal year 2018, we elected to early adopt ASU 2016-16, "Income Taxes (Topic 740): Intra-Entity Transfers of Assets Other Than Inventory," which requires the immediate recognition for income tax consequences of an intra-entity transfer of assets other than inventory when the transfer occurs. Under the prior accounting rules, any resulting gain or loss and immediate tax impact on an intra-entity transfer is eliminated and not recognized in the consolidated financial statements. Instead, the tax effects are deferred and recognized over the economic lives of the transferred assets. The adoption of ASU 2016-16 has a significant impact to our tax balances, primarily as it relates to transfers of intellectual property from subsidiaries within the Cimpress group to our subsidiary based in Switzerland. Our subsidiary based in Switzerland is entitled to amortize the fair market value of the intellectual property received over five years for Swiss tax purposes. Following the adoption of ASU 2016-16, we eliminated $24,573 of tax assets associated with the deferred tax costs of the transferor entities and recorded $18,710 of deferred tax asset for the unamortized value of intellectual property of our subsidiary in Switzerland, with a cumulative-effect adjustment to retained earnings of $5,863. The intellectual property amortization will reduce our deferred tax asset and will no longer impact our effective tax rate in fiscal 2018 and beyond. The net tax benefit recognized under the prior accounting associated with the amortization of the intellectual property was $12,926 and $12,764 in fiscal years 2017 and 2016, respectively and is included in the line "Net tax benefit on intellectual property transfer" in the above tax rate reconciliation table.</w:t>
      </w:r>
    </w:p>
    <w:p>
      <w:pPr>
        <w:spacing w:after="0" w:line="184" w:lineRule="exact"/>
        <w:rPr>
          <w:sz w:val="20"/>
          <w:szCs w:val="20"/>
          <w:color w:val="auto"/>
        </w:rPr>
      </w:pPr>
    </w:p>
    <w:p>
      <w:pPr>
        <w:ind w:right="360" w:firstLine="648"/>
        <w:spacing w:after="0" w:line="254" w:lineRule="auto"/>
        <w:rPr>
          <w:sz w:val="20"/>
          <w:szCs w:val="20"/>
          <w:color w:val="auto"/>
        </w:rPr>
      </w:pPr>
      <w:r>
        <w:rPr>
          <w:rFonts w:ascii="Arial" w:cs="Arial" w:eastAsia="Arial" w:hAnsi="Arial"/>
          <w:sz w:val="18"/>
          <w:szCs w:val="18"/>
          <w:color w:val="auto"/>
        </w:rPr>
        <w:t>In fiscal 2016 we adopted ASU No. 2016-09, "Compensation - Stock Compensation (Topic 718): Improvement to Employee Share-Based Payment Accounting." This resulted in tax benefits of $12,802, $8,003 and $ 3,456 recognized in income tax expense (benefit) in the consolidated statement of operations for the years ended June 30, 2018, 2017 and 2016, respectively, which previously would have been recognized in additional paid-in capital in the consolidated balance sheet.</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fiscal 2012, one of our subsidiaries purchased certain intellectual property and intangible assets of Webs, Inc. We elected to fund the transfer of these assets using an installment obligation payable over a 7.5-year period, and accordingly we recorded a deferred tax liability for the entire tax liability owed but not yet paid as of the date of the transaction. Refer to Note 17 for additional information regarding this obligation.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382" w:right="259" w:bottom="1440" w:gutter="0" w:footer="0" w:header="0"/>
        </w:sectPr>
      </w:pPr>
    </w:p>
    <w:bookmarkStart w:id="96" w:name="page97"/>
    <w:bookmarkEnd w:id="96"/>
    <w:p>
      <w:pPr>
        <w:ind w:left="660"/>
        <w:spacing w:after="0"/>
        <w:rPr>
          <w:sz w:val="20"/>
          <w:szCs w:val="20"/>
          <w:color w:val="auto"/>
        </w:rPr>
      </w:pPr>
      <w:r>
        <w:rPr>
          <w:rFonts w:ascii="Arial" w:cs="Arial" w:eastAsia="Arial" w:hAnsi="Arial"/>
          <w:sz w:val="18"/>
          <w:szCs w:val="18"/>
          <w:color w:val="auto"/>
        </w:rPr>
        <w:t>Significant components of our deferred income tax assets and liabilities consisted of the following at June 30, 2018 and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June 30,</w:t>
            </w:r>
          </w:p>
        </w:tc>
        <w:tc>
          <w:tcPr>
            <w:tcW w:w="900" w:type="dxa"/>
            <w:vAlign w:val="bottom"/>
            <w:tcBorders>
              <w:bottom w:val="single" w:sz="8" w:color="auto"/>
            </w:tcBorders>
          </w:tcPr>
          <w:p>
            <w:pPr>
              <w:spacing w:after="0"/>
              <w:rPr>
                <w:sz w:val="15"/>
                <w:szCs w:val="15"/>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w w:val="96"/>
              </w:rPr>
              <w:t>2017</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94,925</w:t>
            </w:r>
          </w:p>
        </w:tc>
        <w:tc>
          <w:tcPr>
            <w:tcW w:w="100" w:type="dxa"/>
            <w:vAlign w:val="bottom"/>
          </w:tcPr>
          <w:p>
            <w:pPr>
              <w:spacing w:after="0"/>
              <w:rPr>
                <w:sz w:val="22"/>
                <w:szCs w:val="22"/>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85,728</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3,211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2,331</w:t>
            </w: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6,023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6,478</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Share-based compensation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17,194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20,999</w:t>
            </w: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Credit and other carryforwards</w:t>
            </w:r>
          </w:p>
        </w:tc>
        <w:tc>
          <w:tcPr>
            <w:tcW w:w="36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6,649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2,688</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 financial instruments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7,552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7,121</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3,206</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3,060</w:t>
            </w:r>
          </w:p>
        </w:tc>
      </w:tr>
      <w:tr>
        <w:trPr>
          <w:trHeight w:val="257"/>
        </w:trPr>
        <w:tc>
          <w:tcPr>
            <w:tcW w:w="8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138,760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128,405</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Valuation allowance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(58,716)</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(56,953)</w:t>
            </w:r>
          </w:p>
        </w:tc>
      </w:tr>
      <w:tr>
        <w:trPr>
          <w:trHeight w:val="257"/>
        </w:trPr>
        <w:tc>
          <w:tcPr>
            <w:tcW w:w="8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deferred tax assets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80,044</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71,452</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(71,477)</w:t>
            </w: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IP installment obligation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(6,460)</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Tax on unremitted earnings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(4,374)</w:t>
            </w: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Derivative financial instruments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w:t>
            </w:r>
          </w:p>
        </w:tc>
      </w:tr>
      <w:tr>
        <w:trPr>
          <w:trHeight w:val="250"/>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deferred tax liabilities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(64,200)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(84,191)</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assets (liabilities)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15,844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(12,739)</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assessing the realizability of deferred tax assets, we consider whether it is more likely than not that some or all of the deferred tax assets will not be realized. The increase in the valuation allowance from the prior year relates primarily to losses incurred in certain jurisdictions (mainly Brazil, China, India, and Japan) for which management has determined, based on current profitability projections, that it is more likely than not that these losses will not be utilized within the applicable carryforward periods available under local law. In addition, we recognized a decrease in our valuation allowance related to the utilization of Dutch net operating losses against the taxable gain from the sale of our Albumprinter business.</w:t>
      </w:r>
    </w:p>
    <w:p>
      <w:pPr>
        <w:spacing w:after="0" w:line="182"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have not recorded a valuation allowance against $44,092 of deferred tax asset associated with current and prior year tax losses generated in Switzerland. Management believes there is sufficient positive evidence in the form of historical and future projected profitability to conclude that it is more likely than not that all of the losses in Switzerland will be utilized against future taxable profits within the available carryforward period. Our assessment is reliant on the attainment of our future operating profit goals. Failure to achieve these operating profit goals may change our assessment of this deferred tax asset, and such change would result in an additional valuation allowance and an increase in income tax expense to be recorded in the period of the change in assessment. We will continue to review our forecasts and profitability trends on a quarterly basis.</w:t>
      </w:r>
    </w:p>
    <w:p>
      <w:pPr>
        <w:spacing w:after="0" w:line="20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have recorded a full valuation allowance against $7,552 of deferred tax asset related to an interest rate derivative instrument for which management has determined, based on current profitability projections, that it is more likely than not that the deferred tax asset will not be recognized in the foreseeable future. The impact of this deferred tax asset and associated valuation allowance has been recorded in accumulated other comprehensive loss on the balance sheet. Additionally, we have recorded a partial valuation allowance of $2,311 against a deferred tax asset related to U.S. state research and development credits for which management has determined that it is more likely than not that these credits will not be utilized within the applicable carryforward periods available under local law.</w:t>
      </w:r>
    </w:p>
    <w:p>
      <w:pPr>
        <w:spacing w:after="0" w:line="209"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No valuation allowance has been recorded against the $17,194 deferred tax asset associated with share-based compensation charges at June 30, 2018. However, in the future, if the underlying awards expire, are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71" w:right="239" w:bottom="1440" w:gutter="0" w:footer="0" w:header="0"/>
        </w:sectPr>
      </w:pPr>
    </w:p>
    <w:bookmarkStart w:id="97" w:name="page98"/>
    <w:bookmarkEnd w:id="97"/>
    <w:p>
      <w:pPr>
        <w:spacing w:after="0" w:line="262" w:lineRule="auto"/>
        <w:rPr>
          <w:sz w:val="20"/>
          <w:szCs w:val="20"/>
          <w:color w:val="auto"/>
        </w:rPr>
      </w:pPr>
      <w:r>
        <w:rPr>
          <w:rFonts w:ascii="Arial" w:cs="Arial" w:eastAsia="Arial" w:hAnsi="Arial"/>
          <w:sz w:val="18"/>
          <w:szCs w:val="18"/>
          <w:color w:val="auto"/>
        </w:rPr>
        <w:t>released or are exercised with an intrinsic value less than the fair value of the awards on the date of grant, some or all of the benefit may not be realizable.</w:t>
      </w:r>
    </w:p>
    <w:p>
      <w:pPr>
        <w:spacing w:after="0" w:line="196" w:lineRule="exact"/>
        <w:rPr>
          <w:sz w:val="20"/>
          <w:szCs w:val="20"/>
          <w:color w:val="auto"/>
        </w:rPr>
      </w:pPr>
    </w:p>
    <w:p>
      <w:pPr>
        <w:ind w:right="380" w:firstLine="648"/>
        <w:spacing w:after="0" w:line="256" w:lineRule="auto"/>
        <w:rPr>
          <w:sz w:val="20"/>
          <w:szCs w:val="20"/>
          <w:color w:val="auto"/>
        </w:rPr>
      </w:pPr>
      <w:r>
        <w:rPr>
          <w:rFonts w:ascii="Arial" w:cs="Arial" w:eastAsia="Arial" w:hAnsi="Arial"/>
          <w:sz w:val="18"/>
          <w:szCs w:val="18"/>
          <w:color w:val="auto"/>
        </w:rPr>
        <w:t>Based on the weight of available evidence at June 30, 2018, management believes that it is more likely than not that all other net deferred tax assets will be realized in the foreseeable future. We will continue to assess the realization of the deferred tax assets based on operating results on a quarterly basis.</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 reconciliation of the beginning and ending amount of the valuation allowance for the year ended June 30,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June 30, 2017</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Charges to earnings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Charges to other accounts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June 30, 2018</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 Amount is primarily related to U.S. state research and development credits and non-U.S. net operating losses.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845" w:hanging="845"/>
        <w:spacing w:after="0"/>
        <w:tabs>
          <w:tab w:leader="none" w:pos="845" w:val="left"/>
        </w:tabs>
        <w:numPr>
          <w:ilvl w:val="0"/>
          <w:numId w:val="58"/>
        </w:numPr>
        <w:rPr>
          <w:rFonts w:ascii="Arial" w:cs="Arial" w:eastAsia="Arial" w:hAnsi="Arial"/>
          <w:sz w:val="16"/>
          <w:szCs w:val="16"/>
          <w:color w:val="auto"/>
        </w:rPr>
      </w:pPr>
      <w:r>
        <w:rPr>
          <w:rFonts w:ascii="Arial" w:cs="Arial" w:eastAsia="Arial" w:hAnsi="Arial"/>
          <w:sz w:val="16"/>
          <w:szCs w:val="16"/>
          <w:color w:val="auto"/>
        </w:rPr>
        <w:t>56,953</w:t>
      </w:r>
    </w:p>
    <w:p>
      <w:pPr>
        <w:spacing w:after="0" w:line="59" w:lineRule="exact"/>
        <w:rPr>
          <w:rFonts w:ascii="Arial" w:cs="Arial" w:eastAsia="Arial" w:hAnsi="Arial"/>
          <w:sz w:val="16"/>
          <w:szCs w:val="16"/>
          <w:color w:val="auto"/>
        </w:rPr>
      </w:pPr>
    </w:p>
    <w:p>
      <w:pPr>
        <w:ind w:left="925"/>
        <w:spacing w:after="0"/>
        <w:rPr>
          <w:rFonts w:ascii="Arial" w:cs="Arial" w:eastAsia="Arial" w:hAnsi="Arial"/>
          <w:sz w:val="16"/>
          <w:szCs w:val="16"/>
          <w:color w:val="auto"/>
        </w:rPr>
      </w:pPr>
      <w:r>
        <w:rPr>
          <w:rFonts w:ascii="Arial" w:cs="Arial" w:eastAsia="Arial" w:hAnsi="Arial"/>
          <w:sz w:val="16"/>
          <w:szCs w:val="16"/>
          <w:color w:val="auto"/>
        </w:rPr>
        <w:t>3,171</w:t>
      </w:r>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934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3" w:lineRule="exact"/>
        <w:rPr>
          <w:sz w:val="20"/>
          <w:szCs w:val="20"/>
          <w:color w:val="auto"/>
        </w:rPr>
      </w:pPr>
    </w:p>
    <w:p>
      <w:pPr>
        <w:ind w:left="845" w:hanging="845"/>
        <w:spacing w:after="0"/>
        <w:tabs>
          <w:tab w:leader="none" w:pos="845" w:val="left"/>
        </w:tabs>
        <w:numPr>
          <w:ilvl w:val="0"/>
          <w:numId w:val="59"/>
        </w:numPr>
        <w:rPr>
          <w:rFonts w:ascii="Arial" w:cs="Arial" w:eastAsia="Arial" w:hAnsi="Arial"/>
          <w:sz w:val="16"/>
          <w:szCs w:val="16"/>
          <w:color w:val="auto"/>
        </w:rPr>
      </w:pPr>
      <w:r>
        <w:rPr>
          <w:rFonts w:ascii="Arial" w:cs="Arial" w:eastAsia="Arial" w:hAnsi="Arial"/>
          <w:sz w:val="16"/>
          <w:szCs w:val="16"/>
          <w:color w:val="auto"/>
        </w:rPr>
        <w:t>58,716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934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36195</wp:posOffset>
            </wp:positionV>
            <wp:extent cx="9347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9255" w:space="720"/>
            <w:col w:w="1425"/>
          </w:cols>
          <w:pgMar w:left="240" w:top="382" w:right="259" w:bottom="1440" w:gutter="0" w:footer="0" w:header="0"/>
          <w:type w:val="continuous"/>
        </w:sectPr>
      </w:pPr>
    </w:p>
    <w:p>
      <w:pPr>
        <w:ind w:left="260" w:right="60" w:hanging="252"/>
        <w:spacing w:after="0" w:line="258" w:lineRule="auto"/>
        <w:tabs>
          <w:tab w:leader="none" w:pos="233"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 is primarily related to unrealized gains on cross-currency swap contracts included in other comprehensive income (loss) and a decrease in deferred tax assets on non-U.S. net operating losses due to currency exchange rate changes.</w:t>
      </w:r>
    </w:p>
    <w:p>
      <w:pPr>
        <w:spacing w:after="0" w:line="161"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The increase in net deferred tax assets during fiscal 2018 is primarily attributable to the adoption of ASU 2016-16 and increased tax losses in Switzerland, offset by the impact of U.S. tax reform.</w:t>
      </w:r>
    </w:p>
    <w:p>
      <w:pPr>
        <w:spacing w:after="0" w:line="16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of June 30, 2018, we had gross U.S. federal and state net operating losses of approximately $2,348 that expire on various dates from fiscal 2030 through fiscal 2038. We had gross non-U.S. net operating loss and other carryforwards of $621,297</w:t>
      </w:r>
      <w:r>
        <w:rPr>
          <w:rFonts w:ascii="Arial" w:cs="Arial" w:eastAsia="Arial" w:hAnsi="Arial"/>
          <w:sz w:val="18"/>
          <w:szCs w:val="18"/>
          <w:i w:val="1"/>
          <w:iCs w:val="1"/>
          <w:color w:val="auto"/>
        </w:rPr>
        <w:t>,</w:t>
      </w:r>
      <w:r>
        <w:rPr>
          <w:rFonts w:ascii="Arial" w:cs="Arial" w:eastAsia="Arial" w:hAnsi="Arial"/>
          <w:sz w:val="18"/>
          <w:szCs w:val="18"/>
          <w:color w:val="auto"/>
        </w:rPr>
        <w:t xml:space="preserve"> a significant amount of which begin to expire in fiscal 2021, with the remaining amounts expiring on various dates from fiscal 2019 through fiscal 2038 or with unlimited carryforward</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we have $6,649 of tax credit carryforwards primarily related to U.S. federal and state research and development credits expiring on various dates beginning in fiscal 2030. The benefits of these carryforwards are dependent upon the generation of taxable income in the jurisdictions where they arose.</w:t>
      </w:r>
    </w:p>
    <w:p>
      <w:pPr>
        <w:spacing w:after="0" w:line="182"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consider the following factors, among others, in evaluating our plans for indefinite reinvestment of our subsidiaries’ earnings: (i) the forecasts, budgets and financial requirements of both our parent company and its subsidiaries, both for the long term and for the short term; and (ii) the tax consequences of any decision to reinvest earnings of any subsidiary. As of June 30, 2018, no tax provision has been made for $29,406 of undistributed earnings of certain of our subsidiaries as these earnings are considered indefinitely reinvested. If, in the future, we decide to repatriate the undistributed earnings from these subsidiaries in the form of dividends or otherwise, we could be subject to withholding taxes payable in the range of $7,000 to $8,000 at that time. A cumulative deferred tax liability of $4,592 has been recorded attributable to undistributed earnings that we have deemed are no longer indefinitely reinvested. The remaining undistributed earnings of our subsidiaries are not deemed to be indefinitely reinvested and can be repatriated at no tax cost. Accordingly, there has been no provision for income or withholding taxes on these earnings.</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382" w:right="259" w:bottom="1440" w:gutter="0" w:footer="0" w:header="0"/>
          <w:type w:val="continuous"/>
        </w:sectPr>
      </w:pPr>
    </w:p>
    <w:bookmarkStart w:id="98" w:name="page99"/>
    <w:bookmarkEnd w:id="98"/>
    <w:p>
      <w:pPr>
        <w:ind w:left="660"/>
        <w:spacing w:after="0"/>
        <w:rPr>
          <w:sz w:val="20"/>
          <w:szCs w:val="20"/>
          <w:color w:val="auto"/>
        </w:rPr>
      </w:pPr>
      <w:r>
        <w:rPr>
          <w:rFonts w:ascii="Arial" w:cs="Arial" w:eastAsia="Arial" w:hAnsi="Arial"/>
          <w:sz w:val="18"/>
          <w:szCs w:val="18"/>
          <w:color w:val="auto"/>
        </w:rPr>
        <w:t>A reconciliation of the gross beginning and ending amount of unrecognized tax benefits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June 30, 2015</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5,710</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328</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based on tax positions related to prior tax years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Reductions based on tax positions related to prior tax years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due to audit settlements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Reductions due to lapse of statute of limitations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June 30, 2016</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4,249</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based on tax positions related to prior tax years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1,580</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Reductions based on tax positions related to prior tax years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6"/>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due to audit settlements</w:t>
            </w: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Balance June 30, 2017</w:t>
            </w:r>
          </w:p>
        </w:tc>
        <w:tc>
          <w:tcPr>
            <w:tcW w:w="5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5,383</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prior tax years</w:t>
            </w:r>
          </w:p>
        </w:tc>
        <w:tc>
          <w:tcPr>
            <w:tcW w:w="5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based on tax positions related to prior tax years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Reductions due to audit settlements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due to lapse of statute of limitations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Cumulative translation adjustment</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r>
      <w:tr>
        <w:trPr>
          <w:trHeight w:val="24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June 30, 2018</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4,705</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For the year ended June 30, 2018, the amount of unrecognized tax benefits (exclusive of interest) that, if recognized, would impact the effective tax rate is $ 4,442. We recognize interest and, if applicable, penalties related to unrecognized tax benefits in income tax expense. The accrued interest and penalties recognized as of June 30, 2018, 2017 and 2016 were $448, $ 384 and $142, respectively. It is reasonably possible that a further change in unrecognized tax benefits in the range of $700 to $900 may occur within the next twelve months related to the settlement of one or more audits or the lapse of applicable statutes of limitations. We believe we have appropriately provided for all tax uncertainties.</w:t>
      </w:r>
    </w:p>
    <w:p>
      <w:pPr>
        <w:spacing w:after="0" w:line="168"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conduct business in a number of tax jurisdictions and, as such, are required to file income tax returns in multiple jurisdictions globally. The years 2015 through 2017 remain open for examination by the United States Internal Revenue Service (“IRS”) and the years 2012 through 2017 remain open for examination in the various states and non-US tax jurisdictions in which we file tax returns.</w:t>
      </w:r>
    </w:p>
    <w:p>
      <w:pPr>
        <w:spacing w:after="0" w:line="351"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We are currently under income tax audit in certain jurisdictions globally.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Noncontrolling Interests</w:t>
      </w:r>
    </w:p>
    <w:p>
      <w:pPr>
        <w:spacing w:after="0" w:line="20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certain of our strategic investments we own a controlling equity stake, but a third party owns a minority portion of the equity. The balance sheet and operating activity of these entities are included in our consolidated financial statements and we adjust the net income in our consolidated statement of operations to exclude the noncontrolling interests' proportionate share of results. We present the proportionate share of equity attributable to the redeemable noncontrolling interests as temporary equity within our consolidated balance sheet and the proportionate share of noncontrolling interests not subject to a redemption provision that is outside of our control as equity.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w:t>
      </w:r>
    </w:p>
    <w:p>
      <w:pPr>
        <w:spacing w:after="0" w:line="203" w:lineRule="exact"/>
        <w:rPr>
          <w:sz w:val="20"/>
          <w:szCs w:val="20"/>
          <w:color w:val="auto"/>
        </w:rPr>
      </w:pPr>
    </w:p>
    <w:p>
      <w:pPr>
        <w:ind w:right="460" w:firstLine="648"/>
        <w:spacing w:after="0" w:line="262" w:lineRule="auto"/>
        <w:rPr>
          <w:sz w:val="20"/>
          <w:szCs w:val="20"/>
          <w:color w:val="auto"/>
        </w:rPr>
      </w:pPr>
      <w:r>
        <w:rPr>
          <w:rFonts w:ascii="Arial" w:cs="Arial" w:eastAsia="Arial" w:hAnsi="Arial"/>
          <w:sz w:val="18"/>
          <w:szCs w:val="18"/>
          <w:color w:val="auto"/>
        </w:rPr>
        <w:t>On April 15, 2015, we acquired 70% of the outstanding shares of Exagroup SAS. The remaining 30% is considered a redeemable noncontrolling equity interest, as it is redeemable in the future and not solely within our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71" w:right="239" w:bottom="1440" w:gutter="0" w:footer="0" w:header="0"/>
        </w:sectPr>
      </w:pPr>
    </w:p>
    <w:bookmarkStart w:id="99" w:name="page100"/>
    <w:bookmarkEnd w:id="99"/>
    <w:p>
      <w:pPr>
        <w:jc w:val="both"/>
        <w:ind w:right="20"/>
        <w:spacing w:after="0" w:line="256" w:lineRule="auto"/>
        <w:rPr>
          <w:sz w:val="20"/>
          <w:szCs w:val="20"/>
          <w:color w:val="auto"/>
        </w:rPr>
      </w:pPr>
      <w:r>
        <w:rPr>
          <w:rFonts w:ascii="Arial" w:cs="Arial" w:eastAsia="Arial" w:hAnsi="Arial"/>
          <w:sz w:val="18"/>
          <w:szCs w:val="18"/>
          <w:color w:val="auto"/>
        </w:rPr>
        <w:t>control. The Exagroup noncontrolling interest, redeemable at a fixed amount of €39,000, was recorded at its fair value as of the acquisition date and will be adjusted to its redemption value on a periodic basis, if that amount exceeds its carrying value. As of June 30, 2018, the redemption value was less than the carrying value, and therefore no adjustment was required.</w:t>
      </w:r>
    </w:p>
    <w:p>
      <w:pPr>
        <w:spacing w:after="0" w:line="20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August 23, 2017, we sold approximately 12% of the outstanding shares of our WIRmachenDRUCK subsidiary for a total of €30,000 ($35,390 based on the exchange rate on the date we received the proceeds). The minority equity interest is considered a redeemable noncontrolling interest, as it is redeemable for cash based on future financial results through put and call rights and not solely within our control. The noncontrolling interest was recorded at its fair value as of the sale date and will be adjusted to its redemption value on a periodic basis, with an offset to retained earnings, if that amount exceeds its carrying value. If the formulaic redemption value exceeds the fair value of the noncontrolling interest, then the accretion to redemption value will be offset to the net (income) loss attributable to noncontrolling interest in our consolidated statement of operations. As of June 30, 2018, the redemption value was less than the carrying value, and therefore no adjustment was required.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changes in our noncontrolling interests: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Redeemable noncontrolling</w:t>
            </w:r>
          </w:p>
        </w:tc>
        <w:tc>
          <w:tcPr>
            <w:tcW w:w="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interests</w:t>
            </w:r>
          </w:p>
        </w:tc>
        <w:tc>
          <w:tcPr>
            <w:tcW w:w="240" w:type="dxa"/>
            <w:vAlign w:val="bottom"/>
          </w:tcPr>
          <w:p>
            <w:pPr>
              <w:spacing w:after="0"/>
              <w:rPr>
                <w:sz w:val="15"/>
                <w:szCs w:val="15"/>
                <w:color w:val="auto"/>
              </w:rPr>
            </w:pPr>
          </w:p>
        </w:tc>
        <w:tc>
          <w:tcPr>
            <w:tcW w:w="1820" w:type="dxa"/>
            <w:vAlign w:val="bottom"/>
          </w:tcPr>
          <w:p>
            <w:pPr>
              <w:jc w:val="right"/>
              <w:ind w:right="260"/>
              <w:spacing w:after="0"/>
              <w:rPr>
                <w:sz w:val="20"/>
                <w:szCs w:val="20"/>
                <w:color w:val="auto"/>
              </w:rPr>
            </w:pPr>
            <w:r>
              <w:rPr>
                <w:rFonts w:ascii="Arial" w:cs="Arial" w:eastAsia="Arial" w:hAnsi="Arial"/>
                <w:sz w:val="13"/>
                <w:szCs w:val="13"/>
                <w:b w:val="1"/>
                <w:bCs w:val="1"/>
                <w:color w:val="auto"/>
              </w:rPr>
              <w:t>Noncontrolling interest</w:t>
            </w:r>
          </w:p>
        </w:tc>
        <w:tc>
          <w:tcPr>
            <w:tcW w:w="0" w:type="dxa"/>
            <w:vAlign w:val="bottom"/>
          </w:tcPr>
          <w:p>
            <w:pPr>
              <w:spacing w:after="0"/>
              <w:rPr>
                <w:sz w:val="1"/>
                <w:szCs w:val="1"/>
                <w:color w:val="auto"/>
              </w:rPr>
            </w:pP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65,301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Capital contribution from noncontrolling interest</w:t>
            </w:r>
          </w:p>
        </w:tc>
        <w:tc>
          <w:tcPr>
            <w:tcW w:w="160" w:type="dxa"/>
            <w:vAlign w:val="bottom"/>
          </w:tcPr>
          <w:p>
            <w:pPr>
              <w:spacing w:after="0"/>
              <w:rPr>
                <w:sz w:val="22"/>
                <w:szCs w:val="22"/>
                <w:color w:val="auto"/>
              </w:rPr>
            </w:pPr>
          </w:p>
        </w:tc>
        <w:tc>
          <w:tcPr>
            <w:tcW w:w="1900" w:type="dxa"/>
            <w:vAlign w:val="bottom"/>
          </w:tcPr>
          <w:p>
            <w:pPr>
              <w:jc w:val="right"/>
              <w:ind w:right="22"/>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Accretion to redemption value recognized in net loss attributable to noncontrolling interest (1)</w:t>
            </w: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0"/>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Net (loss) income attributable to noncontrolling interest</w:t>
            </w:r>
          </w:p>
        </w:tc>
        <w:tc>
          <w:tcPr>
            <w:tcW w:w="1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 interests (2)</w:t>
            </w: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Sale of noncontrolling interest</w:t>
            </w:r>
          </w:p>
        </w:tc>
        <w:tc>
          <w:tcPr>
            <w:tcW w:w="160" w:type="dxa"/>
            <w:vAlign w:val="bottom"/>
          </w:tcPr>
          <w:p>
            <w:pPr>
              <w:spacing w:after="0"/>
              <w:rPr>
                <w:sz w:val="22"/>
                <w:szCs w:val="22"/>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7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1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7"/>
        </w:trPr>
        <w:tc>
          <w:tcPr>
            <w:tcW w:w="7200" w:type="dxa"/>
            <w:vAlign w:val="bottom"/>
          </w:tcPr>
          <w:p>
            <w:pPr>
              <w:ind w:left="40"/>
              <w:spacing w:after="0"/>
              <w:rPr>
                <w:sz w:val="20"/>
                <w:szCs w:val="20"/>
                <w:color w:val="auto"/>
              </w:rPr>
            </w:pPr>
            <w:r>
              <w:rPr>
                <w:rFonts w:ascii="Arial" w:cs="Arial" w:eastAsia="Arial" w:hAnsi="Arial"/>
                <w:sz w:val="16"/>
                <w:szCs w:val="16"/>
                <w:color w:val="auto"/>
              </w:rPr>
              <w:t>Balance as of June 30, 2017</w:t>
            </w:r>
          </w:p>
        </w:tc>
        <w:tc>
          <w:tcPr>
            <w:tcW w:w="160" w:type="dxa"/>
            <w:vAlign w:val="bottom"/>
          </w:tcPr>
          <w:p>
            <w:pPr>
              <w:spacing w:after="0"/>
              <w:rPr>
                <w:sz w:val="21"/>
                <w:szCs w:val="21"/>
                <w:color w:val="auto"/>
              </w:rPr>
            </w:pPr>
          </w:p>
        </w:tc>
        <w:tc>
          <w:tcPr>
            <w:tcW w:w="1900" w:type="dxa"/>
            <w:vAlign w:val="bottom"/>
          </w:tcPr>
          <w:p>
            <w:pPr>
              <w:jc w:val="right"/>
              <w:ind w:right="22"/>
              <w:spacing w:after="0"/>
              <w:rPr>
                <w:sz w:val="20"/>
                <w:szCs w:val="20"/>
                <w:color w:val="auto"/>
              </w:rPr>
            </w:pPr>
            <w:r>
              <w:rPr>
                <w:rFonts w:ascii="Arial" w:cs="Arial" w:eastAsia="Arial" w:hAnsi="Arial"/>
                <w:sz w:val="16"/>
                <w:szCs w:val="16"/>
                <w:color w:val="auto"/>
              </w:rPr>
              <w:t>45,412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Proceeds from sale of noncontrolling interest</w:t>
            </w:r>
          </w:p>
        </w:tc>
        <w:tc>
          <w:tcPr>
            <w:tcW w:w="160" w:type="dxa"/>
            <w:vAlign w:val="bottom"/>
          </w:tcPr>
          <w:p>
            <w:pPr>
              <w:spacing w:after="0"/>
              <w:rPr>
                <w:sz w:val="22"/>
                <w:szCs w:val="22"/>
                <w:color w:val="auto"/>
              </w:rPr>
            </w:pPr>
          </w:p>
        </w:tc>
        <w:tc>
          <w:tcPr>
            <w:tcW w:w="1900" w:type="dxa"/>
            <w:vAlign w:val="bottom"/>
          </w:tcPr>
          <w:p>
            <w:pPr>
              <w:jc w:val="right"/>
              <w:ind w:right="22"/>
              <w:spacing w:after="0"/>
              <w:rPr>
                <w:sz w:val="20"/>
                <w:szCs w:val="20"/>
                <w:color w:val="auto"/>
              </w:rPr>
            </w:pPr>
            <w:r>
              <w:rPr>
                <w:rFonts w:ascii="Arial" w:cs="Arial" w:eastAsia="Arial" w:hAnsi="Arial"/>
                <w:sz w:val="16"/>
                <w:szCs w:val="16"/>
                <w:color w:val="auto"/>
              </w:rPr>
              <w:t>35,390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1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2,366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Balance as of June 30, 2018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86,151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right="100" w:firstLine="8"/>
        <w:spacing w:after="0" w:line="241" w:lineRule="auto"/>
        <w:tabs>
          <w:tab w:leader="none" w:pos="2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Accretion to redemption value recognized in net loss attributable to noncontrolling interest is the result of the redemption amount estimated to be greater than both the carrying value and fair value of the noncontrolling interest.</w:t>
      </w:r>
    </w:p>
    <w:p>
      <w:pPr>
        <w:ind w:left="220" w:hanging="212"/>
        <w:spacing w:after="0"/>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During fiscal 2017, we purchased the Pixartprinting and Japanese joint venture noncontrolling interests for $10,947 and $9,352,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Variable Interest Entity ("VIE")</w:t>
      </w:r>
    </w:p>
    <w:p>
      <w:pPr>
        <w:spacing w:after="0" w:line="2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August 7, 2014, we made a capital investment in Printi LLC, which operates in Brazil. This investment provided us access to a new market and the opportunity to drive longer-term growth in Brazil and other geographies as Printi expands internationally in the future. The shareholders of Printi share profits and voting control on a pro-rata basis. While we do not manage the day-to-day operations of Printi, we do have the unilateral ability to exercise participating voting rights for specific transactions, and as such no one shareholder is considered to be the primary beneficiary. Based upon the level of equity investment at risk, Printi is considered a variable interest entity. Due to certain unilateral participating voting rights for certain transactions and the presence of a de facto agency relationship, we concluded that we were most exposed to the variability of the economics and therefore considered the primary beneficiary.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82" w:right="239" w:bottom="1440" w:gutter="0" w:footer="0" w:header="0"/>
        </w:sectPr>
      </w:pPr>
    </w:p>
    <w:bookmarkStart w:id="100" w:name="page101"/>
    <w:bookmarkEnd w:id="100"/>
    <w:p>
      <w:pPr>
        <w:ind w:right="40" w:firstLine="648"/>
        <w:spacing w:after="0" w:line="251" w:lineRule="auto"/>
        <w:rPr>
          <w:sz w:val="20"/>
          <w:szCs w:val="20"/>
          <w:color w:val="auto"/>
        </w:rPr>
      </w:pPr>
      <w:r>
        <w:rPr>
          <w:rFonts w:ascii="Arial" w:cs="Arial" w:eastAsia="Arial" w:hAnsi="Arial"/>
          <w:sz w:val="18"/>
          <w:szCs w:val="18"/>
          <w:color w:val="auto"/>
        </w:rPr>
        <w:t>During fiscal 2018, we purchased an additional 3.7% economic interest for $1,144, resulting in a 53.69% equity interest as of June 30, 2018. In addition, we will acquire the remaining equity interest in Printi through a reciprocal put and call structure, exercisable from March 31, 2021 through a mandatory redemption date of July 31, 2023. As the remaining equity interests are mandatorily redeemable by all parties no later than a specified future date, the noncontrolling interest is within the scope of ASC 480 - "Distinguishing Liabilities from Equity" and is required to be presented as a liability on our consolidated balance sheet. As of June 30, 2018 and 2017, we adjusted the liability to fair value of $4,366 and $3,357, respectively, using an option pricing model. The offsetting adjustments were recognized within interest expense, net during the year ended June 30, 2018 and additional paid in capital during the year ended June 30, 2017. During the year ended June 30, 2018, we recognized $2,153 within interest expense, net. We will continue to adjust the liability to its estimated redemption value each reporting period and recognize any changes within interest expense, net in our consolidated statement of operations.</w:t>
      </w:r>
    </w:p>
    <w:p>
      <w:pPr>
        <w:spacing w:after="0" w:line="17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also have liability-based awards for Printi restricted stock held by Printi employees that are fully vested and marked to fair value each reporting period until cash settlement. As of June 30, 2018, through the use of an option pricing model, we estimated the current fair value of the restricted stock to be $15,464 and we have recognized $6,792, $5,803 and $1,517 in general and administrative expense for the years ended June 30, 2018, 2017 and 2016.</w:t>
      </w:r>
    </w:p>
    <w:p>
      <w:pPr>
        <w:spacing w:after="0" w:line="16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also have an arrangement to lend two Printi equity holders up to $24,000 that is payable on the date the put or call option is exercised, which will occur no later than July 31, 2023. As of June 30, 2018, the long-term loan receivable, including accrued interest, is $22,234 and classified within other assets in our consolidated balance sheets. We did not have a long-term loan receivable as of June 30, 2017. The loans carry 8.5% annual interest, and are not contingent upon continued employment. We expect that the loan proceeds will be used to offset our purchase of the remaining noncontrolling interest in the future.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0"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 As of June 30, 2018, we have numerous operating segments under our management reporting structure which are reported in the following four reportable segments:</w:t>
      </w:r>
    </w:p>
    <w:p>
      <w:pPr>
        <w:spacing w:after="0" w:line="159" w:lineRule="exact"/>
        <w:rPr>
          <w:sz w:val="20"/>
          <w:szCs w:val="20"/>
          <w:color w:val="auto"/>
        </w:rPr>
      </w:pPr>
    </w:p>
    <w:p>
      <w:pPr>
        <w:jc w:val="both"/>
        <w:ind w:left="660" w:right="560" w:hanging="328"/>
        <w:spacing w:after="0" w:line="26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Vistaprint - </w:t>
      </w:r>
      <w:r>
        <w:rPr>
          <w:rFonts w:ascii="Arial" w:cs="Arial" w:eastAsia="Arial" w:hAnsi="Arial"/>
          <w:sz w:val="18"/>
          <w:szCs w:val="18"/>
          <w:color w:val="auto"/>
        </w:rPr>
        <w:t>Includes the operations of our Vistaprint websites focused on the North America, Europe, Australia and New Zealand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our Webs-branded business, which is managed with the Vistaprint-branded digital business in the previously listed geographies.</w:t>
      </w:r>
    </w:p>
    <w:p>
      <w:pPr>
        <w:spacing w:after="0" w:line="149" w:lineRule="exact"/>
        <w:rPr>
          <w:rFonts w:ascii="Arial" w:cs="Arial" w:eastAsia="Arial" w:hAnsi="Arial"/>
          <w:sz w:val="18"/>
          <w:szCs w:val="18"/>
          <w:color w:val="auto"/>
        </w:rPr>
      </w:pPr>
    </w:p>
    <w:p>
      <w:pPr>
        <w:ind w:left="660" w:right="1540" w:hanging="328"/>
        <w:spacing w:after="0" w:line="28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Upload and Print - </w:t>
      </w:r>
      <w:r>
        <w:rPr>
          <w:rFonts w:ascii="Arial" w:cs="Arial" w:eastAsia="Arial" w:hAnsi="Arial"/>
          <w:sz w:val="18"/>
          <w:szCs w:val="18"/>
          <w:color w:val="auto"/>
        </w:rPr>
        <w:t>Includes the results of our druck.at, Easyflyer, Exagroup, Pixartprinting, Printdeal, Tradeprint,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WIRmachenDRUCK businesses.</w:t>
      </w:r>
    </w:p>
    <w:p>
      <w:pPr>
        <w:spacing w:after="0" w:line="134" w:lineRule="exact"/>
        <w:rPr>
          <w:rFonts w:ascii="Arial" w:cs="Arial" w:eastAsia="Arial" w:hAnsi="Arial"/>
          <w:sz w:val="18"/>
          <w:szCs w:val="18"/>
          <w:color w:val="auto"/>
        </w:rPr>
      </w:pPr>
    </w:p>
    <w:p>
      <w:pPr>
        <w:ind w:left="660" w:right="880" w:hanging="328"/>
        <w:spacing w:after="0" w:line="28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National Pen </w:t>
      </w:r>
      <w:r>
        <w:rPr>
          <w:rFonts w:ascii="Arial" w:cs="Arial" w:eastAsia="Arial" w:hAnsi="Arial"/>
          <w:sz w:val="18"/>
          <w:szCs w:val="18"/>
          <w:color w:val="auto"/>
        </w:rPr>
        <w:t>- Includes the global operations of our National Pen businesses, which manufacture and market custom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promotional products, apparel and gifts.</w:t>
      </w:r>
    </w:p>
    <w:p>
      <w:pPr>
        <w:spacing w:after="0" w:line="134" w:lineRule="exact"/>
        <w:rPr>
          <w:rFonts w:ascii="Arial" w:cs="Arial" w:eastAsia="Arial" w:hAnsi="Arial"/>
          <w:sz w:val="18"/>
          <w:szCs w:val="18"/>
          <w:color w:val="auto"/>
        </w:rPr>
      </w:pPr>
    </w:p>
    <w:p>
      <w:pPr>
        <w:ind w:left="660" w:right="140" w:hanging="328"/>
        <w:spacing w:after="0" w:line="255" w:lineRule="auto"/>
        <w:tabs>
          <w:tab w:leader="none" w:pos="66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 Other Businesses - </w:t>
      </w:r>
      <w:r>
        <w:rPr>
          <w:rFonts w:ascii="Arial" w:cs="Arial" w:eastAsia="Arial" w:hAnsi="Arial"/>
          <w:sz w:val="18"/>
          <w:szCs w:val="18"/>
          <w:color w:val="auto"/>
        </w:rPr>
        <w:t>Includes the operations of our Printi, Vistaprint India, Vistaprint Japan and Corporate Solutions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Printi is an online print business that operates primarily in the Brazil market, but is also expanding into the U.S. market. In Japan and India, we primarily operate under close derivatives of the Vistaprint business model and technology, albeit with decentralized, locally managed cross-functional operations in each country, and with product, content and service offerings which we tailor to the Japanese and Indian markets. Our Vistaprint Corporate Solutions business serves medium-sized businesses and larger corporations, as well as our legacy business with retail partners and franchise businesses, primarily through the "Vistaprint Corporate" brand. Our All Other Businesses segment also includes Albumprinter results through the divestiture date of August 31, 2017.</w:t>
      </w:r>
    </w:p>
    <w:p>
      <w:pPr>
        <w:spacing w:after="0" w:line="18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Central and corporate consists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Supervisory Board, CEO, and the team members necessary for managing corporate activities, such as treasury, tax, capital allocation, financial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82"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consolidation, internal audit and legal. These costs also include certain unallocated share-based compensation costs.</w:t>
      </w:r>
    </w:p>
    <w:p>
      <w:pPr>
        <w:spacing w:after="0" w:line="19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During the first quarter of fiscal 2018, we began presenting inter-segment fulfillment activity as revenue for the fulfilling business for purposes of measuring and reporting our segment financial performance. Any historical inter-segment fulfillment transactions were previously recognized as cost relief for the fulfilling business unit in our presentation to the CODM. We now recognize these transactions as inter-segment revenue for presentation to the CODM; for example, a third-party customer order received by our Corporate Solutions business that is fulfilled at one of our Vistaprint production facilities is recognized as inter-segment revenue for our Vistaprint business based on pricing and terms agreed upon between segment management. Inter-segment revenues are recognized only for transactions between our reportable segments and do not include any transactions between businesses within a reportable segment, which are eliminated within each reportable segment. Intercompany revenues are eliminated in our consolidated results.</w:t>
      </w:r>
    </w:p>
    <w:p>
      <w:pPr>
        <w:spacing w:after="0" w:line="179"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As part of these changes, we also recast historical segment results to ensure the consistent application of our current inter-segment revenue presentation. For the years ended June 30, 2017 and 2016, we increased revenue for our Vistaprint business by $ 5,690 and $3,589, respectively, with a corresponding increase to inter-segment eliminations. We also recast historical segment profitability for the allocation of certain IT costs, which previously burdened our Vistaprint business, but have now been allocated to each of our businesses. For the year ended June 30, 2017, the cost allocation change resulted in an increase to Vistaprint segment profit of $2,494, with a corresponding decrease to segment profit for Upload and Print of $644, and All Other Businesses of $560, and an increase to our Central and corporate cost center of $1,290. For the year ended June 30, 2016, the cost allocation change increased Vistaprint segment profit by $1,919, decreased Upload and Print segment profit by $436, and decreased All Other Businesses segment profit by $402. The Central and corporate cost center absorbed an additional $1,080 of costs for the year ended June 30, 2016 as a result of the cost allocation change.</w:t>
      </w:r>
    </w:p>
    <w:p>
      <w:pPr>
        <w:spacing w:after="0" w:line="18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For awards granted under our 2016 Performance Equity Plan, the PSU expense value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w:t>
      </w:r>
    </w:p>
    <w:p>
      <w:pPr>
        <w:spacing w:after="0" w:line="17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Segment profit (loss) is the primary profitability metric by which our CODM measures segment financial performance and allocates resources. Certain items are excluded from segment profit (loss), such as acquisition-related amortization and depreciation,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A portion of the interest expense associated with our Waltham lease is included as expense in segment profit (loss) and allocated based on headcount to the appropriate business or corporate and global function. The interest expense represents a portion of the cash rent payment and is considered an operating expense for purposes of measuring our segment performance. We do not allocate non-operating income to our segment results.</w:t>
      </w:r>
    </w:p>
    <w:p>
      <w:pPr>
        <w:spacing w:after="0" w:line="179"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Our All Other Businesses reportable segment includes our Printi, Vistaprint India, Vistaprint Japan and Vistaprint Corporate Solutions businesses that have operating losses as they are in the early stage of investment relative to the scale of the underlying businesses, which may limit its comparability to other segments regarding profit (loss).</w:t>
      </w:r>
    </w:p>
    <w:p>
      <w:pPr>
        <w:spacing w:after="0" w:line="175" w:lineRule="exact"/>
        <w:rPr>
          <w:sz w:val="20"/>
          <w:szCs w:val="20"/>
          <w:color w:val="auto"/>
        </w:rPr>
      </w:pPr>
    </w:p>
    <w:p>
      <w:pPr>
        <w:ind w:right="60" w:firstLine="662"/>
        <w:spacing w:after="0" w:line="256" w:lineRule="auto"/>
        <w:rPr>
          <w:sz w:val="20"/>
          <w:szCs w:val="20"/>
          <w:color w:val="auto"/>
        </w:rPr>
      </w:pPr>
      <w:r>
        <w:rPr>
          <w:rFonts w:ascii="Arial" w:cs="Arial" w:eastAsia="Arial" w:hAnsi="Arial"/>
          <w:sz w:val="18"/>
          <w:szCs w:val="18"/>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segment is based on the business-specific websites or sales channel through which the customer’s order was transacted.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revenue, segment profit (loss), total income from operations and total income before income taxes.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571" w:right="27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78"/>
        </w:trPr>
        <w:tc>
          <w:tcPr>
            <w:tcW w:w="7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3"/>
                <w:szCs w:val="13"/>
                <w:b w:val="1"/>
                <w:bCs w:val="1"/>
                <w:color w:val="auto"/>
              </w:rPr>
              <w:t>Year Ended June 30,</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2017</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Vistaprint (1)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1,462,686</w:t>
            </w:r>
          </w:p>
        </w:tc>
        <w:tc>
          <w:tcPr>
            <w:tcW w:w="100" w:type="dxa"/>
            <w:vAlign w:val="bottom"/>
          </w:tcPr>
          <w:p>
            <w:pPr>
              <w:spacing w:after="0"/>
              <w:rPr>
                <w:sz w:val="22"/>
                <w:szCs w:val="22"/>
                <w:color w:val="auto"/>
              </w:rPr>
            </w:pPr>
          </w:p>
        </w:tc>
        <w:tc>
          <w:tcPr>
            <w:tcW w:w="34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1,310,975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1,220,751</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 (2)</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730,010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588,613</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432,638</w:t>
            </w:r>
          </w:p>
        </w:tc>
        <w:tc>
          <w:tcPr>
            <w:tcW w:w="0" w:type="dxa"/>
            <w:vAlign w:val="bottom"/>
          </w:tcPr>
          <w:p>
            <w:pPr>
              <w:spacing w:after="0"/>
              <w:rPr>
                <w:sz w:val="1"/>
                <w:szCs w:val="1"/>
                <w:color w:val="auto"/>
              </w:rPr>
            </w:pP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National Pen (3)</w:t>
            </w:r>
          </w:p>
        </w:tc>
        <w:tc>
          <w:tcPr>
            <w:tcW w:w="34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333,266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112,712</w:t>
            </w:r>
          </w:p>
        </w:tc>
        <w:tc>
          <w:tcPr>
            <w:tcW w:w="40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 (4)</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87,583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128,795</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138,244</w:t>
            </w:r>
          </w:p>
        </w:tc>
        <w:tc>
          <w:tcPr>
            <w:tcW w:w="0" w:type="dxa"/>
            <w:vAlign w:val="bottom"/>
          </w:tcPr>
          <w:p>
            <w:pPr>
              <w:spacing w:after="0"/>
              <w:rPr>
                <w:sz w:val="1"/>
                <w:szCs w:val="1"/>
                <w:color w:val="auto"/>
              </w:rPr>
            </w:pPr>
          </w:p>
        </w:tc>
      </w:tr>
      <w:tr>
        <w:trPr>
          <w:trHeight w:val="260"/>
        </w:trPr>
        <w:tc>
          <w:tcPr>
            <w:tcW w:w="7080" w:type="dxa"/>
            <w:vAlign w:val="bottom"/>
          </w:tcPr>
          <w:p>
            <w:pPr>
              <w:ind w:left="720"/>
              <w:spacing w:after="0"/>
              <w:rPr>
                <w:sz w:val="20"/>
                <w:szCs w:val="20"/>
                <w:color w:val="auto"/>
              </w:rPr>
            </w:pPr>
            <w:r>
              <w:rPr>
                <w:rFonts w:ascii="Arial" w:cs="Arial" w:eastAsia="Arial" w:hAnsi="Arial"/>
                <w:sz w:val="16"/>
                <w:szCs w:val="16"/>
                <w:color w:val="auto"/>
              </w:rPr>
              <w:t>Total segment revenue</w:t>
            </w:r>
          </w:p>
        </w:tc>
        <w:tc>
          <w:tcPr>
            <w:tcW w:w="34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2,613,545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2,141,095</w:t>
            </w:r>
          </w:p>
        </w:tc>
        <w:tc>
          <w:tcPr>
            <w:tcW w:w="40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1,791,633</w:t>
            </w:r>
          </w:p>
        </w:tc>
        <w:tc>
          <w:tcPr>
            <w:tcW w:w="0" w:type="dxa"/>
            <w:vAlign w:val="bottom"/>
          </w:tcPr>
          <w:p>
            <w:pPr>
              <w:spacing w:after="0"/>
              <w:rPr>
                <w:sz w:val="1"/>
                <w:szCs w:val="1"/>
                <w:color w:val="auto"/>
              </w:rPr>
            </w:pPr>
          </w:p>
        </w:tc>
      </w:tr>
      <w:tr>
        <w:trPr>
          <w:trHeight w:val="273"/>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Inter-segment eliminations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(5,690)</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(3,589)</w:t>
            </w:r>
          </w:p>
        </w:tc>
        <w:tc>
          <w:tcPr>
            <w:tcW w:w="0" w:type="dxa"/>
            <w:vAlign w:val="bottom"/>
          </w:tcPr>
          <w:p>
            <w:pPr>
              <w:spacing w:after="0"/>
              <w:rPr>
                <w:sz w:val="1"/>
                <w:szCs w:val="1"/>
                <w:color w:val="auto"/>
              </w:rPr>
            </w:pPr>
          </w:p>
        </w:tc>
      </w:tr>
      <w:tr>
        <w:trPr>
          <w:trHeight w:val="264"/>
        </w:trPr>
        <w:tc>
          <w:tcPr>
            <w:tcW w:w="7080" w:type="dxa"/>
            <w:vAlign w:val="bottom"/>
          </w:tcPr>
          <w:p>
            <w:pPr>
              <w:ind w:left="720"/>
              <w:spacing w:after="0"/>
              <w:rPr>
                <w:sz w:val="20"/>
                <w:szCs w:val="20"/>
                <w:color w:val="auto"/>
              </w:rPr>
            </w:pPr>
            <w:r>
              <w:rPr>
                <w:rFonts w:ascii="Arial" w:cs="Arial" w:eastAsia="Arial" w:hAnsi="Arial"/>
                <w:sz w:val="16"/>
                <w:szCs w:val="16"/>
                <w:color w:val="auto"/>
              </w:rPr>
              <w:t>Total consolidated revenue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2,592,541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2,135,405</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1,788,044</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Vistaprint segment revenues include inter-segment revenue of $10,542, $5,690 and $3,589 for the years ended June 30, 2018, 2017 and 2016.</w:t>
      </w:r>
    </w:p>
    <w:p>
      <w:pPr>
        <w:spacing w:after="0" w:line="1" w:lineRule="exact"/>
        <w:rPr>
          <w:rFonts w:ascii="Arial" w:cs="Arial" w:eastAsia="Arial" w:hAnsi="Arial"/>
          <w:sz w:val="14"/>
          <w:szCs w:val="14"/>
          <w:color w:val="auto"/>
        </w:rPr>
      </w:pPr>
    </w:p>
    <w:p>
      <w:pPr>
        <w:ind w:left="260" w:right="620" w:hanging="252"/>
        <w:spacing w:after="0" w:line="241" w:lineRule="auto"/>
        <w:tabs>
          <w:tab w:leader="none" w:pos="233" w:val="left"/>
        </w:tabs>
        <w:numPr>
          <w:ilvl w:val="0"/>
          <w:numId w:val="63"/>
        </w:numPr>
        <w:rPr>
          <w:rFonts w:ascii="Arial" w:cs="Arial" w:eastAsia="Arial" w:hAnsi="Arial"/>
          <w:sz w:val="14"/>
          <w:szCs w:val="14"/>
          <w:color w:val="auto"/>
        </w:rPr>
      </w:pPr>
      <w:r>
        <w:rPr>
          <w:rFonts w:ascii="Arial" w:cs="Arial" w:eastAsia="Arial" w:hAnsi="Arial"/>
          <w:sz w:val="14"/>
          <w:szCs w:val="14"/>
          <w:color w:val="auto"/>
        </w:rPr>
        <w:t>Upload and Print segment revenues include inter-segment revenue of $1,521 for the year ended June 30, 2018. No inter-segment revenue was recognized in the prior comparable periods.</w:t>
      </w:r>
    </w:p>
    <w:p>
      <w:pPr>
        <w:ind w:left="260" w:right="80" w:hanging="252"/>
        <w:spacing w:after="0" w:line="241" w:lineRule="auto"/>
        <w:tabs>
          <w:tab w:leader="none" w:pos="233" w:val="left"/>
        </w:tabs>
        <w:numPr>
          <w:ilvl w:val="0"/>
          <w:numId w:val="63"/>
        </w:numPr>
        <w:rPr>
          <w:rFonts w:ascii="Arial" w:cs="Arial" w:eastAsia="Arial" w:hAnsi="Arial"/>
          <w:sz w:val="14"/>
          <w:szCs w:val="14"/>
          <w:color w:val="auto"/>
        </w:rPr>
      </w:pPr>
      <w:r>
        <w:rPr>
          <w:rFonts w:ascii="Arial" w:cs="Arial" w:eastAsia="Arial" w:hAnsi="Arial"/>
          <w:sz w:val="14"/>
          <w:szCs w:val="14"/>
          <w:color w:val="auto"/>
        </w:rPr>
        <w:t>National Pen segment revenues include inter-segment revenue of $2,956 for the year ended June 30, 2018. No inter-segment revenue was recognized in the prior comparable periods.</w:t>
      </w:r>
    </w:p>
    <w:p>
      <w:pPr>
        <w:ind w:left="260" w:right="360" w:hanging="252"/>
        <w:spacing w:after="0" w:line="258" w:lineRule="auto"/>
        <w:tabs>
          <w:tab w:leader="none" w:pos="233" w:val="left"/>
        </w:tabs>
        <w:numPr>
          <w:ilvl w:val="0"/>
          <w:numId w:val="63"/>
        </w:numPr>
        <w:rPr>
          <w:rFonts w:ascii="Arial" w:cs="Arial" w:eastAsia="Arial" w:hAnsi="Arial"/>
          <w:sz w:val="14"/>
          <w:szCs w:val="14"/>
          <w:color w:val="auto"/>
        </w:rPr>
      </w:pPr>
      <w:r>
        <w:rPr>
          <w:rFonts w:ascii="Arial" w:cs="Arial" w:eastAsia="Arial" w:hAnsi="Arial"/>
          <w:sz w:val="14"/>
          <w:szCs w:val="14"/>
          <w:color w:val="auto"/>
        </w:rPr>
        <w:t>All Other Businesses segment revenues include inter-segment revenue of $5,985 for the year ended June 30, 2018. No inter-segment revenue was recognized in the prior comparable periods.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Year Ended June 30,</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profit (loss):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241,479</w:t>
            </w:r>
          </w:p>
        </w:tc>
        <w:tc>
          <w:tcPr>
            <w:tcW w:w="100" w:type="dxa"/>
            <w:vAlign w:val="bottom"/>
          </w:tcPr>
          <w:p>
            <w:pPr>
              <w:spacing w:after="0"/>
              <w:rPr>
                <w:sz w:val="22"/>
                <w:szCs w:val="22"/>
                <w:color w:val="auto"/>
              </w:rPr>
            </w:pPr>
          </w:p>
        </w:tc>
        <w:tc>
          <w:tcPr>
            <w:tcW w:w="34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167,687</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214,947</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79,310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63,189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58,207</w:t>
            </w:r>
          </w:p>
        </w:tc>
        <w:tc>
          <w:tcPr>
            <w:tcW w:w="0" w:type="dxa"/>
            <w:vAlign w:val="bottom"/>
          </w:tcPr>
          <w:p>
            <w:pPr>
              <w:spacing w:after="0"/>
              <w:rPr>
                <w:sz w:val="1"/>
                <w:szCs w:val="1"/>
                <w:color w:val="auto"/>
              </w:rPr>
            </w:pP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34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22,165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(31,307)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(9,328)</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segment profit</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308,334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197,344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263,826</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Central and corporate costs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(118,093)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(97,672)</w:t>
            </w:r>
          </w:p>
        </w:tc>
        <w:tc>
          <w:tcPr>
            <w:tcW w:w="0" w:type="dxa"/>
            <w:vAlign w:val="bottom"/>
          </w:tcPr>
          <w:p>
            <w:pPr>
              <w:spacing w:after="0"/>
              <w:rPr>
                <w:sz w:val="1"/>
                <w:szCs w:val="1"/>
                <w:color w:val="auto"/>
              </w:rPr>
            </w:pP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Acquisition-related amortization and depreciation</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(50,149)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(46,402)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(40,834)</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Earn-out related charges (1)</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(6,378)</w:t>
            </w:r>
          </w:p>
        </w:tc>
        <w:tc>
          <w:tcPr>
            <w:tcW w:w="0" w:type="dxa"/>
            <w:vAlign w:val="bottom"/>
          </w:tcPr>
          <w:p>
            <w:pPr>
              <w:spacing w:after="0"/>
              <w:rPr>
                <w:sz w:val="1"/>
                <w:szCs w:val="1"/>
                <w:color w:val="auto"/>
              </w:rPr>
            </w:pP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Share-based compensation related to investment consideration</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(4,835)</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Certain impairments (2)</w:t>
            </w:r>
          </w:p>
        </w:tc>
        <w:tc>
          <w:tcPr>
            <w:tcW w:w="3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(41,820)</w:t>
            </w:r>
          </w:p>
        </w:tc>
        <w:tc>
          <w:tcPr>
            <w:tcW w:w="0" w:type="dxa"/>
            <w:vAlign w:val="bottom"/>
          </w:tcPr>
          <w:p>
            <w:pPr>
              <w:spacing w:after="0"/>
              <w:rPr>
                <w:sz w:val="1"/>
                <w:szCs w:val="1"/>
                <w:color w:val="auto"/>
              </w:rPr>
            </w:pP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Restructuring-related charges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(26,700)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 for Waltham, MA lease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7,727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6,287</w:t>
            </w:r>
          </w:p>
        </w:tc>
        <w:tc>
          <w:tcPr>
            <w:tcW w:w="0" w:type="dxa"/>
            <w:vAlign w:val="bottom"/>
          </w:tcPr>
          <w:p>
            <w:pPr>
              <w:spacing w:after="0"/>
              <w:rPr>
                <w:sz w:val="1"/>
                <w:szCs w:val="1"/>
                <w:color w:val="auto"/>
              </w:rPr>
            </w:pPr>
          </w:p>
        </w:tc>
      </w:tr>
      <w:tr>
        <w:trPr>
          <w:trHeight w:val="264"/>
        </w:trPr>
        <w:tc>
          <w:tcPr>
            <w:tcW w:w="7080" w:type="dxa"/>
            <w:vAlign w:val="bottom"/>
          </w:tcPr>
          <w:p>
            <w:pPr>
              <w:ind w:left="380"/>
              <w:spacing w:after="0"/>
              <w:rPr>
                <w:sz w:val="20"/>
                <w:szCs w:val="20"/>
                <w:color w:val="auto"/>
              </w:rPr>
            </w:pPr>
            <w:r>
              <w:rPr>
                <w:rFonts w:ascii="Arial" w:cs="Arial" w:eastAsia="Arial" w:hAnsi="Arial"/>
                <w:sz w:val="16"/>
                <w:szCs w:val="16"/>
                <w:color w:val="auto"/>
              </w:rPr>
              <w:t>Gain on the purchase or sale of subsidiaries (3)</w:t>
            </w:r>
          </w:p>
        </w:tc>
        <w:tc>
          <w:tcPr>
            <w:tcW w:w="34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47,945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income (loss) from operations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157,800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(45,702)</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78,193</w:t>
            </w:r>
          </w:p>
        </w:tc>
        <w:tc>
          <w:tcPr>
            <w:tcW w:w="0" w:type="dxa"/>
            <w:vAlign w:val="bottom"/>
          </w:tcPr>
          <w:p>
            <w:pPr>
              <w:spacing w:after="0"/>
              <w:rPr>
                <w:sz w:val="1"/>
                <w:szCs w:val="1"/>
                <w:color w:val="auto"/>
              </w:rPr>
            </w:pPr>
          </w:p>
        </w:tc>
      </w:tr>
      <w:tr>
        <w:trPr>
          <w:trHeight w:val="247"/>
        </w:trPr>
        <w:tc>
          <w:tcPr>
            <w:tcW w:w="7080" w:type="dxa"/>
            <w:vAlign w:val="bottom"/>
          </w:tcPr>
          <w:p>
            <w:pPr>
              <w:ind w:left="380"/>
              <w:spacing w:after="0"/>
              <w:rPr>
                <w:sz w:val="20"/>
                <w:szCs w:val="20"/>
                <w:color w:val="auto"/>
              </w:rPr>
            </w:pPr>
            <w:r>
              <w:rPr>
                <w:rFonts w:ascii="Arial" w:cs="Arial" w:eastAsia="Arial" w:hAnsi="Arial"/>
                <w:sz w:val="16"/>
                <w:szCs w:val="16"/>
                <w:color w:val="auto"/>
              </w:rPr>
              <w:t>Other (expense) income,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(21,032)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10,362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26,098</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 net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(38,196)</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Loss on early extinguishment of debt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0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(loss) before income taxes</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66,366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66,095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100" w:firstLine="8"/>
        <w:spacing w:after="0" w:line="241" w:lineRule="auto"/>
        <w:tabs>
          <w:tab w:leader="none" w:pos="216"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ind w:right="140" w:firstLine="8"/>
        <w:spacing w:after="0" w:line="258" w:lineRule="auto"/>
        <w:tabs>
          <w:tab w:leader="none" w:pos="216"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the impact for certain impairments or abandonments of goodwill and other long-lived assets as defined by ASC 350 - "Intangibles - Goodwill and Other" or ASC 360 - "Property, Plant, and Equipment."</w:t>
      </w:r>
    </w:p>
    <w:p>
      <w:pPr>
        <w:spacing w:after="0" w:line="140" w:lineRule="exact"/>
        <w:rPr>
          <w:rFonts w:ascii="Arial" w:cs="Arial" w:eastAsia="Arial" w:hAnsi="Arial"/>
          <w:sz w:val="14"/>
          <w:szCs w:val="14"/>
          <w:color w:val="auto"/>
        </w:rPr>
      </w:pPr>
    </w:p>
    <w:p>
      <w:pPr>
        <w:ind w:right="260" w:firstLine="8"/>
        <w:spacing w:after="0" w:line="250" w:lineRule="auto"/>
        <w:tabs>
          <w:tab w:leader="none" w:pos="216"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as well as a bargain purchase gain as defined by ASC 805-30 - "Goodwill or Gain from Bargain Purchase" for an acquisition in which the identifiable assets acquired and liabilities assumed are greater than the consideration transferred, that was recognized in general and administrative expense in our consolidated statement of operations during the year ended June 30,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23"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8"/>
        </w:trPr>
        <w:tc>
          <w:tcPr>
            <w:tcW w:w="7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5"/>
              </w:rPr>
              <w:t>Year Ended June 30,</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62"/>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2016</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65,311</w:t>
            </w:r>
          </w:p>
        </w:tc>
        <w:tc>
          <w:tcPr>
            <w:tcW w:w="100" w:type="dxa"/>
            <w:vAlign w:val="bottom"/>
          </w:tcPr>
          <w:p>
            <w:pPr>
              <w:spacing w:after="0"/>
              <w:rPr>
                <w:sz w:val="22"/>
                <w:szCs w:val="22"/>
                <w:color w:val="auto"/>
              </w:rPr>
            </w:pPr>
          </w:p>
        </w:tc>
        <w:tc>
          <w:tcPr>
            <w:tcW w:w="34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63,923</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40,686</w:t>
            </w: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59,599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56,073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47,696</w:t>
            </w: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340" w:type="dxa"/>
            <w:vAlign w:val="bottom"/>
          </w:tcPr>
          <w:p>
            <w:pPr>
              <w:spacing w:after="0"/>
              <w:rPr>
                <w:sz w:val="22"/>
                <w:szCs w:val="22"/>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21,546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10,269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9,609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15,074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18,111</w:t>
            </w:r>
          </w:p>
        </w:tc>
      </w:tr>
      <w:tr>
        <w:trPr>
          <w:trHeight w:val="26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Central and corporate costs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12,940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13,061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25,425</w:t>
            </w:r>
          </w:p>
        </w:tc>
      </w:tr>
      <w:tr>
        <w:trPr>
          <w:trHeight w:val="24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depreciation and amortization</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169,005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158,400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131,918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98"/>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5"/>
              </w:rPr>
              <w:t>Year Ended June 30,</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62"/>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2016</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35,265</w:t>
            </w:r>
          </w:p>
        </w:tc>
        <w:tc>
          <w:tcPr>
            <w:tcW w:w="100" w:type="dxa"/>
            <w:vAlign w:val="bottom"/>
          </w:tcPr>
          <w:p>
            <w:pPr>
              <w:spacing w:after="0"/>
              <w:rPr>
                <w:sz w:val="22"/>
                <w:szCs w:val="22"/>
                <w:color w:val="auto"/>
              </w:rPr>
            </w:pPr>
          </w:p>
        </w:tc>
        <w:tc>
          <w:tcPr>
            <w:tcW w:w="34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38,434</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32,028</w:t>
            </w: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16,212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14,875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15,652</w:t>
            </w: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340" w:type="dxa"/>
            <w:vAlign w:val="bottom"/>
          </w:tcPr>
          <w:p>
            <w:pPr>
              <w:spacing w:after="0"/>
              <w:rPr>
                <w:sz w:val="22"/>
                <w:szCs w:val="22"/>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6,565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3,714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12,735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19,160</w:t>
            </w:r>
          </w:p>
        </w:tc>
      </w:tr>
      <w:tr>
        <w:trPr>
          <w:trHeight w:val="26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Central and corporate costs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1,208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4,399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13,595</w:t>
            </w:r>
          </w:p>
        </w:tc>
      </w:tr>
      <w:tr>
        <w:trPr>
          <w:trHeight w:val="24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purchases of property, plant and equipment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60,930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74,157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80,435</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44"/>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5"/>
              </w:rPr>
              <w:t>Year Ended June 30,</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62"/>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2016</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Capitalization of software and website development costs: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24,794</w:t>
            </w:r>
          </w:p>
        </w:tc>
        <w:tc>
          <w:tcPr>
            <w:tcW w:w="100" w:type="dxa"/>
            <w:vAlign w:val="bottom"/>
          </w:tcPr>
          <w:p>
            <w:pPr>
              <w:spacing w:after="0"/>
              <w:rPr>
                <w:sz w:val="22"/>
                <w:szCs w:val="22"/>
                <w:color w:val="auto"/>
              </w:rPr>
            </w:pPr>
          </w:p>
        </w:tc>
        <w:tc>
          <w:tcPr>
            <w:tcW w:w="34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23,624</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11,390</w:t>
            </w: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3,000</w:t>
            </w: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340" w:type="dxa"/>
            <w:vAlign w:val="bottom"/>
          </w:tcPr>
          <w:p>
            <w:pPr>
              <w:spacing w:after="0"/>
              <w:rPr>
                <w:sz w:val="22"/>
                <w:szCs w:val="22"/>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1,482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1,568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2,032</w:t>
            </w:r>
          </w:p>
        </w:tc>
      </w:tr>
      <w:tr>
        <w:trPr>
          <w:trHeight w:val="26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Central and corporate costs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8,225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7,942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9,902</w:t>
            </w:r>
          </w:p>
        </w:tc>
      </w:tr>
      <w:tr>
        <w:trPr>
          <w:trHeight w:val="24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capitalization of software and website development costs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40,847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37,307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26,324</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Enterprise Wide Disclosures: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revenues by geographic area and groups of similar products and services: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5"/>
              </w:rPr>
              <w:t>Year Ended June 30,</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63"/>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2016</w:t>
            </w:r>
          </w:p>
        </w:tc>
      </w:tr>
      <w:tr>
        <w:trPr>
          <w:trHeight w:val="257"/>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1,078,544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901,061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781,335</w:t>
            </w:r>
          </w:p>
        </w:tc>
      </w:tr>
      <w:tr>
        <w:trPr>
          <w:trHeight w:val="260"/>
        </w:trPr>
        <w:tc>
          <w:tcPr>
            <w:tcW w:w="7080" w:type="dxa"/>
            <w:vAlign w:val="bottom"/>
          </w:tcPr>
          <w:p>
            <w:pPr>
              <w:ind w:left="360"/>
              <w:spacing w:after="0"/>
              <w:rPr>
                <w:sz w:val="20"/>
                <w:szCs w:val="20"/>
                <w:color w:val="auto"/>
              </w:rPr>
            </w:pPr>
            <w:r>
              <w:rPr>
                <w:rFonts w:ascii="Arial" w:cs="Arial" w:eastAsia="Arial" w:hAnsi="Arial"/>
                <w:sz w:val="16"/>
                <w:szCs w:val="16"/>
                <w:color w:val="auto"/>
              </w:rPr>
              <w:t>Germany (1)</w:t>
            </w:r>
          </w:p>
        </w:tc>
        <w:tc>
          <w:tcPr>
            <w:tcW w:w="34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340,881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256,069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125,356</w:t>
            </w:r>
          </w:p>
        </w:tc>
      </w:tr>
      <w:tr>
        <w:trPr>
          <w:trHeight w:val="273"/>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(2)</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1,173,116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978,275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881,353</w:t>
            </w:r>
          </w:p>
        </w:tc>
      </w:tr>
      <w:tr>
        <w:trPr>
          <w:trHeight w:val="240"/>
        </w:trPr>
        <w:tc>
          <w:tcPr>
            <w:tcW w:w="7080" w:type="dxa"/>
            <w:vAlign w:val="bottom"/>
          </w:tcPr>
          <w:p>
            <w:pPr>
              <w:ind w:left="7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2,592,541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2,135,405</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1,788,044</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82"/>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5"/>
              </w:rPr>
              <w:t>Year Ended June 30,</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63"/>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2016</w:t>
            </w:r>
          </w:p>
        </w:tc>
      </w:tr>
      <w:tr>
        <w:trPr>
          <w:trHeight w:val="257"/>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Physical printed products and other (3)</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2,537,201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2,076,564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1,724,676</w:t>
            </w:r>
          </w:p>
        </w:tc>
      </w:tr>
      <w:tr>
        <w:trPr>
          <w:trHeight w:val="26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Digital products/services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55,340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58,841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63,368</w:t>
            </w:r>
          </w:p>
        </w:tc>
      </w:tr>
      <w:tr>
        <w:trPr>
          <w:trHeight w:val="24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2,592,541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2,135,405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1,788,044</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55" w:lineRule="exact"/>
        <w:rPr>
          <w:sz w:val="20"/>
          <w:szCs w:val="20"/>
          <w:color w:val="auto"/>
        </w:rPr>
      </w:pPr>
    </w:p>
    <w:p>
      <w:pPr>
        <w:ind w:left="220" w:hanging="212"/>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Our revenues within the German market exceeded 10% of our total consolidated revenue. Therefore we have presented Germany as a significant geographic area.</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Our other revenue includes the Netherlands, our country of domicile.</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Other revenue includes miscellaneous items which account for less than 1% of revenue.</w:t>
      </w:r>
    </w:p>
    <w:p>
      <w:pPr>
        <w:sectPr>
          <w:pgSz w:w="11900" w:h="16838" w:orient="portrait"/>
          <w:cols w:equalWidth="0" w:num="1">
            <w:col w:w="11420"/>
          </w:cols>
          <w:pgMar w:left="240" w:top="523"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523" w:right="239" w:bottom="1440" w:gutter="0" w:footer="0" w:header="0"/>
          <w:type w:val="continuous"/>
        </w:sectPr>
      </w:pPr>
    </w:p>
    <w:bookmarkStart w:id="104" w:name="page105"/>
    <w:bookmarkEnd w:id="104"/>
    <w:p>
      <w:pPr>
        <w:ind w:left="660"/>
        <w:spacing w:after="0"/>
        <w:rPr>
          <w:sz w:val="20"/>
          <w:szCs w:val="20"/>
          <w:color w:val="auto"/>
        </w:rPr>
      </w:pPr>
      <w:r>
        <w:rPr>
          <w:rFonts w:ascii="Arial" w:cs="Arial" w:eastAsia="Arial" w:hAnsi="Arial"/>
          <w:sz w:val="18"/>
          <w:szCs w:val="18"/>
          <w:color w:val="auto"/>
        </w:rPr>
        <w:t>The following tables set forth long-lived assets by geographic area: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2018</w:t>
            </w:r>
          </w:p>
        </w:tc>
        <w:tc>
          <w:tcPr>
            <w:tcW w:w="200" w:type="dxa"/>
            <w:vAlign w:val="bottom"/>
          </w:tcPr>
          <w:p>
            <w:pPr>
              <w:spacing w:after="0"/>
              <w:rPr>
                <w:sz w:val="15"/>
                <w:szCs w:val="15"/>
                <w:color w:val="auto"/>
              </w:rPr>
            </w:pPr>
          </w:p>
        </w:tc>
        <w:tc>
          <w:tcPr>
            <w:tcW w:w="1160" w:type="dxa"/>
            <w:vAlign w:val="bottom"/>
          </w:tcPr>
          <w:p>
            <w:pPr>
              <w:jc w:val="right"/>
              <w:ind w:right="200"/>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47"/>
        </w:trPr>
        <w:tc>
          <w:tcPr>
            <w:tcW w:w="8580" w:type="dxa"/>
            <w:vAlign w:val="bottom"/>
          </w:tcPr>
          <w:p>
            <w:pPr>
              <w:ind w:left="40"/>
              <w:spacing w:after="0"/>
              <w:rPr>
                <w:sz w:val="20"/>
                <w:szCs w:val="20"/>
                <w:color w:val="auto"/>
              </w:rPr>
            </w:pPr>
            <w:r>
              <w:rPr>
                <w:rFonts w:ascii="Arial" w:cs="Arial" w:eastAsia="Arial" w:hAnsi="Arial"/>
                <w:sz w:val="16"/>
                <w:szCs w:val="16"/>
                <w:color w:val="auto"/>
              </w:rPr>
              <w:t>Long-lived assets (1):</w:t>
            </w: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Netherlands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109,556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83,223</w:t>
            </w:r>
          </w:p>
        </w:tc>
        <w:tc>
          <w:tcPr>
            <w:tcW w:w="0" w:type="dxa"/>
            <w:vAlign w:val="bottom"/>
          </w:tcPr>
          <w:p>
            <w:pPr>
              <w:spacing w:after="0"/>
              <w:rPr>
                <w:sz w:val="1"/>
                <w:szCs w:val="1"/>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Canada</w:t>
            </w:r>
          </w:p>
        </w:tc>
        <w:tc>
          <w:tcPr>
            <w:tcW w:w="1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81,334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85,926</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Switzerland</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52,523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49,017</w:t>
            </w:r>
          </w:p>
        </w:tc>
        <w:tc>
          <w:tcPr>
            <w:tcW w:w="0" w:type="dxa"/>
            <w:vAlign w:val="bottom"/>
          </w:tcPr>
          <w:p>
            <w:pPr>
              <w:spacing w:after="0"/>
              <w:rPr>
                <w:sz w:val="1"/>
                <w:szCs w:val="1"/>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1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45,709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64,034</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Italy</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42,514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44,423</w:t>
            </w:r>
          </w:p>
        </w:tc>
        <w:tc>
          <w:tcPr>
            <w:tcW w:w="0" w:type="dxa"/>
            <w:vAlign w:val="bottom"/>
          </w:tcPr>
          <w:p>
            <w:pPr>
              <w:spacing w:after="0"/>
              <w:rPr>
                <w:sz w:val="1"/>
                <w:szCs w:val="1"/>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1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22,418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22,961</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Jamaica</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21,720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21,492</w:t>
            </w:r>
          </w:p>
        </w:tc>
        <w:tc>
          <w:tcPr>
            <w:tcW w:w="0" w:type="dxa"/>
            <w:vAlign w:val="bottom"/>
          </w:tcPr>
          <w:p>
            <w:pPr>
              <w:spacing w:after="0"/>
              <w:rPr>
                <w:sz w:val="1"/>
                <w:szCs w:val="1"/>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France</w:t>
            </w:r>
          </w:p>
        </w:tc>
        <w:tc>
          <w:tcPr>
            <w:tcW w:w="1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20,131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22,794</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Japan</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19,117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20,686</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67,842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64,377</w:t>
            </w:r>
          </w:p>
        </w:tc>
        <w:tc>
          <w:tcPr>
            <w:tcW w:w="0" w:type="dxa"/>
            <w:vAlign w:val="bottom"/>
          </w:tcPr>
          <w:p>
            <w:pPr>
              <w:spacing w:after="0"/>
              <w:rPr>
                <w:sz w:val="1"/>
                <w:szCs w:val="1"/>
                <w:color w:val="auto"/>
              </w:rPr>
            </w:pPr>
          </w:p>
        </w:tc>
      </w:tr>
      <w:tr>
        <w:trPr>
          <w:trHeight w:val="24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482,864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478,933</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60" w:hanging="252"/>
        <w:spacing w:after="0" w:line="258" w:lineRule="auto"/>
        <w:tabs>
          <w:tab w:leader="none" w:pos="233"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Excludes goodwill of $520,843 and $514,963, intangible assets, net of $230,201 and $275,924, the Waltham lease asset of $111,926 and $116,045, and deferred tax assets of $67,087 and $48,004 as of June 30, 2018 and June 30, 2017,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16" w:lineRule="exact"/>
        <w:rPr>
          <w:sz w:val="20"/>
          <w:szCs w:val="20"/>
          <w:color w:val="auto"/>
        </w:rPr>
      </w:pPr>
    </w:p>
    <w:p>
      <w:pPr>
        <w:ind w:right="60" w:firstLine="662"/>
        <w:spacing w:after="0" w:line="256" w:lineRule="auto"/>
        <w:rPr>
          <w:sz w:val="20"/>
          <w:szCs w:val="20"/>
          <w:color w:val="auto"/>
        </w:rPr>
      </w:pPr>
      <w:r>
        <w:rPr>
          <w:rFonts w:ascii="Arial" w:cs="Arial" w:eastAsia="Arial" w:hAnsi="Arial"/>
          <w:sz w:val="18"/>
          <w:szCs w:val="18"/>
          <w:color w:val="auto"/>
        </w:rPr>
        <w:t>We have commitments under operating leases for our facilities that expire on various dates through 2026, including the Waltham lease arrangement discussed in Note 2. Total lease expense, net of sublease income, for the years ended June 30, 2018, 2017 and 2016 was $14,231, $13,959 and $12,943, respectively.</w:t>
      </w:r>
    </w:p>
    <w:p>
      <w:pPr>
        <w:spacing w:after="0" w:line="175" w:lineRule="exact"/>
        <w:rPr>
          <w:sz w:val="20"/>
          <w:szCs w:val="20"/>
          <w:color w:val="auto"/>
        </w:rPr>
      </w:pPr>
    </w:p>
    <w:p>
      <w:pPr>
        <w:ind w:right="140" w:firstLine="662"/>
        <w:spacing w:after="0" w:line="253" w:lineRule="auto"/>
        <w:rPr>
          <w:sz w:val="20"/>
          <w:szCs w:val="20"/>
          <w:color w:val="auto"/>
        </w:rPr>
      </w:pPr>
      <w:r>
        <w:rPr>
          <w:rFonts w:ascii="Arial" w:cs="Arial" w:eastAsia="Arial" w:hAnsi="Arial"/>
          <w:sz w:val="18"/>
          <w:szCs w:val="18"/>
          <w:color w:val="auto"/>
        </w:rPr>
        <w:t>We lease certain machinery and plant equipment, as well as buildings, under both capital and operating lease agreements that expire at various dates through 2027. The aggregate carrying value of the leased buildings and equipment under capital leases included in property, plant and equipment, net in our consolidated balance sheet at June 30, 2018, is $31,032, net of accumulated depreciation of $36,670; the present value of lease installments not yet due included in other current liabilities and other liabilities in our consolidated balance sheet at June 30, 2018 amounts to $27,630.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Operating lease obligations</w:t>
            </w:r>
          </w:p>
        </w:tc>
        <w:tc>
          <w:tcPr>
            <w:tcW w:w="2020" w:type="dxa"/>
            <w:vAlign w:val="bottom"/>
            <w:gridSpan w:val="3"/>
          </w:tcPr>
          <w:p>
            <w:pPr>
              <w:ind w:left="100"/>
              <w:spacing w:after="0"/>
              <w:rPr>
                <w:sz w:val="20"/>
                <w:szCs w:val="20"/>
                <w:color w:val="auto"/>
              </w:rPr>
            </w:pPr>
            <w:r>
              <w:rPr>
                <w:rFonts w:ascii="Arial" w:cs="Arial" w:eastAsia="Arial" w:hAnsi="Arial"/>
                <w:sz w:val="13"/>
                <w:szCs w:val="13"/>
                <w:b w:val="1"/>
                <w:bCs w:val="1"/>
                <w:color w:val="auto"/>
              </w:rPr>
              <w:t>Build-to-suit lease obligation</w:t>
            </w:r>
          </w:p>
        </w:tc>
        <w:tc>
          <w:tcPr>
            <w:tcW w:w="200" w:type="dxa"/>
            <w:vAlign w:val="bottom"/>
          </w:tcPr>
          <w:p>
            <w:pPr>
              <w:spacing w:after="0"/>
              <w:rPr>
                <w:sz w:val="12"/>
                <w:szCs w:val="12"/>
                <w:color w:val="auto"/>
              </w:rPr>
            </w:pP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Capital lease obligation</w:t>
            </w:r>
          </w:p>
        </w:tc>
        <w:tc>
          <w:tcPr>
            <w:tcW w:w="220" w:type="dxa"/>
            <w:vAlign w:val="bottom"/>
          </w:tcPr>
          <w:p>
            <w:pPr>
              <w:spacing w:after="0"/>
              <w:rPr>
                <w:sz w:val="12"/>
                <w:szCs w:val="12"/>
                <w:color w:val="auto"/>
              </w:rPr>
            </w:pPr>
          </w:p>
        </w:tc>
        <w:tc>
          <w:tcPr>
            <w:tcW w:w="1720" w:type="dxa"/>
            <w:vAlign w:val="bottom"/>
            <w:vMerge w:val="restart"/>
          </w:tcPr>
          <w:p>
            <w:pPr>
              <w:jc w:val="right"/>
              <w:ind w:right="221"/>
              <w:spacing w:after="0"/>
              <w:rPr>
                <w:sz w:val="20"/>
                <w:szCs w:val="20"/>
                <w:color w:val="auto"/>
              </w:rPr>
            </w:pPr>
            <w:r>
              <w:rPr>
                <w:rFonts w:ascii="Arial" w:cs="Arial" w:eastAsia="Arial" w:hAnsi="Arial"/>
                <w:sz w:val="13"/>
                <w:szCs w:val="13"/>
                <w:b w:val="1"/>
                <w:bCs w:val="1"/>
                <w:color w:val="auto"/>
                <w:w w:val="99"/>
              </w:rPr>
              <w:t>Total lease obligations</w:t>
            </w:r>
          </w:p>
        </w:tc>
        <w:tc>
          <w:tcPr>
            <w:tcW w:w="0" w:type="dxa"/>
            <w:vAlign w:val="bottom"/>
          </w:tcPr>
          <w:p>
            <w:pPr>
              <w:spacing w:after="0"/>
              <w:rPr>
                <w:sz w:val="1"/>
                <w:szCs w:val="1"/>
                <w:color w:val="auto"/>
              </w:rPr>
            </w:pPr>
          </w:p>
        </w:tc>
      </w:tr>
      <w:tr>
        <w:trPr>
          <w:trHeight w:val="101"/>
        </w:trPr>
        <w:tc>
          <w:tcPr>
            <w:tcW w:w="3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420" w:type="dxa"/>
            <w:vAlign w:val="bottom"/>
            <w:vMerge w:val="restart"/>
          </w:tcPr>
          <w:p>
            <w:pPr>
              <w:jc w:val="right"/>
              <w:ind w:right="801"/>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3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22,623</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12,569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10,850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46,042</w:t>
            </w:r>
          </w:p>
        </w:tc>
        <w:tc>
          <w:tcPr>
            <w:tcW w:w="0" w:type="dxa"/>
            <w:vAlign w:val="bottom"/>
          </w:tcPr>
          <w:p>
            <w:pPr>
              <w:spacing w:after="0"/>
              <w:rPr>
                <w:sz w:val="1"/>
                <w:szCs w:val="1"/>
                <w:color w:val="auto"/>
              </w:rPr>
            </w:pP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2"/>
                <w:szCs w:val="22"/>
                <w:color w:val="auto"/>
              </w:rPr>
            </w:pPr>
          </w:p>
        </w:tc>
        <w:tc>
          <w:tcPr>
            <w:tcW w:w="1840" w:type="dxa"/>
            <w:vAlign w:val="bottom"/>
          </w:tcPr>
          <w:p>
            <w:pPr>
              <w:jc w:val="right"/>
              <w:ind w:right="41"/>
              <w:spacing w:after="0"/>
              <w:rPr>
                <w:sz w:val="20"/>
                <w:szCs w:val="20"/>
                <w:color w:val="auto"/>
              </w:rPr>
            </w:pPr>
            <w:r>
              <w:rPr>
                <w:rFonts w:ascii="Arial" w:cs="Arial" w:eastAsia="Arial" w:hAnsi="Arial"/>
                <w:sz w:val="16"/>
                <w:szCs w:val="16"/>
                <w:color w:val="auto"/>
              </w:rPr>
              <w:t>18,562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12,569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ind w:right="21"/>
              <w:spacing w:after="0"/>
              <w:rPr>
                <w:sz w:val="20"/>
                <w:szCs w:val="20"/>
                <w:color w:val="auto"/>
              </w:rPr>
            </w:pPr>
            <w:r>
              <w:rPr>
                <w:rFonts w:ascii="Arial" w:cs="Arial" w:eastAsia="Arial" w:hAnsi="Arial"/>
                <w:sz w:val="16"/>
                <w:szCs w:val="16"/>
                <w:color w:val="auto"/>
              </w:rPr>
              <w:t>7,527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21"/>
              <w:spacing w:after="0"/>
              <w:rPr>
                <w:sz w:val="20"/>
                <w:szCs w:val="20"/>
                <w:color w:val="auto"/>
              </w:rPr>
            </w:pPr>
            <w:r>
              <w:rPr>
                <w:rFonts w:ascii="Arial" w:cs="Arial" w:eastAsia="Arial" w:hAnsi="Arial"/>
                <w:sz w:val="16"/>
                <w:szCs w:val="16"/>
                <w:color w:val="auto"/>
              </w:rPr>
              <w:t>38,658</w:t>
            </w: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13,143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12,569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4,037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29,749</w:t>
            </w:r>
          </w:p>
        </w:tc>
        <w:tc>
          <w:tcPr>
            <w:tcW w:w="0" w:type="dxa"/>
            <w:vAlign w:val="bottom"/>
          </w:tcPr>
          <w:p>
            <w:pPr>
              <w:spacing w:after="0"/>
              <w:rPr>
                <w:sz w:val="1"/>
                <w:szCs w:val="1"/>
                <w:color w:val="auto"/>
              </w:rPr>
            </w:pP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2"/>
                <w:szCs w:val="22"/>
                <w:color w:val="auto"/>
              </w:rPr>
            </w:pPr>
          </w:p>
        </w:tc>
        <w:tc>
          <w:tcPr>
            <w:tcW w:w="1840" w:type="dxa"/>
            <w:vAlign w:val="bottom"/>
          </w:tcPr>
          <w:p>
            <w:pPr>
              <w:jc w:val="right"/>
              <w:ind w:right="41"/>
              <w:spacing w:after="0"/>
              <w:rPr>
                <w:sz w:val="20"/>
                <w:szCs w:val="20"/>
                <w:color w:val="auto"/>
              </w:rPr>
            </w:pPr>
            <w:r>
              <w:rPr>
                <w:rFonts w:ascii="Arial" w:cs="Arial" w:eastAsia="Arial" w:hAnsi="Arial"/>
                <w:sz w:val="16"/>
                <w:szCs w:val="16"/>
                <w:color w:val="auto"/>
              </w:rPr>
              <w:t>8,282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12,569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ind w:right="21"/>
              <w:spacing w:after="0"/>
              <w:rPr>
                <w:sz w:val="20"/>
                <w:szCs w:val="20"/>
                <w:color w:val="auto"/>
              </w:rPr>
            </w:pPr>
            <w:r>
              <w:rPr>
                <w:rFonts w:ascii="Arial" w:cs="Arial" w:eastAsia="Arial" w:hAnsi="Arial"/>
                <w:sz w:val="16"/>
                <w:szCs w:val="16"/>
                <w:color w:val="auto"/>
              </w:rPr>
              <w:t>1,869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21"/>
              <w:spacing w:after="0"/>
              <w:rPr>
                <w:sz w:val="20"/>
                <w:szCs w:val="20"/>
                <w:color w:val="auto"/>
              </w:rPr>
            </w:pPr>
            <w:r>
              <w:rPr>
                <w:rFonts w:ascii="Arial" w:cs="Arial" w:eastAsia="Arial" w:hAnsi="Arial"/>
                <w:sz w:val="16"/>
                <w:szCs w:val="16"/>
                <w:color w:val="auto"/>
              </w:rPr>
              <w:t>22,720</w:t>
            </w: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6,526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10,788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18,340</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7,702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35,616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2,287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45,605</w:t>
            </w:r>
          </w:p>
        </w:tc>
        <w:tc>
          <w:tcPr>
            <w:tcW w:w="0" w:type="dxa"/>
            <w:vAlign w:val="bottom"/>
          </w:tcPr>
          <w:p>
            <w:pPr>
              <w:spacing w:after="0"/>
              <w:rPr>
                <w:sz w:val="1"/>
                <w:szCs w:val="1"/>
                <w:color w:val="auto"/>
              </w:rPr>
            </w:pPr>
          </w:p>
        </w:tc>
      </w:tr>
      <w:tr>
        <w:trPr>
          <w:trHeight w:val="24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76,838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96,680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27,596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201,114</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Minimum payments relate to our Waltham lease obligation, refer to Note 2 for additional details.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2018, we had unrecorded commitments under contract of $57,291 including commitments for third-party web services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$21,000. In addition, we had purchase commitments for production and computer equipment purchases of approximately $8,231, inventory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third-party fulfillment purchase commitments of $8,361, commitments for advertising campaigns of $2,153, professional and consulting fees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$3,559, and other unrecorded purchase commitments of $13,987.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7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color w:val="auto"/>
        </w:rPr>
        <w:t>Debt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required principal payments due during the next five fiscal years and thereafter under our outstanding long-term debt obligations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2018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61,225</w:t>
            </w:r>
          </w:p>
        </w:tc>
      </w:tr>
      <w:tr>
        <w:trPr>
          <w:trHeight w:val="260"/>
        </w:trPr>
        <w:tc>
          <w:tcPr>
            <w:tcW w:w="9480" w:type="dxa"/>
            <w:vAlign w:val="bottom"/>
          </w:tcPr>
          <w:p>
            <w:pPr>
              <w:ind w:left="40"/>
              <w:spacing w:after="0"/>
              <w:rPr>
                <w:sz w:val="20"/>
                <w:szCs w:val="20"/>
                <w:color w:val="auto"/>
              </w:rPr>
            </w:pPr>
            <w:r>
              <w:rPr>
                <w:rFonts w:ascii="Arial" w:cs="Arial" w:eastAsia="Arial" w:hAnsi="Arial"/>
                <w:sz w:val="16"/>
                <w:szCs w:val="16"/>
                <w:color w:val="auto"/>
              </w:rPr>
              <w:t>2020</w:t>
            </w: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31,405</w:t>
            </w:r>
          </w:p>
        </w:tc>
      </w:tr>
      <w:tr>
        <w:trPr>
          <w:trHeight w:val="280"/>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38,713</w:t>
            </w:r>
          </w:p>
        </w:tc>
      </w:tr>
      <w:tr>
        <w:trPr>
          <w:trHeight w:val="260"/>
        </w:trPr>
        <w:tc>
          <w:tcPr>
            <w:tcW w:w="9480" w:type="dxa"/>
            <w:vAlign w:val="bottom"/>
          </w:tcPr>
          <w:p>
            <w:pPr>
              <w:ind w:left="40"/>
              <w:spacing w:after="0"/>
              <w:rPr>
                <w:sz w:val="20"/>
                <w:szCs w:val="20"/>
                <w:color w:val="auto"/>
              </w:rPr>
            </w:pPr>
            <w:r>
              <w:rPr>
                <w:rFonts w:ascii="Arial" w:cs="Arial" w:eastAsia="Arial" w:hAnsi="Arial"/>
                <w:sz w:val="16"/>
                <w:szCs w:val="16"/>
                <w:color w:val="auto"/>
              </w:rPr>
              <w:t>2022</w:t>
            </w: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45,902</w:t>
            </w:r>
          </w:p>
        </w:tc>
      </w:tr>
      <w:tr>
        <w:trPr>
          <w:trHeight w:val="280"/>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261,775</w:t>
            </w:r>
          </w:p>
        </w:tc>
      </w:tr>
      <w:tr>
        <w:trPr>
          <w:trHeight w:val="264"/>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6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400,409</w:t>
            </w: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839,429</w:t>
            </w:r>
          </w:p>
        </w:tc>
      </w:tr>
      <w:tr>
        <w:trPr>
          <w:trHeight w:val="20"/>
        </w:trPr>
        <w:tc>
          <w:tcPr>
            <w:tcW w:w="9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On June 14, 2018, we executed an amendment to our senior secured credit facility, and we expanded the total capacity to $1,128,172, which included $839,422 of revolving loans and $288,750 of term loans. The amendment also extended the maturity date of the senior secured credit facility to June 14, 2023. Refer to Note 10 for additional details related to the amendment.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57"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We have an outstanding installment obligation of $2,103 related to the fiscal 2012 intra-entity transfer of the intellectual property of our subsidiary Webs, Inc., which results in tax being paid over a 7.5 year term and has been classified as a deferred tax liability in our consolidated balance sheet as of June 30, 2018. In addition, we have deferred payments related to our other acquisitions of $3,457 in aggregate.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In all cases,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Charges</w:t>
      </w:r>
    </w:p>
    <w:p>
      <w:pPr>
        <w:spacing w:after="0" w:line="247" w:lineRule="exact"/>
        <w:rPr>
          <w:sz w:val="20"/>
          <w:szCs w:val="20"/>
          <w:color w:val="auto"/>
        </w:rPr>
      </w:pPr>
    </w:p>
    <w:p>
      <w:pPr>
        <w:ind w:right="440" w:firstLine="648"/>
        <w:spacing w:after="0" w:line="256" w:lineRule="auto"/>
        <w:rPr>
          <w:sz w:val="20"/>
          <w:szCs w:val="20"/>
          <w:color w:val="auto"/>
        </w:rPr>
      </w:pPr>
      <w:r>
        <w:rPr>
          <w:rFonts w:ascii="Arial" w:cs="Arial" w:eastAsia="Arial" w:hAnsi="Arial"/>
          <w:sz w:val="18"/>
          <w:szCs w:val="18"/>
          <w:color w:val="auto"/>
        </w:rPr>
        <w:t>Restructuring costs include one-time employee termination benefits, acceleration of share-based compensation, and other related costs including third-party professional and outplacement services. The restructuring charges included in our consolidated statement of operations for the years ended June 30, 2018, 2017 and 2016 were $15,236, $26,700 and $381, respectively.</w:t>
      </w:r>
    </w:p>
    <w:p>
      <w:pPr>
        <w:spacing w:after="0" w:line="20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During the year ended June 30, 2018, we recognized restructuring charges of $15,236, which included $12,112 related to our Vistaprint reorganization for reductions in headcount and other operating costs. These changes simplified operations and more closely aligned functions to increase the speed of execution. We also recognized $2,249 of restructuring charges within the central and corporate group, as well as $819 of expense for an initiative within our All Other Businesses reportable segment. During the year ended June 30, 2018, we recognized changes in estimates of $56 from our January 2017 restructuring initiative. We do not expect any material charges to be incurred in future periods related to each of these initiatives.</w:t>
      </w:r>
    </w:p>
    <w:p>
      <w:pPr>
        <w:spacing w:after="0" w:line="209"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During the year ended June 30, 2017, the Supervisory Board of Cimpress N.V. approved a plan to restructure the company and implement organizational changes that decentralized the company’s operations in order to improve accountability for customer satisfaction and capital returns, simplify decision-making, and improve the speed of execution. This restructuring event resulted in additional costs, within our corporate and global functions cost center of $25,584 for the year ended June 30, 2017. In addition, for the year ended June 30, 2017 we recognized $1,116 of restructuring costs within our National Pen business related to a separate initiative. These restructuring initiatives were completed during fiscal 2017.</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553" w:right="239" w:bottom="1440" w:gutter="0" w:footer="0" w:header="0"/>
        </w:sectPr>
      </w:pPr>
    </w:p>
    <w:bookmarkStart w:id="106" w:name="page107"/>
    <w:bookmarkEnd w:id="106"/>
    <w:p>
      <w:pPr>
        <w:ind w:left="660"/>
        <w:spacing w:after="0"/>
        <w:rPr>
          <w:sz w:val="20"/>
          <w:szCs w:val="20"/>
          <w:color w:val="auto"/>
        </w:rPr>
      </w:pPr>
      <w:r>
        <w:rPr>
          <w:rFonts w:ascii="Arial" w:cs="Arial" w:eastAsia="Arial" w:hAnsi="Arial"/>
          <w:sz w:val="18"/>
          <w:szCs w:val="18"/>
          <w:color w:val="auto"/>
        </w:rPr>
        <w:t>The following table summarizes the restructuring activity during the years ended June 30, 2018 and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40" w:type="dxa"/>
            <w:vAlign w:val="bottom"/>
            <w:gridSpan w:val="4"/>
          </w:tcPr>
          <w:p>
            <w:pPr>
              <w:jc w:val="right"/>
              <w:ind w:right="99"/>
              <w:spacing w:after="0"/>
              <w:rPr>
                <w:sz w:val="20"/>
                <w:szCs w:val="20"/>
                <w:color w:val="auto"/>
              </w:rPr>
            </w:pPr>
            <w:r>
              <w:rPr>
                <w:rFonts w:ascii="Arial" w:cs="Arial" w:eastAsia="Arial" w:hAnsi="Arial"/>
                <w:sz w:val="13"/>
                <w:szCs w:val="13"/>
                <w:b w:val="1"/>
                <w:bCs w:val="1"/>
                <w:color w:val="auto"/>
              </w:rPr>
              <w:t>Severance and Related</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6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Benefits</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Other Restructuring Costs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2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2016</w:t>
            </w:r>
          </w:p>
        </w:tc>
        <w:tc>
          <w:tcPr>
            <w:tcW w:w="7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1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77"/>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68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24,020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2,680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26,700</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(13,161)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(15,022)</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Non-cash charges (1)</w:t>
            </w:r>
          </w:p>
        </w:tc>
        <w:tc>
          <w:tcPr>
            <w:tcW w:w="7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(6,868)</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2017 (1)</w:t>
            </w:r>
          </w:p>
        </w:tc>
        <w:tc>
          <w:tcPr>
            <w:tcW w:w="7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4,810</w:t>
            </w:r>
          </w:p>
        </w:tc>
        <w:tc>
          <w:tcPr>
            <w:tcW w:w="0" w:type="dxa"/>
            <w:vAlign w:val="bottom"/>
          </w:tcPr>
          <w:p>
            <w:pPr>
              <w:spacing w:after="0"/>
              <w:rPr>
                <w:sz w:val="1"/>
                <w:szCs w:val="1"/>
                <w:color w:val="auto"/>
              </w:rPr>
            </w:pPr>
          </w:p>
        </w:tc>
      </w:tr>
      <w:tr>
        <w:trPr>
          <w:trHeight w:val="260"/>
        </w:trPr>
        <w:tc>
          <w:tcPr>
            <w:tcW w:w="468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15,236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15,236</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(17,136)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(17,342)</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Non-cash charges (1)</w:t>
            </w:r>
          </w:p>
        </w:tc>
        <w:tc>
          <w:tcPr>
            <w:tcW w:w="7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40"/>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2018</w:t>
            </w:r>
          </w:p>
        </w:tc>
        <w:tc>
          <w:tcPr>
            <w:tcW w:w="7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1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1,385</w:t>
            </w:r>
          </w:p>
        </w:tc>
        <w:tc>
          <w:tcPr>
            <w:tcW w:w="460" w:type="dxa"/>
            <w:vAlign w:val="bottom"/>
            <w:gridSpan w:val="2"/>
            <w:shd w:val="clear" w:color="auto" w:fill="CCEEFF"/>
          </w:tcPr>
          <w:p>
            <w:pPr>
              <w:jc w:val="right"/>
              <w:ind w:right="177"/>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w:t>
            </w:r>
          </w:p>
        </w:tc>
        <w:tc>
          <w:tcPr>
            <w:tcW w:w="7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40" w:type="dxa"/>
            <w:vAlign w:val="bottom"/>
            <w:gridSpan w:val="2"/>
          </w:tcPr>
          <w:p>
            <w:pPr>
              <w:spacing w:after="0"/>
              <w:rPr>
                <w:sz w:val="20"/>
                <w:szCs w:val="20"/>
                <w:color w:val="auto"/>
              </w:rPr>
            </w:pPr>
            <w:r>
              <w:rPr>
                <w:rFonts w:ascii="Arial" w:cs="Arial" w:eastAsia="Arial" w:hAnsi="Arial"/>
                <w:sz w:val="14"/>
                <w:szCs w:val="14"/>
                <w:color w:val="auto"/>
              </w:rPr>
              <w:t>(1) Non-cash charges include acceleration of share-based compensation expenses.</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680" w:type="dxa"/>
            <w:vAlign w:val="bottom"/>
          </w:tcPr>
          <w:p>
            <w:pPr>
              <w:spacing w:after="0"/>
              <w:rPr>
                <w:sz w:val="20"/>
                <w:szCs w:val="20"/>
                <w:color w:val="auto"/>
              </w:rPr>
            </w:pPr>
            <w:r>
              <w:rPr>
                <w:rFonts w:ascii="Arial" w:cs="Arial" w:eastAsia="Arial" w:hAnsi="Arial"/>
                <w:sz w:val="18"/>
                <w:szCs w:val="18"/>
                <w:b w:val="1"/>
                <w:bCs w:val="1"/>
                <w:color w:val="auto"/>
              </w:rPr>
              <w:t>19. Quarterly Financial Data (unaudited)</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Year Ended June 30, 2018</w:t>
            </w: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13"/>
                <w:szCs w:val="13"/>
                <w:b w:val="1"/>
                <w:bCs w:val="1"/>
                <w:color w:val="auto"/>
              </w:rPr>
              <w:t>First Quarter</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3"/>
                <w:szCs w:val="13"/>
                <w:b w:val="1"/>
                <w:bCs w:val="1"/>
                <w:color w:val="auto"/>
              </w:rPr>
              <w:t>Second Quarter</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rPr>
              <w:t>Third Quarter</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Fourth Quarter</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563,284</w:t>
            </w:r>
          </w:p>
        </w:tc>
        <w:tc>
          <w:tcPr>
            <w:tcW w:w="520" w:type="dxa"/>
            <w:vAlign w:val="bottom"/>
            <w:gridSpan w:val="2"/>
            <w:shd w:val="clear" w:color="auto" w:fill="CCEEFF"/>
          </w:tcPr>
          <w:p>
            <w:pPr>
              <w:jc w:val="right"/>
              <w:ind w:right="217"/>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37"/>
              <w:spacing w:after="0"/>
              <w:rPr>
                <w:sz w:val="20"/>
                <w:szCs w:val="20"/>
                <w:color w:val="auto"/>
              </w:rPr>
            </w:pPr>
            <w:r>
              <w:rPr>
                <w:rFonts w:ascii="Arial" w:cs="Arial" w:eastAsia="Arial" w:hAnsi="Arial"/>
                <w:sz w:val="16"/>
                <w:szCs w:val="16"/>
                <w:color w:val="auto"/>
              </w:rPr>
              <w:t>762,054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636,069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631,134</w:t>
            </w:r>
          </w:p>
        </w:tc>
        <w:tc>
          <w:tcPr>
            <w:tcW w:w="0" w:type="dxa"/>
            <w:vAlign w:val="bottom"/>
          </w:tcPr>
          <w:p>
            <w:pPr>
              <w:spacing w:after="0"/>
              <w:rPr>
                <w:sz w:val="1"/>
                <w:szCs w:val="1"/>
                <w:color w:val="auto"/>
              </w:rPr>
            </w:pPr>
          </w:p>
        </w:tc>
      </w:tr>
      <w:tr>
        <w:trPr>
          <w:trHeight w:val="260"/>
        </w:trPr>
        <w:tc>
          <w:tcPr>
            <w:tcW w:w="468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760" w:type="dxa"/>
            <w:vAlign w:val="bottom"/>
          </w:tcPr>
          <w:p>
            <w:pPr>
              <w:spacing w:after="0"/>
              <w:rPr>
                <w:sz w:val="22"/>
                <w:szCs w:val="22"/>
                <w:color w:val="auto"/>
              </w:rPr>
            </w:pPr>
          </w:p>
        </w:tc>
        <w:tc>
          <w:tcPr>
            <w:tcW w:w="1220" w:type="dxa"/>
            <w:vAlign w:val="bottom"/>
            <w:gridSpan w:val="2"/>
          </w:tcPr>
          <w:p>
            <w:pPr>
              <w:jc w:val="right"/>
              <w:ind w:right="57"/>
              <w:spacing w:after="0"/>
              <w:rPr>
                <w:sz w:val="20"/>
                <w:szCs w:val="20"/>
                <w:color w:val="auto"/>
              </w:rPr>
            </w:pPr>
            <w:r>
              <w:rPr>
                <w:rFonts w:ascii="Arial" w:cs="Arial" w:eastAsia="Arial" w:hAnsi="Arial"/>
                <w:sz w:val="16"/>
                <w:szCs w:val="16"/>
                <w:color w:val="auto"/>
              </w:rPr>
              <w:t>283,755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gridSpan w:val="3"/>
          </w:tcPr>
          <w:p>
            <w:pPr>
              <w:jc w:val="right"/>
              <w:ind w:right="37"/>
              <w:spacing w:after="0"/>
              <w:rPr>
                <w:sz w:val="20"/>
                <w:szCs w:val="20"/>
                <w:color w:val="auto"/>
              </w:rPr>
            </w:pPr>
            <w:r>
              <w:rPr>
                <w:rFonts w:ascii="Arial" w:cs="Arial" w:eastAsia="Arial" w:hAnsi="Arial"/>
                <w:sz w:val="16"/>
                <w:szCs w:val="16"/>
                <w:color w:val="auto"/>
              </w:rPr>
              <w:t>360,285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319,209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316,550</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7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23,406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37"/>
              <w:spacing w:after="0"/>
              <w:rPr>
                <w:sz w:val="20"/>
                <w:szCs w:val="20"/>
                <w:color w:val="auto"/>
              </w:rPr>
            </w:pPr>
            <w:r>
              <w:rPr>
                <w:rFonts w:ascii="Arial" w:cs="Arial" w:eastAsia="Arial" w:hAnsi="Arial"/>
                <w:sz w:val="16"/>
                <w:szCs w:val="16"/>
                <w:color w:val="auto"/>
              </w:rPr>
              <w:t>30,623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(1,602)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(5,639)</w:t>
            </w:r>
          </w:p>
        </w:tc>
        <w:tc>
          <w:tcPr>
            <w:tcW w:w="0" w:type="dxa"/>
            <w:vAlign w:val="bottom"/>
          </w:tcPr>
          <w:p>
            <w:pPr>
              <w:spacing w:after="0"/>
              <w:rPr>
                <w:sz w:val="1"/>
                <w:szCs w:val="1"/>
                <w:color w:val="auto"/>
              </w:rPr>
            </w:pPr>
          </w:p>
        </w:tc>
      </w:tr>
      <w:tr>
        <w:trPr>
          <w:trHeight w:val="260"/>
        </w:trPr>
        <w:tc>
          <w:tcPr>
            <w:tcW w:w="4680" w:type="dxa"/>
            <w:vAlign w:val="bottom"/>
          </w:tcPr>
          <w:p>
            <w:pPr>
              <w:ind w:left="40"/>
              <w:spacing w:after="0"/>
              <w:rPr>
                <w:sz w:val="20"/>
                <w:szCs w:val="20"/>
                <w:color w:val="auto"/>
              </w:rPr>
            </w:pPr>
            <w:r>
              <w:rPr>
                <w:rFonts w:ascii="Arial" w:cs="Arial" w:eastAsia="Arial" w:hAnsi="Arial"/>
                <w:sz w:val="16"/>
                <w:szCs w:val="16"/>
                <w:color w:val="auto"/>
              </w:rPr>
              <w:t>Net income (loss) attributable to Cimpress N.V.</w:t>
            </w:r>
          </w:p>
        </w:tc>
        <w:tc>
          <w:tcPr>
            <w:tcW w:w="760" w:type="dxa"/>
            <w:vAlign w:val="bottom"/>
          </w:tcPr>
          <w:p>
            <w:pPr>
              <w:spacing w:after="0"/>
              <w:rPr>
                <w:sz w:val="22"/>
                <w:szCs w:val="22"/>
                <w:color w:val="auto"/>
              </w:rPr>
            </w:pPr>
          </w:p>
        </w:tc>
        <w:tc>
          <w:tcPr>
            <w:tcW w:w="1220" w:type="dxa"/>
            <w:vAlign w:val="bottom"/>
            <w:gridSpan w:val="2"/>
          </w:tcPr>
          <w:p>
            <w:pPr>
              <w:jc w:val="right"/>
              <w:ind w:right="57"/>
              <w:spacing w:after="0"/>
              <w:rPr>
                <w:sz w:val="20"/>
                <w:szCs w:val="20"/>
                <w:color w:val="auto"/>
              </w:rPr>
            </w:pPr>
            <w:r>
              <w:rPr>
                <w:rFonts w:ascii="Arial" w:cs="Arial" w:eastAsia="Arial" w:hAnsi="Arial"/>
                <w:sz w:val="16"/>
                <w:szCs w:val="16"/>
                <w:color w:val="auto"/>
              </w:rPr>
              <w:t>23,363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gridSpan w:val="3"/>
          </w:tcPr>
          <w:p>
            <w:pPr>
              <w:jc w:val="right"/>
              <w:ind w:right="37"/>
              <w:spacing w:after="0"/>
              <w:rPr>
                <w:sz w:val="20"/>
                <w:szCs w:val="20"/>
                <w:color w:val="auto"/>
              </w:rPr>
            </w:pPr>
            <w:r>
              <w:rPr>
                <w:rFonts w:ascii="Arial" w:cs="Arial" w:eastAsia="Arial" w:hAnsi="Arial"/>
                <w:sz w:val="16"/>
                <w:szCs w:val="16"/>
                <w:color w:val="auto"/>
              </w:rPr>
              <w:t>29,935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4"/>
          </w:tcPr>
          <w:p>
            <w:pPr>
              <w:jc w:val="right"/>
              <w:spacing w:after="0"/>
              <w:rPr>
                <w:sz w:val="20"/>
                <w:szCs w:val="20"/>
                <w:color w:val="auto"/>
              </w:rPr>
            </w:pPr>
            <w:r>
              <w:rPr>
                <w:rFonts w:ascii="Arial" w:cs="Arial" w:eastAsia="Arial" w:hAnsi="Arial"/>
                <w:sz w:val="16"/>
                <w:szCs w:val="16"/>
                <w:color w:val="auto"/>
              </w:rPr>
              <w:t>(2,265)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(7,300)</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per share attributable to Cimpress N.V.:</w:t>
            </w:r>
          </w:p>
        </w:tc>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80" w:type="dxa"/>
            <w:vAlign w:val="bottom"/>
          </w:tcPr>
          <w:p>
            <w:pPr>
              <w:ind w:left="380"/>
              <w:spacing w:after="0"/>
              <w:rPr>
                <w:sz w:val="20"/>
                <w:szCs w:val="20"/>
                <w:color w:val="auto"/>
              </w:rPr>
            </w:pPr>
            <w:r>
              <w:rPr>
                <w:rFonts w:ascii="Arial" w:cs="Arial" w:eastAsia="Arial" w:hAnsi="Arial"/>
                <w:sz w:val="16"/>
                <w:szCs w:val="16"/>
                <w:color w:val="auto"/>
              </w:rPr>
              <w:t>Basic</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57"/>
              <w:spacing w:after="0"/>
              <w:rPr>
                <w:sz w:val="20"/>
                <w:szCs w:val="20"/>
                <w:color w:val="auto"/>
              </w:rPr>
            </w:pPr>
            <w:r>
              <w:rPr>
                <w:rFonts w:ascii="Arial" w:cs="Arial" w:eastAsia="Arial" w:hAnsi="Arial"/>
                <w:sz w:val="16"/>
                <w:szCs w:val="16"/>
                <w:color w:val="auto"/>
              </w:rPr>
              <w:t>0.75</w:t>
            </w:r>
          </w:p>
        </w:tc>
        <w:tc>
          <w:tcPr>
            <w:tcW w:w="520" w:type="dxa"/>
            <w:vAlign w:val="bottom"/>
            <w:gridSpan w:val="2"/>
          </w:tcPr>
          <w:p>
            <w:pPr>
              <w:jc w:val="right"/>
              <w:ind w:right="217"/>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460" w:type="dxa"/>
            <w:vAlign w:val="bottom"/>
            <w:gridSpan w:val="2"/>
          </w:tcPr>
          <w:p>
            <w:pPr>
              <w:jc w:val="right"/>
              <w:ind w:right="37"/>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4"/>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0.72</w:t>
            </w:r>
          </w:p>
        </w:tc>
        <w:tc>
          <w:tcPr>
            <w:tcW w:w="520" w:type="dxa"/>
            <w:vAlign w:val="bottom"/>
            <w:gridSpan w:val="2"/>
            <w:shd w:val="clear" w:color="auto" w:fill="CCEEFF"/>
          </w:tcPr>
          <w:p>
            <w:pPr>
              <w:jc w:val="right"/>
              <w:ind w:right="217"/>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0.93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588"/>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Year Ended June 30, 2017</w:t>
            </w: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13"/>
                <w:szCs w:val="13"/>
                <w:b w:val="1"/>
                <w:bCs w:val="1"/>
                <w:color w:val="auto"/>
              </w:rPr>
              <w:t>First Quarter</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3"/>
                <w:szCs w:val="13"/>
                <w:b w:val="1"/>
                <w:bCs w:val="1"/>
                <w:color w:val="auto"/>
              </w:rPr>
              <w:t>Second Quarter</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rPr>
              <w:t>Third Quarter</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Fourth Quarter</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443,713</w:t>
            </w:r>
          </w:p>
        </w:tc>
        <w:tc>
          <w:tcPr>
            <w:tcW w:w="520" w:type="dxa"/>
            <w:vAlign w:val="bottom"/>
            <w:gridSpan w:val="2"/>
            <w:shd w:val="clear" w:color="auto" w:fill="CCEEFF"/>
          </w:tcPr>
          <w:p>
            <w:pPr>
              <w:jc w:val="right"/>
              <w:ind w:right="217"/>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37"/>
              <w:spacing w:after="0"/>
              <w:rPr>
                <w:sz w:val="20"/>
                <w:szCs w:val="20"/>
                <w:color w:val="auto"/>
              </w:rPr>
            </w:pPr>
            <w:r>
              <w:rPr>
                <w:rFonts w:ascii="Arial" w:cs="Arial" w:eastAsia="Arial" w:hAnsi="Arial"/>
                <w:sz w:val="16"/>
                <w:szCs w:val="16"/>
                <w:color w:val="auto"/>
              </w:rPr>
              <w:t>576,851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550,585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564,256</w:t>
            </w:r>
          </w:p>
        </w:tc>
        <w:tc>
          <w:tcPr>
            <w:tcW w:w="0" w:type="dxa"/>
            <w:vAlign w:val="bottom"/>
          </w:tcPr>
          <w:p>
            <w:pPr>
              <w:spacing w:after="0"/>
              <w:rPr>
                <w:sz w:val="1"/>
                <w:szCs w:val="1"/>
                <w:color w:val="auto"/>
              </w:rPr>
            </w:pPr>
          </w:p>
        </w:tc>
      </w:tr>
      <w:tr>
        <w:trPr>
          <w:trHeight w:val="260"/>
        </w:trPr>
        <w:tc>
          <w:tcPr>
            <w:tcW w:w="468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760" w:type="dxa"/>
            <w:vAlign w:val="bottom"/>
          </w:tcPr>
          <w:p>
            <w:pPr>
              <w:spacing w:after="0"/>
              <w:rPr>
                <w:sz w:val="22"/>
                <w:szCs w:val="22"/>
                <w:color w:val="auto"/>
              </w:rPr>
            </w:pPr>
          </w:p>
        </w:tc>
        <w:tc>
          <w:tcPr>
            <w:tcW w:w="1220" w:type="dxa"/>
            <w:vAlign w:val="bottom"/>
            <w:gridSpan w:val="2"/>
          </w:tcPr>
          <w:p>
            <w:pPr>
              <w:jc w:val="right"/>
              <w:ind w:right="57"/>
              <w:spacing w:after="0"/>
              <w:rPr>
                <w:sz w:val="20"/>
                <w:szCs w:val="20"/>
                <w:color w:val="auto"/>
              </w:rPr>
            </w:pPr>
            <w:r>
              <w:rPr>
                <w:rFonts w:ascii="Arial" w:cs="Arial" w:eastAsia="Arial" w:hAnsi="Arial"/>
                <w:sz w:val="16"/>
                <w:szCs w:val="16"/>
                <w:color w:val="auto"/>
              </w:rPr>
              <w:t>213,050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gridSpan w:val="3"/>
          </w:tcPr>
          <w:p>
            <w:pPr>
              <w:jc w:val="right"/>
              <w:ind w:right="37"/>
              <w:spacing w:after="0"/>
              <w:rPr>
                <w:sz w:val="20"/>
                <w:szCs w:val="20"/>
                <w:color w:val="auto"/>
              </w:rPr>
            </w:pPr>
            <w:r>
              <w:rPr>
                <w:rFonts w:ascii="Arial" w:cs="Arial" w:eastAsia="Arial" w:hAnsi="Arial"/>
                <w:sz w:val="16"/>
                <w:szCs w:val="16"/>
                <w:color w:val="auto"/>
              </w:rPr>
              <w:t>276,366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268,482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279,077</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7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(30,030)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37"/>
              <w:spacing w:after="0"/>
              <w:rPr>
                <w:sz w:val="20"/>
                <w:szCs w:val="20"/>
                <w:color w:val="auto"/>
              </w:rPr>
            </w:pPr>
            <w:r>
              <w:rPr>
                <w:rFonts w:ascii="Arial" w:cs="Arial" w:eastAsia="Arial" w:hAnsi="Arial"/>
                <w:sz w:val="16"/>
                <w:szCs w:val="16"/>
                <w:color w:val="auto"/>
              </w:rPr>
              <w:t>35,022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(42,678)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(34,513)</w:t>
            </w:r>
          </w:p>
        </w:tc>
        <w:tc>
          <w:tcPr>
            <w:tcW w:w="0" w:type="dxa"/>
            <w:vAlign w:val="bottom"/>
          </w:tcPr>
          <w:p>
            <w:pPr>
              <w:spacing w:after="0"/>
              <w:rPr>
                <w:sz w:val="1"/>
                <w:szCs w:val="1"/>
                <w:color w:val="auto"/>
              </w:rPr>
            </w:pPr>
          </w:p>
        </w:tc>
      </w:tr>
      <w:tr>
        <w:trPr>
          <w:trHeight w:val="260"/>
        </w:trPr>
        <w:tc>
          <w:tcPr>
            <w:tcW w:w="4680" w:type="dxa"/>
            <w:vAlign w:val="bottom"/>
          </w:tcPr>
          <w:p>
            <w:pPr>
              <w:ind w:left="40"/>
              <w:spacing w:after="0"/>
              <w:rPr>
                <w:sz w:val="20"/>
                <w:szCs w:val="20"/>
                <w:color w:val="auto"/>
              </w:rPr>
            </w:pPr>
            <w:r>
              <w:rPr>
                <w:rFonts w:ascii="Arial" w:cs="Arial" w:eastAsia="Arial" w:hAnsi="Arial"/>
                <w:sz w:val="16"/>
                <w:szCs w:val="16"/>
                <w:color w:val="auto"/>
              </w:rPr>
              <w:t>Net income (loss) attributable to Cimpress N.V.</w:t>
            </w:r>
          </w:p>
        </w:tc>
        <w:tc>
          <w:tcPr>
            <w:tcW w:w="7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(29,103)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gridSpan w:val="3"/>
          </w:tcPr>
          <w:p>
            <w:pPr>
              <w:jc w:val="right"/>
              <w:ind w:right="37"/>
              <w:spacing w:after="0"/>
              <w:rPr>
                <w:sz w:val="20"/>
                <w:szCs w:val="20"/>
                <w:color w:val="auto"/>
              </w:rPr>
            </w:pPr>
            <w:r>
              <w:rPr>
                <w:rFonts w:ascii="Arial" w:cs="Arial" w:eastAsia="Arial" w:hAnsi="Arial"/>
                <w:sz w:val="16"/>
                <w:szCs w:val="16"/>
                <w:color w:val="auto"/>
              </w:rPr>
              <w:t>35,028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4"/>
          </w:tcPr>
          <w:p>
            <w:pPr>
              <w:jc w:val="right"/>
              <w:spacing w:after="0"/>
              <w:rPr>
                <w:sz w:val="20"/>
                <w:szCs w:val="20"/>
                <w:color w:val="auto"/>
              </w:rPr>
            </w:pPr>
            <w:r>
              <w:rPr>
                <w:rFonts w:ascii="Arial" w:cs="Arial" w:eastAsia="Arial" w:hAnsi="Arial"/>
                <w:sz w:val="16"/>
                <w:szCs w:val="16"/>
                <w:color w:val="auto"/>
              </w:rPr>
              <w:t>(42,934)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(34,702)</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per share attributable to Cimpress N.V.:</w:t>
            </w:r>
          </w:p>
        </w:tc>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80" w:type="dxa"/>
            <w:vAlign w:val="bottom"/>
          </w:tcPr>
          <w:p>
            <w:pPr>
              <w:ind w:left="380"/>
              <w:spacing w:after="0"/>
              <w:rPr>
                <w:sz w:val="20"/>
                <w:szCs w:val="20"/>
                <w:color w:val="auto"/>
              </w:rPr>
            </w:pPr>
            <w:r>
              <w:rPr>
                <w:rFonts w:ascii="Arial" w:cs="Arial" w:eastAsia="Arial" w:hAnsi="Arial"/>
                <w:sz w:val="16"/>
                <w:szCs w:val="16"/>
                <w:color w:val="auto"/>
              </w:rPr>
              <w:t>Basic</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(0.92)</w:t>
            </w:r>
          </w:p>
        </w:tc>
        <w:tc>
          <w:tcPr>
            <w:tcW w:w="520" w:type="dxa"/>
            <w:vAlign w:val="bottom"/>
            <w:gridSpan w:val="2"/>
          </w:tcPr>
          <w:p>
            <w:pPr>
              <w:jc w:val="right"/>
              <w:ind w:right="217"/>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460" w:type="dxa"/>
            <w:vAlign w:val="bottom"/>
            <w:gridSpan w:val="2"/>
          </w:tcPr>
          <w:p>
            <w:pPr>
              <w:jc w:val="right"/>
              <w:ind w:right="37"/>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4"/>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520" w:type="dxa"/>
            <w:vAlign w:val="bottom"/>
            <w:gridSpan w:val="2"/>
            <w:shd w:val="clear" w:color="auto" w:fill="CCEEFF"/>
          </w:tcPr>
          <w:p>
            <w:pPr>
              <w:jc w:val="right"/>
              <w:ind w:right="217"/>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80" w:firstLine="648"/>
        <w:spacing w:after="0" w:line="256" w:lineRule="auto"/>
        <w:rPr>
          <w:sz w:val="20"/>
          <w:szCs w:val="20"/>
          <w:color w:val="auto"/>
        </w:rPr>
      </w:pPr>
      <w:r>
        <w:rPr>
          <w:rFonts w:ascii="Arial" w:cs="Arial" w:eastAsia="Arial" w:hAnsi="Arial"/>
          <w:sz w:val="18"/>
          <w:szCs w:val="18"/>
          <w:color w:val="auto"/>
        </w:rPr>
        <w:t>Basic and diluted net income (loss) per share attributable to Cimpress N.V. are computed independently for each of the quarters presented. Therefore, the sum of quarterly basic and diluted per share information may not equal annual basic and diluted net income per share.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39"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On July 2, 2018, we invested $29,000 in exchange for approximately 74% in VIDA Group Co., a rapidly growing startup that brings manufacturing access and an e-commerce marketplace to artists, thereby enabling artists to convert ideas into beautiful, original products for customers, ranging from custom fashion, jewelry and accessories to home accent pieces.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598"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2"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June 30, 2018.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2018, our chief executive officer and chief financial officer concluded that, as of such date, our disclosure controls and procedures were effective at the reasonable assurance level.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There were no significant changes in our internal control over financial reporting (as defined in Rules 13a-15(f) and 15d-15(f) under the Exchange Act) during the three months ended June 30, 2018 that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defined in Rules 13a-15(f) and 15d-15(f) promulgated under the Exchange Act as a process designed by, or under the supervision of, the company’s chief executive officer and chief financial officer and effected by the company’s supervisory board,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9" w:lineRule="exact"/>
        <w:rPr>
          <w:sz w:val="20"/>
          <w:szCs w:val="20"/>
          <w:color w:val="auto"/>
        </w:rPr>
      </w:pPr>
    </w:p>
    <w:p>
      <w:pPr>
        <w:ind w:left="660" w:right="420" w:hanging="328"/>
        <w:spacing w:after="0" w:line="26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6"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Our management assessed the effectiveness of our internal control over financial reporting as of June 30, 2018. In making this assessment, our management used the criteria set forth in the Internal Control — Integrated Framework (2013) issued by the Committee of Sponsoring Organizations of the Treadway Commission (COSO). Based on our assessment, management concluded that, as of June 30, 2018, our internal control over financial reporting is effective based on criteria in Internal Control - Integrated Framework (2013) issued by the COSO. PricewaterhouseCoopers LLP, our independent registered public accounting firm, has audited the effectiveness of our internal control over financial reporting as of June 30, 2018, as stated in their report included on pages 53 - 54.</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535"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0"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PART III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53" w:lineRule="exact"/>
        <w:rPr>
          <w:sz w:val="20"/>
          <w:szCs w:val="20"/>
          <w:color w:val="auto"/>
        </w:rPr>
      </w:pPr>
    </w:p>
    <w:p>
      <w:pPr>
        <w:ind w:firstLine="662"/>
        <w:spacing w:after="0" w:line="254" w:lineRule="auto"/>
        <w:rPr>
          <w:sz w:val="20"/>
          <w:szCs w:val="20"/>
          <w:color w:val="auto"/>
        </w:rPr>
      </w:pPr>
      <w:r>
        <w:rPr>
          <w:rFonts w:ascii="Arial" w:cs="Arial" w:eastAsia="Arial" w:hAnsi="Arial"/>
          <w:sz w:val="18"/>
          <w:szCs w:val="18"/>
          <w:color w:val="auto"/>
        </w:rPr>
        <w:t>The information required by this item is incorporated by reference to the information in the sections captioned “Information about our Supervisory Board members and Executive Officers,” “Corporate Governance” and “Section 16(a) Beneficial Ownership Reporting Compliance” contained in our definitive proxy statement for our 2018 Annual General Meeting of Shareholders, which we refer to as our 2018 Proxy Statement.</w:t>
      </w:r>
    </w:p>
    <w:p>
      <w:pPr>
        <w:spacing w:after="0" w:line="110" w:lineRule="exact"/>
        <w:rPr>
          <w:sz w:val="20"/>
          <w:szCs w:val="20"/>
          <w:color w:val="auto"/>
        </w:rPr>
      </w:pPr>
    </w:p>
    <w:p>
      <w:pPr>
        <w:ind w:right="100" w:firstLine="662"/>
        <w:spacing w:after="0" w:line="253" w:lineRule="auto"/>
        <w:rPr>
          <w:sz w:val="20"/>
          <w:szCs w:val="20"/>
          <w:color w:val="auto"/>
        </w:rPr>
      </w:pPr>
      <w:r>
        <w:rPr>
          <w:rFonts w:ascii="Arial" w:cs="Arial" w:eastAsia="Arial" w:hAnsi="Arial"/>
          <w:sz w:val="18"/>
          <w:szCs w:val="18"/>
          <w:color w:val="auto"/>
        </w:rPr>
        <w:t>We have adopted a written code of business conduct and ethics that applies to all of our employees, including our principal executive officer and principal financial and accounting officer, and is available on our website at www.cimpress.com. We did not waive any provisions of this code during the fiscal year ended June 30, 2018. If we amend, or grant a waiver under, our code of business conduct and ethics that applies to our principal executive, financial or accounting officers, or persons performing similar functions, we will post information about such amendment or waiver on our website at www.cimpress.com.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53" w:lineRule="exact"/>
        <w:rPr>
          <w:sz w:val="20"/>
          <w:szCs w:val="20"/>
          <w:color w:val="auto"/>
        </w:rPr>
      </w:pPr>
    </w:p>
    <w:p>
      <w:pPr>
        <w:jc w:val="both"/>
        <w:ind w:right="580" w:firstLine="662"/>
        <w:spacing w:after="0" w:line="256"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2018 Proxy Statement captioned “Compensation Discussion and Analysis," "Summary Compensation Tables", “Compensation of Supervisory Board Members” and “Compensation Committee Interlocks and Insider Participation.”</w:t>
      </w:r>
    </w:p>
    <w:p>
      <w:pPr>
        <w:spacing w:after="0" w:line="153" w:lineRule="exact"/>
        <w:rPr>
          <w:sz w:val="20"/>
          <w:szCs w:val="20"/>
          <w:color w:val="auto"/>
        </w:rPr>
      </w:pPr>
    </w:p>
    <w:p>
      <w:pPr>
        <w:ind w:right="2800"/>
        <w:spacing w:after="0" w:line="287"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175" w:lineRule="exact"/>
        <w:rPr>
          <w:sz w:val="20"/>
          <w:szCs w:val="20"/>
          <w:color w:val="auto"/>
        </w:rPr>
      </w:pPr>
    </w:p>
    <w:p>
      <w:pPr>
        <w:ind w:right="500" w:firstLine="648"/>
        <w:spacing w:after="0" w:line="256"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2018 Proxy Statement captioned “Security Ownership of Certain Beneficial Owners and Management” and “Securities Authorized for Issuance Under Equity Compensation Plans.”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53" w:lineRule="exact"/>
        <w:rPr>
          <w:sz w:val="20"/>
          <w:szCs w:val="20"/>
          <w:color w:val="auto"/>
        </w:rPr>
      </w:pPr>
    </w:p>
    <w:p>
      <w:pPr>
        <w:ind w:right="580" w:firstLine="662"/>
        <w:spacing w:after="0" w:line="262"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2018 Proxy Statement captioned “Certain Relationships and Related Transactions” and “Corporate Governance.”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53" w:lineRule="exact"/>
        <w:rPr>
          <w:sz w:val="20"/>
          <w:szCs w:val="20"/>
          <w:color w:val="auto"/>
        </w:rPr>
      </w:pPr>
    </w:p>
    <w:p>
      <w:pPr>
        <w:ind w:right="680" w:firstLine="662"/>
        <w:spacing w:after="0" w:line="262"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 of our 2018 Proxy Statement captioned “Independent Registered Public Accounting Firm Fees and Other Matters.”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535" w:right="25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22"/>
          <w:szCs w:val="22"/>
          <w:b w:val="1"/>
          <w:bCs w:val="1"/>
          <w:color w:val="auto"/>
        </w:rPr>
        <w:t>PART IV</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Consolidated Financial Statements.</w:t>
      </w:r>
    </w:p>
    <w:p>
      <w:pPr>
        <w:spacing w:after="0" w:line="198"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For a list of the consolidated financial information included herein, see Index to the Consolidated Financial Statements on page 52 of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0" w:type="dxa"/>
            <w:vAlign w:val="bottom"/>
            <w:gridSpan w:val="4"/>
          </w:tcPr>
          <w:p>
            <w:pPr>
              <w:ind w:left="100"/>
              <w:spacing w:after="0"/>
              <w:rPr>
                <w:sz w:val="20"/>
                <w:szCs w:val="20"/>
                <w:color w:val="auto"/>
              </w:rPr>
            </w:pPr>
            <w:r>
              <w:rPr>
                <w:rFonts w:ascii="Arial" w:cs="Arial" w:eastAsia="Arial" w:hAnsi="Arial"/>
                <w:sz w:val="14"/>
                <w:szCs w:val="14"/>
                <w:b w:val="1"/>
                <w:bCs w:val="1"/>
                <w:color w:val="auto"/>
              </w:rPr>
              <w:t>Exhibit</w:t>
            </w:r>
          </w:p>
        </w:tc>
        <w:tc>
          <w:tcPr>
            <w:tcW w:w="10600" w:type="dxa"/>
            <w:vAlign w:val="bottom"/>
          </w:tcPr>
          <w:p>
            <w:pPr>
              <w:spacing w:after="0"/>
              <w:rPr>
                <w:sz w:val="16"/>
                <w:szCs w:val="16"/>
                <w:color w:val="auto"/>
              </w:rPr>
            </w:pPr>
          </w:p>
        </w:tc>
      </w:tr>
      <w:tr>
        <w:trPr>
          <w:trHeight w:val="243"/>
        </w:trPr>
        <w:tc>
          <w:tcPr>
            <w:tcW w:w="220" w:type="dxa"/>
            <w:vAlign w:val="bottom"/>
          </w:tcPr>
          <w:p>
            <w:pPr>
              <w:spacing w:after="0"/>
              <w:rPr>
                <w:sz w:val="21"/>
                <w:szCs w:val="21"/>
                <w:color w:val="auto"/>
              </w:rPr>
            </w:pPr>
          </w:p>
        </w:tc>
        <w:tc>
          <w:tcPr>
            <w:tcW w:w="520" w:type="dxa"/>
            <w:vAlign w:val="bottom"/>
            <w:gridSpan w:val="3"/>
          </w:tcPr>
          <w:p>
            <w:pPr>
              <w:ind w:left="40"/>
              <w:spacing w:after="0"/>
              <w:rPr>
                <w:sz w:val="20"/>
                <w:szCs w:val="20"/>
                <w:color w:val="auto"/>
              </w:rPr>
            </w:pPr>
            <w:r>
              <w:rPr>
                <w:rFonts w:ascii="Arial" w:cs="Arial" w:eastAsia="Arial" w:hAnsi="Arial"/>
                <w:sz w:val="14"/>
                <w:szCs w:val="14"/>
                <w:b w:val="1"/>
                <w:bCs w:val="1"/>
                <w:color w:val="auto"/>
              </w:rPr>
              <w:t>No.</w:t>
            </w:r>
          </w:p>
        </w:tc>
        <w:tc>
          <w:tcPr>
            <w:tcW w:w="10600" w:type="dxa"/>
            <w:vAlign w:val="bottom"/>
          </w:tcPr>
          <w:p>
            <w:pPr>
              <w:ind w:left="50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20" w:type="dxa"/>
            <w:vAlign w:val="bottom"/>
            <w:tcBorders>
              <w:bottom w:val="single" w:sz="8" w:color="0000FF"/>
            </w:tcBorders>
          </w:tcPr>
          <w:p>
            <w:pPr>
              <w:spacing w:after="0"/>
              <w:rPr>
                <w:rFonts w:ascii="Arial" w:cs="Arial" w:eastAsia="Arial" w:hAnsi="Arial"/>
                <w:sz w:val="16"/>
                <w:szCs w:val="16"/>
                <w:color w:val="0000FF"/>
                <w:w w:val="89"/>
              </w:rPr>
            </w:pPr>
            <w:hyperlink w:anchor="page114">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Articles of Association of Cimpress N.V., as amended</w:t>
            </w:r>
          </w:p>
        </w:tc>
      </w:tr>
      <w:tr>
        <w:trPr>
          <w:trHeight w:val="223"/>
        </w:trPr>
        <w:tc>
          <w:tcPr>
            <w:tcW w:w="220" w:type="dxa"/>
            <w:vAlign w:val="bottom"/>
            <w:tcBorders>
              <w:bottom w:val="single" w:sz="8" w:color="0000FF"/>
            </w:tcBorders>
          </w:tcPr>
          <w:p>
            <w:pPr>
              <w:spacing w:after="0"/>
              <w:rPr>
                <w:rFonts w:ascii="Arial" w:cs="Arial" w:eastAsia="Arial" w:hAnsi="Arial"/>
                <w:sz w:val="16"/>
                <w:szCs w:val="16"/>
                <w:color w:val="0000FF"/>
                <w:w w:val="89"/>
              </w:rPr>
            </w:pPr>
            <w:hyperlink r:id="rId42">
              <w:r>
                <w:rPr>
                  <w:rFonts w:ascii="Arial" w:cs="Arial" w:eastAsia="Arial" w:hAnsi="Arial"/>
                  <w:sz w:val="16"/>
                  <w:szCs w:val="16"/>
                  <w:color w:val="0000FF"/>
                  <w:w w:val="89"/>
                </w:rPr>
                <w:t>4.</w:t>
              </w:r>
              <w:r>
                <w:rPr>
                  <w:rFonts w:ascii="Arial" w:cs="Arial" w:eastAsia="Arial" w:hAnsi="Arial"/>
                  <w:sz w:val="16"/>
                  <w:szCs w:val="16"/>
                  <w:u w:val="single" w:color="auto"/>
                  <w:color w:val="0000FF"/>
                  <w:w w:val="89"/>
                </w:rPr>
                <w:t>1</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Senior Notes Indenture (including form of Notes), dated as of June 15, 2018, between Cimpress N.V., certain subsidiaries of Cimpress N.V. as</w:t>
            </w:r>
          </w:p>
        </w:tc>
      </w:tr>
      <w:tr>
        <w:trPr>
          <w:trHeight w:val="198"/>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guarantors thereto, and MUFG Union Bank, N.A., as trustee,</w:t>
            </w:r>
          </w:p>
        </w:tc>
      </w:tr>
      <w:tr>
        <w:trPr>
          <w:trHeight w:val="195"/>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is incorporated by reference to our Current Report on Form 8-K filed with the SEC on June 18, 2018</w:t>
            </w:r>
          </w:p>
        </w:tc>
      </w:tr>
      <w:tr>
        <w:trPr>
          <w:trHeight w:val="209"/>
        </w:trPr>
        <w:tc>
          <w:tcPr>
            <w:tcW w:w="400" w:type="dxa"/>
            <w:vAlign w:val="bottom"/>
            <w:gridSpan w:val="3"/>
          </w:tcPr>
          <w:p>
            <w:pPr>
              <w:spacing w:after="0"/>
              <w:rPr>
                <w:rFonts w:ascii="Arial" w:cs="Arial" w:eastAsia="Arial" w:hAnsi="Arial"/>
                <w:sz w:val="16"/>
                <w:szCs w:val="16"/>
                <w:color w:val="0000FF"/>
              </w:rPr>
            </w:pPr>
            <w:hyperlink r:id="rId43">
              <w:r>
                <w:rPr>
                  <w:rFonts w:ascii="Arial" w:cs="Arial" w:eastAsia="Arial" w:hAnsi="Arial"/>
                  <w:sz w:val="16"/>
                  <w:szCs w:val="16"/>
                  <w:color w:val="0000FF"/>
                </w:rPr>
                <w:t>10.</w:t>
              </w:r>
              <w:r>
                <w:rPr>
                  <w:rFonts w:ascii="Arial" w:cs="Arial" w:eastAsia="Arial" w:hAnsi="Arial"/>
                  <w:sz w:val="16"/>
                  <w:szCs w:val="16"/>
                  <w:u w:val="single" w:color="auto"/>
                  <w:color w:val="0000FF"/>
                </w:rPr>
                <w:t>1</w:t>
              </w:r>
            </w:hyperlink>
            <w:r>
              <w:rPr>
                <w:rFonts w:ascii="Arial" w:cs="Arial" w:eastAsia="Arial" w:hAnsi="Arial"/>
                <w:sz w:val="16"/>
                <w:szCs w:val="16"/>
                <w:color w:val="000000"/>
              </w:rPr>
              <w:t>*</w:t>
            </w:r>
          </w:p>
        </w:tc>
        <w:tc>
          <w:tcPr>
            <w:tcW w:w="34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2005 Non-Employee Directors’ Share Option Plan, as amended, is incorporated by reference to our Quarterly Report on Form 10-Q for the fiscal</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quarter ended September 30, 2010</w:t>
            </w:r>
          </w:p>
        </w:tc>
      </w:tr>
      <w:tr>
        <w:trPr>
          <w:trHeight w:val="209"/>
        </w:trPr>
        <w:tc>
          <w:tcPr>
            <w:tcW w:w="400" w:type="dxa"/>
            <w:vAlign w:val="bottom"/>
            <w:gridSpan w:val="3"/>
          </w:tcPr>
          <w:p>
            <w:pPr>
              <w:spacing w:after="0"/>
              <w:rPr>
                <w:rFonts w:ascii="Arial" w:cs="Arial" w:eastAsia="Arial" w:hAnsi="Arial"/>
                <w:sz w:val="16"/>
                <w:szCs w:val="16"/>
                <w:color w:val="0000FF"/>
              </w:rPr>
            </w:pPr>
            <w:hyperlink r:id="rId44">
              <w:r>
                <w:rPr>
                  <w:rFonts w:ascii="Arial" w:cs="Arial" w:eastAsia="Arial" w:hAnsi="Arial"/>
                  <w:sz w:val="16"/>
                  <w:szCs w:val="16"/>
                  <w:color w:val="0000FF"/>
                </w:rPr>
                <w:t>10.</w:t>
              </w:r>
              <w:r>
                <w:rPr>
                  <w:rFonts w:ascii="Arial" w:cs="Arial" w:eastAsia="Arial" w:hAnsi="Arial"/>
                  <w:sz w:val="16"/>
                  <w:szCs w:val="16"/>
                  <w:u w:val="single" w:color="auto"/>
                  <w:color w:val="0000FF"/>
                </w:rPr>
                <w:t>2</w:t>
              </w:r>
            </w:hyperlink>
            <w:r>
              <w:rPr>
                <w:rFonts w:ascii="Arial" w:cs="Arial" w:eastAsia="Arial" w:hAnsi="Arial"/>
                <w:sz w:val="16"/>
                <w:szCs w:val="16"/>
                <w:color w:val="000000"/>
              </w:rPr>
              <w:t>*</w:t>
            </w:r>
          </w:p>
        </w:tc>
        <w:tc>
          <w:tcPr>
            <w:tcW w:w="34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Form of Nonqualified Share Option Agreement under our 2005 Non-Employee Directors’ Share Option Plan is incorporated by reference to our</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Quarterly Report on Form 10-Q for the fiscal quarter ended September 30, 2009</w:t>
            </w:r>
          </w:p>
        </w:tc>
      </w:tr>
      <w:tr>
        <w:trPr>
          <w:trHeight w:val="209"/>
        </w:trPr>
        <w:tc>
          <w:tcPr>
            <w:tcW w:w="400" w:type="dxa"/>
            <w:vAlign w:val="bottom"/>
            <w:gridSpan w:val="3"/>
          </w:tcPr>
          <w:p>
            <w:pPr>
              <w:spacing w:after="0"/>
              <w:rPr>
                <w:rFonts w:ascii="Arial" w:cs="Arial" w:eastAsia="Arial" w:hAnsi="Arial"/>
                <w:sz w:val="16"/>
                <w:szCs w:val="16"/>
                <w:color w:val="0000FF"/>
              </w:rPr>
            </w:pPr>
            <w:hyperlink r:id="rId45">
              <w:r>
                <w:rPr>
                  <w:rFonts w:ascii="Arial" w:cs="Arial" w:eastAsia="Arial" w:hAnsi="Arial"/>
                  <w:sz w:val="16"/>
                  <w:szCs w:val="16"/>
                  <w:color w:val="0000FF"/>
                </w:rPr>
                <w:t>10.</w:t>
              </w:r>
              <w:r>
                <w:rPr>
                  <w:rFonts w:ascii="Arial" w:cs="Arial" w:eastAsia="Arial" w:hAnsi="Arial"/>
                  <w:sz w:val="16"/>
                  <w:szCs w:val="16"/>
                  <w:u w:val="single" w:color="auto"/>
                  <w:color w:val="0000FF"/>
                </w:rPr>
                <w:t>3</w:t>
              </w:r>
            </w:hyperlink>
            <w:r>
              <w:rPr>
                <w:rFonts w:ascii="Arial" w:cs="Arial" w:eastAsia="Arial" w:hAnsi="Arial"/>
                <w:sz w:val="16"/>
                <w:szCs w:val="16"/>
                <w:color w:val="000000"/>
              </w:rPr>
              <w:t>*</w:t>
            </w:r>
          </w:p>
        </w:tc>
        <w:tc>
          <w:tcPr>
            <w:tcW w:w="34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Amended and Restated 2005 Equity Incentive Plan, as amended, is incorporated by reference to our Quarterly Report on Form 10-Q for the fiscal</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quarter ended September 30, 2010</w:t>
            </w:r>
          </w:p>
        </w:tc>
      </w:tr>
      <w:tr>
        <w:trPr>
          <w:trHeight w:val="209"/>
        </w:trPr>
        <w:tc>
          <w:tcPr>
            <w:tcW w:w="400" w:type="dxa"/>
            <w:vAlign w:val="bottom"/>
            <w:gridSpan w:val="3"/>
          </w:tcPr>
          <w:p>
            <w:pPr>
              <w:spacing w:after="0"/>
              <w:rPr>
                <w:rFonts w:ascii="Arial" w:cs="Arial" w:eastAsia="Arial" w:hAnsi="Arial"/>
                <w:sz w:val="16"/>
                <w:szCs w:val="16"/>
                <w:color w:val="0000FF"/>
              </w:rPr>
            </w:pPr>
            <w:hyperlink r:id="rId46">
              <w:r>
                <w:rPr>
                  <w:rFonts w:ascii="Arial" w:cs="Arial" w:eastAsia="Arial" w:hAnsi="Arial"/>
                  <w:sz w:val="16"/>
                  <w:szCs w:val="16"/>
                  <w:color w:val="0000FF"/>
                </w:rPr>
                <w:t>10.</w:t>
              </w:r>
              <w:r>
                <w:rPr>
                  <w:rFonts w:ascii="Arial" w:cs="Arial" w:eastAsia="Arial" w:hAnsi="Arial"/>
                  <w:sz w:val="16"/>
                  <w:szCs w:val="16"/>
                  <w:u w:val="single" w:color="auto"/>
                  <w:color w:val="0000FF"/>
                </w:rPr>
                <w:t>4</w:t>
              </w:r>
            </w:hyperlink>
            <w:r>
              <w:rPr>
                <w:rFonts w:ascii="Arial" w:cs="Arial" w:eastAsia="Arial" w:hAnsi="Arial"/>
                <w:sz w:val="16"/>
                <w:szCs w:val="16"/>
                <w:color w:val="000000"/>
              </w:rPr>
              <w:t>*</w:t>
            </w:r>
          </w:p>
        </w:tc>
        <w:tc>
          <w:tcPr>
            <w:tcW w:w="34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Form of Nonqualified Share Option Agreement under our Amended and Restated 2005 Equity Incentive Plan is incorporated by reference to our</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Quarterly Report on Form 10-Q for the fiscal quarter ended September 30, 2009</w:t>
            </w:r>
          </w:p>
        </w:tc>
      </w:tr>
      <w:tr>
        <w:trPr>
          <w:trHeight w:val="209"/>
        </w:trPr>
        <w:tc>
          <w:tcPr>
            <w:tcW w:w="400" w:type="dxa"/>
            <w:vAlign w:val="bottom"/>
            <w:gridSpan w:val="3"/>
          </w:tcPr>
          <w:p>
            <w:pPr>
              <w:spacing w:after="0"/>
              <w:rPr>
                <w:rFonts w:ascii="Arial" w:cs="Arial" w:eastAsia="Arial" w:hAnsi="Arial"/>
                <w:sz w:val="16"/>
                <w:szCs w:val="16"/>
                <w:color w:val="0000FF"/>
              </w:rPr>
            </w:pPr>
            <w:hyperlink r:id="rId47">
              <w:r>
                <w:rPr>
                  <w:rFonts w:ascii="Arial" w:cs="Arial" w:eastAsia="Arial" w:hAnsi="Arial"/>
                  <w:sz w:val="16"/>
                  <w:szCs w:val="16"/>
                  <w:color w:val="0000FF"/>
                </w:rPr>
                <w:t>10.</w:t>
              </w:r>
              <w:r>
                <w:rPr>
                  <w:rFonts w:ascii="Arial" w:cs="Arial" w:eastAsia="Arial" w:hAnsi="Arial"/>
                  <w:sz w:val="16"/>
                  <w:szCs w:val="16"/>
                  <w:u w:val="single" w:color="auto"/>
                  <w:color w:val="0000FF"/>
                </w:rPr>
                <w:t>5</w:t>
              </w:r>
            </w:hyperlink>
            <w:r>
              <w:rPr>
                <w:rFonts w:ascii="Arial" w:cs="Arial" w:eastAsia="Arial" w:hAnsi="Arial"/>
                <w:sz w:val="16"/>
                <w:szCs w:val="16"/>
                <w:color w:val="000000"/>
              </w:rPr>
              <w:t>*</w:t>
            </w:r>
          </w:p>
        </w:tc>
        <w:tc>
          <w:tcPr>
            <w:tcW w:w="34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2011 Equity Incentive Plan is incorporated by reference to Appendix A to our Definitive Proxy Statement on Schedule 14A dated and filed with the</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SEC on June 8, 2011</w:t>
            </w:r>
          </w:p>
        </w:tc>
      </w:tr>
      <w:tr>
        <w:trPr>
          <w:trHeight w:val="209"/>
        </w:trPr>
        <w:tc>
          <w:tcPr>
            <w:tcW w:w="400" w:type="dxa"/>
            <w:vAlign w:val="bottom"/>
            <w:gridSpan w:val="3"/>
          </w:tcPr>
          <w:p>
            <w:pPr>
              <w:spacing w:after="0"/>
              <w:rPr>
                <w:rFonts w:ascii="Arial" w:cs="Arial" w:eastAsia="Arial" w:hAnsi="Arial"/>
                <w:sz w:val="16"/>
                <w:szCs w:val="16"/>
                <w:color w:val="0000FF"/>
              </w:rPr>
            </w:pPr>
            <w:hyperlink r:id="rId48">
              <w:r>
                <w:rPr>
                  <w:rFonts w:ascii="Arial" w:cs="Arial" w:eastAsia="Arial" w:hAnsi="Arial"/>
                  <w:sz w:val="16"/>
                  <w:szCs w:val="16"/>
                  <w:color w:val="0000FF"/>
                </w:rPr>
                <w:t>10.</w:t>
              </w:r>
              <w:r>
                <w:rPr>
                  <w:rFonts w:ascii="Arial" w:cs="Arial" w:eastAsia="Arial" w:hAnsi="Arial"/>
                  <w:sz w:val="16"/>
                  <w:szCs w:val="16"/>
                  <w:u w:val="single" w:color="auto"/>
                  <w:color w:val="0000FF"/>
                </w:rPr>
                <w:t>6</w:t>
              </w:r>
            </w:hyperlink>
            <w:r>
              <w:rPr>
                <w:rFonts w:ascii="Arial" w:cs="Arial" w:eastAsia="Arial" w:hAnsi="Arial"/>
                <w:sz w:val="16"/>
                <w:szCs w:val="16"/>
                <w:color w:val="000000"/>
              </w:rPr>
              <w:t>*</w:t>
            </w:r>
          </w:p>
        </w:tc>
        <w:tc>
          <w:tcPr>
            <w:tcW w:w="34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Form of Nonqualified Share Option Agreement under our 2011 Equity Incentive Plan is incorporated by reference to our Quarterly Report on</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Form 10-Q for the fiscal quarter ended September 30, 2011</w:t>
            </w:r>
          </w:p>
        </w:tc>
      </w:tr>
      <w:tr>
        <w:trPr>
          <w:trHeight w:val="209"/>
        </w:trPr>
        <w:tc>
          <w:tcPr>
            <w:tcW w:w="400" w:type="dxa"/>
            <w:vAlign w:val="bottom"/>
            <w:gridSpan w:val="3"/>
          </w:tcPr>
          <w:p>
            <w:pPr>
              <w:spacing w:after="0"/>
              <w:rPr>
                <w:rFonts w:ascii="Arial" w:cs="Arial" w:eastAsia="Arial" w:hAnsi="Arial"/>
                <w:sz w:val="16"/>
                <w:szCs w:val="16"/>
                <w:color w:val="0000FF"/>
              </w:rPr>
            </w:pPr>
            <w:hyperlink r:id="rId49">
              <w:r>
                <w:rPr>
                  <w:rFonts w:ascii="Arial" w:cs="Arial" w:eastAsia="Arial" w:hAnsi="Arial"/>
                  <w:sz w:val="16"/>
                  <w:szCs w:val="16"/>
                  <w:color w:val="0000FF"/>
                </w:rPr>
                <w:t>10.</w:t>
              </w:r>
              <w:r>
                <w:rPr>
                  <w:rFonts w:ascii="Arial" w:cs="Arial" w:eastAsia="Arial" w:hAnsi="Arial"/>
                  <w:sz w:val="16"/>
                  <w:szCs w:val="16"/>
                  <w:u w:val="single" w:color="auto"/>
                  <w:color w:val="0000FF"/>
                </w:rPr>
                <w:t>7</w:t>
              </w:r>
            </w:hyperlink>
            <w:r>
              <w:rPr>
                <w:rFonts w:ascii="Arial" w:cs="Arial" w:eastAsia="Arial" w:hAnsi="Arial"/>
                <w:sz w:val="16"/>
                <w:szCs w:val="16"/>
                <w:color w:val="000000"/>
              </w:rPr>
              <w:t>*</w:t>
            </w:r>
          </w:p>
        </w:tc>
        <w:tc>
          <w:tcPr>
            <w:tcW w:w="34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Form of Restricted Share Unit Agreement for employees and executives under our 2011 Equity Incentive Plan is incorporated by reference to our</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Quarterly Report on Form 10-Q for the fiscal quarter ended September 30, 2011</w:t>
            </w:r>
          </w:p>
        </w:tc>
      </w:tr>
      <w:tr>
        <w:trPr>
          <w:trHeight w:val="209"/>
        </w:trPr>
        <w:tc>
          <w:tcPr>
            <w:tcW w:w="400" w:type="dxa"/>
            <w:vAlign w:val="bottom"/>
            <w:gridSpan w:val="3"/>
          </w:tcPr>
          <w:p>
            <w:pPr>
              <w:spacing w:after="0"/>
              <w:rPr>
                <w:rFonts w:ascii="Arial" w:cs="Arial" w:eastAsia="Arial" w:hAnsi="Arial"/>
                <w:sz w:val="16"/>
                <w:szCs w:val="16"/>
                <w:color w:val="0000FF"/>
              </w:rPr>
            </w:pPr>
            <w:hyperlink r:id="rId50">
              <w:r>
                <w:rPr>
                  <w:rFonts w:ascii="Arial" w:cs="Arial" w:eastAsia="Arial" w:hAnsi="Arial"/>
                  <w:sz w:val="16"/>
                  <w:szCs w:val="16"/>
                  <w:color w:val="0000FF"/>
                </w:rPr>
                <w:t>10.</w:t>
              </w:r>
              <w:r>
                <w:rPr>
                  <w:rFonts w:ascii="Arial" w:cs="Arial" w:eastAsia="Arial" w:hAnsi="Arial"/>
                  <w:sz w:val="16"/>
                  <w:szCs w:val="16"/>
                  <w:u w:val="single" w:color="auto"/>
                  <w:color w:val="0000FF"/>
                </w:rPr>
                <w:t>8</w:t>
              </w:r>
            </w:hyperlink>
            <w:r>
              <w:rPr>
                <w:rFonts w:ascii="Arial" w:cs="Arial" w:eastAsia="Arial" w:hAnsi="Arial"/>
                <w:sz w:val="16"/>
                <w:szCs w:val="16"/>
                <w:color w:val="000000"/>
              </w:rPr>
              <w:t>*</w:t>
            </w:r>
          </w:p>
        </w:tc>
        <w:tc>
          <w:tcPr>
            <w:tcW w:w="34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2016 Performance Equity Plan, as amended, is incorporated by reference to our Current Report on Form 8-K filed with the SEC on November 16,</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2016</w:t>
            </w:r>
          </w:p>
        </w:tc>
      </w:tr>
      <w:tr>
        <w:trPr>
          <w:trHeight w:val="209"/>
        </w:trPr>
        <w:tc>
          <w:tcPr>
            <w:tcW w:w="400" w:type="dxa"/>
            <w:vAlign w:val="bottom"/>
            <w:gridSpan w:val="3"/>
          </w:tcPr>
          <w:p>
            <w:pPr>
              <w:spacing w:after="0"/>
              <w:rPr>
                <w:rFonts w:ascii="Arial" w:cs="Arial" w:eastAsia="Arial" w:hAnsi="Arial"/>
                <w:sz w:val="16"/>
                <w:szCs w:val="16"/>
                <w:color w:val="0000FF"/>
              </w:rPr>
            </w:pPr>
            <w:hyperlink r:id="rId51">
              <w:r>
                <w:rPr>
                  <w:rFonts w:ascii="Arial" w:cs="Arial" w:eastAsia="Arial" w:hAnsi="Arial"/>
                  <w:sz w:val="16"/>
                  <w:szCs w:val="16"/>
                  <w:color w:val="0000FF"/>
                </w:rPr>
                <w:t>10.</w:t>
              </w:r>
              <w:r>
                <w:rPr>
                  <w:rFonts w:ascii="Arial" w:cs="Arial" w:eastAsia="Arial" w:hAnsi="Arial"/>
                  <w:sz w:val="16"/>
                  <w:szCs w:val="16"/>
                  <w:u w:val="single" w:color="auto"/>
                  <w:color w:val="0000FF"/>
                </w:rPr>
                <w:t>9</w:t>
              </w:r>
            </w:hyperlink>
            <w:r>
              <w:rPr>
                <w:rFonts w:ascii="Arial" w:cs="Arial" w:eastAsia="Arial" w:hAnsi="Arial"/>
                <w:sz w:val="16"/>
                <w:szCs w:val="16"/>
                <w:color w:val="000000"/>
              </w:rPr>
              <w:t>*</w:t>
            </w:r>
          </w:p>
        </w:tc>
        <w:tc>
          <w:tcPr>
            <w:tcW w:w="34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Form of Performance Share Unit Agreement for employees and executives under our 2016 Performance Equity Incentive Plan is incorporated by</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reference to our Quarterly Report on Form 10-Q for the fiscal quarter ended September 30, 2016</w:t>
            </w:r>
          </w:p>
        </w:tc>
      </w:tr>
      <w:tr>
        <w:trPr>
          <w:trHeight w:val="209"/>
        </w:trPr>
        <w:tc>
          <w:tcPr>
            <w:tcW w:w="740" w:type="dxa"/>
            <w:vAlign w:val="bottom"/>
            <w:gridSpan w:val="4"/>
          </w:tcPr>
          <w:p>
            <w:pPr>
              <w:spacing w:after="0"/>
              <w:rPr>
                <w:rFonts w:ascii="Arial" w:cs="Arial" w:eastAsia="Arial" w:hAnsi="Arial"/>
                <w:sz w:val="16"/>
                <w:szCs w:val="16"/>
                <w:color w:val="0000FF"/>
              </w:rPr>
            </w:pPr>
            <w:hyperlink r:id="rId52">
              <w:r>
                <w:rPr>
                  <w:rFonts w:ascii="Arial" w:cs="Arial" w:eastAsia="Arial" w:hAnsi="Arial"/>
                  <w:sz w:val="16"/>
                  <w:szCs w:val="16"/>
                  <w:color w:val="0000FF"/>
                </w:rPr>
                <w:t>10.</w:t>
              </w:r>
              <w:r>
                <w:rPr>
                  <w:rFonts w:ascii="Arial" w:cs="Arial" w:eastAsia="Arial" w:hAnsi="Arial"/>
                  <w:sz w:val="16"/>
                  <w:szCs w:val="16"/>
                  <w:u w:val="single" w:color="auto"/>
                  <w:color w:val="0000FF"/>
                </w:rPr>
                <w:t>10</w:t>
              </w:r>
            </w:hyperlink>
            <w:r>
              <w:rPr>
                <w:rFonts w:ascii="Arial" w:cs="Arial" w:eastAsia="Arial" w:hAnsi="Arial"/>
                <w:sz w:val="16"/>
                <w:szCs w:val="16"/>
                <w:color w:val="000000"/>
              </w:rPr>
              <w:t>*</w:t>
            </w:r>
          </w:p>
        </w:tc>
        <w:tc>
          <w:tcPr>
            <w:tcW w:w="10600" w:type="dxa"/>
            <w:vAlign w:val="bottom"/>
          </w:tcPr>
          <w:p>
            <w:pPr>
              <w:ind w:left="180"/>
              <w:spacing w:after="0"/>
              <w:rPr>
                <w:sz w:val="20"/>
                <w:szCs w:val="20"/>
                <w:color w:val="auto"/>
              </w:rPr>
            </w:pPr>
            <w:r>
              <w:rPr>
                <w:rFonts w:ascii="Arial" w:cs="Arial" w:eastAsia="Arial" w:hAnsi="Arial"/>
                <w:sz w:val="16"/>
                <w:szCs w:val="16"/>
                <w:color w:val="auto"/>
              </w:rPr>
              <w:t>Form of Performance Share Unit Agreement for our Chief Executive Officer under our 2016 Performance Equity Incentive Plan is incorporated by</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reference to our Quarterly Report on Form 10-Q for the fiscal quarter ended September 30, 2016</w:t>
            </w:r>
          </w:p>
        </w:tc>
      </w:tr>
      <w:tr>
        <w:trPr>
          <w:trHeight w:val="209"/>
        </w:trPr>
        <w:tc>
          <w:tcPr>
            <w:tcW w:w="740" w:type="dxa"/>
            <w:vAlign w:val="bottom"/>
            <w:gridSpan w:val="4"/>
          </w:tcPr>
          <w:p>
            <w:pPr>
              <w:spacing w:after="0"/>
              <w:rPr>
                <w:rFonts w:ascii="Arial" w:cs="Arial" w:eastAsia="Arial" w:hAnsi="Arial"/>
                <w:sz w:val="16"/>
                <w:szCs w:val="16"/>
                <w:color w:val="0000FF"/>
              </w:rPr>
            </w:pPr>
            <w:hyperlink r:id="rId53">
              <w:r>
                <w:rPr>
                  <w:rFonts w:ascii="Arial" w:cs="Arial" w:eastAsia="Arial" w:hAnsi="Arial"/>
                  <w:sz w:val="16"/>
                  <w:szCs w:val="16"/>
                  <w:color w:val="0000FF"/>
                </w:rPr>
                <w:t>10.</w:t>
              </w:r>
              <w:r>
                <w:rPr>
                  <w:rFonts w:ascii="Arial" w:cs="Arial" w:eastAsia="Arial" w:hAnsi="Arial"/>
                  <w:sz w:val="16"/>
                  <w:szCs w:val="16"/>
                  <w:u w:val="single" w:color="auto"/>
                  <w:color w:val="0000FF"/>
                </w:rPr>
                <w:t>11</w:t>
              </w:r>
            </w:hyperlink>
            <w:r>
              <w:rPr>
                <w:rFonts w:ascii="Arial" w:cs="Arial" w:eastAsia="Arial" w:hAnsi="Arial"/>
                <w:sz w:val="16"/>
                <w:szCs w:val="16"/>
                <w:color w:val="000000"/>
              </w:rPr>
              <w:t>*</w:t>
            </w:r>
          </w:p>
        </w:tc>
        <w:tc>
          <w:tcPr>
            <w:tcW w:w="10600" w:type="dxa"/>
            <w:vAlign w:val="bottom"/>
          </w:tcPr>
          <w:p>
            <w:pPr>
              <w:ind w:left="180"/>
              <w:spacing w:after="0"/>
              <w:rPr>
                <w:sz w:val="20"/>
                <w:szCs w:val="20"/>
                <w:color w:val="auto"/>
              </w:rPr>
            </w:pPr>
            <w:r>
              <w:rPr>
                <w:rFonts w:ascii="Arial" w:cs="Arial" w:eastAsia="Arial" w:hAnsi="Arial"/>
                <w:sz w:val="16"/>
                <w:szCs w:val="16"/>
                <w:color w:val="auto"/>
              </w:rPr>
              <w:t>Form of Performance Share Unit Agreement for Supervisory Board members under our 2016 Performance Equity Incentive Plan is incorporated</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by reference to our Quarterly Report on Form 10-Q for the fiscal quarter ended December 31, 2016</w:t>
            </w:r>
          </w:p>
        </w:tc>
      </w:tr>
      <w:tr>
        <w:trPr>
          <w:trHeight w:val="209"/>
        </w:trPr>
        <w:tc>
          <w:tcPr>
            <w:tcW w:w="740" w:type="dxa"/>
            <w:vAlign w:val="bottom"/>
            <w:gridSpan w:val="4"/>
          </w:tcPr>
          <w:p>
            <w:pPr>
              <w:spacing w:after="0"/>
              <w:rPr>
                <w:rFonts w:ascii="Arial" w:cs="Arial" w:eastAsia="Arial" w:hAnsi="Arial"/>
                <w:sz w:val="16"/>
                <w:szCs w:val="16"/>
                <w:color w:val="0000FF"/>
              </w:rPr>
            </w:pPr>
            <w:hyperlink r:id="rId54">
              <w:r>
                <w:rPr>
                  <w:rFonts w:ascii="Arial" w:cs="Arial" w:eastAsia="Arial" w:hAnsi="Arial"/>
                  <w:sz w:val="16"/>
                  <w:szCs w:val="16"/>
                  <w:color w:val="0000FF"/>
                </w:rPr>
                <w:t>10.</w:t>
              </w:r>
              <w:r>
                <w:rPr>
                  <w:rFonts w:ascii="Arial" w:cs="Arial" w:eastAsia="Arial" w:hAnsi="Arial"/>
                  <w:sz w:val="16"/>
                  <w:szCs w:val="16"/>
                  <w:u w:val="single" w:color="auto"/>
                  <w:color w:val="0000FF"/>
                </w:rPr>
                <w:t>12</w:t>
              </w:r>
            </w:hyperlink>
            <w:r>
              <w:rPr>
                <w:rFonts w:ascii="Arial" w:cs="Arial" w:eastAsia="Arial" w:hAnsi="Arial"/>
                <w:sz w:val="16"/>
                <w:szCs w:val="16"/>
                <w:color w:val="000000"/>
              </w:rPr>
              <w:t>*</w:t>
            </w:r>
          </w:p>
        </w:tc>
        <w:tc>
          <w:tcPr>
            <w:tcW w:w="10600" w:type="dxa"/>
            <w:vAlign w:val="bottom"/>
          </w:tcPr>
          <w:p>
            <w:pPr>
              <w:ind w:left="180"/>
              <w:spacing w:after="0"/>
              <w:rPr>
                <w:sz w:val="20"/>
                <w:szCs w:val="20"/>
                <w:color w:val="auto"/>
              </w:rPr>
            </w:pPr>
            <w:r>
              <w:rPr>
                <w:rFonts w:ascii="Arial" w:cs="Arial" w:eastAsia="Arial" w:hAnsi="Arial"/>
                <w:sz w:val="16"/>
                <w:szCs w:val="16"/>
                <w:color w:val="auto"/>
              </w:rPr>
              <w:t>Form of Supplemental Performance Share Unit Agreement for employees and executives under our 2016 Performance Equity Incentive Plan is</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incorporated by reference to our Quarterly Report on Form 10-Q for the fiscal quarter ended September 30, 2017</w:t>
            </w:r>
          </w:p>
        </w:tc>
      </w:tr>
      <w:tr>
        <w:trPr>
          <w:trHeight w:val="209"/>
        </w:trPr>
        <w:tc>
          <w:tcPr>
            <w:tcW w:w="740" w:type="dxa"/>
            <w:vAlign w:val="bottom"/>
            <w:gridSpan w:val="4"/>
          </w:tcPr>
          <w:p>
            <w:pPr>
              <w:spacing w:after="0"/>
              <w:rPr>
                <w:rFonts w:ascii="Arial" w:cs="Arial" w:eastAsia="Arial" w:hAnsi="Arial"/>
                <w:sz w:val="16"/>
                <w:szCs w:val="16"/>
                <w:color w:val="0000FF"/>
              </w:rPr>
            </w:pPr>
            <w:hyperlink r:id="rId55">
              <w:r>
                <w:rPr>
                  <w:rFonts w:ascii="Arial" w:cs="Arial" w:eastAsia="Arial" w:hAnsi="Arial"/>
                  <w:sz w:val="16"/>
                  <w:szCs w:val="16"/>
                  <w:color w:val="0000FF"/>
                </w:rPr>
                <w:t>10.</w:t>
              </w:r>
              <w:r>
                <w:rPr>
                  <w:rFonts w:ascii="Arial" w:cs="Arial" w:eastAsia="Arial" w:hAnsi="Arial"/>
                  <w:sz w:val="16"/>
                  <w:szCs w:val="16"/>
                  <w:u w:val="single" w:color="auto"/>
                  <w:color w:val="0000FF"/>
                </w:rPr>
                <w:t>13</w:t>
              </w:r>
            </w:hyperlink>
            <w:r>
              <w:rPr>
                <w:rFonts w:ascii="Arial" w:cs="Arial" w:eastAsia="Arial" w:hAnsi="Arial"/>
                <w:sz w:val="16"/>
                <w:szCs w:val="16"/>
                <w:color w:val="000000"/>
              </w:rPr>
              <w:t>*</w:t>
            </w:r>
          </w:p>
        </w:tc>
        <w:tc>
          <w:tcPr>
            <w:tcW w:w="10600" w:type="dxa"/>
            <w:vAlign w:val="bottom"/>
          </w:tcPr>
          <w:p>
            <w:pPr>
              <w:ind w:left="180"/>
              <w:spacing w:after="0"/>
              <w:rPr>
                <w:sz w:val="20"/>
                <w:szCs w:val="20"/>
                <w:color w:val="auto"/>
              </w:rPr>
            </w:pPr>
            <w:r>
              <w:rPr>
                <w:rFonts w:ascii="Arial" w:cs="Arial" w:eastAsia="Arial" w:hAnsi="Arial"/>
                <w:sz w:val="16"/>
                <w:szCs w:val="16"/>
                <w:color w:val="auto"/>
              </w:rPr>
              <w:t>2015 Inducement Share Plan is incorporated by reference to our Annual Report on Form 10-K for the fiscal year ended June 30, 2015</w:t>
            </w:r>
          </w:p>
        </w:tc>
      </w:tr>
      <w:tr>
        <w:trPr>
          <w:trHeight w:val="20"/>
        </w:trPr>
        <w:tc>
          <w:tcPr>
            <w:tcW w:w="4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223"/>
        </w:trPr>
        <w:tc>
          <w:tcPr>
            <w:tcW w:w="740" w:type="dxa"/>
            <w:vAlign w:val="bottom"/>
            <w:gridSpan w:val="4"/>
          </w:tcPr>
          <w:p>
            <w:pPr>
              <w:spacing w:after="0"/>
              <w:rPr>
                <w:rFonts w:ascii="Arial" w:cs="Arial" w:eastAsia="Arial" w:hAnsi="Arial"/>
                <w:sz w:val="16"/>
                <w:szCs w:val="16"/>
                <w:color w:val="0000FF"/>
              </w:rPr>
            </w:pPr>
            <w:hyperlink r:id="rId56">
              <w:r>
                <w:rPr>
                  <w:rFonts w:ascii="Arial" w:cs="Arial" w:eastAsia="Arial" w:hAnsi="Arial"/>
                  <w:sz w:val="16"/>
                  <w:szCs w:val="16"/>
                  <w:color w:val="0000FF"/>
                </w:rPr>
                <w:t>10.</w:t>
              </w:r>
              <w:r>
                <w:rPr>
                  <w:rFonts w:ascii="Arial" w:cs="Arial" w:eastAsia="Arial" w:hAnsi="Arial"/>
                  <w:sz w:val="16"/>
                  <w:szCs w:val="16"/>
                  <w:u w:val="single" w:color="auto"/>
                  <w:color w:val="0000FF"/>
                </w:rPr>
                <w:t>14</w:t>
              </w:r>
            </w:hyperlink>
            <w:r>
              <w:rPr>
                <w:rFonts w:ascii="Arial" w:cs="Arial" w:eastAsia="Arial" w:hAnsi="Arial"/>
                <w:sz w:val="16"/>
                <w:szCs w:val="16"/>
                <w:color w:val="000000"/>
              </w:rPr>
              <w:t>*</w:t>
            </w:r>
          </w:p>
        </w:tc>
        <w:tc>
          <w:tcPr>
            <w:tcW w:w="10600" w:type="dxa"/>
            <w:vAlign w:val="bottom"/>
          </w:tcPr>
          <w:p>
            <w:pPr>
              <w:ind w:left="180"/>
              <w:spacing w:after="0"/>
              <w:rPr>
                <w:sz w:val="20"/>
                <w:szCs w:val="20"/>
                <w:color w:val="auto"/>
              </w:rPr>
            </w:pPr>
            <w:r>
              <w:rPr>
                <w:rFonts w:ascii="Arial" w:cs="Arial" w:eastAsia="Arial" w:hAnsi="Arial"/>
                <w:sz w:val="16"/>
                <w:szCs w:val="16"/>
                <w:color w:val="auto"/>
              </w:rPr>
              <w:t>Form of Restricted Share Award Agreement under 2015 Inducement Share Plan is incorporated by reference to our Annual Report on Form 10-K</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for the fiscal year ended June 30, 2015</w:t>
            </w:r>
          </w:p>
        </w:tc>
      </w:tr>
      <w:tr>
        <w:trPr>
          <w:trHeight w:val="209"/>
        </w:trPr>
        <w:tc>
          <w:tcPr>
            <w:tcW w:w="740" w:type="dxa"/>
            <w:vAlign w:val="bottom"/>
            <w:gridSpan w:val="4"/>
          </w:tcPr>
          <w:p>
            <w:pPr>
              <w:spacing w:after="0"/>
              <w:rPr>
                <w:rFonts w:ascii="Arial" w:cs="Arial" w:eastAsia="Arial" w:hAnsi="Arial"/>
                <w:sz w:val="16"/>
                <w:szCs w:val="16"/>
                <w:color w:val="0000FF"/>
              </w:rPr>
            </w:pPr>
            <w:hyperlink r:id="rId57">
              <w:r>
                <w:rPr>
                  <w:rFonts w:ascii="Arial" w:cs="Arial" w:eastAsia="Arial" w:hAnsi="Arial"/>
                  <w:sz w:val="16"/>
                  <w:szCs w:val="16"/>
                  <w:color w:val="0000FF"/>
                </w:rPr>
                <w:t>10.</w:t>
              </w:r>
              <w:r>
                <w:rPr>
                  <w:rFonts w:ascii="Arial" w:cs="Arial" w:eastAsia="Arial" w:hAnsi="Arial"/>
                  <w:sz w:val="16"/>
                  <w:szCs w:val="16"/>
                  <w:u w:val="single" w:color="auto"/>
                  <w:color w:val="0000FF"/>
                </w:rPr>
                <w:t>15</w:t>
              </w:r>
            </w:hyperlink>
            <w:r>
              <w:rPr>
                <w:rFonts w:ascii="Arial" w:cs="Arial" w:eastAsia="Arial" w:hAnsi="Arial"/>
                <w:sz w:val="16"/>
                <w:szCs w:val="16"/>
                <w:color w:val="000000"/>
              </w:rPr>
              <w:t>*</w:t>
            </w:r>
          </w:p>
        </w:tc>
        <w:tc>
          <w:tcPr>
            <w:tcW w:w="10600" w:type="dxa"/>
            <w:vAlign w:val="bottom"/>
          </w:tcPr>
          <w:p>
            <w:pPr>
              <w:ind w:left="180"/>
              <w:spacing w:after="0"/>
              <w:rPr>
                <w:sz w:val="20"/>
                <w:szCs w:val="20"/>
                <w:color w:val="auto"/>
              </w:rPr>
            </w:pPr>
            <w:r>
              <w:rPr>
                <w:rFonts w:ascii="Arial" w:cs="Arial" w:eastAsia="Arial" w:hAnsi="Arial"/>
                <w:sz w:val="16"/>
                <w:szCs w:val="16"/>
                <w:color w:val="auto"/>
              </w:rPr>
              <w:t>Form of Indemnification Agreement between Cimpress N.V. and each of our executive officers and members of our Supervisory Board and</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Management Board is incorporated by reference to our Current Report on Form 8-K filed with the SEC on August 31, 2009</w:t>
            </w:r>
          </w:p>
        </w:tc>
      </w:tr>
      <w:tr>
        <w:trPr>
          <w:trHeight w:val="209"/>
        </w:trPr>
        <w:tc>
          <w:tcPr>
            <w:tcW w:w="740" w:type="dxa"/>
            <w:vAlign w:val="bottom"/>
            <w:gridSpan w:val="4"/>
          </w:tcPr>
          <w:p>
            <w:pPr>
              <w:spacing w:after="0"/>
              <w:rPr>
                <w:rFonts w:ascii="Arial" w:cs="Arial" w:eastAsia="Arial" w:hAnsi="Arial"/>
                <w:sz w:val="16"/>
                <w:szCs w:val="16"/>
                <w:color w:val="0000FF"/>
              </w:rPr>
            </w:pPr>
            <w:hyperlink r:id="rId58">
              <w:r>
                <w:rPr>
                  <w:rFonts w:ascii="Arial" w:cs="Arial" w:eastAsia="Arial" w:hAnsi="Arial"/>
                  <w:sz w:val="16"/>
                  <w:szCs w:val="16"/>
                  <w:color w:val="0000FF"/>
                </w:rPr>
                <w:t>10.</w:t>
              </w:r>
              <w:r>
                <w:rPr>
                  <w:rFonts w:ascii="Arial" w:cs="Arial" w:eastAsia="Arial" w:hAnsi="Arial"/>
                  <w:sz w:val="16"/>
                  <w:szCs w:val="16"/>
                  <w:u w:val="single" w:color="auto"/>
                  <w:color w:val="0000FF"/>
                </w:rPr>
                <w:t>16</w:t>
              </w:r>
            </w:hyperlink>
            <w:r>
              <w:rPr>
                <w:rFonts w:ascii="Arial" w:cs="Arial" w:eastAsia="Arial" w:hAnsi="Arial"/>
                <w:sz w:val="16"/>
                <w:szCs w:val="16"/>
                <w:color w:val="000000"/>
              </w:rPr>
              <w:t>*</w:t>
            </w:r>
          </w:p>
        </w:tc>
        <w:tc>
          <w:tcPr>
            <w:tcW w:w="10600" w:type="dxa"/>
            <w:vAlign w:val="bottom"/>
          </w:tcPr>
          <w:p>
            <w:pPr>
              <w:ind w:left="180"/>
              <w:spacing w:after="0"/>
              <w:rPr>
                <w:sz w:val="20"/>
                <w:szCs w:val="20"/>
                <w:color w:val="auto"/>
              </w:rPr>
            </w:pPr>
            <w:r>
              <w:rPr>
                <w:rFonts w:ascii="Arial" w:cs="Arial" w:eastAsia="Arial" w:hAnsi="Arial"/>
                <w:sz w:val="16"/>
                <w:szCs w:val="16"/>
                <w:color w:val="auto"/>
              </w:rPr>
              <w:t>Amended and Restated Executive Retention Agreement between Cimpress N.V. and Robert Keane dated as of October 23, 2009 is incorporated</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by reference to our Quarterly Report on Form 10-Q for the fiscal quarter ended September 30, 2009</w:t>
            </w:r>
          </w:p>
        </w:tc>
      </w:tr>
      <w:tr>
        <w:trPr>
          <w:trHeight w:val="209"/>
        </w:trPr>
        <w:tc>
          <w:tcPr>
            <w:tcW w:w="740" w:type="dxa"/>
            <w:vAlign w:val="bottom"/>
            <w:gridSpan w:val="4"/>
          </w:tcPr>
          <w:p>
            <w:pPr>
              <w:spacing w:after="0"/>
              <w:rPr>
                <w:rFonts w:ascii="Arial" w:cs="Arial" w:eastAsia="Arial" w:hAnsi="Arial"/>
                <w:sz w:val="16"/>
                <w:szCs w:val="16"/>
                <w:color w:val="0000FF"/>
              </w:rPr>
            </w:pPr>
            <w:hyperlink r:id="rId59">
              <w:r>
                <w:rPr>
                  <w:rFonts w:ascii="Arial" w:cs="Arial" w:eastAsia="Arial" w:hAnsi="Arial"/>
                  <w:sz w:val="16"/>
                  <w:szCs w:val="16"/>
                  <w:color w:val="0000FF"/>
                </w:rPr>
                <w:t>10.</w:t>
              </w:r>
              <w:r>
                <w:rPr>
                  <w:rFonts w:ascii="Arial" w:cs="Arial" w:eastAsia="Arial" w:hAnsi="Arial"/>
                  <w:sz w:val="16"/>
                  <w:szCs w:val="16"/>
                  <w:u w:val="single" w:color="auto"/>
                  <w:color w:val="0000FF"/>
                </w:rPr>
                <w:t>17</w:t>
              </w:r>
            </w:hyperlink>
            <w:r>
              <w:rPr>
                <w:rFonts w:ascii="Arial" w:cs="Arial" w:eastAsia="Arial" w:hAnsi="Arial"/>
                <w:sz w:val="16"/>
                <w:szCs w:val="16"/>
                <w:color w:val="000000"/>
              </w:rPr>
              <w:t>*</w:t>
            </w:r>
          </w:p>
        </w:tc>
        <w:tc>
          <w:tcPr>
            <w:tcW w:w="10600" w:type="dxa"/>
            <w:vAlign w:val="bottom"/>
          </w:tcPr>
          <w:p>
            <w:pPr>
              <w:ind w:left="180"/>
              <w:spacing w:after="0"/>
              <w:rPr>
                <w:sz w:val="20"/>
                <w:szCs w:val="20"/>
                <w:color w:val="auto"/>
              </w:rPr>
            </w:pPr>
            <w:r>
              <w:rPr>
                <w:rFonts w:ascii="Arial" w:cs="Arial" w:eastAsia="Arial" w:hAnsi="Arial"/>
                <w:sz w:val="16"/>
                <w:szCs w:val="16"/>
                <w:color w:val="auto"/>
              </w:rPr>
              <w:t>Form of Amended and Restated Executive Retention Agreement between Cimpress N.V. and Katryn Blake is incorporated by reference to our</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Quarterly Report on Form 10-Q for the fiscal quarter ended September 30, 2009 (File No. 000-51539)</w:t>
            </w:r>
          </w:p>
        </w:tc>
      </w:tr>
      <w:tr>
        <w:trPr>
          <w:trHeight w:val="209"/>
        </w:trPr>
        <w:tc>
          <w:tcPr>
            <w:tcW w:w="740" w:type="dxa"/>
            <w:vAlign w:val="bottom"/>
            <w:gridSpan w:val="4"/>
          </w:tcPr>
          <w:p>
            <w:pPr>
              <w:spacing w:after="0"/>
              <w:rPr>
                <w:rFonts w:ascii="Arial" w:cs="Arial" w:eastAsia="Arial" w:hAnsi="Arial"/>
                <w:sz w:val="16"/>
                <w:szCs w:val="16"/>
                <w:color w:val="0000FF"/>
              </w:rPr>
            </w:pPr>
            <w:hyperlink r:id="rId60">
              <w:r>
                <w:rPr>
                  <w:rFonts w:ascii="Arial" w:cs="Arial" w:eastAsia="Arial" w:hAnsi="Arial"/>
                  <w:sz w:val="16"/>
                  <w:szCs w:val="16"/>
                  <w:color w:val="0000FF"/>
                </w:rPr>
                <w:t>10.</w:t>
              </w:r>
              <w:r>
                <w:rPr>
                  <w:rFonts w:ascii="Arial" w:cs="Arial" w:eastAsia="Arial" w:hAnsi="Arial"/>
                  <w:sz w:val="16"/>
                  <w:szCs w:val="16"/>
                  <w:u w:val="single" w:color="auto"/>
                  <w:color w:val="0000FF"/>
                </w:rPr>
                <w:t>18</w:t>
              </w:r>
            </w:hyperlink>
            <w:r>
              <w:rPr>
                <w:rFonts w:ascii="Arial" w:cs="Arial" w:eastAsia="Arial" w:hAnsi="Arial"/>
                <w:sz w:val="16"/>
                <w:szCs w:val="16"/>
                <w:color w:val="000000"/>
              </w:rPr>
              <w:t>*</w:t>
            </w:r>
          </w:p>
        </w:tc>
        <w:tc>
          <w:tcPr>
            <w:tcW w:w="10600" w:type="dxa"/>
            <w:vAlign w:val="bottom"/>
          </w:tcPr>
          <w:p>
            <w:pPr>
              <w:ind w:left="180"/>
              <w:spacing w:after="0"/>
              <w:rPr>
                <w:sz w:val="20"/>
                <w:szCs w:val="20"/>
                <w:color w:val="auto"/>
              </w:rPr>
            </w:pPr>
            <w:r>
              <w:rPr>
                <w:rFonts w:ascii="Arial" w:cs="Arial" w:eastAsia="Arial" w:hAnsi="Arial"/>
                <w:sz w:val="16"/>
                <w:szCs w:val="16"/>
                <w:color w:val="auto"/>
              </w:rPr>
              <w:t>Form of Executive Retention Agreement between Cimpress N.V. and each of Donald LeBlanc and Sean Quinn is incorporated by reference to our</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Quarterly Report on Form 10-Q for the fiscal quarter ended September 30, 2016</w:t>
            </w:r>
          </w:p>
        </w:tc>
      </w:tr>
      <w:tr>
        <w:trPr>
          <w:trHeight w:val="209"/>
        </w:trPr>
        <w:tc>
          <w:tcPr>
            <w:tcW w:w="740" w:type="dxa"/>
            <w:vAlign w:val="bottom"/>
            <w:gridSpan w:val="4"/>
          </w:tcPr>
          <w:p>
            <w:pPr>
              <w:spacing w:after="0"/>
              <w:rPr>
                <w:rFonts w:ascii="Arial" w:cs="Arial" w:eastAsia="Arial" w:hAnsi="Arial"/>
                <w:sz w:val="16"/>
                <w:szCs w:val="16"/>
                <w:color w:val="0000FF"/>
              </w:rPr>
            </w:pPr>
            <w:hyperlink r:id="rId61">
              <w:r>
                <w:rPr>
                  <w:rFonts w:ascii="Arial" w:cs="Arial" w:eastAsia="Arial" w:hAnsi="Arial"/>
                  <w:sz w:val="16"/>
                  <w:szCs w:val="16"/>
                  <w:color w:val="0000FF"/>
                </w:rPr>
                <w:t>10.</w:t>
              </w:r>
              <w:r>
                <w:rPr>
                  <w:rFonts w:ascii="Arial" w:cs="Arial" w:eastAsia="Arial" w:hAnsi="Arial"/>
                  <w:sz w:val="16"/>
                  <w:szCs w:val="16"/>
                  <w:u w:val="single" w:color="auto"/>
                  <w:color w:val="0000FF"/>
                </w:rPr>
                <w:t>19</w:t>
              </w:r>
            </w:hyperlink>
            <w:r>
              <w:rPr>
                <w:rFonts w:ascii="Arial" w:cs="Arial" w:eastAsia="Arial" w:hAnsi="Arial"/>
                <w:sz w:val="16"/>
                <w:szCs w:val="16"/>
                <w:color w:val="000000"/>
              </w:rPr>
              <w:t>*</w:t>
            </w:r>
          </w:p>
        </w:tc>
        <w:tc>
          <w:tcPr>
            <w:tcW w:w="10600" w:type="dxa"/>
            <w:vAlign w:val="bottom"/>
          </w:tcPr>
          <w:p>
            <w:pPr>
              <w:ind w:left="180"/>
              <w:spacing w:after="0"/>
              <w:rPr>
                <w:sz w:val="20"/>
                <w:szCs w:val="20"/>
                <w:color w:val="auto"/>
              </w:rPr>
            </w:pPr>
            <w:r>
              <w:rPr>
                <w:rFonts w:ascii="Arial" w:cs="Arial" w:eastAsia="Arial" w:hAnsi="Arial"/>
                <w:sz w:val="16"/>
                <w:szCs w:val="16"/>
                <w:color w:val="auto"/>
              </w:rPr>
              <w:t>Employment Agreement between Cimpress USA Incorporated and Robert Keane effective September 1, 2009 is incorporated by reference to our</w:t>
            </w:r>
          </w:p>
        </w:tc>
      </w:tr>
      <w:tr>
        <w:trPr>
          <w:trHeight w:val="204"/>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600" w:type="dxa"/>
            <w:vAlign w:val="bottom"/>
          </w:tcPr>
          <w:p>
            <w:pPr>
              <w:ind w:left="180"/>
              <w:spacing w:after="0"/>
              <w:rPr>
                <w:sz w:val="20"/>
                <w:szCs w:val="20"/>
                <w:color w:val="auto"/>
              </w:rPr>
            </w:pPr>
            <w:r>
              <w:rPr>
                <w:rFonts w:ascii="Arial" w:cs="Arial" w:eastAsia="Arial" w:hAnsi="Arial"/>
                <w:sz w:val="16"/>
                <w:szCs w:val="16"/>
                <w:color w:val="auto"/>
              </w:rPr>
              <w:t>Quarterly Report on Form 10-Q for the fiscal quarter ended March 31, 2010</w:t>
            </w:r>
          </w:p>
        </w:tc>
      </w:tr>
      <w:tr>
        <w:trPr>
          <w:trHeight w:val="479"/>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0" w:type="dxa"/>
            <w:vAlign w:val="bottom"/>
          </w:tcPr>
          <w:p>
            <w:pPr>
              <w:ind w:left="4780"/>
              <w:spacing w:after="0"/>
              <w:rPr>
                <w:sz w:val="20"/>
                <w:szCs w:val="20"/>
                <w:color w:val="auto"/>
              </w:rPr>
            </w:pPr>
            <w:r>
              <w:rPr>
                <w:rFonts w:ascii="Arial" w:cs="Arial" w:eastAsia="Arial" w:hAnsi="Arial"/>
                <w:sz w:val="18"/>
                <w:szCs w:val="18"/>
                <w:color w:val="auto"/>
              </w:rPr>
              <w:t>108</w:t>
            </w:r>
          </w:p>
        </w:tc>
      </w:tr>
    </w:tbl>
    <w:p>
      <w:pPr>
        <w:sectPr>
          <w:pgSz w:w="11900" w:h="16838" w:orient="portrait"/>
          <w:cols w:equalWidth="0" w:num="1">
            <w:col w:w="11380"/>
          </w:cols>
          <w:pgMar w:left="240" w:top="620" w:right="279" w:bottom="1440" w:gutter="0" w:footer="0" w:header="0"/>
        </w:sectPr>
      </w:pPr>
    </w:p>
    <w:bookmarkStart w:id="110" w:name="page111"/>
    <w:bookmarkEnd w:id="110"/>
    <w:p>
      <w:pPr>
        <w:ind w:left="920" w:right="220" w:hanging="917"/>
        <w:spacing w:after="0" w:line="260" w:lineRule="auto"/>
        <w:tabs>
          <w:tab w:leader="none" w:pos="900" w:val="left"/>
        </w:tabs>
        <w:rPr>
          <w:rFonts w:ascii="Arial" w:cs="Arial" w:eastAsia="Arial" w:hAnsi="Arial"/>
          <w:sz w:val="16"/>
          <w:szCs w:val="16"/>
          <w:color w:val="0000FF"/>
        </w:rPr>
      </w:pPr>
      <w:hyperlink r:id="rId62">
        <w:r>
          <w:rPr>
            <w:rFonts w:ascii="Arial" w:cs="Arial" w:eastAsia="Arial" w:hAnsi="Arial"/>
            <w:sz w:val="16"/>
            <w:szCs w:val="16"/>
            <w:u w:val="single" w:color="auto"/>
            <w:color w:val="0000FF"/>
          </w:rPr>
          <w:t>10.20</w:t>
        </w:r>
      </w:hyperlink>
      <w:r>
        <w:rPr>
          <w:rFonts w:ascii="Arial" w:cs="Arial" w:eastAsia="Arial" w:hAnsi="Arial"/>
          <w:sz w:val="16"/>
          <w:szCs w:val="16"/>
          <w:color w:val="000000"/>
        </w:rPr>
        <w:t>*</w:t>
      </w:r>
      <w:r>
        <w:rPr>
          <w:rFonts w:ascii="Arial" w:cs="Arial" w:eastAsia="Arial" w:hAnsi="Arial"/>
          <w:sz w:val="16"/>
          <w:szCs w:val="16"/>
          <w:color w:val="0000FF"/>
        </w:rPr>
        <w:tab/>
        <w:t>Amendment No. 1 to Employment Agreement between Cimpress USA Incorporated and Robert Keane dated June 14, 2010 is incorporated by reference to our Annual Report on Form 10-K for the fiscal year ended June 30, 2010</w:t>
      </w:r>
    </w:p>
    <w:p>
      <w:pPr>
        <w:spacing w:after="0" w:line="34" w:lineRule="exact"/>
        <w:rPr>
          <w:sz w:val="20"/>
          <w:szCs w:val="20"/>
          <w:color w:val="auto"/>
        </w:rPr>
      </w:pPr>
    </w:p>
    <w:p>
      <w:pPr>
        <w:ind w:left="920" w:hanging="917"/>
        <w:spacing w:after="0" w:line="260" w:lineRule="auto"/>
        <w:tabs>
          <w:tab w:leader="none" w:pos="900" w:val="left"/>
        </w:tabs>
        <w:rPr>
          <w:rFonts w:ascii="Arial" w:cs="Arial" w:eastAsia="Arial" w:hAnsi="Arial"/>
          <w:sz w:val="16"/>
          <w:szCs w:val="16"/>
          <w:color w:val="0000FF"/>
        </w:rPr>
      </w:pPr>
      <w:hyperlink r:id="rId63">
        <w:r>
          <w:rPr>
            <w:rFonts w:ascii="Arial" w:cs="Arial" w:eastAsia="Arial" w:hAnsi="Arial"/>
            <w:sz w:val="16"/>
            <w:szCs w:val="16"/>
            <w:u w:val="single" w:color="auto"/>
            <w:color w:val="0000FF"/>
          </w:rPr>
          <w:t>10.21</w:t>
        </w:r>
      </w:hyperlink>
      <w:r>
        <w:rPr>
          <w:rFonts w:ascii="Arial" w:cs="Arial" w:eastAsia="Arial" w:hAnsi="Arial"/>
          <w:sz w:val="16"/>
          <w:szCs w:val="16"/>
          <w:color w:val="000000"/>
        </w:rPr>
        <w:t>*</w:t>
      </w:r>
      <w:r>
        <w:rPr>
          <w:rFonts w:ascii="Arial" w:cs="Arial" w:eastAsia="Arial" w:hAnsi="Arial"/>
          <w:sz w:val="16"/>
          <w:szCs w:val="16"/>
          <w:color w:val="0000FF"/>
        </w:rPr>
        <w:tab/>
        <w:t>Amendment No. 2 to Employment Agreement between Cimpress USA Incorporated and Robert Keane dated September 28, 2011 is incorporated by reference to our Quarterly Report on Form 10-Q for the fiscal quarter ended September 30, 2011</w:t>
      </w:r>
    </w:p>
    <w:p>
      <w:pPr>
        <w:spacing w:after="0" w:line="34" w:lineRule="exact"/>
        <w:rPr>
          <w:sz w:val="20"/>
          <w:szCs w:val="20"/>
          <w:color w:val="auto"/>
        </w:rPr>
      </w:pPr>
    </w:p>
    <w:p>
      <w:pPr>
        <w:ind w:left="920" w:right="300" w:hanging="917"/>
        <w:spacing w:after="0" w:line="260" w:lineRule="auto"/>
        <w:tabs>
          <w:tab w:leader="none" w:pos="900" w:val="left"/>
        </w:tabs>
        <w:rPr>
          <w:rFonts w:ascii="Arial" w:cs="Arial" w:eastAsia="Arial" w:hAnsi="Arial"/>
          <w:sz w:val="16"/>
          <w:szCs w:val="16"/>
          <w:color w:val="0000FF"/>
        </w:rPr>
      </w:pPr>
      <w:hyperlink r:id="rId64">
        <w:r>
          <w:rPr>
            <w:rFonts w:ascii="Arial" w:cs="Arial" w:eastAsia="Arial" w:hAnsi="Arial"/>
            <w:sz w:val="16"/>
            <w:szCs w:val="16"/>
            <w:u w:val="single" w:color="auto"/>
            <w:color w:val="0000FF"/>
          </w:rPr>
          <w:t>10.22</w:t>
        </w:r>
      </w:hyperlink>
      <w:r>
        <w:rPr>
          <w:rFonts w:ascii="Arial" w:cs="Arial" w:eastAsia="Arial" w:hAnsi="Arial"/>
          <w:sz w:val="16"/>
          <w:szCs w:val="16"/>
          <w:color w:val="000000"/>
        </w:rPr>
        <w:t>*</w:t>
      </w:r>
      <w:r>
        <w:rPr>
          <w:rFonts w:ascii="Arial" w:cs="Arial" w:eastAsia="Arial" w:hAnsi="Arial"/>
          <w:sz w:val="16"/>
          <w:szCs w:val="16"/>
          <w:color w:val="0000FF"/>
        </w:rPr>
        <w:tab/>
        <w:t>Amendment No. 3 to Employment Agreement between Cimpress USA Incorporated and Robert Keane dated July 25, 2012 is incorporated by reference to our Annual Report on Form 10-K for the fiscal year ended June 30, 2012</w:t>
      </w:r>
    </w:p>
    <w:p>
      <w:pPr>
        <w:spacing w:after="0" w:line="34" w:lineRule="exact"/>
        <w:rPr>
          <w:sz w:val="20"/>
          <w:szCs w:val="20"/>
          <w:color w:val="auto"/>
        </w:rPr>
      </w:pPr>
    </w:p>
    <w:p>
      <w:pPr>
        <w:ind w:left="920" w:right="100" w:hanging="917"/>
        <w:spacing w:after="0" w:line="260" w:lineRule="auto"/>
        <w:tabs>
          <w:tab w:leader="none" w:pos="900" w:val="left"/>
        </w:tabs>
        <w:rPr>
          <w:rFonts w:ascii="Arial" w:cs="Arial" w:eastAsia="Arial" w:hAnsi="Arial"/>
          <w:sz w:val="16"/>
          <w:szCs w:val="16"/>
          <w:color w:val="0000FF"/>
        </w:rPr>
      </w:pPr>
      <w:hyperlink r:id="rId65">
        <w:r>
          <w:rPr>
            <w:rFonts w:ascii="Arial" w:cs="Arial" w:eastAsia="Arial" w:hAnsi="Arial"/>
            <w:sz w:val="16"/>
            <w:szCs w:val="16"/>
            <w:u w:val="single" w:color="auto"/>
            <w:color w:val="0000FF"/>
          </w:rPr>
          <w:t>10.23</w:t>
        </w:r>
      </w:hyperlink>
      <w:r>
        <w:rPr>
          <w:rFonts w:ascii="Arial" w:cs="Arial" w:eastAsia="Arial" w:hAnsi="Arial"/>
          <w:sz w:val="16"/>
          <w:szCs w:val="16"/>
          <w:color w:val="000000"/>
        </w:rPr>
        <w:t>*</w:t>
      </w:r>
      <w:r>
        <w:rPr>
          <w:rFonts w:ascii="Arial" w:cs="Arial" w:eastAsia="Arial" w:hAnsi="Arial"/>
          <w:sz w:val="16"/>
          <w:szCs w:val="16"/>
          <w:color w:val="0000FF"/>
        </w:rPr>
        <w:tab/>
        <w:t>Amendment No. 4 to Employment Agreement between Cimpress USA Incorporated and Robert Keane dated September 1, 2013 is incorporated by reference to our Quarterly Report on Form 10-Q for the fiscal quarter ended September 30, 2013</w:t>
      </w:r>
    </w:p>
    <w:p>
      <w:pPr>
        <w:spacing w:after="0" w:line="34" w:lineRule="exact"/>
        <w:rPr>
          <w:sz w:val="20"/>
          <w:szCs w:val="20"/>
          <w:color w:val="auto"/>
        </w:rPr>
      </w:pPr>
    </w:p>
    <w:p>
      <w:pPr>
        <w:ind w:left="920" w:hanging="917"/>
        <w:spacing w:after="0" w:line="260" w:lineRule="auto"/>
        <w:tabs>
          <w:tab w:leader="none" w:pos="900" w:val="left"/>
        </w:tabs>
        <w:rPr>
          <w:rFonts w:ascii="Arial" w:cs="Arial" w:eastAsia="Arial" w:hAnsi="Arial"/>
          <w:sz w:val="16"/>
          <w:szCs w:val="16"/>
          <w:color w:val="0000FF"/>
        </w:rPr>
      </w:pPr>
      <w:hyperlink r:id="rId66">
        <w:r>
          <w:rPr>
            <w:rFonts w:ascii="Arial" w:cs="Arial" w:eastAsia="Arial" w:hAnsi="Arial"/>
            <w:sz w:val="16"/>
            <w:szCs w:val="16"/>
            <w:u w:val="single" w:color="auto"/>
            <w:color w:val="0000FF"/>
          </w:rPr>
          <w:t>10.24</w:t>
        </w:r>
      </w:hyperlink>
      <w:r>
        <w:rPr>
          <w:rFonts w:ascii="Arial" w:cs="Arial" w:eastAsia="Arial" w:hAnsi="Arial"/>
          <w:sz w:val="16"/>
          <w:szCs w:val="16"/>
          <w:color w:val="000000"/>
        </w:rPr>
        <w:t>*</w:t>
      </w:r>
      <w:r>
        <w:rPr>
          <w:rFonts w:ascii="Arial" w:cs="Arial" w:eastAsia="Arial" w:hAnsi="Arial"/>
          <w:sz w:val="16"/>
          <w:szCs w:val="16"/>
          <w:color w:val="0000FF"/>
        </w:rPr>
        <w:tab/>
        <w:t>Amendment No. 5 to Employment Agreement between Cimpress USA Incorporated and Robert Keane dated September 30, 2014 is incorporated by reference to our Quarterly Report on Form 10-Q for the fiscal quarter ended September 30, 2014</w:t>
      </w:r>
    </w:p>
    <w:p>
      <w:pPr>
        <w:spacing w:after="0" w:line="34" w:lineRule="exact"/>
        <w:rPr>
          <w:sz w:val="20"/>
          <w:szCs w:val="20"/>
          <w:color w:val="auto"/>
        </w:rPr>
      </w:pPr>
    </w:p>
    <w:p>
      <w:pPr>
        <w:ind w:left="920" w:hanging="917"/>
        <w:spacing w:after="0" w:line="260" w:lineRule="auto"/>
        <w:tabs>
          <w:tab w:leader="none" w:pos="900" w:val="left"/>
        </w:tabs>
        <w:rPr>
          <w:rFonts w:ascii="Arial" w:cs="Arial" w:eastAsia="Arial" w:hAnsi="Arial"/>
          <w:sz w:val="16"/>
          <w:szCs w:val="16"/>
          <w:color w:val="0000FF"/>
        </w:rPr>
      </w:pPr>
      <w:hyperlink r:id="rId67">
        <w:r>
          <w:rPr>
            <w:rFonts w:ascii="Arial" w:cs="Arial" w:eastAsia="Arial" w:hAnsi="Arial"/>
            <w:sz w:val="16"/>
            <w:szCs w:val="16"/>
            <w:u w:val="single" w:color="auto"/>
            <w:color w:val="0000FF"/>
          </w:rPr>
          <w:t>10.25</w:t>
        </w:r>
      </w:hyperlink>
      <w:r>
        <w:rPr>
          <w:rFonts w:ascii="Arial" w:cs="Arial" w:eastAsia="Arial" w:hAnsi="Arial"/>
          <w:sz w:val="16"/>
          <w:szCs w:val="16"/>
          <w:color w:val="000000"/>
        </w:rPr>
        <w:t>*</w:t>
      </w:r>
      <w:r>
        <w:rPr>
          <w:rFonts w:ascii="Arial" w:cs="Arial" w:eastAsia="Arial" w:hAnsi="Arial"/>
          <w:sz w:val="16"/>
          <w:szCs w:val="16"/>
          <w:color w:val="0000FF"/>
        </w:rPr>
        <w:tab/>
        <w:t>Amendment No. 6 to Employment Agreement between Cimpress USA Incorporated and Robert Keane dated September 30, 2015 is incorporated by reference to our Quarterly Report on Form 10-Q for the fiscal quarter ended December 31, 2015</w:t>
      </w:r>
    </w:p>
    <w:p>
      <w:pPr>
        <w:spacing w:after="0" w:line="34" w:lineRule="exact"/>
        <w:rPr>
          <w:sz w:val="20"/>
          <w:szCs w:val="20"/>
          <w:color w:val="auto"/>
        </w:rPr>
      </w:pPr>
    </w:p>
    <w:p>
      <w:pPr>
        <w:ind w:left="920" w:right="80" w:hanging="917"/>
        <w:spacing w:after="0" w:line="260" w:lineRule="auto"/>
        <w:tabs>
          <w:tab w:leader="none" w:pos="900" w:val="left"/>
        </w:tabs>
        <w:rPr>
          <w:rFonts w:ascii="Arial" w:cs="Arial" w:eastAsia="Arial" w:hAnsi="Arial"/>
          <w:sz w:val="16"/>
          <w:szCs w:val="16"/>
          <w:color w:val="0000FF"/>
        </w:rPr>
      </w:pPr>
      <w:hyperlink r:id="rId68">
        <w:r>
          <w:rPr>
            <w:rFonts w:ascii="Arial" w:cs="Arial" w:eastAsia="Arial" w:hAnsi="Arial"/>
            <w:sz w:val="16"/>
            <w:szCs w:val="16"/>
            <w:u w:val="single" w:color="auto"/>
            <w:color w:val="0000FF"/>
          </w:rPr>
          <w:t>10.26</w:t>
        </w:r>
      </w:hyperlink>
      <w:r>
        <w:rPr>
          <w:rFonts w:ascii="Arial" w:cs="Arial" w:eastAsia="Arial" w:hAnsi="Arial"/>
          <w:sz w:val="16"/>
          <w:szCs w:val="16"/>
          <w:color w:val="000000"/>
        </w:rPr>
        <w:t>*</w:t>
      </w:r>
      <w:r>
        <w:rPr>
          <w:rFonts w:ascii="Arial" w:cs="Arial" w:eastAsia="Arial" w:hAnsi="Arial"/>
          <w:sz w:val="16"/>
          <w:szCs w:val="16"/>
          <w:color w:val="0000FF"/>
        </w:rPr>
        <w:tab/>
        <w:t>Amendment No. 7 to Employment Agreement between Cimpress USA Incorporated and Robert Keane dated August 23, 2016 is incorporated by reference to our Quarterly Report on Form 10-Q for the fiscal quarter ended September 30, 2016</w:t>
      </w:r>
    </w:p>
    <w:p>
      <w:pPr>
        <w:spacing w:after="0" w:line="34" w:lineRule="exact"/>
        <w:rPr>
          <w:sz w:val="20"/>
          <w:szCs w:val="20"/>
          <w:color w:val="auto"/>
        </w:rPr>
      </w:pPr>
    </w:p>
    <w:p>
      <w:pPr>
        <w:ind w:left="920" w:hanging="917"/>
        <w:spacing w:after="0" w:line="260" w:lineRule="auto"/>
        <w:tabs>
          <w:tab w:leader="none" w:pos="900" w:val="left"/>
        </w:tabs>
        <w:rPr>
          <w:rFonts w:ascii="Arial" w:cs="Arial" w:eastAsia="Arial" w:hAnsi="Arial"/>
          <w:sz w:val="16"/>
          <w:szCs w:val="16"/>
          <w:color w:val="0000FF"/>
        </w:rPr>
      </w:pPr>
      <w:hyperlink r:id="rId69">
        <w:r>
          <w:rPr>
            <w:rFonts w:ascii="Arial" w:cs="Arial" w:eastAsia="Arial" w:hAnsi="Arial"/>
            <w:sz w:val="16"/>
            <w:szCs w:val="16"/>
            <w:u w:val="single" w:color="auto"/>
            <w:color w:val="0000FF"/>
          </w:rPr>
          <w:t>10.27</w:t>
        </w:r>
      </w:hyperlink>
      <w:r>
        <w:rPr>
          <w:rFonts w:ascii="Arial" w:cs="Arial" w:eastAsia="Arial" w:hAnsi="Arial"/>
          <w:sz w:val="16"/>
          <w:szCs w:val="16"/>
          <w:color w:val="000000"/>
        </w:rPr>
        <w:t>*</w:t>
      </w:r>
      <w:r>
        <w:rPr>
          <w:rFonts w:ascii="Arial" w:cs="Arial" w:eastAsia="Arial" w:hAnsi="Arial"/>
          <w:sz w:val="16"/>
          <w:szCs w:val="16"/>
          <w:color w:val="0000FF"/>
        </w:rPr>
        <w:tab/>
        <w:t>Amendment No. 8 to Employment Agreement between Cimpress USA Incorporated and Robert Keane dated September 30, 2017 is incorporated by reference to our Quarterly Report on Form 10-Q for the fiscal quarter ended September 30, 2017</w:t>
      </w:r>
    </w:p>
    <w:p>
      <w:pPr>
        <w:spacing w:after="0" w:line="34" w:lineRule="exact"/>
        <w:rPr>
          <w:sz w:val="20"/>
          <w:szCs w:val="20"/>
          <w:color w:val="auto"/>
        </w:rPr>
      </w:pPr>
    </w:p>
    <w:p>
      <w:pPr>
        <w:spacing w:after="0"/>
        <w:tabs>
          <w:tab w:leader="none" w:pos="900" w:val="left"/>
        </w:tabs>
        <w:rPr>
          <w:rFonts w:ascii="Arial" w:cs="Arial" w:eastAsia="Arial" w:hAnsi="Arial"/>
          <w:sz w:val="16"/>
          <w:szCs w:val="16"/>
          <w:color w:val="0000FF"/>
        </w:rPr>
      </w:pPr>
      <w:hyperlink w:anchor="page129">
        <w:r>
          <w:rPr>
            <w:rFonts w:ascii="Arial" w:cs="Arial" w:eastAsia="Arial" w:hAnsi="Arial"/>
            <w:sz w:val="16"/>
            <w:szCs w:val="16"/>
            <w:u w:val="single" w:color="auto"/>
            <w:color w:val="0000FF"/>
          </w:rPr>
          <w:t>10.28</w:t>
        </w:r>
      </w:hyperlink>
      <w:r>
        <w:rPr>
          <w:rFonts w:ascii="Arial" w:cs="Arial" w:eastAsia="Arial" w:hAnsi="Arial"/>
          <w:sz w:val="16"/>
          <w:szCs w:val="16"/>
          <w:color w:val="000000"/>
        </w:rPr>
        <w:t>*</w:t>
      </w:r>
      <w:r>
        <w:rPr>
          <w:rFonts w:ascii="Arial" w:cs="Arial" w:eastAsia="Arial" w:hAnsi="Arial"/>
          <w:sz w:val="16"/>
          <w:szCs w:val="16"/>
          <w:color w:val="0000FF"/>
        </w:rPr>
        <w:tab/>
        <w:t>Amendment No. 9 to Employment Agreement between Cimpress USA Incorporated and Robert Keane dated July 31, 2018</w:t>
      </w:r>
    </w:p>
    <w:p>
      <w:pPr>
        <w:spacing w:after="0" w:line="86" w:lineRule="exact"/>
        <w:rPr>
          <w:sz w:val="20"/>
          <w:szCs w:val="20"/>
          <w:color w:val="auto"/>
        </w:rPr>
      </w:pPr>
    </w:p>
    <w:p>
      <w:pPr>
        <w:ind w:left="920" w:right="400" w:hanging="917"/>
        <w:spacing w:after="0" w:line="260" w:lineRule="auto"/>
        <w:tabs>
          <w:tab w:leader="none" w:pos="900" w:val="left"/>
        </w:tabs>
        <w:rPr>
          <w:rFonts w:ascii="Arial" w:cs="Arial" w:eastAsia="Arial" w:hAnsi="Arial"/>
          <w:sz w:val="16"/>
          <w:szCs w:val="16"/>
          <w:color w:val="0000FF"/>
        </w:rPr>
      </w:pPr>
      <w:hyperlink r:id="rId70">
        <w:r>
          <w:rPr>
            <w:rFonts w:ascii="Arial" w:cs="Arial" w:eastAsia="Arial" w:hAnsi="Arial"/>
            <w:sz w:val="16"/>
            <w:szCs w:val="16"/>
            <w:u w:val="single" w:color="auto"/>
            <w:color w:val="0000FF"/>
          </w:rPr>
          <w:t>10.29</w:t>
        </w:r>
      </w:hyperlink>
      <w:r>
        <w:rPr>
          <w:rFonts w:ascii="Arial" w:cs="Arial" w:eastAsia="Arial" w:hAnsi="Arial"/>
          <w:sz w:val="16"/>
          <w:szCs w:val="16"/>
          <w:color w:val="000000"/>
        </w:rPr>
        <w:t>*</w:t>
      </w:r>
      <w:r>
        <w:rPr>
          <w:rFonts w:ascii="Arial" w:cs="Arial" w:eastAsia="Arial" w:hAnsi="Arial"/>
          <w:sz w:val="16"/>
          <w:szCs w:val="16"/>
          <w:color w:val="0000FF"/>
        </w:rPr>
        <w:tab/>
        <w:t>Memorandum clarifying relative precedence of agreements between Cimpress N.V. and Robert Keane dated May 6, 2010 is incorporated by reference to our Annual Report on Form 10-K for the fiscal year ended June 30, 2010</w:t>
      </w:r>
    </w:p>
    <w:p>
      <w:pPr>
        <w:spacing w:after="0" w:line="34" w:lineRule="exact"/>
        <w:rPr>
          <w:sz w:val="20"/>
          <w:szCs w:val="20"/>
          <w:color w:val="auto"/>
        </w:rPr>
      </w:pPr>
    </w:p>
    <w:p>
      <w:pPr>
        <w:ind w:left="920" w:right="400" w:hanging="917"/>
        <w:spacing w:after="0" w:line="260" w:lineRule="auto"/>
        <w:tabs>
          <w:tab w:leader="none" w:pos="900" w:val="left"/>
        </w:tabs>
        <w:rPr>
          <w:rFonts w:ascii="Arial" w:cs="Arial" w:eastAsia="Arial" w:hAnsi="Arial"/>
          <w:sz w:val="16"/>
          <w:szCs w:val="16"/>
          <w:color w:val="0000FF"/>
        </w:rPr>
      </w:pPr>
      <w:hyperlink r:id="rId71">
        <w:r>
          <w:rPr>
            <w:rFonts w:ascii="Arial" w:cs="Arial" w:eastAsia="Arial" w:hAnsi="Arial"/>
            <w:sz w:val="16"/>
            <w:szCs w:val="16"/>
            <w:u w:val="single" w:color="auto"/>
            <w:color w:val="0000FF"/>
          </w:rPr>
          <w:t>10.30</w:t>
        </w:r>
      </w:hyperlink>
      <w:r>
        <w:rPr>
          <w:rFonts w:ascii="Arial" w:cs="Arial" w:eastAsia="Arial" w:hAnsi="Arial"/>
          <w:sz w:val="16"/>
          <w:szCs w:val="16"/>
          <w:color w:val="000000"/>
        </w:rPr>
        <w:t>*</w:t>
      </w:r>
      <w:r>
        <w:rPr>
          <w:rFonts w:ascii="Arial" w:cs="Arial" w:eastAsia="Arial" w:hAnsi="Arial"/>
          <w:sz w:val="16"/>
          <w:szCs w:val="16"/>
          <w:color w:val="0000FF"/>
        </w:rPr>
        <w:tab/>
        <w:t>Agreement Limiting PSU Awards dated May 13, 2016 between Cimpress N.V. and Robert Keane is incorporated by reference to our Current Report on Form 8-K filed with the SEC on May 17, 2016</w:t>
      </w:r>
    </w:p>
    <w:p>
      <w:pPr>
        <w:spacing w:after="0" w:line="34" w:lineRule="exact"/>
        <w:rPr>
          <w:sz w:val="20"/>
          <w:szCs w:val="20"/>
          <w:color w:val="auto"/>
        </w:rPr>
      </w:pPr>
    </w:p>
    <w:p>
      <w:pPr>
        <w:ind w:left="920" w:right="640" w:hanging="917"/>
        <w:spacing w:after="0" w:line="260" w:lineRule="auto"/>
        <w:tabs>
          <w:tab w:leader="none" w:pos="900" w:val="left"/>
        </w:tabs>
        <w:rPr>
          <w:rFonts w:ascii="Arial" w:cs="Arial" w:eastAsia="Arial" w:hAnsi="Arial"/>
          <w:sz w:val="16"/>
          <w:szCs w:val="16"/>
          <w:color w:val="0000FF"/>
        </w:rPr>
      </w:pPr>
      <w:hyperlink r:id="rId72">
        <w:r>
          <w:rPr>
            <w:rFonts w:ascii="Arial" w:cs="Arial" w:eastAsia="Arial" w:hAnsi="Arial"/>
            <w:sz w:val="16"/>
            <w:szCs w:val="16"/>
            <w:u w:val="single" w:color="auto"/>
            <w:color w:val="0000FF"/>
          </w:rPr>
          <w:t>10.31</w:t>
        </w:r>
      </w:hyperlink>
      <w:r>
        <w:rPr>
          <w:rFonts w:ascii="Arial" w:cs="Arial" w:eastAsia="Arial" w:hAnsi="Arial"/>
          <w:sz w:val="16"/>
          <w:szCs w:val="16"/>
          <w:color w:val="000000"/>
        </w:rPr>
        <w:t>*</w:t>
      </w:r>
      <w:r>
        <w:rPr>
          <w:rFonts w:ascii="Arial" w:cs="Arial" w:eastAsia="Arial" w:hAnsi="Arial"/>
          <w:sz w:val="16"/>
          <w:szCs w:val="16"/>
          <w:color w:val="0000FF"/>
        </w:rPr>
        <w:tab/>
        <w:t>Employment Agreement between Cimpress N.V. and Cornelis David Arends dated November 1, 2015 is incorporated by reference to our Quarterly Report on Form 10-Q for the fiscal quarter ended September 30, 2016</w:t>
      </w:r>
    </w:p>
    <w:p>
      <w:pPr>
        <w:spacing w:after="0" w:line="34" w:lineRule="exact"/>
        <w:rPr>
          <w:sz w:val="20"/>
          <w:szCs w:val="20"/>
          <w:color w:val="auto"/>
        </w:rPr>
      </w:pPr>
    </w:p>
    <w:p>
      <w:pPr>
        <w:ind w:left="920" w:right="640" w:hanging="917"/>
        <w:spacing w:after="0" w:line="260" w:lineRule="auto"/>
        <w:tabs>
          <w:tab w:leader="none" w:pos="900" w:val="left"/>
        </w:tabs>
        <w:rPr>
          <w:rFonts w:ascii="Arial" w:cs="Arial" w:eastAsia="Arial" w:hAnsi="Arial"/>
          <w:sz w:val="16"/>
          <w:szCs w:val="16"/>
          <w:color w:val="0000FF"/>
        </w:rPr>
      </w:pPr>
      <w:hyperlink r:id="rId73">
        <w:r>
          <w:rPr>
            <w:rFonts w:ascii="Arial" w:cs="Arial" w:eastAsia="Arial" w:hAnsi="Arial"/>
            <w:sz w:val="16"/>
            <w:szCs w:val="16"/>
            <w:u w:val="single" w:color="auto"/>
            <w:color w:val="0000FF"/>
          </w:rPr>
          <w:t>10.32</w:t>
        </w:r>
      </w:hyperlink>
      <w:r>
        <w:rPr>
          <w:rFonts w:ascii="Arial" w:cs="Arial" w:eastAsia="Arial" w:hAnsi="Arial"/>
          <w:sz w:val="16"/>
          <w:szCs w:val="16"/>
          <w:color w:val="000000"/>
        </w:rPr>
        <w:t>*</w:t>
      </w:r>
      <w:r>
        <w:rPr>
          <w:rFonts w:ascii="Arial" w:cs="Arial" w:eastAsia="Arial" w:hAnsi="Arial"/>
          <w:sz w:val="16"/>
          <w:szCs w:val="16"/>
          <w:color w:val="0000FF"/>
        </w:rPr>
        <w:tab/>
        <w:t>Amendment to Employment Agreement between Cimpress N.V. and Cornelis David Arends dated December 18, 2017 is incorporated by reference to our Current Report on Form 8-K filed with the SEC on December 20, 2017</w:t>
      </w:r>
    </w:p>
    <w:p>
      <w:pPr>
        <w:spacing w:after="0" w:line="34" w:lineRule="exact"/>
        <w:rPr>
          <w:sz w:val="20"/>
          <w:szCs w:val="20"/>
          <w:color w:val="auto"/>
        </w:rPr>
      </w:pPr>
    </w:p>
    <w:p>
      <w:pPr>
        <w:ind w:left="920" w:right="140" w:hanging="917"/>
        <w:spacing w:after="0" w:line="260" w:lineRule="auto"/>
        <w:tabs>
          <w:tab w:leader="none" w:pos="900" w:val="left"/>
        </w:tabs>
        <w:rPr>
          <w:rFonts w:ascii="Arial" w:cs="Arial" w:eastAsia="Arial" w:hAnsi="Arial"/>
          <w:sz w:val="16"/>
          <w:szCs w:val="16"/>
          <w:color w:val="0000FF"/>
        </w:rPr>
      </w:pPr>
      <w:hyperlink r:id="rId74">
        <w:r>
          <w:rPr>
            <w:rFonts w:ascii="Arial" w:cs="Arial" w:eastAsia="Arial" w:hAnsi="Arial"/>
            <w:sz w:val="16"/>
            <w:szCs w:val="16"/>
            <w:u w:val="single" w:color="auto"/>
            <w:color w:val="0000FF"/>
          </w:rPr>
          <w:t>10.33</w:t>
        </w:r>
      </w:hyperlink>
      <w:r>
        <w:rPr>
          <w:rFonts w:ascii="Arial" w:cs="Arial" w:eastAsia="Arial" w:hAnsi="Arial"/>
          <w:sz w:val="16"/>
          <w:szCs w:val="16"/>
          <w:color w:val="000000"/>
        </w:rPr>
        <w:t>*</w:t>
      </w:r>
      <w:r>
        <w:rPr>
          <w:rFonts w:ascii="Arial" w:cs="Arial" w:eastAsia="Arial" w:hAnsi="Arial"/>
          <w:sz w:val="16"/>
          <w:szCs w:val="16"/>
          <w:color w:val="0000FF"/>
        </w:rPr>
        <w:tab/>
        <w:t>Long Term International Assignment Agreement between Cimpress N.V. and Cornelis David Arends dated December 9, 2015 is incorporated by reference to our Quarterly Report on Form 10-Q for the fiscal quarter ended September 30, 2016</w:t>
      </w:r>
    </w:p>
    <w:p>
      <w:pPr>
        <w:spacing w:after="0" w:line="34" w:lineRule="exact"/>
        <w:rPr>
          <w:sz w:val="20"/>
          <w:szCs w:val="20"/>
          <w:color w:val="auto"/>
        </w:rPr>
      </w:pPr>
    </w:p>
    <w:p>
      <w:pPr>
        <w:ind w:left="920" w:right="100" w:hanging="917"/>
        <w:spacing w:after="0" w:line="260" w:lineRule="auto"/>
        <w:tabs>
          <w:tab w:leader="none" w:pos="900" w:val="left"/>
        </w:tabs>
        <w:rPr>
          <w:rFonts w:ascii="Arial" w:cs="Arial" w:eastAsia="Arial" w:hAnsi="Arial"/>
          <w:sz w:val="16"/>
          <w:szCs w:val="16"/>
          <w:color w:val="0000FF"/>
        </w:rPr>
      </w:pPr>
      <w:hyperlink r:id="rId75">
        <w:r>
          <w:rPr>
            <w:rFonts w:ascii="Arial" w:cs="Arial" w:eastAsia="Arial" w:hAnsi="Arial"/>
            <w:sz w:val="16"/>
            <w:szCs w:val="16"/>
            <w:u w:val="single" w:color="auto"/>
            <w:color w:val="0000FF"/>
          </w:rPr>
          <w:t>10.34</w:t>
        </w:r>
      </w:hyperlink>
      <w:r>
        <w:rPr>
          <w:rFonts w:ascii="Arial" w:cs="Arial" w:eastAsia="Arial" w:hAnsi="Arial"/>
          <w:sz w:val="16"/>
          <w:szCs w:val="16"/>
          <w:color w:val="000000"/>
        </w:rPr>
        <w:t>*</w:t>
      </w:r>
      <w:r>
        <w:rPr>
          <w:rFonts w:ascii="Arial" w:cs="Arial" w:eastAsia="Arial" w:hAnsi="Arial"/>
          <w:sz w:val="16"/>
          <w:szCs w:val="16"/>
          <w:color w:val="0000FF"/>
        </w:rPr>
        <w:tab/>
        <w:t>Amendment to Long Term Assignment Agreement between Cimpress N.V. and Cornelis David Arends dated December 18, 2017 is incorporated by reference to our Current Report on Form 8-K filed with the SEC on December 20, 2017</w:t>
      </w:r>
    </w:p>
    <w:p>
      <w:pPr>
        <w:spacing w:after="0" w:line="34" w:lineRule="exact"/>
        <w:rPr>
          <w:sz w:val="20"/>
          <w:szCs w:val="20"/>
          <w:color w:val="auto"/>
        </w:rPr>
      </w:pPr>
    </w:p>
    <w:p>
      <w:pPr>
        <w:ind w:left="920" w:right="40" w:hanging="917"/>
        <w:spacing w:after="0" w:line="260" w:lineRule="auto"/>
        <w:tabs>
          <w:tab w:leader="none" w:pos="900" w:val="left"/>
        </w:tabs>
        <w:rPr>
          <w:rFonts w:ascii="Arial" w:cs="Arial" w:eastAsia="Arial" w:hAnsi="Arial"/>
          <w:sz w:val="16"/>
          <w:szCs w:val="16"/>
          <w:color w:val="0000FF"/>
        </w:rPr>
      </w:pPr>
      <w:hyperlink r:id="rId76">
        <w:r>
          <w:rPr>
            <w:rFonts w:ascii="Arial" w:cs="Arial" w:eastAsia="Arial" w:hAnsi="Arial"/>
            <w:sz w:val="16"/>
            <w:szCs w:val="16"/>
            <w:u w:val="single" w:color="auto"/>
            <w:color w:val="0000FF"/>
          </w:rPr>
          <w:t>10.35</w:t>
        </w:r>
      </w:hyperlink>
      <w:r>
        <w:rPr>
          <w:rFonts w:ascii="Arial" w:cs="Arial" w:eastAsia="Arial" w:hAnsi="Arial"/>
          <w:sz w:val="16"/>
          <w:szCs w:val="16"/>
          <w:color w:val="000000"/>
        </w:rPr>
        <w:t>*</w:t>
      </w:r>
      <w:r>
        <w:rPr>
          <w:rFonts w:ascii="Arial" w:cs="Arial" w:eastAsia="Arial" w:hAnsi="Arial"/>
          <w:sz w:val="16"/>
          <w:szCs w:val="16"/>
          <w:color w:val="0000FF"/>
        </w:rPr>
        <w:tab/>
        <w:t>Form of Invention and Non-Disclosure Agreement between Cimpress and each of Robert Keane, Katryn Blake, Donald LeBlanc, and Sean Quinn is incorporated by reference to our Registration Statement on Form S-1, as amended</w:t>
      </w:r>
    </w:p>
    <w:p>
      <w:pPr>
        <w:spacing w:after="0" w:line="34" w:lineRule="exact"/>
        <w:rPr>
          <w:sz w:val="20"/>
          <w:szCs w:val="20"/>
          <w:color w:val="auto"/>
        </w:rPr>
      </w:pPr>
    </w:p>
    <w:p>
      <w:pPr>
        <w:ind w:left="920" w:right="340" w:hanging="917"/>
        <w:spacing w:after="0" w:line="260" w:lineRule="auto"/>
        <w:tabs>
          <w:tab w:leader="none" w:pos="900" w:val="left"/>
        </w:tabs>
        <w:rPr>
          <w:rFonts w:ascii="Arial" w:cs="Arial" w:eastAsia="Arial" w:hAnsi="Arial"/>
          <w:sz w:val="16"/>
          <w:szCs w:val="16"/>
          <w:color w:val="0000FF"/>
        </w:rPr>
      </w:pPr>
      <w:hyperlink r:id="rId77">
        <w:r>
          <w:rPr>
            <w:rFonts w:ascii="Arial" w:cs="Arial" w:eastAsia="Arial" w:hAnsi="Arial"/>
            <w:sz w:val="16"/>
            <w:szCs w:val="16"/>
            <w:u w:val="single" w:color="auto"/>
            <w:color w:val="0000FF"/>
          </w:rPr>
          <w:t>10.36</w:t>
        </w:r>
      </w:hyperlink>
      <w:r>
        <w:rPr>
          <w:rFonts w:ascii="Arial" w:cs="Arial" w:eastAsia="Arial" w:hAnsi="Arial"/>
          <w:sz w:val="16"/>
          <w:szCs w:val="16"/>
          <w:color w:val="000000"/>
        </w:rPr>
        <w:t>*</w:t>
      </w:r>
      <w:r>
        <w:rPr>
          <w:rFonts w:ascii="Arial" w:cs="Arial" w:eastAsia="Arial" w:hAnsi="Arial"/>
          <w:sz w:val="16"/>
          <w:szCs w:val="16"/>
          <w:color w:val="0000FF"/>
        </w:rPr>
        <w:tab/>
        <w:t>Form of Non-Competition and Non-Solicitation Agreement between Cimpress and each of Robert Keane, Katryn Blake, Donald LeBlanc, and Sean Quinn is incorporated by reference to our Registration Statement on Form S-1, as amended</w:t>
      </w:r>
    </w:p>
    <w:p>
      <w:pPr>
        <w:spacing w:after="0" w:line="34" w:lineRule="exact"/>
        <w:rPr>
          <w:sz w:val="20"/>
          <w:szCs w:val="20"/>
          <w:color w:val="auto"/>
        </w:rPr>
      </w:pPr>
    </w:p>
    <w:p>
      <w:pPr>
        <w:spacing w:after="0"/>
        <w:tabs>
          <w:tab w:leader="none" w:pos="900" w:val="left"/>
        </w:tabs>
        <w:rPr>
          <w:rFonts w:ascii="Arial" w:cs="Arial" w:eastAsia="Arial" w:hAnsi="Arial"/>
          <w:sz w:val="16"/>
          <w:szCs w:val="16"/>
          <w:color w:val="0000FF"/>
        </w:rPr>
      </w:pPr>
      <w:hyperlink r:id="rId78">
        <w:r>
          <w:rPr>
            <w:rFonts w:ascii="Arial" w:cs="Arial" w:eastAsia="Arial" w:hAnsi="Arial"/>
            <w:sz w:val="16"/>
            <w:szCs w:val="16"/>
            <w:u w:val="single" w:color="auto"/>
            <w:color w:val="0000FF"/>
          </w:rPr>
          <w:t>10.37</w:t>
        </w:r>
      </w:hyperlink>
      <w:r>
        <w:rPr>
          <w:rFonts w:ascii="Arial" w:cs="Arial" w:eastAsia="Arial" w:hAnsi="Arial"/>
          <w:sz w:val="16"/>
          <w:szCs w:val="16"/>
          <w:color w:val="000000"/>
        </w:rPr>
        <w:t>*</w:t>
      </w:r>
      <w:r>
        <w:rPr>
          <w:rFonts w:ascii="Arial" w:cs="Arial" w:eastAsia="Arial" w:hAnsi="Arial"/>
          <w:sz w:val="16"/>
          <w:szCs w:val="16"/>
          <w:color w:val="0000FF"/>
        </w:rPr>
        <w:tab/>
        <w:t>Summary of Compensatory Arrangements with Members of the Supervisory Board is incorporated by reference to our Quarterly Report on Form</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10-Q for the fiscal quarter ended December 31, 2016</w:t>
      </w:r>
    </w:p>
    <w:p>
      <w:pPr>
        <w:spacing w:after="0" w:line="59" w:lineRule="exact"/>
        <w:rPr>
          <w:sz w:val="20"/>
          <w:szCs w:val="20"/>
          <w:color w:val="auto"/>
        </w:rPr>
      </w:pPr>
    </w:p>
    <w:p>
      <w:pPr>
        <w:ind w:left="920" w:right="1040" w:hanging="917"/>
        <w:spacing w:after="0" w:line="260" w:lineRule="auto"/>
        <w:tabs>
          <w:tab w:leader="none" w:pos="900" w:val="left"/>
        </w:tabs>
        <w:rPr>
          <w:rFonts w:ascii="Arial" w:cs="Arial" w:eastAsia="Arial" w:hAnsi="Arial"/>
          <w:sz w:val="16"/>
          <w:szCs w:val="16"/>
          <w:color w:val="0000FF"/>
        </w:rPr>
      </w:pPr>
      <w:hyperlink r:id="rId79">
        <w:r>
          <w:rPr>
            <w:rFonts w:ascii="Arial" w:cs="Arial" w:eastAsia="Arial" w:hAnsi="Arial"/>
            <w:sz w:val="16"/>
            <w:szCs w:val="16"/>
            <w:u w:val="single" w:color="auto"/>
            <w:color w:val="0000FF"/>
          </w:rPr>
          <w:t>10.3</w:t>
        </w:r>
      </w:hyperlink>
      <w:r>
        <w:rPr>
          <w:rFonts w:ascii="Arial" w:cs="Arial" w:eastAsia="Arial" w:hAnsi="Arial"/>
          <w:sz w:val="16"/>
          <w:szCs w:val="16"/>
          <w:color w:val="000000"/>
        </w:rPr>
        <w:t>8</w:t>
      </w:r>
      <w:r>
        <w:rPr>
          <w:rFonts w:ascii="Arial" w:cs="Arial" w:eastAsia="Arial" w:hAnsi="Arial"/>
          <w:sz w:val="16"/>
          <w:szCs w:val="16"/>
          <w:color w:val="0000FF"/>
        </w:rPr>
        <w:tab/>
        <w:t>Call Option Agreement between Cimpress N.V. and Stichting Continuïteit Cimpress (formerly Stichting Continuïteit Vistaprint) dated November 16, 2009 is incorporated by reference to our Current Report on Form 8-K filed with the SEC on November 19, 2009</w:t>
      </w:r>
    </w:p>
    <w:p>
      <w:pPr>
        <w:spacing w:after="0" w:line="34" w:lineRule="exact"/>
        <w:rPr>
          <w:sz w:val="20"/>
          <w:szCs w:val="20"/>
          <w:color w:val="auto"/>
        </w:rPr>
      </w:pPr>
    </w:p>
    <w:p>
      <w:pPr>
        <w:ind w:left="920" w:right="40" w:hanging="917"/>
        <w:spacing w:after="0" w:line="250" w:lineRule="auto"/>
        <w:tabs>
          <w:tab w:leader="none" w:pos="900" w:val="left"/>
        </w:tabs>
        <w:rPr>
          <w:rFonts w:ascii="Arial" w:cs="Arial" w:eastAsia="Arial" w:hAnsi="Arial"/>
          <w:sz w:val="16"/>
          <w:szCs w:val="16"/>
          <w:color w:val="0000FF"/>
        </w:rPr>
      </w:pPr>
      <w:hyperlink r:id="rId80">
        <w:r>
          <w:rPr>
            <w:rFonts w:ascii="Arial" w:cs="Arial" w:eastAsia="Arial" w:hAnsi="Arial"/>
            <w:sz w:val="16"/>
            <w:szCs w:val="16"/>
            <w:u w:val="single" w:color="auto"/>
            <w:color w:val="0000FF"/>
          </w:rPr>
          <w:t>10.39</w:t>
        </w:r>
      </w:hyperlink>
      <w:r>
        <w:rPr>
          <w:rFonts w:ascii="Arial" w:cs="Arial" w:eastAsia="Arial" w:hAnsi="Arial"/>
          <w:sz w:val="16"/>
          <w:szCs w:val="16"/>
          <w:color w:val="0000FF"/>
        </w:rPr>
        <w:tab/>
        <w:t>Amendment and Restatement Agreement dated as of July 13, 2017 among Cimpress N.V., Vistaprint Limited, Cimpress Schweiz GmbH, Vistaprint B.V., and Cimpress USA Incorporated, as borrowers (the “Borrowers”); the lenders named therein as lenders; and JPMorgan Chase Bank N.A., as administrative agent for the lenders (the “Administrative Agent”), which amends and restates the senior Credit Agreement dated as of October 21, 2011, as amended and restated as of February 8, 2013, among the Borrowers, the lenders named therein, and the Administrative Agent, is incorporated by reference to our Current Report on Form 8-K filed with the SEC on July 14, 2017</w:t>
      </w:r>
    </w:p>
    <w:p>
      <w:pPr>
        <w:spacing w:after="0" w:line="41" w:lineRule="exact"/>
        <w:rPr>
          <w:sz w:val="20"/>
          <w:szCs w:val="20"/>
          <w:color w:val="auto"/>
        </w:rPr>
      </w:pPr>
    </w:p>
    <w:p>
      <w:pPr>
        <w:ind w:left="920" w:right="40" w:hanging="917"/>
        <w:spacing w:after="0" w:line="250" w:lineRule="auto"/>
        <w:tabs>
          <w:tab w:leader="none" w:pos="900" w:val="left"/>
        </w:tabs>
        <w:rPr>
          <w:rFonts w:ascii="Arial" w:cs="Arial" w:eastAsia="Arial" w:hAnsi="Arial"/>
          <w:sz w:val="16"/>
          <w:szCs w:val="16"/>
          <w:color w:val="0000FF"/>
        </w:rPr>
      </w:pPr>
      <w:hyperlink r:id="rId81">
        <w:r>
          <w:rPr>
            <w:rFonts w:ascii="Arial" w:cs="Arial" w:eastAsia="Arial" w:hAnsi="Arial"/>
            <w:sz w:val="16"/>
            <w:szCs w:val="16"/>
            <w:u w:val="single" w:color="auto"/>
            <w:color w:val="0000FF"/>
          </w:rPr>
          <w:t>10.40</w:t>
        </w:r>
      </w:hyperlink>
      <w:r>
        <w:rPr>
          <w:rFonts w:ascii="Arial" w:cs="Arial" w:eastAsia="Arial" w:hAnsi="Arial"/>
          <w:sz w:val="16"/>
          <w:szCs w:val="16"/>
          <w:color w:val="0000FF"/>
        </w:rPr>
        <w:tab/>
        <w:t>Amendment No. 1, dated as of June 14, 2018, among Cimpress N.V., Vistaprint Limited, Cimpress Schweiz GmbH, Vistaprint B.V., and Cimpress USA Incorporated, as borrowers (the “Borrowers”); the lenders named therein as lenders; and JPMorgan Chase Bank N.A., as administrative agent for the lenders (the “Administrative Agent”), to the senior Credit Agreement dated as of October 21, 2011, as amended and restated as of February 8, 2013, and as further amended and restated as of July 13, 2017, among the Borrowers, the lenders named therein, and the Administrative Agent, is incorporated by reference to our Current Report on Form 8-K filed with the SEC on June 18, 2018</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40"/>
          </w:cols>
          <w:pgMar w:left="280" w:top="546" w:right="279" w:bottom="1440" w:gutter="0" w:footer="0" w:header="0"/>
        </w:sectPr>
      </w:pPr>
    </w:p>
    <w:bookmarkStart w:id="111" w:name="page112"/>
    <w:bookmarkEnd w:id="111"/>
    <w:tbl>
      <w:tblPr>
        <w:tblLayout w:type="fixed"/>
        <w:tblInd w:w="40" w:type="dxa"/>
        <w:tblCellMar>
          <w:top w:w="0" w:type="dxa"/>
          <w:left w:w="0" w:type="dxa"/>
          <w:bottom w:w="0" w:type="dxa"/>
          <w:right w:w="0" w:type="dxa"/>
        </w:tblCellMar>
      </w:tblPr>
      <w:tr>
        <w:trPr>
          <w:trHeight w:val="184"/>
        </w:trPr>
        <w:tc>
          <w:tcPr>
            <w:tcW w:w="660" w:type="dxa"/>
            <w:vAlign w:val="bottom"/>
            <w:gridSpan w:val="3"/>
          </w:tcPr>
          <w:p>
            <w:pPr>
              <w:spacing w:after="0"/>
              <w:rPr>
                <w:rFonts w:ascii="Arial" w:cs="Arial" w:eastAsia="Arial" w:hAnsi="Arial"/>
                <w:sz w:val="16"/>
                <w:szCs w:val="16"/>
                <w:color w:val="0000FF"/>
              </w:rPr>
            </w:pPr>
            <w:hyperlink r:id="rId82">
              <w:r>
                <w:rPr>
                  <w:rFonts w:ascii="Arial" w:cs="Arial" w:eastAsia="Arial" w:hAnsi="Arial"/>
                  <w:sz w:val="16"/>
                  <w:szCs w:val="16"/>
                  <w:color w:val="0000FF"/>
                </w:rPr>
                <w:t>10.</w:t>
              </w:r>
              <w:r>
                <w:rPr>
                  <w:rFonts w:ascii="Arial" w:cs="Arial" w:eastAsia="Arial" w:hAnsi="Arial"/>
                  <w:sz w:val="16"/>
                  <w:szCs w:val="16"/>
                  <w:u w:val="single" w:color="auto"/>
                  <w:color w:val="0000FF"/>
                </w:rPr>
                <w:t>41</w:t>
              </w:r>
            </w:hyperlink>
          </w:p>
        </w:tc>
        <w:tc>
          <w:tcPr>
            <w:tcW w:w="10660" w:type="dxa"/>
            <w:vAlign w:val="bottom"/>
          </w:tcPr>
          <w:p>
            <w:pPr>
              <w:ind w:left="260"/>
              <w:spacing w:after="0"/>
              <w:rPr>
                <w:sz w:val="20"/>
                <w:szCs w:val="20"/>
                <w:color w:val="auto"/>
              </w:rPr>
            </w:pPr>
            <w:r>
              <w:rPr>
                <w:rFonts w:ascii="Arial" w:cs="Arial" w:eastAsia="Arial" w:hAnsi="Arial"/>
                <w:sz w:val="16"/>
                <w:szCs w:val="16"/>
                <w:color w:val="auto"/>
              </w:rPr>
              <w:t>Second Amended and Restated Guaranty dated as of July 13, 2017 between Cimpress' subsidiary guarantors named therein as guarantors (the</w:t>
            </w:r>
          </w:p>
        </w:tc>
      </w:tr>
      <w:tr>
        <w:trPr>
          <w:trHeight w:val="198"/>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"Subsidiary Guarantors") and the Administrative Agent, which amends and restates the Amended and Restated Guaranty dated as of February 8,</w:t>
            </w: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2013 between the Subsidiary Guarantors and the Administrative Agent, is incorporated by reference to our Current Report on Form 8-K filed with</w:t>
            </w:r>
          </w:p>
        </w:tc>
      </w:tr>
      <w:tr>
        <w:trPr>
          <w:trHeight w:val="195"/>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the SEC on July 14, 2017</w:t>
            </w:r>
          </w:p>
        </w:tc>
      </w:tr>
      <w:tr>
        <w:trPr>
          <w:trHeight w:val="209"/>
        </w:trPr>
        <w:tc>
          <w:tcPr>
            <w:tcW w:w="660" w:type="dxa"/>
            <w:vAlign w:val="bottom"/>
            <w:gridSpan w:val="3"/>
          </w:tcPr>
          <w:p>
            <w:pPr>
              <w:spacing w:after="0"/>
              <w:rPr>
                <w:rFonts w:ascii="Arial" w:cs="Arial" w:eastAsia="Arial" w:hAnsi="Arial"/>
                <w:sz w:val="16"/>
                <w:szCs w:val="16"/>
                <w:color w:val="0000FF"/>
              </w:rPr>
            </w:pPr>
            <w:hyperlink r:id="rId83">
              <w:r>
                <w:rPr>
                  <w:rFonts w:ascii="Arial" w:cs="Arial" w:eastAsia="Arial" w:hAnsi="Arial"/>
                  <w:sz w:val="16"/>
                  <w:szCs w:val="16"/>
                  <w:color w:val="0000FF"/>
                </w:rPr>
                <w:t>10.</w:t>
              </w:r>
              <w:r>
                <w:rPr>
                  <w:rFonts w:ascii="Arial" w:cs="Arial" w:eastAsia="Arial" w:hAnsi="Arial"/>
                  <w:sz w:val="16"/>
                  <w:szCs w:val="16"/>
                  <w:u w:val="single" w:color="auto"/>
                  <w:color w:val="0000FF"/>
                </w:rPr>
                <w:t>42</w:t>
              </w:r>
            </w:hyperlink>
          </w:p>
        </w:tc>
        <w:tc>
          <w:tcPr>
            <w:tcW w:w="10660" w:type="dxa"/>
            <w:vAlign w:val="bottom"/>
          </w:tcPr>
          <w:p>
            <w:pPr>
              <w:ind w:left="260"/>
              <w:spacing w:after="0"/>
              <w:rPr>
                <w:sz w:val="20"/>
                <w:szCs w:val="20"/>
                <w:color w:val="auto"/>
              </w:rPr>
            </w:pPr>
            <w:r>
              <w:rPr>
                <w:rFonts w:ascii="Arial" w:cs="Arial" w:eastAsia="Arial" w:hAnsi="Arial"/>
                <w:sz w:val="16"/>
                <w:szCs w:val="16"/>
                <w:color w:val="auto"/>
              </w:rPr>
              <w:t>Amended and Restated Pledge and Security Agreement dated as of July 13, 2017 between Cimpress USA Incorporated, Vistaprint Limited,</w:t>
            </w:r>
          </w:p>
        </w:tc>
      </w:tr>
      <w:tr>
        <w:trPr>
          <w:trHeight w:val="198"/>
        </w:trPr>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Cimpress Schweiz GmbH, and Vistaprint B.V., as Borrowers, and Cimpress USA Manufacturing Incorporated, National Pen Co. LLC, National</w:t>
            </w: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Pen Tennessee LLC, NP Corporate Services LLC, Pixartprinting USA Incorporated, Vistaprint Corporate Solutions Incorporated, and Webs, Inc.,</w:t>
            </w: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as Subsidiary Guarantors, on one hand, and the Administrative Agent, on the other hand, which amends and restates the Pledge and Security</w:t>
            </w: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Agreement dated as of February 8, 2013, between such Borrowers and Subsidiary Guarantors and the Administrative Agent, is incorporated by</w:t>
            </w:r>
          </w:p>
        </w:tc>
      </w:tr>
      <w:tr>
        <w:trPr>
          <w:trHeight w:val="195"/>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reference to our Current Report on Form 8-K filed with the SEC on July 14, 2017</w:t>
            </w:r>
          </w:p>
        </w:tc>
      </w:tr>
      <w:tr>
        <w:trPr>
          <w:trHeight w:val="209"/>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30">
              <w:r>
                <w:rPr>
                  <w:rFonts w:ascii="Arial" w:cs="Arial" w:eastAsia="Arial" w:hAnsi="Arial"/>
                  <w:sz w:val="16"/>
                  <w:szCs w:val="16"/>
                  <w:color w:val="0000FF"/>
                  <w:w w:val="96"/>
                </w:rPr>
                <w:t>21.</w:t>
              </w:r>
              <w:r>
                <w:rPr>
                  <w:rFonts w:ascii="Arial" w:cs="Arial" w:eastAsia="Arial" w:hAnsi="Arial"/>
                  <w:sz w:val="16"/>
                  <w:szCs w:val="16"/>
                  <w:u w:val="single" w:color="auto"/>
                  <w:color w:val="0000FF"/>
                  <w:w w:val="96"/>
                </w:rPr>
                <w:t>1</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Subsidiaries of Cimpress N.V.</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31">
              <w:r>
                <w:rPr>
                  <w:rFonts w:ascii="Arial" w:cs="Arial" w:eastAsia="Arial" w:hAnsi="Arial"/>
                  <w:sz w:val="16"/>
                  <w:szCs w:val="16"/>
                  <w:color w:val="0000FF"/>
                  <w:w w:val="96"/>
                </w:rPr>
                <w:t>23.</w:t>
              </w:r>
              <w:r>
                <w:rPr>
                  <w:rFonts w:ascii="Arial" w:cs="Arial" w:eastAsia="Arial" w:hAnsi="Arial"/>
                  <w:sz w:val="16"/>
                  <w:szCs w:val="16"/>
                  <w:u w:val="single" w:color="auto"/>
                  <w:color w:val="0000FF"/>
                  <w:w w:val="96"/>
                </w:rPr>
                <w:t>1</w:t>
              </w:r>
            </w:hyperlink>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Consent of PricewaterhouseCoopers LLP, Independent Registered Public Accounting Firm</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32">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Executive Officer</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33">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Financial Officer</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34">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 by Chief Executive</w:t>
            </w:r>
          </w:p>
        </w:tc>
      </w:tr>
      <w:tr>
        <w:trPr>
          <w:trHeight w:val="204"/>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60" w:type="dxa"/>
            <w:vAlign w:val="bottom"/>
          </w:tcPr>
          <w:p>
            <w:pPr>
              <w:ind w:left="260"/>
              <w:spacing w:after="0"/>
              <w:rPr>
                <w:sz w:val="20"/>
                <w:szCs w:val="20"/>
                <w:color w:val="auto"/>
              </w:rPr>
            </w:pPr>
            <w:r>
              <w:rPr>
                <w:rFonts w:ascii="Arial" w:cs="Arial" w:eastAsia="Arial" w:hAnsi="Arial"/>
                <w:sz w:val="16"/>
                <w:szCs w:val="16"/>
                <w:color w:val="auto"/>
              </w:rPr>
              <w:t>Officer and Chief Financial Officer</w:t>
            </w:r>
          </w:p>
        </w:tc>
      </w:tr>
    </w:tbl>
    <w:p>
      <w:pPr>
        <w:spacing w:after="0" w:line="48" w:lineRule="exact"/>
        <w:rPr>
          <w:sz w:val="20"/>
          <w:szCs w:val="20"/>
          <w:color w:val="auto"/>
        </w:rPr>
      </w:pPr>
    </w:p>
    <w:p>
      <w:pPr>
        <w:ind w:left="960" w:right="200" w:hanging="925"/>
        <w:spacing w:after="0" w:line="253" w:lineRule="auto"/>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following materials from this Annual Report on Form 10-K, formatted in Extensible Business Reporting Language (XBRL): (i) Condensed Consolidated Balance Sheets, (ii) Condensed Consolidated Statements of Operations, (iii) Condensed Statements of Shareholder's Equity, (iv) Condensed Consolidated Statements of Cash Flows and (v) Notes to Condensed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38" w:lineRule="exact"/>
        <w:rPr>
          <w:sz w:val="20"/>
          <w:szCs w:val="20"/>
          <w:color w:val="auto"/>
        </w:rPr>
      </w:pPr>
    </w:p>
    <w:p>
      <w:pPr>
        <w:ind w:left="1180" w:hanging="452"/>
        <w:spacing w:after="0"/>
        <w:tabs>
          <w:tab w:leader="none" w:pos="11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18" w:lineRule="exact"/>
        <w:rPr>
          <w:rFonts w:ascii="Arial" w:cs="Arial" w:eastAsia="Arial" w:hAnsi="Arial"/>
          <w:sz w:val="16"/>
          <w:szCs w:val="16"/>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98" w:lineRule="exact"/>
        <w:rPr>
          <w:sz w:val="20"/>
          <w:szCs w:val="20"/>
          <w:color w:val="auto"/>
        </w:rPr>
      </w:pPr>
    </w:p>
    <w:p>
      <w:pPr>
        <w:ind w:right="880" w:firstLine="648"/>
        <w:spacing w:after="0" w:line="262"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accompanying consolidated financial statements or notes thereto.</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60"/>
          </w:cols>
          <w:pgMar w:left="240" w:top="523" w:right="29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right="420" w:firstLine="66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color w:val="auto"/>
        </w:rPr>
        <w:t>August 10, 2018</w:t>
      </w:r>
      <w:r>
        <w:rPr>
          <w:sz w:val="20"/>
          <w:szCs w:val="20"/>
          <w:color w:val="auto"/>
        </w:rPr>
        <w:tab/>
      </w:r>
      <w:r>
        <w:rPr>
          <w:rFonts w:ascii="Arial" w:cs="Arial" w:eastAsia="Arial" w:hAnsi="Arial"/>
          <w:sz w:val="17"/>
          <w:szCs w:val="17"/>
          <w:color w:val="auto"/>
        </w:rPr>
        <w:t>Cimpress N.V.</w:t>
      </w:r>
    </w:p>
    <w:p>
      <w:pPr>
        <w:spacing w:after="0" w:line="200" w:lineRule="exact"/>
        <w:rPr>
          <w:sz w:val="20"/>
          <w:szCs w:val="20"/>
          <w:color w:val="auto"/>
        </w:rPr>
      </w:pPr>
    </w:p>
    <w:p>
      <w:pPr>
        <w:spacing w:after="0" w:line="201" w:lineRule="exact"/>
        <w:rPr>
          <w:sz w:val="20"/>
          <w:szCs w:val="20"/>
          <w:color w:val="auto"/>
        </w:rPr>
      </w:pPr>
    </w:p>
    <w:p>
      <w:pPr>
        <w:ind w:left="5740"/>
        <w:spacing w:after="0"/>
        <w:tabs>
          <w:tab w:leader="none" w:pos="8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Robert S. Keane</w:t>
      </w:r>
    </w:p>
    <w:p>
      <w:pPr>
        <w:spacing w:after="0" w:line="109"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Founder &amp; Chief Executive Officer</w:t>
      </w:r>
    </w:p>
    <w:p>
      <w:pPr>
        <w:spacing w:after="0" w:line="40"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Signature</w:t>
            </w:r>
          </w:p>
        </w:tc>
        <w:tc>
          <w:tcPr>
            <w:tcW w:w="220" w:type="dxa"/>
            <w:vAlign w:val="bottom"/>
          </w:tcPr>
          <w:p>
            <w:pPr>
              <w:spacing w:after="0"/>
              <w:rPr>
                <w:sz w:val="19"/>
                <w:szCs w:val="19"/>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Title</w:t>
            </w:r>
          </w:p>
        </w:tc>
        <w:tc>
          <w:tcPr>
            <w:tcW w:w="200" w:type="dxa"/>
            <w:vAlign w:val="bottom"/>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r>
      <w:tr>
        <w:trPr>
          <w:trHeight w:val="385"/>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Robert S. Keane</w:t>
            </w:r>
          </w:p>
        </w:tc>
        <w:tc>
          <w:tcPr>
            <w:tcW w:w="220" w:type="dxa"/>
            <w:vAlign w:val="bottom"/>
          </w:tcPr>
          <w:p>
            <w:pPr>
              <w:spacing w:after="0"/>
              <w:rPr>
                <w:sz w:val="24"/>
                <w:szCs w:val="24"/>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Founder &amp; Chief Executive Officer</w:t>
            </w:r>
          </w:p>
        </w:tc>
        <w:tc>
          <w:tcPr>
            <w:tcW w:w="2400" w:type="dxa"/>
            <w:vAlign w:val="bottom"/>
          </w:tcPr>
          <w:p>
            <w:pPr>
              <w:jc w:val="center"/>
              <w:spacing w:after="0"/>
              <w:rPr>
                <w:sz w:val="20"/>
                <w:szCs w:val="20"/>
                <w:color w:val="auto"/>
              </w:rPr>
            </w:pPr>
            <w:r>
              <w:rPr>
                <w:rFonts w:ascii="Arial" w:cs="Arial" w:eastAsia="Arial" w:hAnsi="Arial"/>
                <w:sz w:val="18"/>
                <w:szCs w:val="18"/>
                <w:color w:val="auto"/>
              </w:rPr>
              <w:t>August 10, 2018</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9"/>
              </w:rPr>
              <w:t>Robert S. Keane</w:t>
            </w:r>
          </w:p>
        </w:tc>
        <w:tc>
          <w:tcPr>
            <w:tcW w:w="220" w:type="dxa"/>
            <w:vAlign w:val="bottom"/>
          </w:tcPr>
          <w:p>
            <w:pPr>
              <w:spacing w:after="0"/>
              <w:rPr>
                <w:sz w:val="21"/>
                <w:szCs w:val="21"/>
                <w:color w:val="auto"/>
              </w:rPr>
            </w:pPr>
          </w:p>
        </w:tc>
        <w:tc>
          <w:tcPr>
            <w:tcW w:w="53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(Principal executive officer)</w:t>
            </w:r>
          </w:p>
        </w:tc>
        <w:tc>
          <w:tcPr>
            <w:tcW w:w="2400" w:type="dxa"/>
            <w:vAlign w:val="bottom"/>
          </w:tcPr>
          <w:p>
            <w:pPr>
              <w:spacing w:after="0"/>
              <w:rPr>
                <w:sz w:val="21"/>
                <w:szCs w:val="21"/>
                <w:color w:val="auto"/>
              </w:rPr>
            </w:pPr>
          </w:p>
        </w:tc>
      </w:tr>
      <w:tr>
        <w:trPr>
          <w:trHeight w:val="399"/>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Sean E. Quinn</w:t>
            </w:r>
          </w:p>
        </w:tc>
        <w:tc>
          <w:tcPr>
            <w:tcW w:w="220" w:type="dxa"/>
            <w:vAlign w:val="bottom"/>
          </w:tcPr>
          <w:p>
            <w:pPr>
              <w:spacing w:after="0"/>
              <w:rPr>
                <w:sz w:val="24"/>
                <w:szCs w:val="24"/>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Chief Financial Officer</w:t>
            </w:r>
          </w:p>
        </w:tc>
        <w:tc>
          <w:tcPr>
            <w:tcW w:w="2400" w:type="dxa"/>
            <w:vAlign w:val="bottom"/>
          </w:tcPr>
          <w:p>
            <w:pPr>
              <w:jc w:val="center"/>
              <w:spacing w:after="0"/>
              <w:rPr>
                <w:sz w:val="20"/>
                <w:szCs w:val="20"/>
                <w:color w:val="auto"/>
              </w:rPr>
            </w:pPr>
            <w:r>
              <w:rPr>
                <w:rFonts w:ascii="Arial" w:cs="Arial" w:eastAsia="Arial" w:hAnsi="Arial"/>
                <w:sz w:val="18"/>
                <w:szCs w:val="18"/>
                <w:color w:val="auto"/>
              </w:rPr>
              <w:t>August 10, 2018</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9"/>
              </w:rPr>
              <w:t>Sean E. Quinn</w:t>
            </w:r>
          </w:p>
        </w:tc>
        <w:tc>
          <w:tcPr>
            <w:tcW w:w="220" w:type="dxa"/>
            <w:vAlign w:val="bottom"/>
          </w:tcPr>
          <w:p>
            <w:pPr>
              <w:spacing w:after="0"/>
              <w:rPr>
                <w:sz w:val="21"/>
                <w:szCs w:val="21"/>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(Principal financial and accounting officer)</w:t>
            </w:r>
          </w:p>
        </w:tc>
        <w:tc>
          <w:tcPr>
            <w:tcW w:w="2400" w:type="dxa"/>
            <w:vAlign w:val="bottom"/>
          </w:tcPr>
          <w:p>
            <w:pPr>
              <w:spacing w:after="0"/>
              <w:rPr>
                <w:sz w:val="21"/>
                <w:szCs w:val="21"/>
                <w:color w:val="auto"/>
              </w:rPr>
            </w:pPr>
          </w:p>
        </w:tc>
      </w:tr>
      <w:tr>
        <w:trPr>
          <w:trHeight w:val="399"/>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Paolo De Cesare</w:t>
            </w:r>
          </w:p>
        </w:tc>
        <w:tc>
          <w:tcPr>
            <w:tcW w:w="220" w:type="dxa"/>
            <w:vAlign w:val="bottom"/>
          </w:tcPr>
          <w:p>
            <w:pPr>
              <w:spacing w:after="0"/>
              <w:rPr>
                <w:sz w:val="24"/>
                <w:szCs w:val="24"/>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Member, Supervisory Board</w:t>
            </w:r>
          </w:p>
        </w:tc>
        <w:tc>
          <w:tcPr>
            <w:tcW w:w="2400" w:type="dxa"/>
            <w:vAlign w:val="bottom"/>
          </w:tcPr>
          <w:p>
            <w:pPr>
              <w:jc w:val="center"/>
              <w:spacing w:after="0"/>
              <w:rPr>
                <w:sz w:val="20"/>
                <w:szCs w:val="20"/>
                <w:color w:val="auto"/>
              </w:rPr>
            </w:pPr>
            <w:r>
              <w:rPr>
                <w:rFonts w:ascii="Arial" w:cs="Arial" w:eastAsia="Arial" w:hAnsi="Arial"/>
                <w:sz w:val="18"/>
                <w:szCs w:val="18"/>
                <w:color w:val="auto"/>
              </w:rPr>
              <w:t>August 10, 2018</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9"/>
              </w:rPr>
              <w:t>Paolo De Cesare</w:t>
            </w:r>
          </w:p>
        </w:tc>
        <w:tc>
          <w:tcPr>
            <w:tcW w:w="2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399"/>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Sophie A. Gasperment</w:t>
            </w:r>
          </w:p>
        </w:tc>
        <w:tc>
          <w:tcPr>
            <w:tcW w:w="220" w:type="dxa"/>
            <w:vAlign w:val="bottom"/>
          </w:tcPr>
          <w:p>
            <w:pPr>
              <w:spacing w:after="0"/>
              <w:rPr>
                <w:sz w:val="24"/>
                <w:szCs w:val="24"/>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Member, Supervisory Board</w:t>
            </w:r>
          </w:p>
        </w:tc>
        <w:tc>
          <w:tcPr>
            <w:tcW w:w="2400" w:type="dxa"/>
            <w:vAlign w:val="bottom"/>
          </w:tcPr>
          <w:p>
            <w:pPr>
              <w:jc w:val="center"/>
              <w:spacing w:after="0"/>
              <w:rPr>
                <w:sz w:val="20"/>
                <w:szCs w:val="20"/>
                <w:color w:val="auto"/>
              </w:rPr>
            </w:pPr>
            <w:r>
              <w:rPr>
                <w:rFonts w:ascii="Arial" w:cs="Arial" w:eastAsia="Arial" w:hAnsi="Arial"/>
                <w:sz w:val="18"/>
                <w:szCs w:val="18"/>
                <w:color w:val="auto"/>
              </w:rPr>
              <w:t>August 10, 2018</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9"/>
              </w:rPr>
              <w:t>Sophie A. Gasperment</w:t>
            </w:r>
          </w:p>
        </w:tc>
        <w:tc>
          <w:tcPr>
            <w:tcW w:w="2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399"/>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J. Gavin Jr.</w:t>
            </w:r>
          </w:p>
        </w:tc>
        <w:tc>
          <w:tcPr>
            <w:tcW w:w="220" w:type="dxa"/>
            <w:vAlign w:val="bottom"/>
          </w:tcPr>
          <w:p>
            <w:pPr>
              <w:spacing w:after="0"/>
              <w:rPr>
                <w:sz w:val="24"/>
                <w:szCs w:val="24"/>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Member, Supervisory Board</w:t>
            </w:r>
          </w:p>
        </w:tc>
        <w:tc>
          <w:tcPr>
            <w:tcW w:w="2400" w:type="dxa"/>
            <w:vAlign w:val="bottom"/>
          </w:tcPr>
          <w:p>
            <w:pPr>
              <w:jc w:val="center"/>
              <w:spacing w:after="0"/>
              <w:rPr>
                <w:sz w:val="20"/>
                <w:szCs w:val="20"/>
                <w:color w:val="auto"/>
              </w:rPr>
            </w:pPr>
            <w:r>
              <w:rPr>
                <w:rFonts w:ascii="Arial" w:cs="Arial" w:eastAsia="Arial" w:hAnsi="Arial"/>
                <w:sz w:val="18"/>
                <w:szCs w:val="18"/>
                <w:color w:val="auto"/>
              </w:rPr>
              <w:t>August 10, 2018</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9"/>
              </w:rPr>
              <w:t>John J. Gavin Jr.</w:t>
            </w:r>
          </w:p>
        </w:tc>
        <w:tc>
          <w:tcPr>
            <w:tcW w:w="2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399"/>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Richard T. Riley</w:t>
            </w:r>
          </w:p>
        </w:tc>
        <w:tc>
          <w:tcPr>
            <w:tcW w:w="220" w:type="dxa"/>
            <w:vAlign w:val="bottom"/>
          </w:tcPr>
          <w:p>
            <w:pPr>
              <w:spacing w:after="0"/>
              <w:rPr>
                <w:sz w:val="24"/>
                <w:szCs w:val="24"/>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Chairman, Supervisory Board</w:t>
            </w:r>
          </w:p>
        </w:tc>
        <w:tc>
          <w:tcPr>
            <w:tcW w:w="2400" w:type="dxa"/>
            <w:vAlign w:val="bottom"/>
          </w:tcPr>
          <w:p>
            <w:pPr>
              <w:jc w:val="center"/>
              <w:spacing w:after="0"/>
              <w:rPr>
                <w:sz w:val="20"/>
                <w:szCs w:val="20"/>
                <w:color w:val="auto"/>
              </w:rPr>
            </w:pPr>
            <w:r>
              <w:rPr>
                <w:rFonts w:ascii="Arial" w:cs="Arial" w:eastAsia="Arial" w:hAnsi="Arial"/>
                <w:sz w:val="18"/>
                <w:szCs w:val="18"/>
                <w:color w:val="auto"/>
              </w:rPr>
              <w:t>August 10, 2018</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8"/>
              </w:rPr>
              <w:t>Richard T. Riley</w:t>
            </w:r>
          </w:p>
        </w:tc>
        <w:tc>
          <w:tcPr>
            <w:tcW w:w="2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399"/>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Nadia Shouraboura</w:t>
            </w:r>
          </w:p>
        </w:tc>
        <w:tc>
          <w:tcPr>
            <w:tcW w:w="220" w:type="dxa"/>
            <w:vAlign w:val="bottom"/>
          </w:tcPr>
          <w:p>
            <w:pPr>
              <w:spacing w:after="0"/>
              <w:rPr>
                <w:sz w:val="24"/>
                <w:szCs w:val="24"/>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Member, Supervisory Board</w:t>
            </w:r>
          </w:p>
        </w:tc>
        <w:tc>
          <w:tcPr>
            <w:tcW w:w="2400" w:type="dxa"/>
            <w:vAlign w:val="bottom"/>
          </w:tcPr>
          <w:p>
            <w:pPr>
              <w:jc w:val="center"/>
              <w:spacing w:after="0"/>
              <w:rPr>
                <w:sz w:val="20"/>
                <w:szCs w:val="20"/>
                <w:color w:val="auto"/>
              </w:rPr>
            </w:pPr>
            <w:r>
              <w:rPr>
                <w:rFonts w:ascii="Arial" w:cs="Arial" w:eastAsia="Arial" w:hAnsi="Arial"/>
                <w:sz w:val="18"/>
                <w:szCs w:val="18"/>
                <w:color w:val="auto"/>
              </w:rPr>
              <w:t>August 10, 2018</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9"/>
              </w:rPr>
              <w:t>Nadia Shouraboura</w:t>
            </w:r>
          </w:p>
        </w:tc>
        <w:tc>
          <w:tcPr>
            <w:tcW w:w="2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399"/>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Zachary Sternberg</w:t>
            </w:r>
          </w:p>
        </w:tc>
        <w:tc>
          <w:tcPr>
            <w:tcW w:w="220" w:type="dxa"/>
            <w:vAlign w:val="bottom"/>
          </w:tcPr>
          <w:p>
            <w:pPr>
              <w:spacing w:after="0"/>
              <w:rPr>
                <w:sz w:val="24"/>
                <w:szCs w:val="24"/>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Member, Supervisory Board</w:t>
            </w:r>
          </w:p>
        </w:tc>
        <w:tc>
          <w:tcPr>
            <w:tcW w:w="2400" w:type="dxa"/>
            <w:vAlign w:val="bottom"/>
          </w:tcPr>
          <w:p>
            <w:pPr>
              <w:jc w:val="center"/>
              <w:spacing w:after="0"/>
              <w:rPr>
                <w:sz w:val="20"/>
                <w:szCs w:val="20"/>
                <w:color w:val="auto"/>
              </w:rPr>
            </w:pPr>
            <w:r>
              <w:rPr>
                <w:rFonts w:ascii="Arial" w:cs="Arial" w:eastAsia="Arial" w:hAnsi="Arial"/>
                <w:sz w:val="18"/>
                <w:szCs w:val="18"/>
                <w:color w:val="auto"/>
              </w:rPr>
              <w:t>August 10, 2018</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9"/>
              </w:rPr>
              <w:t>Zachary Sternberg</w:t>
            </w:r>
          </w:p>
        </w:tc>
        <w:tc>
          <w:tcPr>
            <w:tcW w:w="2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399"/>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Mark T. Thomas</w:t>
            </w:r>
          </w:p>
        </w:tc>
        <w:tc>
          <w:tcPr>
            <w:tcW w:w="220" w:type="dxa"/>
            <w:vAlign w:val="bottom"/>
          </w:tcPr>
          <w:p>
            <w:pPr>
              <w:spacing w:after="0"/>
              <w:rPr>
                <w:sz w:val="24"/>
                <w:szCs w:val="24"/>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Member, Supervisory Board</w:t>
            </w:r>
          </w:p>
        </w:tc>
        <w:tc>
          <w:tcPr>
            <w:tcW w:w="2400" w:type="dxa"/>
            <w:vAlign w:val="bottom"/>
          </w:tcPr>
          <w:p>
            <w:pPr>
              <w:jc w:val="center"/>
              <w:spacing w:after="0"/>
              <w:rPr>
                <w:sz w:val="20"/>
                <w:szCs w:val="20"/>
                <w:color w:val="auto"/>
              </w:rPr>
            </w:pPr>
            <w:r>
              <w:rPr>
                <w:rFonts w:ascii="Arial" w:cs="Arial" w:eastAsia="Arial" w:hAnsi="Arial"/>
                <w:sz w:val="18"/>
                <w:szCs w:val="18"/>
                <w:color w:val="auto"/>
              </w:rPr>
              <w:t>August 10, 2018</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7"/>
              </w:rPr>
              <w:t>Mark T. Thomas</w:t>
            </w:r>
          </w:p>
        </w:tc>
        <w:tc>
          <w:tcPr>
            <w:tcW w:w="2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399"/>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Scott Vassalluzzo</w:t>
            </w:r>
          </w:p>
        </w:tc>
        <w:tc>
          <w:tcPr>
            <w:tcW w:w="220" w:type="dxa"/>
            <w:vAlign w:val="bottom"/>
          </w:tcPr>
          <w:p>
            <w:pPr>
              <w:spacing w:after="0"/>
              <w:rPr>
                <w:sz w:val="24"/>
                <w:szCs w:val="24"/>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Member, Supervisory Board</w:t>
            </w:r>
          </w:p>
        </w:tc>
        <w:tc>
          <w:tcPr>
            <w:tcW w:w="2400" w:type="dxa"/>
            <w:vAlign w:val="bottom"/>
          </w:tcPr>
          <w:p>
            <w:pPr>
              <w:jc w:val="center"/>
              <w:spacing w:after="0"/>
              <w:rPr>
                <w:sz w:val="20"/>
                <w:szCs w:val="20"/>
                <w:color w:val="auto"/>
              </w:rPr>
            </w:pPr>
            <w:r>
              <w:rPr>
                <w:rFonts w:ascii="Arial" w:cs="Arial" w:eastAsia="Arial" w:hAnsi="Arial"/>
                <w:sz w:val="18"/>
                <w:szCs w:val="18"/>
                <w:color w:val="auto"/>
              </w:rPr>
              <w:t>August 10, 2018</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8"/>
              </w:rPr>
              <w:t>Scott Vassalluzzo</w:t>
            </w:r>
          </w:p>
        </w:tc>
        <w:tc>
          <w:tcPr>
            <w:tcW w:w="2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689"/>
        </w:trPr>
        <w:tc>
          <w:tcPr>
            <w:tcW w:w="3440" w:type="dxa"/>
            <w:vAlign w:val="bottom"/>
          </w:tcPr>
          <w:p>
            <w:pPr>
              <w:spacing w:after="0"/>
              <w:rPr>
                <w:sz w:val="24"/>
                <w:szCs w:val="24"/>
                <w:color w:val="auto"/>
              </w:rPr>
            </w:pPr>
          </w:p>
        </w:tc>
        <w:tc>
          <w:tcPr>
            <w:tcW w:w="5380" w:type="dxa"/>
            <w:vAlign w:val="bottom"/>
            <w:gridSpan w:val="2"/>
          </w:tcPr>
          <w:p>
            <w:pPr>
              <w:jc w:val="right"/>
              <w:ind w:right="287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ARTICLES OF ASSOCIATION OF</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CIMPRESS N.V.</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(informal translation)</w:t>
      </w:r>
    </w:p>
    <w:p>
      <w:pPr>
        <w:spacing w:after="0" w:line="289"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having its seat in Venlo, as these read after the execution of the deed of amendment of the articles of association executed on 26 June 2018 before M.A.J. Cremers, civil-law notary in Amsterdam.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company is registered in the trade register under number 14117527.</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definitions shall apply in these articles of association:</w:t>
      </w:r>
    </w:p>
    <w:p>
      <w:pPr>
        <w:spacing w:after="0" w:line="270" w:lineRule="exact"/>
        <w:rPr>
          <w:sz w:val="20"/>
          <w:szCs w:val="20"/>
          <w:color w:val="auto"/>
        </w:rPr>
      </w:pPr>
    </w:p>
    <w:p>
      <w:pPr>
        <w:ind w:left="380" w:right="20" w:hanging="372"/>
        <w:spacing w:after="0" w:line="279" w:lineRule="auto"/>
        <w:tabs>
          <w:tab w:leader="none" w:pos="380" w:val="left"/>
        </w:tabs>
        <w:numPr>
          <w:ilvl w:val="0"/>
          <w:numId w:val="70"/>
        </w:numPr>
        <w:rPr>
          <w:rFonts w:ascii="Arial" w:cs="Arial" w:eastAsia="Arial" w:hAnsi="Arial"/>
          <w:sz w:val="22"/>
          <w:szCs w:val="22"/>
          <w:color w:val="auto"/>
        </w:rPr>
      </w:pPr>
      <w:r>
        <w:rPr>
          <w:rFonts w:ascii="Arial" w:cs="Arial" w:eastAsia="Arial" w:hAnsi="Arial"/>
          <w:sz w:val="20"/>
          <w:szCs w:val="20"/>
          <w:color w:val="auto"/>
        </w:rPr>
        <w:t>general meeting: the body consisting of the shareholders entitled to vote and other persons entitled to vote as well as the meeting of shareholders and other persons entitled to attend meetings;</w:t>
      </w:r>
    </w:p>
    <w:p>
      <w:pPr>
        <w:spacing w:after="0" w:line="205" w:lineRule="exact"/>
        <w:rPr>
          <w:rFonts w:ascii="Arial" w:cs="Arial" w:eastAsia="Arial" w:hAnsi="Arial"/>
          <w:sz w:val="22"/>
          <w:szCs w:val="22"/>
          <w:color w:val="auto"/>
        </w:rPr>
      </w:pPr>
    </w:p>
    <w:p>
      <w:pPr>
        <w:ind w:left="380" w:hanging="372"/>
        <w:spacing w:after="0"/>
        <w:tabs>
          <w:tab w:leader="none" w:pos="380" w:val="left"/>
        </w:tabs>
        <w:numPr>
          <w:ilvl w:val="0"/>
          <w:numId w:val="70"/>
        </w:numPr>
        <w:rPr>
          <w:rFonts w:ascii="Arial" w:cs="Arial" w:eastAsia="Arial" w:hAnsi="Arial"/>
          <w:sz w:val="22"/>
          <w:szCs w:val="22"/>
          <w:color w:val="auto"/>
        </w:rPr>
      </w:pPr>
      <w:r>
        <w:rPr>
          <w:rFonts w:ascii="Arial" w:cs="Arial" w:eastAsia="Arial" w:hAnsi="Arial"/>
          <w:sz w:val="20"/>
          <w:szCs w:val="20"/>
          <w:color w:val="auto"/>
        </w:rPr>
        <w:t>subsidiary: has the meaning as referred to in article 2:24a Dutch Civil Code;</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70"/>
        </w:numPr>
        <w:rPr>
          <w:rFonts w:ascii="Arial" w:cs="Arial" w:eastAsia="Arial" w:hAnsi="Arial"/>
          <w:sz w:val="22"/>
          <w:szCs w:val="22"/>
          <w:color w:val="auto"/>
        </w:rPr>
      </w:pPr>
      <w:r>
        <w:rPr>
          <w:rFonts w:ascii="Arial" w:cs="Arial" w:eastAsia="Arial" w:hAnsi="Arial"/>
          <w:sz w:val="20"/>
          <w:szCs w:val="20"/>
          <w:color w:val="auto"/>
        </w:rPr>
        <w:t>group: has the meaning as referred to in article 2:24b Dutch Civil Code;</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70"/>
        </w:numPr>
        <w:rPr>
          <w:rFonts w:ascii="Arial" w:cs="Arial" w:eastAsia="Arial" w:hAnsi="Arial"/>
          <w:sz w:val="22"/>
          <w:szCs w:val="22"/>
          <w:color w:val="auto"/>
        </w:rPr>
      </w:pPr>
      <w:r>
        <w:rPr>
          <w:rFonts w:ascii="Arial" w:cs="Arial" w:eastAsia="Arial" w:hAnsi="Arial"/>
          <w:sz w:val="20"/>
          <w:szCs w:val="20"/>
          <w:color w:val="auto"/>
        </w:rPr>
        <w:t>group company: a legal entity or company with which the company is affiliated in a group;</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70"/>
        </w:numPr>
        <w:rPr>
          <w:rFonts w:ascii="Arial" w:cs="Arial" w:eastAsia="Arial" w:hAnsi="Arial"/>
          <w:sz w:val="22"/>
          <w:szCs w:val="22"/>
          <w:color w:val="auto"/>
        </w:rPr>
      </w:pPr>
      <w:r>
        <w:rPr>
          <w:rFonts w:ascii="Arial" w:cs="Arial" w:eastAsia="Arial" w:hAnsi="Arial"/>
          <w:sz w:val="20"/>
          <w:szCs w:val="20"/>
          <w:color w:val="auto"/>
        </w:rPr>
        <w:t>dependent company: has the meaning as referred to in article 2:152 Dutch Civil Code;</w:t>
      </w:r>
    </w:p>
    <w:p>
      <w:pPr>
        <w:spacing w:after="0" w:line="249" w:lineRule="exact"/>
        <w:rPr>
          <w:rFonts w:ascii="Arial" w:cs="Arial" w:eastAsia="Arial" w:hAnsi="Arial"/>
          <w:sz w:val="22"/>
          <w:szCs w:val="22"/>
          <w:color w:val="auto"/>
        </w:rPr>
      </w:pPr>
    </w:p>
    <w:p>
      <w:pPr>
        <w:ind w:left="380" w:right="20" w:hanging="372"/>
        <w:spacing w:after="0" w:line="279" w:lineRule="auto"/>
        <w:tabs>
          <w:tab w:leader="none" w:pos="380" w:val="left"/>
        </w:tabs>
        <w:numPr>
          <w:ilvl w:val="0"/>
          <w:numId w:val="70"/>
        </w:numPr>
        <w:rPr>
          <w:rFonts w:ascii="Arial" w:cs="Arial" w:eastAsia="Arial" w:hAnsi="Arial"/>
          <w:sz w:val="22"/>
          <w:szCs w:val="22"/>
          <w:color w:val="auto"/>
        </w:rPr>
      </w:pPr>
      <w:r>
        <w:rPr>
          <w:rFonts w:ascii="Arial" w:cs="Arial" w:eastAsia="Arial" w:hAnsi="Arial"/>
          <w:sz w:val="20"/>
          <w:szCs w:val="20"/>
          <w:color w:val="auto"/>
        </w:rPr>
        <w:t>persons with voting rights: holders of shares with voting rights as well as holders of a right of usufruct on shares with the right to vote and holders of a right of pledge with a right to vote;</w:t>
      </w:r>
    </w:p>
    <w:p>
      <w:pPr>
        <w:spacing w:after="0" w:line="205" w:lineRule="exact"/>
        <w:rPr>
          <w:rFonts w:ascii="Arial" w:cs="Arial" w:eastAsia="Arial" w:hAnsi="Arial"/>
          <w:sz w:val="22"/>
          <w:szCs w:val="22"/>
          <w:color w:val="auto"/>
        </w:rPr>
      </w:pPr>
    </w:p>
    <w:p>
      <w:pPr>
        <w:ind w:left="380" w:hanging="372"/>
        <w:spacing w:after="0"/>
        <w:tabs>
          <w:tab w:leader="none" w:pos="380" w:val="left"/>
        </w:tabs>
        <w:numPr>
          <w:ilvl w:val="0"/>
          <w:numId w:val="70"/>
        </w:numPr>
        <w:rPr>
          <w:rFonts w:ascii="Arial" w:cs="Arial" w:eastAsia="Arial" w:hAnsi="Arial"/>
          <w:sz w:val="22"/>
          <w:szCs w:val="22"/>
          <w:color w:val="auto"/>
        </w:rPr>
      </w:pPr>
      <w:r>
        <w:rPr>
          <w:rFonts w:ascii="Arial" w:cs="Arial" w:eastAsia="Arial" w:hAnsi="Arial"/>
          <w:sz w:val="20"/>
          <w:szCs w:val="20"/>
          <w:color w:val="auto"/>
        </w:rPr>
        <w:t>persons with meeting rights: persons with voting rights as well as shareholders who do not have the right to vote;</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70"/>
        </w:numPr>
        <w:rPr>
          <w:rFonts w:ascii="Arial" w:cs="Arial" w:eastAsia="Arial" w:hAnsi="Arial"/>
          <w:sz w:val="22"/>
          <w:szCs w:val="22"/>
          <w:color w:val="auto"/>
        </w:rPr>
      </w:pPr>
      <w:r>
        <w:rPr>
          <w:rFonts w:ascii="Arial" w:cs="Arial" w:eastAsia="Arial" w:hAnsi="Arial"/>
          <w:sz w:val="20"/>
          <w:szCs w:val="20"/>
          <w:color w:val="auto"/>
        </w:rPr>
        <w:t>Management Board: management board of the company;</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70"/>
        </w:numPr>
        <w:rPr>
          <w:rFonts w:ascii="Arial" w:cs="Arial" w:eastAsia="Arial" w:hAnsi="Arial"/>
          <w:sz w:val="22"/>
          <w:szCs w:val="22"/>
          <w:color w:val="auto"/>
        </w:rPr>
      </w:pPr>
      <w:r>
        <w:rPr>
          <w:rFonts w:ascii="Arial" w:cs="Arial" w:eastAsia="Arial" w:hAnsi="Arial"/>
          <w:sz w:val="20"/>
          <w:szCs w:val="20"/>
          <w:color w:val="auto"/>
        </w:rPr>
        <w:t>Supervisory Board: supervisory board of the company;</w:t>
      </w:r>
    </w:p>
    <w:p>
      <w:pPr>
        <w:spacing w:after="0" w:line="249" w:lineRule="exact"/>
        <w:rPr>
          <w:rFonts w:ascii="Arial" w:cs="Arial" w:eastAsia="Arial" w:hAnsi="Arial"/>
          <w:sz w:val="22"/>
          <w:szCs w:val="22"/>
          <w:color w:val="auto"/>
        </w:rPr>
      </w:pPr>
    </w:p>
    <w:p>
      <w:pPr>
        <w:jc w:val="both"/>
        <w:ind w:left="380" w:hanging="372"/>
        <w:spacing w:after="0" w:line="278" w:lineRule="auto"/>
        <w:tabs>
          <w:tab w:leader="none" w:pos="380" w:val="left"/>
        </w:tabs>
        <w:numPr>
          <w:ilvl w:val="0"/>
          <w:numId w:val="70"/>
        </w:numPr>
        <w:rPr>
          <w:rFonts w:ascii="Arial" w:cs="Arial" w:eastAsia="Arial" w:hAnsi="Arial"/>
          <w:sz w:val="22"/>
          <w:szCs w:val="22"/>
          <w:color w:val="auto"/>
        </w:rPr>
      </w:pPr>
      <w:r>
        <w:rPr>
          <w:rFonts w:ascii="Arial" w:cs="Arial" w:eastAsia="Arial" w:hAnsi="Arial"/>
          <w:sz w:val="20"/>
          <w:szCs w:val="20"/>
          <w:color w:val="auto"/>
        </w:rPr>
        <w:t>written/in writing: with respect to the provision of these articles of association the requirement of being in writing shall also be complied with if the notification, announcement, statement, acknowledgement, decision-making, power of attorney, vote or request, have been laid down electronically.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and seat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w:t>
      </w:r>
    </w:p>
    <w:p>
      <w:pPr>
        <w:spacing w:after="0" w:line="277"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22"/>
          <w:szCs w:val="22"/>
          <w:color w:val="auto"/>
        </w:rPr>
      </w:pPr>
      <w:r>
        <w:rPr>
          <w:rFonts w:ascii="Arial" w:cs="Arial" w:eastAsia="Arial" w:hAnsi="Arial"/>
          <w:sz w:val="20"/>
          <w:szCs w:val="20"/>
          <w:color w:val="auto"/>
        </w:rPr>
        <w:t>The name of the company is: Cimpress N.V.</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71"/>
        </w:numPr>
        <w:rPr>
          <w:rFonts w:ascii="Arial" w:cs="Arial" w:eastAsia="Arial" w:hAnsi="Arial"/>
          <w:sz w:val="22"/>
          <w:szCs w:val="22"/>
          <w:color w:val="auto"/>
        </w:rPr>
      </w:pPr>
      <w:r>
        <w:rPr>
          <w:rFonts w:ascii="Arial" w:cs="Arial" w:eastAsia="Arial" w:hAnsi="Arial"/>
          <w:sz w:val="20"/>
          <w:szCs w:val="20"/>
          <w:color w:val="auto"/>
        </w:rPr>
        <w:t>The company has its seat in Venlo.</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71"/>
        </w:numPr>
        <w:rPr>
          <w:rFonts w:ascii="Arial" w:cs="Arial" w:eastAsia="Arial" w:hAnsi="Arial"/>
          <w:sz w:val="22"/>
          <w:szCs w:val="22"/>
          <w:color w:val="auto"/>
        </w:rPr>
      </w:pPr>
      <w:r>
        <w:rPr>
          <w:rFonts w:ascii="Arial" w:cs="Arial" w:eastAsia="Arial" w:hAnsi="Arial"/>
          <w:sz w:val="20"/>
          <w:szCs w:val="20"/>
          <w:color w:val="auto"/>
        </w:rPr>
        <w:t>The company may have branch offices and branch establishments in other jurisdictions.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Objects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The objects of the company are:</w:t>
      </w:r>
    </w:p>
    <w:p>
      <w:pPr>
        <w:spacing w:after="0" w:line="270" w:lineRule="exact"/>
        <w:rPr>
          <w:sz w:val="20"/>
          <w:szCs w:val="20"/>
          <w:color w:val="auto"/>
        </w:rPr>
      </w:pPr>
    </w:p>
    <w:p>
      <w:pPr>
        <w:ind w:left="380" w:hanging="372"/>
        <w:spacing w:after="0" w:line="279" w:lineRule="auto"/>
        <w:tabs>
          <w:tab w:leader="none" w:pos="380" w:val="left"/>
        </w:tabs>
        <w:numPr>
          <w:ilvl w:val="0"/>
          <w:numId w:val="72"/>
        </w:numPr>
        <w:rPr>
          <w:rFonts w:ascii="Arial" w:cs="Arial" w:eastAsia="Arial" w:hAnsi="Arial"/>
          <w:sz w:val="22"/>
          <w:szCs w:val="22"/>
          <w:color w:val="auto"/>
        </w:rPr>
      </w:pPr>
      <w:r>
        <w:rPr>
          <w:rFonts w:ascii="Arial" w:cs="Arial" w:eastAsia="Arial" w:hAnsi="Arial"/>
          <w:sz w:val="20"/>
          <w:szCs w:val="20"/>
          <w:color w:val="auto"/>
        </w:rPr>
        <w:t>to participate in, to finance, to collaborate with, to conduct the management of companies and other enterprises and provide advice and other services, including in relation to the conduct of online commerce;</w:t>
      </w:r>
    </w:p>
    <w:p>
      <w:pPr>
        <w:spacing w:after="0" w:line="205" w:lineRule="exact"/>
        <w:rPr>
          <w:rFonts w:ascii="Arial" w:cs="Arial" w:eastAsia="Arial" w:hAnsi="Arial"/>
          <w:sz w:val="22"/>
          <w:szCs w:val="22"/>
          <w:color w:val="auto"/>
        </w:rPr>
      </w:pPr>
    </w:p>
    <w:p>
      <w:pPr>
        <w:ind w:left="380" w:hanging="372"/>
        <w:spacing w:after="0"/>
        <w:tabs>
          <w:tab w:leader="none" w:pos="380" w:val="left"/>
        </w:tabs>
        <w:numPr>
          <w:ilvl w:val="0"/>
          <w:numId w:val="72"/>
        </w:numPr>
        <w:rPr>
          <w:rFonts w:ascii="Arial" w:cs="Arial" w:eastAsia="Arial" w:hAnsi="Arial"/>
          <w:sz w:val="22"/>
          <w:szCs w:val="22"/>
          <w:color w:val="auto"/>
        </w:rPr>
      </w:pPr>
      <w:r>
        <w:rPr>
          <w:rFonts w:ascii="Arial" w:cs="Arial" w:eastAsia="Arial" w:hAnsi="Arial"/>
          <w:sz w:val="20"/>
          <w:szCs w:val="20"/>
          <w:color w:val="auto"/>
        </w:rPr>
        <w:t>to acquire, use and/or assign industrial and intellectual property rights and real property;</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72"/>
        </w:numPr>
        <w:rPr>
          <w:rFonts w:ascii="Arial" w:cs="Arial" w:eastAsia="Arial" w:hAnsi="Arial"/>
          <w:sz w:val="22"/>
          <w:szCs w:val="22"/>
          <w:color w:val="auto"/>
        </w:rPr>
      </w:pPr>
      <w:r>
        <w:rPr>
          <w:rFonts w:ascii="Arial" w:cs="Arial" w:eastAsia="Arial" w:hAnsi="Arial"/>
          <w:sz w:val="20"/>
          <w:szCs w:val="20"/>
          <w:color w:val="auto"/>
        </w:rPr>
        <w:t>to invest funds;</w:t>
      </w:r>
    </w:p>
    <w:p>
      <w:pPr>
        <w:sectPr>
          <w:pgSz w:w="11900" w:h="16838" w:orient="portrait"/>
          <w:cols w:equalWidth="0" w:num="1">
            <w:col w:w="11420"/>
          </w:cols>
          <w:pgMar w:left="240" w:top="1346" w:right="239" w:bottom="32" w:gutter="0" w:footer="0" w:header="0"/>
        </w:sectPr>
      </w:pPr>
    </w:p>
    <w:bookmarkStart w:id="114" w:name="page115"/>
    <w:bookmarkEnd w:id="114"/>
    <w:p>
      <w:pPr>
        <w:ind w:left="380" w:right="20" w:hanging="372"/>
        <w:spacing w:after="0" w:line="279" w:lineRule="auto"/>
        <w:tabs>
          <w:tab w:leader="none" w:pos="380" w:val="left"/>
        </w:tabs>
        <w:numPr>
          <w:ilvl w:val="0"/>
          <w:numId w:val="73"/>
        </w:numPr>
        <w:rPr>
          <w:rFonts w:ascii="Arial" w:cs="Arial" w:eastAsia="Arial" w:hAnsi="Arial"/>
          <w:sz w:val="22"/>
          <w:szCs w:val="22"/>
          <w:color w:val="auto"/>
        </w:rPr>
      </w:pPr>
      <w:r>
        <w:rPr>
          <w:rFonts w:ascii="Arial" w:cs="Arial" w:eastAsia="Arial" w:hAnsi="Arial"/>
          <w:sz w:val="20"/>
          <w:szCs w:val="20"/>
          <w:color w:val="auto"/>
        </w:rPr>
        <w:t>the borrowing, lending and raising funds, including the issuance of bonds, promissory notes or other securities or evidence of indebtedness as well as entering into agreements in connection with these activities;</w:t>
      </w:r>
    </w:p>
    <w:p>
      <w:pPr>
        <w:spacing w:after="0" w:line="208"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73"/>
        </w:numPr>
        <w:rPr>
          <w:rFonts w:ascii="Arial" w:cs="Arial" w:eastAsia="Arial" w:hAnsi="Arial"/>
          <w:sz w:val="22"/>
          <w:szCs w:val="22"/>
          <w:color w:val="auto"/>
        </w:rPr>
      </w:pPr>
      <w:r>
        <w:rPr>
          <w:rFonts w:ascii="Arial" w:cs="Arial" w:eastAsia="Arial" w:hAnsi="Arial"/>
          <w:sz w:val="20"/>
          <w:szCs w:val="20"/>
          <w:color w:val="auto"/>
        </w:rPr>
        <w:t>to provide security for the obligations of legal persons or of other companies with which the company is affiliated in a group or for the obligations of third parties, including by means of issuing guarantees and pledging collateral;</w:t>
      </w:r>
    </w:p>
    <w:p>
      <w:pPr>
        <w:spacing w:after="0" w:line="205" w:lineRule="exact"/>
        <w:rPr>
          <w:rFonts w:ascii="Arial" w:cs="Arial" w:eastAsia="Arial" w:hAnsi="Arial"/>
          <w:sz w:val="22"/>
          <w:szCs w:val="22"/>
          <w:color w:val="auto"/>
        </w:rPr>
      </w:pPr>
    </w:p>
    <w:p>
      <w:pPr>
        <w:ind w:left="380" w:hanging="372"/>
        <w:spacing w:after="0"/>
        <w:tabs>
          <w:tab w:leader="none" w:pos="380" w:val="left"/>
        </w:tabs>
        <w:numPr>
          <w:ilvl w:val="0"/>
          <w:numId w:val="73"/>
        </w:numPr>
        <w:rPr>
          <w:rFonts w:ascii="Arial" w:cs="Arial" w:eastAsia="Arial" w:hAnsi="Arial"/>
          <w:sz w:val="22"/>
          <w:szCs w:val="22"/>
          <w:color w:val="auto"/>
        </w:rPr>
      </w:pPr>
      <w:r>
        <w:rPr>
          <w:rFonts w:ascii="Arial" w:cs="Arial" w:eastAsia="Arial" w:hAnsi="Arial"/>
          <w:sz w:val="20"/>
          <w:szCs w:val="20"/>
          <w:color w:val="auto"/>
        </w:rPr>
        <w:t>to undertake all that which is connected to the foregoing or in furtherance thereof,</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all in the broadest sense of the words.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and shares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4.</w:t>
      </w:r>
    </w:p>
    <w:p>
      <w:pPr>
        <w:spacing w:after="0" w:line="280" w:lineRule="exact"/>
        <w:rPr>
          <w:sz w:val="20"/>
          <w:szCs w:val="20"/>
          <w:color w:val="auto"/>
        </w:rPr>
      </w:pPr>
    </w:p>
    <w:p>
      <w:pPr>
        <w:ind w:left="380" w:hanging="372"/>
        <w:spacing w:after="0" w:line="350" w:lineRule="auto"/>
        <w:tabs>
          <w:tab w:leader="none" w:pos="380" w:val="left"/>
        </w:tabs>
        <w:numPr>
          <w:ilvl w:val="0"/>
          <w:numId w:val="74"/>
        </w:numPr>
        <w:rPr>
          <w:rFonts w:ascii="Arial" w:cs="Arial" w:eastAsia="Arial" w:hAnsi="Arial"/>
          <w:sz w:val="19"/>
          <w:szCs w:val="19"/>
          <w:color w:val="auto"/>
        </w:rPr>
      </w:pPr>
      <w:r>
        <w:rPr>
          <w:rFonts w:ascii="Arial" w:cs="Arial" w:eastAsia="Arial" w:hAnsi="Arial"/>
          <w:sz w:val="18"/>
          <w:szCs w:val="18"/>
          <w:color w:val="auto"/>
        </w:rPr>
        <w:t>The company's authorized capital amounts to two million euros (EUR 2,000,000) and is divided into one hundred million (100,000,000) ordinary shares and one hundred million (100,000,000) preferred shares, each share with a par value of one euro cent (EUR 0.01).</w:t>
      </w:r>
    </w:p>
    <w:p>
      <w:pPr>
        <w:spacing w:after="0" w:line="149" w:lineRule="exact"/>
        <w:rPr>
          <w:rFonts w:ascii="Arial" w:cs="Arial" w:eastAsia="Arial" w:hAnsi="Arial"/>
          <w:sz w:val="19"/>
          <w:szCs w:val="19"/>
          <w:color w:val="auto"/>
        </w:rPr>
      </w:pPr>
    </w:p>
    <w:p>
      <w:pPr>
        <w:jc w:val="both"/>
        <w:ind w:left="380" w:right="20" w:hanging="372"/>
        <w:spacing w:after="0" w:line="278" w:lineRule="auto"/>
        <w:tabs>
          <w:tab w:leader="none" w:pos="380" w:val="left"/>
        </w:tabs>
        <w:numPr>
          <w:ilvl w:val="0"/>
          <w:numId w:val="74"/>
        </w:numPr>
        <w:rPr>
          <w:rFonts w:ascii="Arial" w:cs="Arial" w:eastAsia="Arial" w:hAnsi="Arial"/>
          <w:sz w:val="22"/>
          <w:szCs w:val="22"/>
          <w:color w:val="auto"/>
        </w:rPr>
      </w:pPr>
      <w:r>
        <w:rPr>
          <w:rFonts w:ascii="Arial" w:cs="Arial" w:eastAsia="Arial" w:hAnsi="Arial"/>
          <w:sz w:val="20"/>
          <w:szCs w:val="20"/>
          <w:color w:val="auto"/>
        </w:rPr>
        <w:t>Wherever the term 'shares' or 'shareholders' is used in the present articles of association this shall be construed to mean the classes of shares mentioned in paragraph 1 or the respective holders of those classes of shares, unless the contrary has been stated explicitly or appears from the context.</w:t>
      </w:r>
    </w:p>
    <w:p>
      <w:pPr>
        <w:spacing w:after="0" w:line="211" w:lineRule="exact"/>
        <w:rPr>
          <w:rFonts w:ascii="Arial" w:cs="Arial" w:eastAsia="Arial" w:hAnsi="Arial"/>
          <w:sz w:val="22"/>
          <w:szCs w:val="22"/>
          <w:color w:val="auto"/>
        </w:rPr>
      </w:pPr>
    </w:p>
    <w:p>
      <w:pPr>
        <w:ind w:left="380" w:hanging="372"/>
        <w:spacing w:after="0"/>
        <w:tabs>
          <w:tab w:leader="none" w:pos="380" w:val="left"/>
        </w:tabs>
        <w:numPr>
          <w:ilvl w:val="0"/>
          <w:numId w:val="74"/>
        </w:numPr>
        <w:rPr>
          <w:rFonts w:ascii="Arial" w:cs="Arial" w:eastAsia="Arial" w:hAnsi="Arial"/>
          <w:sz w:val="22"/>
          <w:szCs w:val="22"/>
          <w:color w:val="auto"/>
        </w:rPr>
      </w:pPr>
      <w:r>
        <w:rPr>
          <w:rFonts w:ascii="Arial" w:cs="Arial" w:eastAsia="Arial" w:hAnsi="Arial"/>
          <w:sz w:val="20"/>
          <w:szCs w:val="20"/>
          <w:color w:val="auto"/>
        </w:rPr>
        <w:t>All shares shall be registered shares.</w:t>
      </w:r>
    </w:p>
    <w:p>
      <w:pPr>
        <w:spacing w:after="0" w:line="235"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The shares shall be numbered in such a manner that they can be distinguished from each other at any time.</w:t>
      </w:r>
    </w:p>
    <w:p>
      <w:pPr>
        <w:spacing w:after="0" w:line="267" w:lineRule="exact"/>
        <w:rPr>
          <w:rFonts w:ascii="Arial" w:cs="Arial" w:eastAsia="Arial" w:hAnsi="Arial"/>
          <w:sz w:val="22"/>
          <w:szCs w:val="22"/>
          <w:color w:val="auto"/>
        </w:rPr>
      </w:pPr>
    </w:p>
    <w:p>
      <w:pPr>
        <w:ind w:left="380" w:hanging="372"/>
        <w:spacing w:after="0"/>
        <w:tabs>
          <w:tab w:leader="none" w:pos="380" w:val="left"/>
        </w:tabs>
        <w:numPr>
          <w:ilvl w:val="0"/>
          <w:numId w:val="74"/>
        </w:numPr>
        <w:rPr>
          <w:rFonts w:ascii="Arial" w:cs="Arial" w:eastAsia="Arial" w:hAnsi="Arial"/>
          <w:sz w:val="22"/>
          <w:szCs w:val="22"/>
          <w:color w:val="auto"/>
        </w:rPr>
      </w:pPr>
      <w:r>
        <w:rPr>
          <w:rFonts w:ascii="Arial" w:cs="Arial" w:eastAsia="Arial" w:hAnsi="Arial"/>
          <w:sz w:val="20"/>
          <w:szCs w:val="20"/>
          <w:color w:val="auto"/>
        </w:rPr>
        <w:t>The company cannot cooperate with the issue of depositary receipts issued for shares in its own capital.</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issue of shares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w:t>
      </w:r>
    </w:p>
    <w:p>
      <w:pPr>
        <w:spacing w:after="0" w:line="280" w:lineRule="exact"/>
        <w:rPr>
          <w:sz w:val="20"/>
          <w:szCs w:val="20"/>
          <w:color w:val="auto"/>
        </w:rPr>
      </w:pPr>
    </w:p>
    <w:p>
      <w:pPr>
        <w:ind w:left="380" w:right="20" w:hanging="372"/>
        <w:spacing w:after="0" w:line="279" w:lineRule="auto"/>
        <w:tabs>
          <w:tab w:leader="none" w:pos="380" w:val="left"/>
        </w:tabs>
        <w:numPr>
          <w:ilvl w:val="0"/>
          <w:numId w:val="75"/>
        </w:numPr>
        <w:rPr>
          <w:rFonts w:ascii="Arial" w:cs="Arial" w:eastAsia="Arial" w:hAnsi="Arial"/>
          <w:sz w:val="22"/>
          <w:szCs w:val="22"/>
          <w:color w:val="auto"/>
        </w:rPr>
      </w:pPr>
      <w:r>
        <w:rPr>
          <w:rFonts w:ascii="Arial" w:cs="Arial" w:eastAsia="Arial" w:hAnsi="Arial"/>
          <w:sz w:val="20"/>
          <w:szCs w:val="20"/>
          <w:color w:val="auto"/>
        </w:rPr>
        <w:t>Shares shall be issued pursuant to a resolution of the general meeting, or pursuant to such resolution of the Management Board if designated thereto by the general meeting for a period not exceeding five years.</w:t>
      </w:r>
    </w:p>
    <w:p>
      <w:pPr>
        <w:spacing w:after="0" w:line="194"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At the designation, the number and class of shares that may be issued by the Management Board should be determined.</w:t>
      </w:r>
    </w:p>
    <w:p>
      <w:pPr>
        <w:spacing w:after="0" w:line="256"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The designation may be prolonged each time for a period not exceeding five years. Unless it has been determined differently at the designation, it cannot be revoked.</w:t>
      </w:r>
    </w:p>
    <w:p>
      <w:pPr>
        <w:spacing w:after="0" w:line="188"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The resolution to issue shares contains the price and further terms of issue.</w:t>
      </w:r>
    </w:p>
    <w:p>
      <w:pPr>
        <w:spacing w:after="0" w:line="269" w:lineRule="exact"/>
        <w:rPr>
          <w:rFonts w:ascii="Arial" w:cs="Arial" w:eastAsia="Arial" w:hAnsi="Arial"/>
          <w:sz w:val="22"/>
          <w:szCs w:val="22"/>
          <w:color w:val="auto"/>
        </w:rPr>
      </w:pPr>
    </w:p>
    <w:p>
      <w:pPr>
        <w:ind w:left="380" w:hanging="372"/>
        <w:spacing w:after="0" w:line="306" w:lineRule="auto"/>
        <w:tabs>
          <w:tab w:leader="none" w:pos="380" w:val="left"/>
        </w:tabs>
        <w:numPr>
          <w:ilvl w:val="0"/>
          <w:numId w:val="75"/>
        </w:numPr>
        <w:rPr>
          <w:rFonts w:ascii="Arial" w:cs="Arial" w:eastAsia="Arial" w:hAnsi="Arial"/>
          <w:sz w:val="21"/>
          <w:szCs w:val="21"/>
          <w:color w:val="auto"/>
        </w:rPr>
      </w:pPr>
      <w:r>
        <w:rPr>
          <w:rFonts w:ascii="Arial" w:cs="Arial" w:eastAsia="Arial" w:hAnsi="Arial"/>
          <w:sz w:val="19"/>
          <w:szCs w:val="19"/>
          <w:color w:val="auto"/>
        </w:rPr>
        <w:t>The resolution of the general meeting to issue shares and the resolution to designate the Management Board can only be adopted pursuant to a proposal thereto by the Management Board which proposal has been approved by the Supervisory Board.</w:t>
      </w:r>
    </w:p>
    <w:p>
      <w:pPr>
        <w:spacing w:after="0" w:line="169" w:lineRule="exact"/>
        <w:rPr>
          <w:rFonts w:ascii="Arial" w:cs="Arial" w:eastAsia="Arial" w:hAnsi="Arial"/>
          <w:sz w:val="21"/>
          <w:szCs w:val="21"/>
          <w:color w:val="auto"/>
        </w:rPr>
      </w:pPr>
    </w:p>
    <w:p>
      <w:pPr>
        <w:ind w:left="380"/>
        <w:spacing w:after="0" w:line="289" w:lineRule="auto"/>
        <w:rPr>
          <w:rFonts w:ascii="Arial" w:cs="Arial" w:eastAsia="Arial" w:hAnsi="Arial"/>
          <w:sz w:val="21"/>
          <w:szCs w:val="21"/>
          <w:color w:val="auto"/>
        </w:rPr>
      </w:pPr>
      <w:r>
        <w:rPr>
          <w:rFonts w:ascii="Arial" w:cs="Arial" w:eastAsia="Arial" w:hAnsi="Arial"/>
          <w:sz w:val="20"/>
          <w:szCs w:val="20"/>
          <w:color w:val="auto"/>
        </w:rPr>
        <w:t>If the Management Board has been designated as authorized to resolve on the issue of shares, the resolution of the Management Board to issue shares is subject to the prior approval of the Supervisory Board.</w:t>
      </w:r>
    </w:p>
    <w:p>
      <w:pPr>
        <w:spacing w:after="0" w:line="202" w:lineRule="exact"/>
        <w:rPr>
          <w:rFonts w:ascii="Arial" w:cs="Arial" w:eastAsia="Arial" w:hAnsi="Arial"/>
          <w:sz w:val="21"/>
          <w:szCs w:val="21"/>
          <w:color w:val="auto"/>
        </w:rPr>
      </w:pPr>
    </w:p>
    <w:p>
      <w:pPr>
        <w:ind w:left="380" w:right="20" w:hanging="372"/>
        <w:spacing w:after="0" w:line="279" w:lineRule="auto"/>
        <w:tabs>
          <w:tab w:leader="none" w:pos="380" w:val="left"/>
        </w:tabs>
        <w:numPr>
          <w:ilvl w:val="0"/>
          <w:numId w:val="75"/>
        </w:numPr>
        <w:rPr>
          <w:rFonts w:ascii="Arial" w:cs="Arial" w:eastAsia="Arial" w:hAnsi="Arial"/>
          <w:sz w:val="22"/>
          <w:szCs w:val="22"/>
          <w:color w:val="auto"/>
        </w:rPr>
      </w:pPr>
      <w:r>
        <w:rPr>
          <w:rFonts w:ascii="Arial" w:cs="Arial" w:eastAsia="Arial" w:hAnsi="Arial"/>
          <w:sz w:val="20"/>
          <w:szCs w:val="20"/>
          <w:color w:val="auto"/>
        </w:rPr>
        <w:t>Within eight days after a resolution of the general meeting to issue shares or to designate the Management Board to issue shares, as referred to above, the Management Board shall deposit a complete text thereof at the Trade Register.</w:t>
      </w:r>
    </w:p>
    <w:p>
      <w:pPr>
        <w:spacing w:after="0" w:line="194"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Within eight days after the end of each quarter of the year, the Management Board shall submit a statement of each issue of shares in that quarter of the year to the Trade Register, stating the class and number.</w:t>
      </w:r>
    </w:p>
    <w:p>
      <w:pPr>
        <w:spacing w:after="0" w:line="202"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75"/>
        </w:numPr>
        <w:rPr>
          <w:rFonts w:ascii="Arial" w:cs="Arial" w:eastAsia="Arial" w:hAnsi="Arial"/>
          <w:sz w:val="22"/>
          <w:szCs w:val="22"/>
          <w:color w:val="auto"/>
        </w:rPr>
      </w:pPr>
      <w:r>
        <w:rPr>
          <w:rFonts w:ascii="Arial" w:cs="Arial" w:eastAsia="Arial" w:hAnsi="Arial"/>
          <w:sz w:val="20"/>
          <w:szCs w:val="20"/>
          <w:color w:val="auto"/>
        </w:rPr>
        <w:t>If preferred shares are issued a general meeting will be convened to be held not later than twenty-four months after the day on which for the first time preferred shares were issued.</w:t>
      </w:r>
    </w:p>
    <w:p>
      <w:pPr>
        <w:spacing w:after="0" w:line="194"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At that general meeting purchase or withdrawal of the preferred shares will be considered.</w:t>
      </w:r>
    </w:p>
    <w:p>
      <w:pPr>
        <w:spacing w:after="0" w:line="256" w:lineRule="exact"/>
        <w:rPr>
          <w:rFonts w:ascii="Arial" w:cs="Arial" w:eastAsia="Arial" w:hAnsi="Arial"/>
          <w:sz w:val="22"/>
          <w:szCs w:val="22"/>
          <w:color w:val="auto"/>
        </w:rPr>
      </w:pPr>
    </w:p>
    <w:p>
      <w:pPr>
        <w:jc w:val="both"/>
        <w:ind w:left="380"/>
        <w:spacing w:after="0" w:line="278" w:lineRule="auto"/>
        <w:rPr>
          <w:rFonts w:ascii="Arial" w:cs="Arial" w:eastAsia="Arial" w:hAnsi="Arial"/>
          <w:sz w:val="22"/>
          <w:szCs w:val="22"/>
          <w:color w:val="auto"/>
        </w:rPr>
      </w:pPr>
      <w:r>
        <w:rPr>
          <w:rFonts w:ascii="Arial" w:cs="Arial" w:eastAsia="Arial" w:hAnsi="Arial"/>
          <w:sz w:val="20"/>
          <w:szCs w:val="20"/>
          <w:color w:val="auto"/>
        </w:rPr>
        <w:t>If the general meeting will not resolve to purchase or to withdraw the preferred shares, each twelve months after the latter general meeting, a general meeting will be convened and held at which meetings purchase or withdrawal of the preferred shares will be considered, such until no preferred shares will be outstanding.</w:t>
      </w:r>
    </w:p>
    <w:p>
      <w:pPr>
        <w:spacing w:after="0" w:line="200"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19"/>
          <w:szCs w:val="19"/>
          <w:color w:val="auto"/>
        </w:rPr>
        <w:t>The provisions above in this paragraph 4 will not apply to preferred shares issued pursuant to a resolution of the general meeting.</w:t>
      </w:r>
    </w:p>
    <w:p>
      <w:pPr>
        <w:spacing w:after="0" w:line="281"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75"/>
        </w:numPr>
        <w:rPr>
          <w:rFonts w:ascii="Arial" w:cs="Arial" w:eastAsia="Arial" w:hAnsi="Arial"/>
          <w:sz w:val="22"/>
          <w:szCs w:val="22"/>
          <w:color w:val="auto"/>
        </w:rPr>
      </w:pPr>
      <w:r>
        <w:rPr>
          <w:rFonts w:ascii="Arial" w:cs="Arial" w:eastAsia="Arial" w:hAnsi="Arial"/>
          <w:sz w:val="20"/>
          <w:szCs w:val="20"/>
          <w:color w:val="auto"/>
        </w:rPr>
        <w:t xml:space="preserve">The previous provisions of this article shall apply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granting rights to acquire shares, but do not apply to the issue of shares to a party exercising a previously obtained right to acquire shares.</w:t>
      </w:r>
    </w:p>
    <w:p>
      <w:pPr>
        <w:sectPr>
          <w:pgSz w:w="11900" w:h="16838" w:orient="portrait"/>
          <w:cols w:equalWidth="0" w:num="1">
            <w:col w:w="11420"/>
          </w:cols>
          <w:pgMar w:left="240" w:top="150" w:right="239" w:bottom="0" w:gutter="0" w:footer="0" w:header="0"/>
        </w:sectPr>
      </w:pPr>
    </w:p>
    <w:bookmarkStart w:id="115" w:name="page116"/>
    <w:bookmarkEnd w:id="115"/>
    <w:p>
      <w:pPr>
        <w:ind w:left="380" w:hanging="372"/>
        <w:spacing w:after="0"/>
        <w:tabs>
          <w:tab w:leader="none" w:pos="380" w:val="left"/>
        </w:tabs>
        <w:numPr>
          <w:ilvl w:val="0"/>
          <w:numId w:val="76"/>
        </w:numPr>
        <w:rPr>
          <w:rFonts w:ascii="Arial" w:cs="Arial" w:eastAsia="Arial" w:hAnsi="Arial"/>
          <w:sz w:val="22"/>
          <w:szCs w:val="22"/>
          <w:color w:val="auto"/>
        </w:rPr>
      </w:pPr>
      <w:r>
        <w:rPr>
          <w:rFonts w:ascii="Arial" w:cs="Arial" w:eastAsia="Arial" w:hAnsi="Arial"/>
          <w:sz w:val="20"/>
          <w:szCs w:val="20"/>
          <w:color w:val="auto"/>
        </w:rPr>
        <w:t>Issue of shares shall never be below par, without prejudice to the provisions of article 2:80 paragraph 2 Dutch Civil Code.</w:t>
      </w:r>
    </w:p>
    <w:p>
      <w:pPr>
        <w:spacing w:after="0" w:line="249"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76"/>
        </w:numPr>
        <w:rPr>
          <w:rFonts w:ascii="Arial" w:cs="Arial" w:eastAsia="Arial" w:hAnsi="Arial"/>
          <w:sz w:val="22"/>
          <w:szCs w:val="22"/>
          <w:color w:val="auto"/>
        </w:rPr>
      </w:pPr>
      <w:r>
        <w:rPr>
          <w:rFonts w:ascii="Arial" w:cs="Arial" w:eastAsia="Arial" w:hAnsi="Arial"/>
          <w:sz w:val="20"/>
          <w:szCs w:val="20"/>
          <w:color w:val="auto"/>
        </w:rPr>
        <w:t>Ordinary shares shall be issued against payment of at least the nominal value; preferred shares may be issued against partial payment, provided that at least one fourth of the nominal value must be paid upon the issuance.</w:t>
      </w:r>
    </w:p>
    <w:p>
      <w:pPr>
        <w:spacing w:after="0" w:line="208"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76"/>
        </w:numPr>
        <w:rPr>
          <w:rFonts w:ascii="Arial" w:cs="Arial" w:eastAsia="Arial" w:hAnsi="Arial"/>
          <w:sz w:val="22"/>
          <w:szCs w:val="22"/>
          <w:color w:val="auto"/>
        </w:rPr>
      </w:pPr>
      <w:r>
        <w:rPr>
          <w:rFonts w:ascii="Arial" w:cs="Arial" w:eastAsia="Arial" w:hAnsi="Arial"/>
          <w:sz w:val="20"/>
          <w:szCs w:val="20"/>
          <w:color w:val="auto"/>
        </w:rPr>
        <w:t>Payment on shares must be made in cash to the extent that no other contribution has been agreed, subject to the provisions of article 2:80b Dutch Civil Code.</w:t>
      </w:r>
    </w:p>
    <w:p>
      <w:pPr>
        <w:spacing w:after="0" w:line="194"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Payment in foreign currency may only be made with the permission of the company and also subject to the provisions of article 2:80a paragraph 3 Dutch Civil Code.</w:t>
      </w:r>
    </w:p>
    <w:p>
      <w:pPr>
        <w:spacing w:after="0" w:line="202"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76"/>
        </w:numPr>
        <w:rPr>
          <w:rFonts w:ascii="Arial" w:cs="Arial" w:eastAsia="Arial" w:hAnsi="Arial"/>
          <w:sz w:val="22"/>
          <w:szCs w:val="22"/>
          <w:color w:val="auto"/>
        </w:rPr>
      </w:pPr>
      <w:r>
        <w:rPr>
          <w:rFonts w:ascii="Arial" w:cs="Arial" w:eastAsia="Arial" w:hAnsi="Arial"/>
          <w:sz w:val="20"/>
          <w:szCs w:val="20"/>
          <w:color w:val="auto"/>
        </w:rPr>
        <w:t>The Management Board may at any desired time determine the day on which further payments on non-fully paid-up preferred shares must be made, and in what amount.</w:t>
      </w:r>
    </w:p>
    <w:p>
      <w:pPr>
        <w:spacing w:after="0" w:line="194"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The Management Board shall give the holders of the preferred shares immediate notice of such resolution; there must be at least thirty days between that notification and the day on which the payment must have occurred.</w:t>
      </w:r>
    </w:p>
    <w:p>
      <w:pPr>
        <w:spacing w:after="0" w:line="202"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76"/>
        </w:numPr>
        <w:rPr>
          <w:rFonts w:ascii="Arial" w:cs="Arial" w:eastAsia="Arial" w:hAnsi="Arial"/>
          <w:sz w:val="22"/>
          <w:szCs w:val="22"/>
          <w:color w:val="auto"/>
        </w:rPr>
      </w:pPr>
      <w:r>
        <w:rPr>
          <w:rFonts w:ascii="Arial" w:cs="Arial" w:eastAsia="Arial" w:hAnsi="Arial"/>
          <w:sz w:val="20"/>
          <w:szCs w:val="20"/>
          <w:color w:val="auto"/>
        </w:rPr>
        <w:t>The Management Board is authorized, without any prior approval of the general meeting, to perform legal acts within the meaning of article 2:94 paragraph 1 Dutch Civil Code.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Pre-emptive rights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w:t>
      </w:r>
    </w:p>
    <w:p>
      <w:pPr>
        <w:spacing w:after="0" w:line="280" w:lineRule="exact"/>
        <w:rPr>
          <w:sz w:val="20"/>
          <w:szCs w:val="20"/>
          <w:color w:val="auto"/>
        </w:rPr>
      </w:pPr>
    </w:p>
    <w:p>
      <w:pPr>
        <w:ind w:left="380" w:hanging="372"/>
        <w:spacing w:after="0" w:line="279" w:lineRule="auto"/>
        <w:tabs>
          <w:tab w:leader="none" w:pos="380" w:val="left"/>
        </w:tabs>
        <w:numPr>
          <w:ilvl w:val="0"/>
          <w:numId w:val="77"/>
        </w:numPr>
        <w:rPr>
          <w:rFonts w:ascii="Arial" w:cs="Arial" w:eastAsia="Arial" w:hAnsi="Arial"/>
          <w:sz w:val="22"/>
          <w:szCs w:val="22"/>
          <w:color w:val="auto"/>
        </w:rPr>
      </w:pPr>
      <w:r>
        <w:rPr>
          <w:rFonts w:ascii="Arial" w:cs="Arial" w:eastAsia="Arial" w:hAnsi="Arial"/>
          <w:sz w:val="20"/>
          <w:szCs w:val="20"/>
          <w:color w:val="auto"/>
        </w:rPr>
        <w:t>Without prejudice to the applicable legal provisions, upon the issue of ordinary shares, each holder of ordinary shares has a pre-emptive right in proportion to the aggregate amount of ordinary shares held by him.</w:t>
      </w:r>
    </w:p>
    <w:p>
      <w:pPr>
        <w:spacing w:after="0" w:line="208"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77"/>
        </w:numPr>
        <w:rPr>
          <w:rFonts w:ascii="Arial" w:cs="Arial" w:eastAsia="Arial" w:hAnsi="Arial"/>
          <w:sz w:val="22"/>
          <w:szCs w:val="22"/>
          <w:color w:val="auto"/>
        </w:rPr>
      </w:pPr>
      <w:r>
        <w:rPr>
          <w:rFonts w:ascii="Arial" w:cs="Arial" w:eastAsia="Arial" w:hAnsi="Arial"/>
          <w:sz w:val="20"/>
          <w:szCs w:val="20"/>
          <w:color w:val="auto"/>
        </w:rPr>
        <w:t>Upon the issue of preferred shares, every holder of preferred shares has a pre-emptive right in proportion to the aggregate amount of preferred shares held by him.</w:t>
      </w:r>
    </w:p>
    <w:p>
      <w:pPr>
        <w:spacing w:after="0" w:line="208"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77"/>
        </w:numPr>
        <w:rPr>
          <w:rFonts w:ascii="Arial" w:cs="Arial" w:eastAsia="Arial" w:hAnsi="Arial"/>
          <w:sz w:val="22"/>
          <w:szCs w:val="22"/>
          <w:color w:val="auto"/>
        </w:rPr>
      </w:pPr>
      <w:r>
        <w:rPr>
          <w:rFonts w:ascii="Arial" w:cs="Arial" w:eastAsia="Arial" w:hAnsi="Arial"/>
          <w:sz w:val="20"/>
          <w:szCs w:val="20"/>
          <w:color w:val="auto"/>
        </w:rPr>
        <w:t>Holders of preferred shares have no pre-emptive right to ordinary shares to be issued. Holders of ordinary shares have no pre-emptive right to preferred shares to be issued.</w:t>
      </w:r>
    </w:p>
    <w:p>
      <w:pPr>
        <w:spacing w:after="0" w:line="205" w:lineRule="exact"/>
        <w:rPr>
          <w:rFonts w:ascii="Arial" w:cs="Arial" w:eastAsia="Arial" w:hAnsi="Arial"/>
          <w:sz w:val="22"/>
          <w:szCs w:val="22"/>
          <w:color w:val="auto"/>
        </w:rPr>
      </w:pPr>
    </w:p>
    <w:p>
      <w:pPr>
        <w:ind w:left="380" w:hanging="372"/>
        <w:spacing w:after="0"/>
        <w:tabs>
          <w:tab w:leader="none" w:pos="380" w:val="left"/>
        </w:tabs>
        <w:numPr>
          <w:ilvl w:val="0"/>
          <w:numId w:val="77"/>
        </w:numPr>
        <w:rPr>
          <w:rFonts w:ascii="Arial" w:cs="Arial" w:eastAsia="Arial" w:hAnsi="Arial"/>
          <w:sz w:val="22"/>
          <w:szCs w:val="22"/>
          <w:color w:val="auto"/>
        </w:rPr>
      </w:pPr>
      <w:r>
        <w:rPr>
          <w:rFonts w:ascii="Arial" w:cs="Arial" w:eastAsia="Arial" w:hAnsi="Arial"/>
          <w:sz w:val="20"/>
          <w:szCs w:val="20"/>
          <w:color w:val="auto"/>
        </w:rPr>
        <w:t>A shareholder shall have no pre-emptive right in respect of shares:</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77"/>
        </w:numPr>
        <w:rPr>
          <w:rFonts w:ascii="Arial" w:cs="Arial" w:eastAsia="Arial" w:hAnsi="Arial"/>
          <w:sz w:val="22"/>
          <w:szCs w:val="22"/>
          <w:color w:val="auto"/>
        </w:rPr>
      </w:pPr>
      <w:r>
        <w:rPr>
          <w:rFonts w:ascii="Arial" w:cs="Arial" w:eastAsia="Arial" w:hAnsi="Arial"/>
          <w:sz w:val="20"/>
          <w:szCs w:val="20"/>
          <w:color w:val="auto"/>
        </w:rPr>
        <w:t>issued for a non-cash contribution;</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77"/>
        </w:numPr>
        <w:rPr>
          <w:rFonts w:ascii="Arial" w:cs="Arial" w:eastAsia="Arial" w:hAnsi="Arial"/>
          <w:sz w:val="22"/>
          <w:szCs w:val="22"/>
          <w:color w:val="auto"/>
        </w:rPr>
      </w:pPr>
      <w:r>
        <w:rPr>
          <w:rFonts w:ascii="Arial" w:cs="Arial" w:eastAsia="Arial" w:hAnsi="Arial"/>
          <w:sz w:val="20"/>
          <w:szCs w:val="20"/>
          <w:color w:val="auto"/>
        </w:rPr>
        <w:t>issued to employees of the company or of a group company; and</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77"/>
        </w:numPr>
        <w:rPr>
          <w:rFonts w:ascii="Arial" w:cs="Arial" w:eastAsia="Arial" w:hAnsi="Arial"/>
          <w:sz w:val="22"/>
          <w:szCs w:val="22"/>
          <w:color w:val="auto"/>
        </w:rPr>
      </w:pPr>
      <w:r>
        <w:rPr>
          <w:rFonts w:ascii="Arial" w:cs="Arial" w:eastAsia="Arial" w:hAnsi="Arial"/>
          <w:sz w:val="20"/>
          <w:szCs w:val="20"/>
          <w:color w:val="auto"/>
        </w:rPr>
        <w:t>that are issued to a party exercising a previously obtained right to acquire shares.</w:t>
      </w:r>
    </w:p>
    <w:p>
      <w:pPr>
        <w:spacing w:after="0" w:line="249" w:lineRule="exact"/>
        <w:rPr>
          <w:rFonts w:ascii="Arial" w:cs="Arial" w:eastAsia="Arial" w:hAnsi="Arial"/>
          <w:sz w:val="22"/>
          <w:szCs w:val="22"/>
          <w:color w:val="auto"/>
        </w:rPr>
      </w:pPr>
    </w:p>
    <w:p>
      <w:pPr>
        <w:jc w:val="both"/>
        <w:ind w:left="380" w:hanging="372"/>
        <w:spacing w:after="0" w:line="279" w:lineRule="auto"/>
        <w:tabs>
          <w:tab w:leader="none" w:pos="380" w:val="left"/>
        </w:tabs>
        <w:numPr>
          <w:ilvl w:val="0"/>
          <w:numId w:val="77"/>
        </w:numPr>
        <w:rPr>
          <w:rFonts w:ascii="Arial" w:cs="Arial" w:eastAsia="Arial" w:hAnsi="Arial"/>
          <w:sz w:val="22"/>
          <w:szCs w:val="22"/>
          <w:color w:val="auto"/>
        </w:rPr>
      </w:pPr>
      <w:r>
        <w:rPr>
          <w:rFonts w:ascii="Arial" w:cs="Arial" w:eastAsia="Arial" w:hAnsi="Arial"/>
          <w:sz w:val="20"/>
          <w:szCs w:val="20"/>
          <w:color w:val="auto"/>
        </w:rPr>
        <w:t>The Management Board shall announce an issue with pre-emptive rights and the time frame within which the pre-emptive rights may be exercised in the Government Gazette (</w:t>
      </w:r>
      <w:r>
        <w:rPr>
          <w:rFonts w:ascii="Arial" w:cs="Arial" w:eastAsia="Arial" w:hAnsi="Arial"/>
          <w:sz w:val="20"/>
          <w:szCs w:val="20"/>
          <w:i w:val="1"/>
          <w:iCs w:val="1"/>
          <w:color w:val="auto"/>
        </w:rPr>
        <w:t>Staatscourant</w:t>
      </w:r>
      <w:r>
        <w:rPr>
          <w:rFonts w:ascii="Arial" w:cs="Arial" w:eastAsia="Arial" w:hAnsi="Arial"/>
          <w:sz w:val="20"/>
          <w:szCs w:val="20"/>
          <w:color w:val="auto"/>
        </w:rPr>
        <w:t>), in the official price list, and in a national daily distributed newspaper and in such other manner as may be required to comply with applicable stock exchange regulations, if any, unless the announcement to all holders of shares is made in writing and sent to the address stated by them.</w:t>
      </w:r>
    </w:p>
    <w:p>
      <w:pPr>
        <w:spacing w:after="0" w:line="213"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77"/>
        </w:numPr>
        <w:rPr>
          <w:rFonts w:ascii="Arial" w:cs="Arial" w:eastAsia="Arial" w:hAnsi="Arial"/>
          <w:sz w:val="22"/>
          <w:szCs w:val="22"/>
          <w:color w:val="auto"/>
        </w:rPr>
      </w:pPr>
      <w:r>
        <w:rPr>
          <w:rFonts w:ascii="Arial" w:cs="Arial" w:eastAsia="Arial" w:hAnsi="Arial"/>
          <w:sz w:val="20"/>
          <w:szCs w:val="20"/>
          <w:color w:val="auto"/>
        </w:rPr>
        <w:t>The pre-emptive right may be exercised at least two weeks after the day of the announcement in the Government Gazette or, if the announcement is made in writing, at least two weeks after the day of the mailing of the announcement.</w:t>
      </w:r>
    </w:p>
    <w:p>
      <w:pPr>
        <w:spacing w:after="0" w:line="208" w:lineRule="exact"/>
        <w:rPr>
          <w:rFonts w:ascii="Arial" w:cs="Arial" w:eastAsia="Arial" w:hAnsi="Arial"/>
          <w:sz w:val="22"/>
          <w:szCs w:val="22"/>
          <w:color w:val="auto"/>
        </w:rPr>
      </w:pPr>
    </w:p>
    <w:p>
      <w:pPr>
        <w:ind w:left="380" w:hanging="372"/>
        <w:spacing w:after="0" w:line="350" w:lineRule="auto"/>
        <w:tabs>
          <w:tab w:leader="none" w:pos="380" w:val="left"/>
        </w:tabs>
        <w:numPr>
          <w:ilvl w:val="0"/>
          <w:numId w:val="77"/>
        </w:numPr>
        <w:rPr>
          <w:rFonts w:ascii="Arial" w:cs="Arial" w:eastAsia="Arial" w:hAnsi="Arial"/>
          <w:sz w:val="19"/>
          <w:szCs w:val="19"/>
          <w:color w:val="auto"/>
        </w:rPr>
      </w:pPr>
      <w:r>
        <w:rPr>
          <w:rFonts w:ascii="Arial" w:cs="Arial" w:eastAsia="Arial" w:hAnsi="Arial"/>
          <w:sz w:val="18"/>
          <w:szCs w:val="18"/>
          <w:color w:val="auto"/>
        </w:rPr>
        <w:t>The pre-emptive right may be restricted or excluded by resolution of the general meeting or by the Management Board if designated thereto by the general meeting, for a period not exceeding five years, and also authorized to issue shares during that period.</w:t>
      </w:r>
    </w:p>
    <w:p>
      <w:pPr>
        <w:spacing w:after="0" w:line="135" w:lineRule="exact"/>
        <w:rPr>
          <w:rFonts w:ascii="Arial" w:cs="Arial" w:eastAsia="Arial" w:hAnsi="Arial"/>
          <w:sz w:val="19"/>
          <w:szCs w:val="19"/>
          <w:color w:val="auto"/>
        </w:rPr>
      </w:pPr>
    </w:p>
    <w:p>
      <w:pPr>
        <w:ind w:left="380"/>
        <w:spacing w:after="0" w:line="289" w:lineRule="auto"/>
        <w:rPr>
          <w:rFonts w:ascii="Arial" w:cs="Arial" w:eastAsia="Arial" w:hAnsi="Arial"/>
          <w:sz w:val="19"/>
          <w:szCs w:val="19"/>
          <w:color w:val="auto"/>
        </w:rPr>
      </w:pPr>
      <w:r>
        <w:rPr>
          <w:rFonts w:ascii="Arial" w:cs="Arial" w:eastAsia="Arial" w:hAnsi="Arial"/>
          <w:sz w:val="20"/>
          <w:szCs w:val="20"/>
          <w:color w:val="auto"/>
        </w:rPr>
        <w:t>Unless it has been determined otherwise at the designation, the right of the Management Board to restrict or to exclude the pre-emptive right cannot be revoked.</w:t>
      </w:r>
    </w:p>
    <w:p>
      <w:pPr>
        <w:spacing w:after="0" w:line="188"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20"/>
          <w:szCs w:val="20"/>
          <w:color w:val="auto"/>
        </w:rPr>
        <w:t>The designation may be renewed at any general meeting for a period not exceeding five years.</w:t>
      </w:r>
    </w:p>
    <w:p>
      <w:pPr>
        <w:spacing w:after="0" w:line="256" w:lineRule="exact"/>
        <w:rPr>
          <w:rFonts w:ascii="Arial" w:cs="Arial" w:eastAsia="Arial" w:hAnsi="Arial"/>
          <w:sz w:val="19"/>
          <w:szCs w:val="19"/>
          <w:color w:val="auto"/>
        </w:rPr>
      </w:pPr>
    </w:p>
    <w:p>
      <w:pPr>
        <w:ind w:left="380"/>
        <w:spacing w:after="0" w:line="289" w:lineRule="auto"/>
        <w:rPr>
          <w:rFonts w:ascii="Arial" w:cs="Arial" w:eastAsia="Arial" w:hAnsi="Arial"/>
          <w:sz w:val="19"/>
          <w:szCs w:val="19"/>
          <w:color w:val="auto"/>
        </w:rPr>
      </w:pPr>
      <w:r>
        <w:rPr>
          <w:rFonts w:ascii="Arial" w:cs="Arial" w:eastAsia="Arial" w:hAnsi="Arial"/>
          <w:sz w:val="20"/>
          <w:szCs w:val="20"/>
          <w:color w:val="auto"/>
        </w:rPr>
        <w:t>Unless the Management Board is designated to restrict or to exclude the pre-emptive right, a resolution to restrict or exclude the pre-emptive right will be passed on proposal of the Management Board.</w:t>
      </w:r>
    </w:p>
    <w:p>
      <w:pPr>
        <w:spacing w:after="0" w:line="188" w:lineRule="exact"/>
        <w:rPr>
          <w:rFonts w:ascii="Arial" w:cs="Arial" w:eastAsia="Arial" w:hAnsi="Arial"/>
          <w:sz w:val="19"/>
          <w:szCs w:val="19"/>
          <w:color w:val="auto"/>
        </w:rPr>
      </w:pPr>
    </w:p>
    <w:p>
      <w:pPr>
        <w:ind w:left="380" w:right="20"/>
        <w:spacing w:after="0" w:line="289" w:lineRule="auto"/>
        <w:rPr>
          <w:rFonts w:ascii="Arial" w:cs="Arial" w:eastAsia="Arial" w:hAnsi="Arial"/>
          <w:sz w:val="19"/>
          <w:szCs w:val="19"/>
          <w:color w:val="auto"/>
        </w:rPr>
      </w:pPr>
      <w:r>
        <w:rPr>
          <w:rFonts w:ascii="Arial" w:cs="Arial" w:eastAsia="Arial" w:hAnsi="Arial"/>
          <w:sz w:val="20"/>
          <w:szCs w:val="20"/>
          <w:color w:val="auto"/>
        </w:rPr>
        <w:t>A resolution by the general meeting or by the Management Board to restrict or exclude the pre-emptive right is subject to the prior approval of the Supervisory Board.</w:t>
      </w:r>
    </w:p>
    <w:p>
      <w:pPr>
        <w:spacing w:after="0" w:line="188"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20"/>
          <w:szCs w:val="20"/>
          <w:color w:val="auto"/>
        </w:rPr>
        <w:t>In the proposal in respect thereof, the reasons for the proposal shall be explained in writing.</w:t>
      </w:r>
    </w:p>
    <w:p>
      <w:pPr>
        <w:spacing w:after="0" w:line="269" w:lineRule="exact"/>
        <w:rPr>
          <w:rFonts w:ascii="Arial" w:cs="Arial" w:eastAsia="Arial" w:hAnsi="Arial"/>
          <w:sz w:val="19"/>
          <w:szCs w:val="19"/>
          <w:color w:val="auto"/>
        </w:rPr>
      </w:pPr>
    </w:p>
    <w:p>
      <w:pPr>
        <w:ind w:left="380" w:hanging="372"/>
        <w:spacing w:after="0"/>
        <w:tabs>
          <w:tab w:leader="none" w:pos="380" w:val="left"/>
        </w:tabs>
        <w:numPr>
          <w:ilvl w:val="0"/>
          <w:numId w:val="77"/>
        </w:numPr>
        <w:rPr>
          <w:rFonts w:ascii="Arial" w:cs="Arial" w:eastAsia="Arial" w:hAnsi="Arial"/>
          <w:sz w:val="19"/>
          <w:szCs w:val="19"/>
          <w:color w:val="auto"/>
        </w:rPr>
      </w:pPr>
      <w:r>
        <w:rPr>
          <w:rFonts w:ascii="Arial" w:cs="Arial" w:eastAsia="Arial" w:hAnsi="Arial"/>
          <w:sz w:val="18"/>
          <w:szCs w:val="18"/>
          <w:color w:val="auto"/>
        </w:rPr>
        <w:t>A resolution of the general meeting to restrict or exclude the pre-emptive right or to designate the Management Board as referred to in</w:t>
      </w:r>
    </w:p>
    <w:p>
      <w:pPr>
        <w:sectPr>
          <w:pgSz w:w="11900" w:h="16838" w:orient="portrait"/>
          <w:cols w:equalWidth="0" w:num="1">
            <w:col w:w="11420"/>
          </w:cols>
          <w:pgMar w:left="240" w:top="147" w:right="239" w:bottom="0" w:gutter="0" w:footer="0" w:header="0"/>
        </w:sectPr>
      </w:pPr>
    </w:p>
    <w:bookmarkStart w:id="116" w:name="page117"/>
    <w:bookmarkEnd w:id="116"/>
    <w:p>
      <w:pPr>
        <w:ind w:left="380"/>
        <w:spacing w:after="0"/>
        <w:rPr>
          <w:sz w:val="20"/>
          <w:szCs w:val="20"/>
          <w:color w:val="auto"/>
        </w:rPr>
      </w:pPr>
      <w:r>
        <w:rPr>
          <w:rFonts w:ascii="Arial" w:cs="Arial" w:eastAsia="Arial" w:hAnsi="Arial"/>
          <w:sz w:val="18"/>
          <w:szCs w:val="18"/>
          <w:color w:val="auto"/>
        </w:rPr>
        <w:t>paragraph 7 requires a majority of at least two-thirds of the votes cast, if less than half of the issued capital is represented at the meeting.</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Within eight days after said resolution, the Management Board shall deposit a complete text thereof at the Trade Register.</w:t>
      </w:r>
    </w:p>
    <w:p>
      <w:pPr>
        <w:spacing w:after="0" w:line="270" w:lineRule="exact"/>
        <w:rPr>
          <w:sz w:val="20"/>
          <w:szCs w:val="20"/>
          <w:color w:val="auto"/>
        </w:rPr>
      </w:pPr>
    </w:p>
    <w:p>
      <w:pPr>
        <w:ind w:left="380" w:right="20" w:hanging="372"/>
        <w:spacing w:after="0" w:line="279" w:lineRule="auto"/>
        <w:tabs>
          <w:tab w:leader="none" w:pos="380" w:val="left"/>
        </w:tabs>
        <w:numPr>
          <w:ilvl w:val="0"/>
          <w:numId w:val="78"/>
        </w:numPr>
        <w:rPr>
          <w:rFonts w:ascii="Arial" w:cs="Arial" w:eastAsia="Arial" w:hAnsi="Arial"/>
          <w:sz w:val="22"/>
          <w:szCs w:val="22"/>
          <w:color w:val="auto"/>
        </w:rPr>
      </w:pPr>
      <w:r>
        <w:rPr>
          <w:rFonts w:ascii="Arial" w:cs="Arial" w:eastAsia="Arial" w:hAnsi="Arial"/>
          <w:sz w:val="20"/>
          <w:szCs w:val="20"/>
          <w:color w:val="auto"/>
        </w:rPr>
        <w:t>In granting rights to acquire ordinary or preferred shares, the holders of ordinary shares or preferred shares, respectively, have a pre-emptive right; the above provisions of this article shall apply.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Own shares, right of pledge on own shares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w:t>
      </w:r>
    </w:p>
    <w:p>
      <w:pPr>
        <w:spacing w:after="0" w:line="277" w:lineRule="exact"/>
        <w:rPr>
          <w:sz w:val="20"/>
          <w:szCs w:val="20"/>
          <w:color w:val="auto"/>
        </w:rPr>
      </w:pPr>
    </w:p>
    <w:p>
      <w:pPr>
        <w:ind w:left="380" w:hanging="372"/>
        <w:spacing w:after="0"/>
        <w:tabs>
          <w:tab w:leader="none" w:pos="380" w:val="left"/>
        </w:tabs>
        <w:numPr>
          <w:ilvl w:val="0"/>
          <w:numId w:val="79"/>
        </w:numPr>
        <w:rPr>
          <w:rFonts w:ascii="Arial" w:cs="Arial" w:eastAsia="Arial" w:hAnsi="Arial"/>
          <w:sz w:val="22"/>
          <w:szCs w:val="22"/>
          <w:color w:val="auto"/>
        </w:rPr>
      </w:pPr>
      <w:r>
        <w:rPr>
          <w:rFonts w:ascii="Arial" w:cs="Arial" w:eastAsia="Arial" w:hAnsi="Arial"/>
          <w:sz w:val="20"/>
          <w:szCs w:val="20"/>
          <w:color w:val="auto"/>
        </w:rPr>
        <w:t>The company cannot subscribe for shares in its own capital.</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79"/>
        </w:numPr>
        <w:rPr>
          <w:rFonts w:ascii="Arial" w:cs="Arial" w:eastAsia="Arial" w:hAnsi="Arial"/>
          <w:sz w:val="22"/>
          <w:szCs w:val="22"/>
          <w:color w:val="auto"/>
        </w:rPr>
      </w:pPr>
      <w:r>
        <w:rPr>
          <w:rFonts w:ascii="Arial" w:cs="Arial" w:eastAsia="Arial" w:hAnsi="Arial"/>
          <w:sz w:val="20"/>
          <w:szCs w:val="20"/>
          <w:color w:val="auto"/>
        </w:rPr>
        <w:t>Any acquisition by the company of shares in its own capital that are not fully paid-up shall be null and void.</w:t>
      </w:r>
    </w:p>
    <w:p>
      <w:pPr>
        <w:spacing w:after="0" w:line="249" w:lineRule="exact"/>
        <w:rPr>
          <w:rFonts w:ascii="Arial" w:cs="Arial" w:eastAsia="Arial" w:hAnsi="Arial"/>
          <w:sz w:val="22"/>
          <w:szCs w:val="22"/>
          <w:color w:val="auto"/>
        </w:rPr>
      </w:pPr>
    </w:p>
    <w:p>
      <w:pPr>
        <w:ind w:left="380" w:hanging="372"/>
        <w:spacing w:after="0"/>
        <w:tabs>
          <w:tab w:leader="none" w:pos="380" w:val="left"/>
        </w:tabs>
        <w:numPr>
          <w:ilvl w:val="0"/>
          <w:numId w:val="79"/>
        </w:numPr>
        <w:rPr>
          <w:rFonts w:ascii="Arial" w:cs="Arial" w:eastAsia="Arial" w:hAnsi="Arial"/>
          <w:sz w:val="19"/>
          <w:szCs w:val="19"/>
          <w:color w:val="auto"/>
        </w:rPr>
      </w:pPr>
      <w:r>
        <w:rPr>
          <w:rFonts w:ascii="Arial" w:cs="Arial" w:eastAsia="Arial" w:hAnsi="Arial"/>
          <w:sz w:val="18"/>
          <w:szCs w:val="18"/>
          <w:color w:val="auto"/>
        </w:rPr>
        <w:t>In accordance with the provisions of article 2:98 Dutch Civil Code, the company may acquire fully paid-up shares in its own capital if:</w:t>
      </w:r>
    </w:p>
    <w:p>
      <w:pPr>
        <w:spacing w:after="0" w:line="281" w:lineRule="exact"/>
        <w:rPr>
          <w:rFonts w:ascii="Arial" w:cs="Arial" w:eastAsia="Arial" w:hAnsi="Arial"/>
          <w:sz w:val="19"/>
          <w:szCs w:val="19"/>
          <w:color w:val="auto"/>
        </w:rPr>
      </w:pPr>
    </w:p>
    <w:p>
      <w:pPr>
        <w:ind w:left="780" w:hanging="380"/>
        <w:spacing w:after="0" w:line="279" w:lineRule="auto"/>
        <w:tabs>
          <w:tab w:leader="none" w:pos="762" w:val="left"/>
        </w:tabs>
        <w:numPr>
          <w:ilvl w:val="1"/>
          <w:numId w:val="79"/>
        </w:numPr>
        <w:rPr>
          <w:rFonts w:ascii="Arial" w:cs="Arial" w:eastAsia="Arial" w:hAnsi="Arial"/>
          <w:sz w:val="22"/>
          <w:szCs w:val="22"/>
          <w:color w:val="auto"/>
        </w:rPr>
      </w:pPr>
      <w:r>
        <w:rPr>
          <w:rFonts w:ascii="Arial" w:cs="Arial" w:eastAsia="Arial" w:hAnsi="Arial"/>
          <w:sz w:val="20"/>
          <w:szCs w:val="20"/>
          <w:color w:val="auto"/>
        </w:rPr>
        <w:t>the shareholders' equity less the acquisition price is not less than the sum of the paid in and called up part of its capital and the reserves that it is required to maintain by law;</w:t>
      </w:r>
    </w:p>
    <w:p>
      <w:pPr>
        <w:spacing w:after="0" w:line="208" w:lineRule="exact"/>
        <w:rPr>
          <w:rFonts w:ascii="Arial" w:cs="Arial" w:eastAsia="Arial" w:hAnsi="Arial"/>
          <w:sz w:val="22"/>
          <w:szCs w:val="22"/>
          <w:color w:val="auto"/>
        </w:rPr>
      </w:pPr>
    </w:p>
    <w:p>
      <w:pPr>
        <w:ind w:left="780" w:hanging="380"/>
        <w:spacing w:after="0" w:line="279" w:lineRule="auto"/>
        <w:tabs>
          <w:tab w:leader="none" w:pos="762" w:val="left"/>
        </w:tabs>
        <w:numPr>
          <w:ilvl w:val="1"/>
          <w:numId w:val="79"/>
        </w:numPr>
        <w:rPr>
          <w:rFonts w:ascii="Arial" w:cs="Arial" w:eastAsia="Arial" w:hAnsi="Arial"/>
          <w:sz w:val="22"/>
          <w:szCs w:val="22"/>
          <w:color w:val="auto"/>
        </w:rPr>
      </w:pPr>
      <w:r>
        <w:rPr>
          <w:rFonts w:ascii="Arial" w:cs="Arial" w:eastAsia="Arial" w:hAnsi="Arial"/>
          <w:sz w:val="20"/>
          <w:szCs w:val="20"/>
          <w:color w:val="auto"/>
        </w:rPr>
        <w:t>the nominal value of the shares to be acquired in its capital, which the company itself holds or holds in pledge, or which are held by a subsidiary is not more than half of the issued capital; and</w:t>
      </w:r>
    </w:p>
    <w:p>
      <w:pPr>
        <w:spacing w:after="0" w:line="205" w:lineRule="exact"/>
        <w:rPr>
          <w:rFonts w:ascii="Arial" w:cs="Arial" w:eastAsia="Arial" w:hAnsi="Arial"/>
          <w:sz w:val="22"/>
          <w:szCs w:val="22"/>
          <w:color w:val="auto"/>
        </w:rPr>
      </w:pPr>
    </w:p>
    <w:p>
      <w:pPr>
        <w:ind w:left="760" w:hanging="360"/>
        <w:spacing w:after="0"/>
        <w:tabs>
          <w:tab w:leader="none" w:pos="760" w:val="left"/>
        </w:tabs>
        <w:numPr>
          <w:ilvl w:val="1"/>
          <w:numId w:val="79"/>
        </w:numPr>
        <w:rPr>
          <w:rFonts w:ascii="Arial" w:cs="Arial" w:eastAsia="Arial" w:hAnsi="Arial"/>
          <w:sz w:val="22"/>
          <w:szCs w:val="22"/>
          <w:color w:val="auto"/>
        </w:rPr>
      </w:pPr>
      <w:r>
        <w:rPr>
          <w:rFonts w:ascii="Arial" w:cs="Arial" w:eastAsia="Arial" w:hAnsi="Arial"/>
          <w:sz w:val="20"/>
          <w:szCs w:val="20"/>
          <w:color w:val="auto"/>
        </w:rPr>
        <w:t>the acquisition is authorized by the general meeting.</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authorization shall be valid for a maximum of eighteen months.</w:t>
      </w:r>
    </w:p>
    <w:p>
      <w:pPr>
        <w:spacing w:after="0" w:line="256" w:lineRule="exact"/>
        <w:rPr>
          <w:sz w:val="20"/>
          <w:szCs w:val="20"/>
          <w:color w:val="auto"/>
        </w:rPr>
      </w:pPr>
    </w:p>
    <w:p>
      <w:pPr>
        <w:ind w:left="380"/>
        <w:spacing w:after="0" w:line="289" w:lineRule="auto"/>
        <w:rPr>
          <w:sz w:val="20"/>
          <w:szCs w:val="20"/>
          <w:color w:val="auto"/>
        </w:rPr>
      </w:pPr>
      <w:r>
        <w:rPr>
          <w:rFonts w:ascii="Arial" w:cs="Arial" w:eastAsia="Arial" w:hAnsi="Arial"/>
          <w:sz w:val="20"/>
          <w:szCs w:val="20"/>
          <w:color w:val="auto"/>
        </w:rPr>
        <w:t>The general meeting shall determine in the authorization the number and class of shares that may be acquired, how they may be acquired and the price range.</w:t>
      </w:r>
    </w:p>
    <w:p>
      <w:pPr>
        <w:spacing w:after="0" w:line="189" w:lineRule="exact"/>
        <w:rPr>
          <w:sz w:val="20"/>
          <w:szCs w:val="20"/>
          <w:color w:val="auto"/>
        </w:rPr>
      </w:pPr>
    </w:p>
    <w:p>
      <w:pPr>
        <w:ind w:left="380" w:right="20"/>
        <w:spacing w:after="0" w:line="289" w:lineRule="auto"/>
        <w:rPr>
          <w:sz w:val="20"/>
          <w:szCs w:val="20"/>
          <w:color w:val="auto"/>
        </w:rPr>
      </w:pPr>
      <w:r>
        <w:rPr>
          <w:rFonts w:ascii="Arial" w:cs="Arial" w:eastAsia="Arial" w:hAnsi="Arial"/>
          <w:sz w:val="20"/>
          <w:szCs w:val="20"/>
          <w:color w:val="auto"/>
        </w:rPr>
        <w:t>The authorization is not required for the acquisition of shares on a stock market in order to transfer them to employees of the company or of a group company pursuant to a scheme applicable to such employees.</w:t>
      </w:r>
    </w:p>
    <w:p>
      <w:pPr>
        <w:spacing w:after="0" w:line="202" w:lineRule="exact"/>
        <w:rPr>
          <w:sz w:val="20"/>
          <w:szCs w:val="20"/>
          <w:color w:val="auto"/>
        </w:rPr>
      </w:pPr>
    </w:p>
    <w:p>
      <w:pPr>
        <w:jc w:val="both"/>
        <w:ind w:left="380" w:hanging="372"/>
        <w:spacing w:after="0" w:line="321" w:lineRule="auto"/>
        <w:tabs>
          <w:tab w:leader="none" w:pos="380" w:val="left"/>
        </w:tabs>
        <w:numPr>
          <w:ilvl w:val="0"/>
          <w:numId w:val="80"/>
        </w:numPr>
        <w:rPr>
          <w:rFonts w:ascii="Arial" w:cs="Arial" w:eastAsia="Arial" w:hAnsi="Arial"/>
          <w:sz w:val="19"/>
          <w:szCs w:val="19"/>
          <w:color w:val="auto"/>
        </w:rPr>
      </w:pPr>
      <w:r>
        <w:rPr>
          <w:rFonts w:ascii="Arial" w:cs="Arial" w:eastAsia="Arial" w:hAnsi="Arial"/>
          <w:sz w:val="18"/>
          <w:szCs w:val="18"/>
          <w:color w:val="auto"/>
        </w:rPr>
        <w:t>For the purposes of subparagraph a of paragraph 3, the amount of the shareholders' equity according to the last adopted balance sheet shall be reduced by the acquisition price of shares in the capital of the company, the amount of loans as described in article 2:98c paragraph 2 Dutch Civil Code and distributions to others from profits or reserves which may have become due by the company and its subsidiaries after the balance sheet date. If more than six months have elapsed since the commencement of the financial year, and no annual accounts have been adopted, then an acquisition in accordance with paragraph 3 above shall not be permitted.</w:t>
      </w:r>
    </w:p>
    <w:p>
      <w:pPr>
        <w:spacing w:after="0" w:line="177" w:lineRule="exact"/>
        <w:rPr>
          <w:rFonts w:ascii="Arial" w:cs="Arial" w:eastAsia="Arial" w:hAnsi="Arial"/>
          <w:sz w:val="19"/>
          <w:szCs w:val="19"/>
          <w:color w:val="auto"/>
        </w:rPr>
      </w:pPr>
    </w:p>
    <w:p>
      <w:pPr>
        <w:ind w:left="380" w:hanging="372"/>
        <w:spacing w:after="0"/>
        <w:tabs>
          <w:tab w:leader="none" w:pos="380" w:val="left"/>
        </w:tabs>
        <w:numPr>
          <w:ilvl w:val="0"/>
          <w:numId w:val="80"/>
        </w:numPr>
        <w:rPr>
          <w:rFonts w:ascii="Arial" w:cs="Arial" w:eastAsia="Arial" w:hAnsi="Arial"/>
          <w:sz w:val="22"/>
          <w:szCs w:val="22"/>
          <w:color w:val="auto"/>
        </w:rPr>
      </w:pPr>
      <w:r>
        <w:rPr>
          <w:rFonts w:ascii="Arial" w:cs="Arial" w:eastAsia="Arial" w:hAnsi="Arial"/>
          <w:sz w:val="20"/>
          <w:szCs w:val="20"/>
          <w:color w:val="auto"/>
        </w:rPr>
        <w:t>The company may only take its own shares in pledge in accordance with the applicable statutory provisions.</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80"/>
        </w:numPr>
        <w:rPr>
          <w:rFonts w:ascii="Arial" w:cs="Arial" w:eastAsia="Arial" w:hAnsi="Arial"/>
          <w:sz w:val="22"/>
          <w:szCs w:val="22"/>
          <w:color w:val="auto"/>
        </w:rPr>
      </w:pPr>
      <w:r>
        <w:rPr>
          <w:rFonts w:ascii="Arial" w:cs="Arial" w:eastAsia="Arial" w:hAnsi="Arial"/>
          <w:sz w:val="20"/>
          <w:szCs w:val="20"/>
          <w:color w:val="auto"/>
        </w:rPr>
        <w:t>The company is not entitled to any distributions from shares in its own capital.</w:t>
      </w:r>
    </w:p>
    <w:p>
      <w:pPr>
        <w:spacing w:after="0" w:line="235" w:lineRule="exact"/>
        <w:rPr>
          <w:rFonts w:ascii="Arial" w:cs="Arial" w:eastAsia="Arial" w:hAnsi="Arial"/>
          <w:sz w:val="22"/>
          <w:szCs w:val="22"/>
          <w:color w:val="auto"/>
        </w:rPr>
      </w:pPr>
    </w:p>
    <w:p>
      <w:pPr>
        <w:jc w:val="both"/>
        <w:ind w:left="380"/>
        <w:spacing w:after="0" w:line="278" w:lineRule="auto"/>
        <w:rPr>
          <w:rFonts w:ascii="Arial" w:cs="Arial" w:eastAsia="Arial" w:hAnsi="Arial"/>
          <w:sz w:val="22"/>
          <w:szCs w:val="22"/>
          <w:color w:val="auto"/>
        </w:rPr>
      </w:pPr>
      <w:r>
        <w:rPr>
          <w:rFonts w:ascii="Arial" w:cs="Arial" w:eastAsia="Arial" w:hAnsi="Arial"/>
          <w:sz w:val="20"/>
          <w:szCs w:val="20"/>
          <w:color w:val="auto"/>
        </w:rPr>
        <w:t>In the calculation of the distribution of profits, the shares referred to in the previous sentence are not counted unless there is a right of usufruct or right of pledge on such shares, and if the pledgee is entitled to the distributions on the shares for the benefit of a party other than the company.</w:t>
      </w:r>
    </w:p>
    <w:p>
      <w:pPr>
        <w:spacing w:after="0" w:line="211" w:lineRule="exact"/>
        <w:rPr>
          <w:rFonts w:ascii="Arial" w:cs="Arial" w:eastAsia="Arial" w:hAnsi="Arial"/>
          <w:sz w:val="22"/>
          <w:szCs w:val="22"/>
          <w:color w:val="auto"/>
        </w:rPr>
      </w:pPr>
    </w:p>
    <w:p>
      <w:pPr>
        <w:ind w:left="380" w:hanging="372"/>
        <w:spacing w:after="0"/>
        <w:tabs>
          <w:tab w:leader="none" w:pos="380" w:val="left"/>
        </w:tabs>
        <w:numPr>
          <w:ilvl w:val="0"/>
          <w:numId w:val="80"/>
        </w:numPr>
        <w:rPr>
          <w:rFonts w:ascii="Arial" w:cs="Arial" w:eastAsia="Arial" w:hAnsi="Arial"/>
          <w:sz w:val="22"/>
          <w:szCs w:val="22"/>
          <w:color w:val="auto"/>
        </w:rPr>
      </w:pPr>
      <w:r>
        <w:rPr>
          <w:rFonts w:ascii="Arial" w:cs="Arial" w:eastAsia="Arial" w:hAnsi="Arial"/>
          <w:sz w:val="20"/>
          <w:szCs w:val="20"/>
          <w:color w:val="auto"/>
        </w:rPr>
        <w:t>At the general meeting no vote may be cast for shares held by the company or a subsidiary.</w:t>
      </w:r>
    </w:p>
    <w:p>
      <w:pPr>
        <w:spacing w:after="0" w:line="235" w:lineRule="exact"/>
        <w:rPr>
          <w:rFonts w:ascii="Arial" w:cs="Arial" w:eastAsia="Arial" w:hAnsi="Arial"/>
          <w:sz w:val="22"/>
          <w:szCs w:val="22"/>
          <w:color w:val="auto"/>
        </w:rPr>
      </w:pPr>
    </w:p>
    <w:p>
      <w:pPr>
        <w:ind w:left="380" w:right="20"/>
        <w:spacing w:after="0" w:line="289" w:lineRule="auto"/>
        <w:rPr>
          <w:rFonts w:ascii="Arial" w:cs="Arial" w:eastAsia="Arial" w:hAnsi="Arial"/>
          <w:sz w:val="22"/>
          <w:szCs w:val="22"/>
          <w:color w:val="auto"/>
        </w:rPr>
      </w:pPr>
      <w:r>
        <w:rPr>
          <w:rFonts w:ascii="Arial" w:cs="Arial" w:eastAsia="Arial" w:hAnsi="Arial"/>
          <w:sz w:val="20"/>
          <w:szCs w:val="20"/>
          <w:color w:val="auto"/>
        </w:rPr>
        <w:t>Usufructuaries of shares that belong to the company or a subsidiary are, however, not excluded from exercising their right to vote if the right of usufruct was created before the share belonged to the company or a subsidiary.</w:t>
      </w:r>
    </w:p>
    <w:p>
      <w:pPr>
        <w:spacing w:after="0" w:line="188"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The company or a subsidiary cannot cast a vote for a share on which it has a right of usufruct.</w:t>
      </w:r>
    </w:p>
    <w:p>
      <w:pPr>
        <w:spacing w:after="0" w:line="256"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In determining the extent to which the shareholders vote, are present or represented, or the extent to which the share capital is provided or represented, the shares on which, by law, no vote may be cast shall not be taken into account.</w:t>
      </w:r>
    </w:p>
    <w:p>
      <w:pPr>
        <w:spacing w:after="0" w:line="199" w:lineRule="exact"/>
        <w:rPr>
          <w:rFonts w:ascii="Arial" w:cs="Arial" w:eastAsia="Arial" w:hAnsi="Arial"/>
          <w:sz w:val="22"/>
          <w:szCs w:val="22"/>
          <w:color w:val="auto"/>
        </w:rPr>
      </w:pPr>
    </w:p>
    <w:p>
      <w:pPr>
        <w:ind w:left="380" w:hanging="372"/>
        <w:spacing w:after="0"/>
        <w:tabs>
          <w:tab w:leader="none" w:pos="380" w:val="left"/>
        </w:tabs>
        <w:numPr>
          <w:ilvl w:val="0"/>
          <w:numId w:val="80"/>
        </w:numPr>
        <w:rPr>
          <w:rFonts w:ascii="Arial" w:cs="Arial" w:eastAsia="Arial" w:hAnsi="Arial"/>
          <w:sz w:val="22"/>
          <w:szCs w:val="22"/>
          <w:color w:val="auto"/>
        </w:rPr>
      </w:pPr>
      <w:r>
        <w:rPr>
          <w:rFonts w:ascii="Arial" w:cs="Arial" w:eastAsia="Arial" w:hAnsi="Arial"/>
          <w:sz w:val="20"/>
          <w:szCs w:val="20"/>
          <w:color w:val="auto"/>
        </w:rPr>
        <w:t>A subsidiary may not subscribe shares in the capital of the company for its own account or have such shares issued to it.</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80"/>
        </w:numPr>
        <w:rPr>
          <w:rFonts w:ascii="Arial" w:cs="Arial" w:eastAsia="Arial" w:hAnsi="Arial"/>
          <w:sz w:val="22"/>
          <w:szCs w:val="22"/>
          <w:color w:val="auto"/>
        </w:rPr>
      </w:pPr>
      <w:r>
        <w:rPr>
          <w:rFonts w:ascii="Arial" w:cs="Arial" w:eastAsia="Arial" w:hAnsi="Arial"/>
          <w:sz w:val="20"/>
          <w:szCs w:val="20"/>
          <w:color w:val="auto"/>
        </w:rPr>
        <w:t>The preceding paragraphs shall not apply to shares which the company acquires</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80"/>
        </w:numPr>
        <w:rPr>
          <w:rFonts w:ascii="Arial" w:cs="Arial" w:eastAsia="Arial" w:hAnsi="Arial"/>
          <w:sz w:val="22"/>
          <w:szCs w:val="22"/>
          <w:color w:val="auto"/>
        </w:rPr>
      </w:pPr>
      <w:r>
        <w:rPr>
          <w:rFonts w:ascii="Arial" w:cs="Arial" w:eastAsia="Arial" w:hAnsi="Arial"/>
          <w:sz w:val="20"/>
          <w:szCs w:val="20"/>
          <w:color w:val="auto"/>
        </w:rPr>
        <w:t>for no consideration; or</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80"/>
        </w:numPr>
        <w:rPr>
          <w:rFonts w:ascii="Arial" w:cs="Arial" w:eastAsia="Arial" w:hAnsi="Arial"/>
          <w:sz w:val="22"/>
          <w:szCs w:val="22"/>
          <w:color w:val="auto"/>
        </w:rPr>
      </w:pPr>
      <w:r>
        <w:rPr>
          <w:rFonts w:ascii="Arial" w:cs="Arial" w:eastAsia="Arial" w:hAnsi="Arial"/>
          <w:sz w:val="20"/>
          <w:szCs w:val="20"/>
          <w:color w:val="auto"/>
        </w:rPr>
        <w:t>by universal succession of title (</w:t>
      </w:r>
      <w:r>
        <w:rPr>
          <w:rFonts w:ascii="Arial" w:cs="Arial" w:eastAsia="Arial" w:hAnsi="Arial"/>
          <w:sz w:val="20"/>
          <w:szCs w:val="20"/>
          <w:i w:val="1"/>
          <w:iCs w:val="1"/>
          <w:color w:val="auto"/>
        </w:rPr>
        <w:t>verkrijging onder algemene titel</w:t>
      </w:r>
      <w:r>
        <w:rPr>
          <w:rFonts w:ascii="Arial" w:cs="Arial" w:eastAsia="Arial" w:hAnsi="Arial"/>
          <w:sz w:val="20"/>
          <w:szCs w:val="20"/>
          <w:color w:val="auto"/>
        </w:rPr>
        <w:t>).</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80"/>
        </w:numPr>
        <w:rPr>
          <w:rFonts w:ascii="Arial" w:cs="Arial" w:eastAsia="Arial" w:hAnsi="Arial"/>
          <w:sz w:val="22"/>
          <w:szCs w:val="22"/>
          <w:color w:val="auto"/>
        </w:rPr>
      </w:pPr>
      <w:r>
        <w:rPr>
          <w:rFonts w:ascii="Arial" w:cs="Arial" w:eastAsia="Arial" w:hAnsi="Arial"/>
          <w:sz w:val="20"/>
          <w:szCs w:val="20"/>
          <w:color w:val="auto"/>
        </w:rPr>
        <w:t>The term 'shares' as used in this article shall include depositary receipts issued for shares.</w:t>
      </w:r>
    </w:p>
    <w:p>
      <w:pPr>
        <w:sectPr>
          <w:pgSz w:w="11900" w:h="16838" w:orient="portrait"/>
          <w:cols w:equalWidth="0" w:num="1">
            <w:col w:w="11420"/>
          </w:cols>
          <w:pgMar w:left="240" w:top="150" w:right="239" w:bottom="0" w:gutter="0" w:footer="0" w:header="0"/>
        </w:sectPr>
      </w:pPr>
    </w:p>
    <w:bookmarkStart w:id="117" w:name="page118"/>
    <w:bookmarkEnd w:id="117"/>
    <w:p>
      <w:pPr>
        <w:spacing w:after="0"/>
        <w:rPr>
          <w:sz w:val="20"/>
          <w:szCs w:val="20"/>
          <w:color w:val="auto"/>
        </w:rPr>
      </w:pPr>
      <w:r>
        <w:rPr>
          <w:rFonts w:ascii="Arial" w:cs="Arial" w:eastAsia="Arial" w:hAnsi="Arial"/>
          <w:sz w:val="22"/>
          <w:szCs w:val="22"/>
          <w:b w:val="1"/>
          <w:bCs w:val="1"/>
          <w:color w:val="auto"/>
        </w:rPr>
        <w:t>Article 8.</w:t>
      </w:r>
    </w:p>
    <w:p>
      <w:pPr>
        <w:spacing w:after="0" w:line="284" w:lineRule="exact"/>
        <w:rPr>
          <w:sz w:val="20"/>
          <w:szCs w:val="20"/>
          <w:color w:val="auto"/>
        </w:rPr>
      </w:pPr>
    </w:p>
    <w:p>
      <w:pPr>
        <w:ind w:left="380" w:hanging="372"/>
        <w:spacing w:after="0" w:line="279" w:lineRule="auto"/>
        <w:tabs>
          <w:tab w:leader="none" w:pos="380" w:val="left"/>
        </w:tabs>
        <w:numPr>
          <w:ilvl w:val="0"/>
          <w:numId w:val="81"/>
        </w:numPr>
        <w:rPr>
          <w:rFonts w:ascii="Arial" w:cs="Arial" w:eastAsia="Arial" w:hAnsi="Arial"/>
          <w:sz w:val="22"/>
          <w:szCs w:val="22"/>
          <w:color w:val="auto"/>
        </w:rPr>
      </w:pPr>
      <w:r>
        <w:rPr>
          <w:rFonts w:ascii="Arial" w:cs="Arial" w:eastAsia="Arial" w:hAnsi="Arial"/>
          <w:sz w:val="20"/>
          <w:szCs w:val="20"/>
          <w:color w:val="auto"/>
        </w:rPr>
        <w:t>The company may not provide collateral, guarantee the price, otherwise guarantee or bind itself jointly or severally with or for third parties, for the purpose of the subscription or acquisition by third parties of shares in its capital.</w:t>
      </w:r>
    </w:p>
    <w:p>
      <w:pPr>
        <w:spacing w:after="0" w:line="194"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This prohibition shall also extend to any subsidiaries.</w:t>
      </w:r>
    </w:p>
    <w:p>
      <w:pPr>
        <w:spacing w:after="0" w:line="269" w:lineRule="exact"/>
        <w:rPr>
          <w:rFonts w:ascii="Arial" w:cs="Arial" w:eastAsia="Arial" w:hAnsi="Arial"/>
          <w:sz w:val="22"/>
          <w:szCs w:val="22"/>
          <w:color w:val="auto"/>
        </w:rPr>
      </w:pPr>
    </w:p>
    <w:p>
      <w:pPr>
        <w:jc w:val="both"/>
        <w:ind w:left="380" w:hanging="372"/>
        <w:spacing w:after="0" w:line="278" w:lineRule="auto"/>
        <w:tabs>
          <w:tab w:leader="none" w:pos="380" w:val="left"/>
        </w:tabs>
        <w:numPr>
          <w:ilvl w:val="0"/>
          <w:numId w:val="81"/>
        </w:numPr>
        <w:rPr>
          <w:rFonts w:ascii="Arial" w:cs="Arial" w:eastAsia="Arial" w:hAnsi="Arial"/>
          <w:sz w:val="22"/>
          <w:szCs w:val="22"/>
          <w:color w:val="auto"/>
        </w:rPr>
      </w:pPr>
      <w:r>
        <w:rPr>
          <w:rFonts w:ascii="Arial" w:cs="Arial" w:eastAsia="Arial" w:hAnsi="Arial"/>
          <w:sz w:val="20"/>
          <w:szCs w:val="20"/>
          <w:color w:val="auto"/>
        </w:rPr>
        <w:t>The company and its subsidiaries may not provide loans for the purpose of the subscription or acquisition by third parties of shares in the capital of the company, unless the Management Board resolves to do so and the requirements described in article 2:98 Dutch Civil Code are met.</w:t>
      </w:r>
    </w:p>
    <w:p>
      <w:pPr>
        <w:spacing w:after="0" w:line="214"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81"/>
        </w:numPr>
        <w:rPr>
          <w:rFonts w:ascii="Arial" w:cs="Arial" w:eastAsia="Arial" w:hAnsi="Arial"/>
          <w:sz w:val="22"/>
          <w:szCs w:val="22"/>
          <w:color w:val="auto"/>
        </w:rPr>
      </w:pPr>
      <w:r>
        <w:rPr>
          <w:rFonts w:ascii="Arial" w:cs="Arial" w:eastAsia="Arial" w:hAnsi="Arial"/>
          <w:sz w:val="20"/>
          <w:szCs w:val="20"/>
          <w:color w:val="auto"/>
        </w:rPr>
        <w:t>Paragraphs 1 and 2 shall not apply if shares or depositary receipts of shares are subscribed or acquired by or for employees of the company or a group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Reduction of capital</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w:t>
      </w:r>
    </w:p>
    <w:p>
      <w:pPr>
        <w:spacing w:after="0" w:line="280" w:lineRule="exact"/>
        <w:rPr>
          <w:sz w:val="20"/>
          <w:szCs w:val="20"/>
          <w:color w:val="auto"/>
        </w:rPr>
      </w:pPr>
    </w:p>
    <w:p>
      <w:pPr>
        <w:jc w:val="both"/>
        <w:ind w:left="380" w:hanging="372"/>
        <w:spacing w:after="0" w:line="278" w:lineRule="auto"/>
        <w:tabs>
          <w:tab w:leader="none" w:pos="380" w:val="left"/>
        </w:tabs>
        <w:numPr>
          <w:ilvl w:val="0"/>
          <w:numId w:val="82"/>
        </w:numPr>
        <w:rPr>
          <w:rFonts w:ascii="Arial" w:cs="Arial" w:eastAsia="Arial" w:hAnsi="Arial"/>
          <w:sz w:val="22"/>
          <w:szCs w:val="22"/>
          <w:color w:val="auto"/>
        </w:rPr>
      </w:pPr>
      <w:r>
        <w:rPr>
          <w:rFonts w:ascii="Arial" w:cs="Arial" w:eastAsia="Arial" w:hAnsi="Arial"/>
          <w:sz w:val="20"/>
          <w:szCs w:val="20"/>
          <w:color w:val="auto"/>
        </w:rPr>
        <w:t>The general meeting may decide to reduce the issued capital upon proposal by the Management Board, which has been approved by the Supervisory Board and subject to the provisions of article 2:99 Dutch Civil Code, by cancellation of shares or by reducing the amount of the shares by amendment of these articles of association.</w:t>
      </w:r>
    </w:p>
    <w:p>
      <w:pPr>
        <w:spacing w:after="0" w:line="200" w:lineRule="exact"/>
        <w:rPr>
          <w:rFonts w:ascii="Arial" w:cs="Arial" w:eastAsia="Arial" w:hAnsi="Arial"/>
          <w:sz w:val="22"/>
          <w:szCs w:val="22"/>
          <w:color w:val="auto"/>
        </w:rPr>
      </w:pPr>
    </w:p>
    <w:p>
      <w:pPr>
        <w:ind w:left="380" w:right="540"/>
        <w:spacing w:after="0" w:line="504" w:lineRule="auto"/>
        <w:rPr>
          <w:rFonts w:ascii="Arial" w:cs="Arial" w:eastAsia="Arial" w:hAnsi="Arial"/>
          <w:sz w:val="22"/>
          <w:szCs w:val="22"/>
          <w:color w:val="auto"/>
        </w:rPr>
      </w:pPr>
      <w:r>
        <w:rPr>
          <w:rFonts w:ascii="Arial" w:cs="Arial" w:eastAsia="Arial" w:hAnsi="Arial"/>
          <w:sz w:val="20"/>
          <w:szCs w:val="20"/>
          <w:color w:val="auto"/>
        </w:rPr>
        <w:t>This resolution must designate the shares to which the resolution pertains and must provide for the implementation of the resolution. A resolution for cancellation of shares may only relate to:</w:t>
      </w:r>
    </w:p>
    <w:p>
      <w:pPr>
        <w:spacing w:after="0" w:line="17" w:lineRule="exact"/>
        <w:rPr>
          <w:rFonts w:ascii="Arial" w:cs="Arial" w:eastAsia="Arial" w:hAnsi="Arial"/>
          <w:sz w:val="22"/>
          <w:szCs w:val="22"/>
          <w:color w:val="auto"/>
        </w:rPr>
      </w:pPr>
    </w:p>
    <w:p>
      <w:pPr>
        <w:ind w:left="760" w:hanging="360"/>
        <w:spacing w:after="0"/>
        <w:tabs>
          <w:tab w:leader="none" w:pos="760" w:val="left"/>
        </w:tabs>
        <w:numPr>
          <w:ilvl w:val="1"/>
          <w:numId w:val="82"/>
        </w:numPr>
        <w:rPr>
          <w:rFonts w:ascii="Arial" w:cs="Arial" w:eastAsia="Arial" w:hAnsi="Arial"/>
          <w:sz w:val="22"/>
          <w:szCs w:val="22"/>
          <w:color w:val="auto"/>
        </w:rPr>
      </w:pPr>
      <w:r>
        <w:rPr>
          <w:rFonts w:ascii="Arial" w:cs="Arial" w:eastAsia="Arial" w:hAnsi="Arial"/>
          <w:sz w:val="20"/>
          <w:szCs w:val="20"/>
          <w:color w:val="auto"/>
        </w:rPr>
        <w:t>shares held by the company itself or of which it holds the depositary receipts;</w:t>
      </w:r>
    </w:p>
    <w:p>
      <w:pPr>
        <w:spacing w:after="0" w:line="249" w:lineRule="exact"/>
        <w:rPr>
          <w:rFonts w:ascii="Arial" w:cs="Arial" w:eastAsia="Arial" w:hAnsi="Arial"/>
          <w:sz w:val="22"/>
          <w:szCs w:val="22"/>
          <w:color w:val="auto"/>
        </w:rPr>
      </w:pPr>
    </w:p>
    <w:p>
      <w:pPr>
        <w:jc w:val="both"/>
        <w:ind w:left="780" w:hanging="380"/>
        <w:spacing w:after="0" w:line="297" w:lineRule="auto"/>
        <w:tabs>
          <w:tab w:leader="none" w:pos="762" w:val="left"/>
        </w:tabs>
        <w:numPr>
          <w:ilvl w:val="1"/>
          <w:numId w:val="82"/>
        </w:numPr>
        <w:rPr>
          <w:rFonts w:ascii="Arial" w:cs="Arial" w:eastAsia="Arial" w:hAnsi="Arial"/>
          <w:sz w:val="21"/>
          <w:szCs w:val="21"/>
          <w:color w:val="auto"/>
        </w:rPr>
      </w:pPr>
      <w:r>
        <w:rPr>
          <w:rFonts w:ascii="Arial" w:cs="Arial" w:eastAsia="Arial" w:hAnsi="Arial"/>
          <w:sz w:val="19"/>
          <w:szCs w:val="19"/>
          <w:color w:val="auto"/>
        </w:rPr>
        <w:t>preferred shares with repayment of the nominal amount paid on the preferred shares, increased by (i) any deficit in the payment of dividend as referred to in article 21 paragraph 2 and (ii) an amount equal to the percentage referred to in article 21 paragraph 2 on the compulsory amount paid on the preferred shares, calculated over the period starting on the first day of the last full financial year prior to the cancellation and ending on the day of the payment on preferred shares as referred to in this article, with due observance of the fact that any and all dividends and/or other distributions paid on the preferred shares relating to such period shall be deducted from the payment as referred to in this subparagraph.</w:t>
      </w:r>
    </w:p>
    <w:p>
      <w:pPr>
        <w:spacing w:after="0" w:line="199" w:lineRule="exact"/>
        <w:rPr>
          <w:rFonts w:ascii="Arial" w:cs="Arial" w:eastAsia="Arial" w:hAnsi="Arial"/>
          <w:sz w:val="21"/>
          <w:szCs w:val="21"/>
          <w:color w:val="auto"/>
        </w:rPr>
      </w:pPr>
    </w:p>
    <w:p>
      <w:pPr>
        <w:ind w:left="380" w:hanging="372"/>
        <w:spacing w:after="0" w:line="279" w:lineRule="auto"/>
        <w:tabs>
          <w:tab w:leader="none" w:pos="380" w:val="left"/>
        </w:tabs>
        <w:numPr>
          <w:ilvl w:val="0"/>
          <w:numId w:val="82"/>
        </w:numPr>
        <w:rPr>
          <w:rFonts w:ascii="Arial" w:cs="Arial" w:eastAsia="Arial" w:hAnsi="Arial"/>
          <w:sz w:val="22"/>
          <w:szCs w:val="22"/>
          <w:color w:val="auto"/>
        </w:rPr>
      </w:pPr>
      <w:r>
        <w:rPr>
          <w:rFonts w:ascii="Arial" w:cs="Arial" w:eastAsia="Arial" w:hAnsi="Arial"/>
          <w:sz w:val="20"/>
          <w:szCs w:val="20"/>
          <w:color w:val="auto"/>
        </w:rPr>
        <w:t>Partial repayment on shares or discharge of the obligation to pay, as referred to in article 2:99 Dutch Civil Code, may also be effected exclusively with respect to a separate class of shares.</w:t>
      </w:r>
    </w:p>
    <w:p>
      <w:pPr>
        <w:spacing w:after="0" w:line="194" w:lineRule="exact"/>
        <w:rPr>
          <w:rFonts w:ascii="Arial" w:cs="Arial" w:eastAsia="Arial" w:hAnsi="Arial"/>
          <w:sz w:val="22"/>
          <w:szCs w:val="22"/>
          <w:color w:val="auto"/>
        </w:rPr>
      </w:pPr>
    </w:p>
    <w:p>
      <w:pPr>
        <w:ind w:left="380" w:right="20"/>
        <w:spacing w:after="0" w:line="289" w:lineRule="auto"/>
        <w:rPr>
          <w:rFonts w:ascii="Arial" w:cs="Arial" w:eastAsia="Arial" w:hAnsi="Arial"/>
          <w:sz w:val="22"/>
          <w:szCs w:val="22"/>
          <w:color w:val="auto"/>
        </w:rPr>
      </w:pPr>
      <w:r>
        <w:rPr>
          <w:rFonts w:ascii="Arial" w:cs="Arial" w:eastAsia="Arial" w:hAnsi="Arial"/>
          <w:sz w:val="20"/>
          <w:szCs w:val="20"/>
          <w:color w:val="auto"/>
        </w:rPr>
        <w:t>A partial repayment or discharge must be effected in proportion to all shares involved. From this requirement may be deviated from with the consent of all shareholders concerned.</w:t>
      </w:r>
    </w:p>
    <w:p>
      <w:pPr>
        <w:spacing w:after="0" w:line="202"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82"/>
        </w:numPr>
        <w:rPr>
          <w:rFonts w:ascii="Arial" w:cs="Arial" w:eastAsia="Arial" w:hAnsi="Arial"/>
          <w:sz w:val="22"/>
          <w:szCs w:val="22"/>
          <w:color w:val="auto"/>
        </w:rPr>
      </w:pPr>
      <w:r>
        <w:rPr>
          <w:rFonts w:ascii="Arial" w:cs="Arial" w:eastAsia="Arial" w:hAnsi="Arial"/>
          <w:sz w:val="20"/>
          <w:szCs w:val="20"/>
          <w:color w:val="auto"/>
        </w:rPr>
        <w:t>For a resolution to reduce the capital, a majority of at least two-thirds of the votes cast shall be required if less than half of the issued capital is represented at the meeting.</w:t>
      </w:r>
    </w:p>
    <w:p>
      <w:pPr>
        <w:spacing w:after="0" w:line="194"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A resolution to reduce capital requires prior or simultaneous approval of the meeting of each group of holders of shares of the same class whose rights are prejudiced.</w:t>
      </w:r>
    </w:p>
    <w:p>
      <w:pPr>
        <w:spacing w:after="0" w:line="188" w:lineRule="exact"/>
        <w:rPr>
          <w:rFonts w:ascii="Arial" w:cs="Arial" w:eastAsia="Arial" w:hAnsi="Arial"/>
          <w:sz w:val="22"/>
          <w:szCs w:val="22"/>
          <w:color w:val="auto"/>
        </w:rPr>
      </w:pPr>
    </w:p>
    <w:p>
      <w:pPr>
        <w:jc w:val="both"/>
        <w:ind w:left="380"/>
        <w:spacing w:after="0" w:line="278" w:lineRule="auto"/>
        <w:rPr>
          <w:rFonts w:ascii="Arial" w:cs="Arial" w:eastAsia="Arial" w:hAnsi="Arial"/>
          <w:sz w:val="22"/>
          <w:szCs w:val="22"/>
          <w:color w:val="auto"/>
        </w:rPr>
      </w:pPr>
      <w:r>
        <w:rPr>
          <w:rFonts w:ascii="Arial" w:cs="Arial" w:eastAsia="Arial" w:hAnsi="Arial"/>
          <w:sz w:val="20"/>
          <w:szCs w:val="20"/>
          <w:color w:val="auto"/>
        </w:rPr>
        <w:t>The above referred to approval of the meeting of each group of holders of shares of the same class whose rights are prejudiced requires a majority of at least two-thirds of the votes cast if less than half of the issued capital of the relevant class of shareholders is represented at such meeting.</w:t>
      </w:r>
    </w:p>
    <w:p>
      <w:pPr>
        <w:spacing w:after="0" w:line="200" w:lineRule="exact"/>
        <w:rPr>
          <w:sz w:val="20"/>
          <w:szCs w:val="20"/>
          <w:color w:val="auto"/>
        </w:rPr>
      </w:pPr>
    </w:p>
    <w:p>
      <w:pPr>
        <w:ind w:left="380"/>
        <w:spacing w:after="0" w:line="289" w:lineRule="auto"/>
        <w:rPr>
          <w:sz w:val="20"/>
          <w:szCs w:val="20"/>
          <w:color w:val="auto"/>
        </w:rPr>
      </w:pPr>
      <w:r>
        <w:rPr>
          <w:rFonts w:ascii="Arial" w:cs="Arial" w:eastAsia="Arial" w:hAnsi="Arial"/>
          <w:sz w:val="20"/>
          <w:szCs w:val="20"/>
          <w:color w:val="auto"/>
        </w:rPr>
        <w:t>The convocation for a meeting at which a resolution referred to in this article will be passed shall state the purpose of the capital reduction and how it is to be implemented; article 27 paragraph 2 shall apply accordingly.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Register of shareholders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w:t>
      </w:r>
    </w:p>
    <w:p>
      <w:pPr>
        <w:spacing w:after="0" w:line="280" w:lineRule="exact"/>
        <w:rPr>
          <w:sz w:val="20"/>
          <w:szCs w:val="20"/>
          <w:color w:val="auto"/>
        </w:rPr>
      </w:pPr>
    </w:p>
    <w:p>
      <w:pPr>
        <w:jc w:val="both"/>
        <w:ind w:left="380" w:hanging="372"/>
        <w:spacing w:after="0" w:line="297" w:lineRule="auto"/>
        <w:tabs>
          <w:tab w:leader="none" w:pos="380" w:val="left"/>
        </w:tabs>
        <w:numPr>
          <w:ilvl w:val="0"/>
          <w:numId w:val="83"/>
        </w:numPr>
        <w:rPr>
          <w:rFonts w:ascii="Arial" w:cs="Arial" w:eastAsia="Arial" w:hAnsi="Arial"/>
          <w:sz w:val="21"/>
          <w:szCs w:val="21"/>
          <w:color w:val="auto"/>
        </w:rPr>
      </w:pPr>
      <w:r>
        <w:rPr>
          <w:rFonts w:ascii="Arial" w:cs="Arial" w:eastAsia="Arial" w:hAnsi="Arial"/>
          <w:sz w:val="19"/>
          <w:szCs w:val="19"/>
          <w:color w:val="auto"/>
        </w:rPr>
        <w:t>The Management Board shall keep a register in which the names and addresses of all holders of shares are recorded, indicating the date on which they acquired the shares, the date of the acknowledgement or service as well as the amount paid-up on each share. If also an electronic address is disclosed by a shareholder for the purpose of entry into the register, such disclosure is deemed to entail the consent to receive all notifications and announcements for a meeting via electronic means.</w:t>
      </w:r>
    </w:p>
    <w:p>
      <w:pPr>
        <w:spacing w:after="0" w:line="197" w:lineRule="exact"/>
        <w:rPr>
          <w:rFonts w:ascii="Arial" w:cs="Arial" w:eastAsia="Arial" w:hAnsi="Arial"/>
          <w:sz w:val="21"/>
          <w:szCs w:val="21"/>
          <w:color w:val="auto"/>
        </w:rPr>
      </w:pPr>
    </w:p>
    <w:p>
      <w:pPr>
        <w:ind w:left="380" w:hanging="372"/>
        <w:spacing w:after="0"/>
        <w:tabs>
          <w:tab w:leader="none" w:pos="380" w:val="left"/>
        </w:tabs>
        <w:numPr>
          <w:ilvl w:val="0"/>
          <w:numId w:val="83"/>
        </w:numPr>
        <w:rPr>
          <w:rFonts w:ascii="Arial" w:cs="Arial" w:eastAsia="Arial" w:hAnsi="Arial"/>
          <w:sz w:val="22"/>
          <w:szCs w:val="22"/>
          <w:color w:val="auto"/>
        </w:rPr>
      </w:pPr>
      <w:r>
        <w:rPr>
          <w:rFonts w:ascii="Arial" w:cs="Arial" w:eastAsia="Arial" w:hAnsi="Arial"/>
          <w:sz w:val="20"/>
          <w:szCs w:val="20"/>
          <w:color w:val="auto"/>
        </w:rPr>
        <w:t>The Management Board shall be authorized to keep a part of the register outside the Netherlands.</w:t>
      </w:r>
    </w:p>
    <w:p>
      <w:pPr>
        <w:spacing w:after="0" w:line="235"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The Management Board may authorize an agent to keep the register for the purposes as meant in this article.</w:t>
      </w:r>
    </w:p>
    <w:p>
      <w:pPr>
        <w:sectPr>
          <w:pgSz w:w="11900" w:h="16838" w:orient="portrait"/>
          <w:cols w:equalWidth="0" w:num="1">
            <w:col w:w="11420"/>
          </w:cols>
          <w:pgMar w:left="240" w:top="139" w:right="239" w:bottom="0" w:gutter="0" w:footer="0" w:header="0"/>
        </w:sectPr>
      </w:pPr>
    </w:p>
    <w:bookmarkStart w:id="118" w:name="page119"/>
    <w:bookmarkEnd w:id="118"/>
    <w:p>
      <w:pPr>
        <w:spacing w:after="0" w:line="68" w:lineRule="exact"/>
        <w:rPr>
          <w:sz w:val="20"/>
          <w:szCs w:val="20"/>
          <w:color w:val="auto"/>
        </w:rPr>
      </w:pPr>
    </w:p>
    <w:p>
      <w:pPr>
        <w:ind w:left="380" w:right="20" w:hanging="372"/>
        <w:spacing w:after="0" w:line="279" w:lineRule="auto"/>
        <w:tabs>
          <w:tab w:leader="none" w:pos="380" w:val="left"/>
        </w:tabs>
        <w:numPr>
          <w:ilvl w:val="0"/>
          <w:numId w:val="84"/>
        </w:numPr>
        <w:rPr>
          <w:rFonts w:ascii="Arial" w:cs="Arial" w:eastAsia="Arial" w:hAnsi="Arial"/>
          <w:sz w:val="22"/>
          <w:szCs w:val="22"/>
          <w:color w:val="auto"/>
        </w:rPr>
      </w:pPr>
      <w:r>
        <w:rPr>
          <w:rFonts w:ascii="Arial" w:cs="Arial" w:eastAsia="Arial" w:hAnsi="Arial"/>
          <w:sz w:val="20"/>
          <w:szCs w:val="20"/>
          <w:color w:val="auto"/>
        </w:rPr>
        <w:t>The Management Board shall determine the form and contents of the register with due observance of the provisions of paragraphs 1 and 2 hereof.</w:t>
      </w:r>
    </w:p>
    <w:p>
      <w:pPr>
        <w:spacing w:after="0" w:line="208"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84"/>
        </w:numPr>
        <w:rPr>
          <w:rFonts w:ascii="Arial" w:cs="Arial" w:eastAsia="Arial" w:hAnsi="Arial"/>
          <w:sz w:val="22"/>
          <w:szCs w:val="22"/>
          <w:color w:val="auto"/>
        </w:rPr>
      </w:pPr>
      <w:r>
        <w:rPr>
          <w:rFonts w:ascii="Arial" w:cs="Arial" w:eastAsia="Arial" w:hAnsi="Arial"/>
          <w:sz w:val="20"/>
          <w:szCs w:val="20"/>
          <w:color w:val="auto"/>
        </w:rPr>
        <w:t>Upon request the Management Board shall provide shareholders and those who have a right of usufruct or pledge in respect of such shares free of charge with an extract from the register in respect of their rights to a share.</w:t>
      </w:r>
    </w:p>
    <w:p>
      <w:pPr>
        <w:spacing w:after="0" w:line="208" w:lineRule="exact"/>
        <w:rPr>
          <w:rFonts w:ascii="Arial" w:cs="Arial" w:eastAsia="Arial" w:hAnsi="Arial"/>
          <w:sz w:val="22"/>
          <w:szCs w:val="22"/>
          <w:color w:val="auto"/>
        </w:rPr>
      </w:pPr>
    </w:p>
    <w:p>
      <w:pPr>
        <w:jc w:val="both"/>
        <w:ind w:left="380" w:hanging="372"/>
        <w:spacing w:after="0" w:line="278" w:lineRule="auto"/>
        <w:tabs>
          <w:tab w:leader="none" w:pos="380" w:val="left"/>
        </w:tabs>
        <w:numPr>
          <w:ilvl w:val="0"/>
          <w:numId w:val="84"/>
        </w:numPr>
        <w:rPr>
          <w:rFonts w:ascii="Arial" w:cs="Arial" w:eastAsia="Arial" w:hAnsi="Arial"/>
          <w:sz w:val="22"/>
          <w:szCs w:val="22"/>
          <w:color w:val="auto"/>
        </w:rPr>
      </w:pPr>
      <w:r>
        <w:rPr>
          <w:rFonts w:ascii="Arial" w:cs="Arial" w:eastAsia="Arial" w:hAnsi="Arial"/>
          <w:sz w:val="20"/>
          <w:szCs w:val="20"/>
          <w:color w:val="auto"/>
        </w:rPr>
        <w:t>The Management Board shall be authorized to provide the authorities with information and data contained in the register of shareholders or have the same inspected to the extent that this is requested to comply with applicable foreign legislation or rules of the stock exchange where the company's shares are listed.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of shares, usufruct, pledge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11.</w:t>
      </w:r>
    </w:p>
    <w:p>
      <w:pPr>
        <w:spacing w:after="0" w:line="280" w:lineRule="exact"/>
        <w:rPr>
          <w:sz w:val="20"/>
          <w:szCs w:val="20"/>
          <w:color w:val="auto"/>
        </w:rPr>
      </w:pPr>
    </w:p>
    <w:p>
      <w:pPr>
        <w:ind w:left="380" w:hanging="372"/>
        <w:spacing w:after="0" w:line="279" w:lineRule="auto"/>
        <w:tabs>
          <w:tab w:leader="none" w:pos="380" w:val="left"/>
        </w:tabs>
        <w:numPr>
          <w:ilvl w:val="0"/>
          <w:numId w:val="85"/>
        </w:numPr>
        <w:rPr>
          <w:rFonts w:ascii="Arial" w:cs="Arial" w:eastAsia="Arial" w:hAnsi="Arial"/>
          <w:sz w:val="22"/>
          <w:szCs w:val="22"/>
          <w:color w:val="auto"/>
        </w:rPr>
      </w:pPr>
      <w:r>
        <w:rPr>
          <w:rFonts w:ascii="Arial" w:cs="Arial" w:eastAsia="Arial" w:hAnsi="Arial"/>
          <w:sz w:val="20"/>
          <w:szCs w:val="20"/>
          <w:color w:val="auto"/>
        </w:rPr>
        <w:t>A transfer of a share or a right in rem (</w:t>
      </w:r>
      <w:r>
        <w:rPr>
          <w:rFonts w:ascii="Arial" w:cs="Arial" w:eastAsia="Arial" w:hAnsi="Arial"/>
          <w:sz w:val="20"/>
          <w:szCs w:val="20"/>
          <w:i w:val="1"/>
          <w:iCs w:val="1"/>
          <w:color w:val="auto"/>
        </w:rPr>
        <w:t>beperkt recht</w:t>
      </w:r>
      <w:r>
        <w:rPr>
          <w:rFonts w:ascii="Arial" w:cs="Arial" w:eastAsia="Arial" w:hAnsi="Arial"/>
          <w:sz w:val="20"/>
          <w:szCs w:val="20"/>
          <w:color w:val="auto"/>
        </w:rPr>
        <w:t>) thereto requires a deed of transfer and, except in the event the company itself is party to that legal act, acknowledgement in writing by the company of the transfer.</w:t>
      </w:r>
    </w:p>
    <w:p>
      <w:pPr>
        <w:spacing w:after="0" w:line="194"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The acknowledgement shall be given in the deed, or by a dated statement embodying such acknowledgement on the deed or on a copy or extract thereof duly authenticated by a civil-law notary or by the transferor.</w:t>
      </w:r>
    </w:p>
    <w:p>
      <w:pPr>
        <w:spacing w:after="0" w:line="188"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Service of the deed of transfer, copy or extract on the company shall be deemed to be equal to acknowledgement.</w:t>
      </w:r>
    </w:p>
    <w:p>
      <w:pPr>
        <w:spacing w:after="0" w:line="269" w:lineRule="exact"/>
        <w:rPr>
          <w:rFonts w:ascii="Arial" w:cs="Arial" w:eastAsia="Arial" w:hAnsi="Arial"/>
          <w:sz w:val="22"/>
          <w:szCs w:val="22"/>
          <w:color w:val="auto"/>
        </w:rPr>
      </w:pPr>
    </w:p>
    <w:p>
      <w:pPr>
        <w:ind w:left="380" w:right="900" w:hanging="372"/>
        <w:spacing w:after="0" w:line="507" w:lineRule="auto"/>
        <w:tabs>
          <w:tab w:leader="none" w:pos="380" w:val="left"/>
        </w:tabs>
        <w:numPr>
          <w:ilvl w:val="0"/>
          <w:numId w:val="85"/>
        </w:numPr>
        <w:rPr>
          <w:rFonts w:ascii="Arial" w:cs="Arial" w:eastAsia="Arial" w:hAnsi="Arial"/>
          <w:sz w:val="21"/>
          <w:szCs w:val="21"/>
          <w:color w:val="auto"/>
        </w:rPr>
      </w:pPr>
      <w:r>
        <w:rPr>
          <w:rFonts w:ascii="Arial" w:cs="Arial" w:eastAsia="Arial" w:hAnsi="Arial"/>
          <w:sz w:val="19"/>
          <w:szCs w:val="19"/>
          <w:color w:val="auto"/>
        </w:rPr>
        <w:t xml:space="preserve">The provisions of paragraph 1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the creation or release of a right of usufruct and a right of pledge. A pledge may also be established on a share without acknowledgement by or service on the company.</w:t>
      </w:r>
    </w:p>
    <w:p>
      <w:pPr>
        <w:spacing w:after="0" w:line="1" w:lineRule="exact"/>
        <w:rPr>
          <w:sz w:val="20"/>
          <w:szCs w:val="20"/>
          <w:color w:val="auto"/>
        </w:rPr>
      </w:pPr>
    </w:p>
    <w:p>
      <w:pPr>
        <w:ind w:left="380" w:right="20"/>
        <w:spacing w:after="0" w:line="289" w:lineRule="auto"/>
        <w:rPr>
          <w:sz w:val="20"/>
          <w:szCs w:val="20"/>
          <w:color w:val="auto"/>
        </w:rPr>
      </w:pPr>
      <w:r>
        <w:rPr>
          <w:rFonts w:ascii="Arial" w:cs="Arial" w:eastAsia="Arial" w:hAnsi="Arial"/>
          <w:sz w:val="20"/>
          <w:szCs w:val="20"/>
          <w:color w:val="auto"/>
        </w:rPr>
        <w:t>In such cases, article 3:239 Dutch Civil Code shall be equally applicable, whereby the notification by a shareholder as referred to in paragraph 3 of that article, shall be replaced by acknowledgement by or service on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Restriction on the transfer of preferred shares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12.</w:t>
      </w:r>
    </w:p>
    <w:p>
      <w:pPr>
        <w:spacing w:after="0" w:line="280" w:lineRule="exact"/>
        <w:rPr>
          <w:sz w:val="20"/>
          <w:szCs w:val="20"/>
          <w:color w:val="auto"/>
        </w:rPr>
      </w:pPr>
    </w:p>
    <w:p>
      <w:pPr>
        <w:ind w:left="380" w:hanging="372"/>
        <w:spacing w:after="0" w:line="279" w:lineRule="auto"/>
        <w:tabs>
          <w:tab w:leader="none" w:pos="380" w:val="left"/>
        </w:tabs>
        <w:numPr>
          <w:ilvl w:val="0"/>
          <w:numId w:val="86"/>
        </w:numPr>
        <w:rPr>
          <w:rFonts w:ascii="Arial" w:cs="Arial" w:eastAsia="Arial" w:hAnsi="Arial"/>
          <w:sz w:val="22"/>
          <w:szCs w:val="22"/>
          <w:color w:val="auto"/>
        </w:rPr>
      </w:pPr>
      <w:r>
        <w:rPr>
          <w:rFonts w:ascii="Arial" w:cs="Arial" w:eastAsia="Arial" w:hAnsi="Arial"/>
          <w:sz w:val="20"/>
          <w:szCs w:val="20"/>
          <w:color w:val="auto"/>
        </w:rPr>
        <w:t>Each transfer of preferred shares requires the approval of the Management Board, which resolution of the Management Board requires the prior approval of the Supervisory Board.</w:t>
      </w:r>
    </w:p>
    <w:p>
      <w:pPr>
        <w:spacing w:after="0" w:line="194"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The transfer must be effected within three months after the referred approval has been granted.</w:t>
      </w:r>
    </w:p>
    <w:p>
      <w:pPr>
        <w:spacing w:after="0" w:line="269" w:lineRule="exact"/>
        <w:rPr>
          <w:rFonts w:ascii="Arial" w:cs="Arial" w:eastAsia="Arial" w:hAnsi="Arial"/>
          <w:sz w:val="22"/>
          <w:szCs w:val="22"/>
          <w:color w:val="auto"/>
        </w:rPr>
      </w:pPr>
    </w:p>
    <w:p>
      <w:pPr>
        <w:ind w:left="380" w:right="20" w:hanging="372"/>
        <w:spacing w:after="0" w:line="306" w:lineRule="auto"/>
        <w:tabs>
          <w:tab w:leader="none" w:pos="380" w:val="left"/>
        </w:tabs>
        <w:numPr>
          <w:ilvl w:val="0"/>
          <w:numId w:val="86"/>
        </w:numPr>
        <w:rPr>
          <w:rFonts w:ascii="Arial" w:cs="Arial" w:eastAsia="Arial" w:hAnsi="Arial"/>
          <w:sz w:val="21"/>
          <w:szCs w:val="21"/>
          <w:color w:val="auto"/>
        </w:rPr>
      </w:pPr>
      <w:r>
        <w:rPr>
          <w:rFonts w:ascii="Arial" w:cs="Arial" w:eastAsia="Arial" w:hAnsi="Arial"/>
          <w:sz w:val="19"/>
          <w:szCs w:val="19"/>
          <w:color w:val="auto"/>
        </w:rPr>
        <w:t>The approval of the Management Board shall be applied for by means of a letter directed to the company, setting out the number of preferred shares for which a decision is sought and the name of the person to whom the applicant wishes to make the transfer.</w:t>
      </w:r>
    </w:p>
    <w:p>
      <w:pPr>
        <w:spacing w:after="0" w:line="183" w:lineRule="exact"/>
        <w:rPr>
          <w:rFonts w:ascii="Arial" w:cs="Arial" w:eastAsia="Arial" w:hAnsi="Arial"/>
          <w:sz w:val="21"/>
          <w:szCs w:val="21"/>
          <w:color w:val="auto"/>
        </w:rPr>
      </w:pPr>
    </w:p>
    <w:p>
      <w:pPr>
        <w:ind w:left="380" w:hanging="372"/>
        <w:spacing w:after="0" w:line="279" w:lineRule="auto"/>
        <w:tabs>
          <w:tab w:leader="none" w:pos="380" w:val="left"/>
        </w:tabs>
        <w:numPr>
          <w:ilvl w:val="0"/>
          <w:numId w:val="86"/>
        </w:numPr>
        <w:rPr>
          <w:rFonts w:ascii="Arial" w:cs="Arial" w:eastAsia="Arial" w:hAnsi="Arial"/>
          <w:sz w:val="22"/>
          <w:szCs w:val="22"/>
          <w:color w:val="auto"/>
        </w:rPr>
      </w:pPr>
      <w:r>
        <w:rPr>
          <w:rFonts w:ascii="Arial" w:cs="Arial" w:eastAsia="Arial" w:hAnsi="Arial"/>
          <w:sz w:val="20"/>
          <w:szCs w:val="20"/>
          <w:color w:val="auto"/>
        </w:rPr>
        <w:t>Approval of the Management Board shall be deemed to have been granted, if no decision on the application for approval has been made within one month.</w:t>
      </w:r>
    </w:p>
    <w:p>
      <w:pPr>
        <w:spacing w:after="0" w:line="194" w:lineRule="exact"/>
        <w:rPr>
          <w:rFonts w:ascii="Arial" w:cs="Arial" w:eastAsia="Arial" w:hAnsi="Arial"/>
          <w:sz w:val="22"/>
          <w:szCs w:val="22"/>
          <w:color w:val="auto"/>
        </w:rPr>
      </w:pPr>
    </w:p>
    <w:p>
      <w:pPr>
        <w:jc w:val="both"/>
        <w:ind w:left="380"/>
        <w:spacing w:after="0" w:line="278" w:lineRule="auto"/>
        <w:rPr>
          <w:rFonts w:ascii="Arial" w:cs="Arial" w:eastAsia="Arial" w:hAnsi="Arial"/>
          <w:sz w:val="22"/>
          <w:szCs w:val="22"/>
          <w:color w:val="auto"/>
        </w:rPr>
      </w:pPr>
      <w:r>
        <w:rPr>
          <w:rFonts w:ascii="Arial" w:cs="Arial" w:eastAsia="Arial" w:hAnsi="Arial"/>
          <w:sz w:val="20"/>
          <w:szCs w:val="20"/>
          <w:color w:val="auto"/>
        </w:rPr>
        <w:t>Approval of the Management Board shall also be deemed to have been granted, if the Management Board fails to inform the applicant of one or more interested parties which are willing and able to purchase all shares to which the application pertains at the same time as denying the requested approval.</w:t>
      </w:r>
    </w:p>
    <w:p>
      <w:pPr>
        <w:spacing w:after="0" w:line="213"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86"/>
        </w:numPr>
        <w:rPr>
          <w:rFonts w:ascii="Arial" w:cs="Arial" w:eastAsia="Arial" w:hAnsi="Arial"/>
          <w:sz w:val="22"/>
          <w:szCs w:val="22"/>
          <w:color w:val="auto"/>
        </w:rPr>
      </w:pPr>
      <w:r>
        <w:rPr>
          <w:rFonts w:ascii="Arial" w:cs="Arial" w:eastAsia="Arial" w:hAnsi="Arial"/>
          <w:sz w:val="20"/>
          <w:szCs w:val="20"/>
          <w:color w:val="auto"/>
        </w:rPr>
        <w:t>The price to be paid for the shares with respect to which a request has been made shall be determined by mutual agreement of the applicant and the Management Board.</w:t>
      </w:r>
    </w:p>
    <w:p>
      <w:pPr>
        <w:spacing w:after="0" w:line="194"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If they fail to reach agreement, the price shall be established by the registered accountant or a firm of registered accountants as referred to in article 20 paragraph 3.</w:t>
      </w:r>
    </w:p>
    <w:p>
      <w:pPr>
        <w:spacing w:after="0" w:line="199" w:lineRule="exact"/>
        <w:rPr>
          <w:rFonts w:ascii="Arial" w:cs="Arial" w:eastAsia="Arial" w:hAnsi="Arial"/>
          <w:sz w:val="22"/>
          <w:szCs w:val="22"/>
          <w:color w:val="auto"/>
        </w:rPr>
      </w:pPr>
    </w:p>
    <w:p>
      <w:pPr>
        <w:ind w:left="380" w:hanging="372"/>
        <w:spacing w:after="0"/>
        <w:tabs>
          <w:tab w:leader="none" w:pos="380" w:val="left"/>
        </w:tabs>
        <w:numPr>
          <w:ilvl w:val="0"/>
          <w:numId w:val="86"/>
        </w:numPr>
        <w:rPr>
          <w:rFonts w:ascii="Arial" w:cs="Arial" w:eastAsia="Arial" w:hAnsi="Arial"/>
          <w:sz w:val="22"/>
          <w:szCs w:val="22"/>
          <w:color w:val="auto"/>
        </w:rPr>
      </w:pPr>
      <w:r>
        <w:rPr>
          <w:rFonts w:ascii="Arial" w:cs="Arial" w:eastAsia="Arial" w:hAnsi="Arial"/>
          <w:sz w:val="20"/>
          <w:szCs w:val="20"/>
          <w:color w:val="auto"/>
        </w:rPr>
        <w:t>The applicant is authorized to withdraw within one month after being definitively informed of the price.</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86"/>
        </w:numPr>
        <w:rPr>
          <w:rFonts w:ascii="Arial" w:cs="Arial" w:eastAsia="Arial" w:hAnsi="Arial"/>
          <w:sz w:val="22"/>
          <w:szCs w:val="22"/>
          <w:color w:val="auto"/>
        </w:rPr>
      </w:pPr>
      <w:r>
        <w:rPr>
          <w:rFonts w:ascii="Arial" w:cs="Arial" w:eastAsia="Arial" w:hAnsi="Arial"/>
          <w:sz w:val="20"/>
          <w:szCs w:val="20"/>
          <w:color w:val="auto"/>
        </w:rPr>
        <w:t>The company may only be designated as an interested party with the applicant's approval.</w:t>
      </w:r>
    </w:p>
    <w:p>
      <w:pPr>
        <w:spacing w:after="0" w:line="249" w:lineRule="exact"/>
        <w:rPr>
          <w:rFonts w:ascii="Arial" w:cs="Arial" w:eastAsia="Arial" w:hAnsi="Arial"/>
          <w:sz w:val="22"/>
          <w:szCs w:val="22"/>
          <w:color w:val="auto"/>
        </w:rPr>
      </w:pPr>
    </w:p>
    <w:p>
      <w:pPr>
        <w:jc w:val="both"/>
        <w:ind w:left="380" w:hanging="372"/>
        <w:spacing w:after="0" w:line="278" w:lineRule="auto"/>
        <w:tabs>
          <w:tab w:leader="none" w:pos="380" w:val="left"/>
        </w:tabs>
        <w:numPr>
          <w:ilvl w:val="0"/>
          <w:numId w:val="86"/>
        </w:numPr>
        <w:rPr>
          <w:rFonts w:ascii="Arial" w:cs="Arial" w:eastAsia="Arial" w:hAnsi="Arial"/>
          <w:sz w:val="22"/>
          <w:szCs w:val="22"/>
          <w:color w:val="auto"/>
        </w:rPr>
      </w:pPr>
      <w:r>
        <w:rPr>
          <w:rFonts w:ascii="Arial" w:cs="Arial" w:eastAsia="Arial" w:hAnsi="Arial"/>
          <w:sz w:val="20"/>
          <w:szCs w:val="20"/>
          <w:color w:val="auto"/>
        </w:rPr>
        <w:t>If, within one month after being informed of the definite price, the applicant has not withdrawn the request to transfer, the preferred shares, to which the application pertained, must be transferred to the interested party (parties) against payment within one month after the aforementioned period elapses.</w:t>
      </w:r>
    </w:p>
    <w:p>
      <w:pPr>
        <w:spacing w:after="0" w:line="200"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If the seller remains in default as to transferring the preferred shares within this period, the company shall be irrevocably authorized to proceed to deliver the preferred shares, subject to the obligation of paying the purchase price to the seller.</w:t>
      </w:r>
    </w:p>
    <w:p>
      <w:pPr>
        <w:spacing w:after="0" w:line="202" w:lineRule="exact"/>
        <w:rPr>
          <w:rFonts w:ascii="Arial" w:cs="Arial" w:eastAsia="Arial" w:hAnsi="Arial"/>
          <w:sz w:val="22"/>
          <w:szCs w:val="22"/>
          <w:color w:val="auto"/>
        </w:rPr>
      </w:pPr>
    </w:p>
    <w:p>
      <w:pPr>
        <w:jc w:val="both"/>
        <w:ind w:left="380" w:hanging="372"/>
        <w:spacing w:after="0" w:line="350" w:lineRule="auto"/>
        <w:tabs>
          <w:tab w:leader="none" w:pos="380" w:val="left"/>
        </w:tabs>
        <w:numPr>
          <w:ilvl w:val="0"/>
          <w:numId w:val="86"/>
        </w:numPr>
        <w:rPr>
          <w:rFonts w:ascii="Arial" w:cs="Arial" w:eastAsia="Arial" w:hAnsi="Arial"/>
          <w:sz w:val="19"/>
          <w:szCs w:val="19"/>
          <w:color w:val="auto"/>
        </w:rPr>
      </w:pPr>
      <w:r>
        <w:rPr>
          <w:rFonts w:ascii="Arial" w:cs="Arial" w:eastAsia="Arial" w:hAnsi="Arial"/>
          <w:sz w:val="18"/>
          <w:szCs w:val="18"/>
          <w:color w:val="auto"/>
        </w:rPr>
        <w:t>If a legal person, which holds preferred shares, is dissolved, if a holder of preferred shares is declared bankrupt or has been granted suspension of payments and in the event of a transfer of preferred shares under universal title, the holder of preferred shares, or its</w:t>
      </w:r>
    </w:p>
    <w:p>
      <w:pPr>
        <w:sectPr>
          <w:pgSz w:w="11900" w:h="16907" w:orient="portrait"/>
          <w:cols w:equalWidth="0" w:num="1">
            <w:col w:w="11420"/>
          </w:cols>
          <w:pgMar w:left="240" w:top="150" w:right="239" w:bottom="0" w:gutter="0" w:footer="0" w:header="0"/>
        </w:sectPr>
      </w:pPr>
    </w:p>
    <w:bookmarkStart w:id="119" w:name="page120"/>
    <w:bookmarkEnd w:id="119"/>
    <w:p>
      <w:pPr>
        <w:spacing w:after="0" w:line="199" w:lineRule="exact"/>
        <w:rPr>
          <w:sz w:val="20"/>
          <w:szCs w:val="20"/>
          <w:color w:val="auto"/>
        </w:rPr>
      </w:pPr>
    </w:p>
    <w:p>
      <w:pPr>
        <w:jc w:val="both"/>
        <w:ind w:left="380" w:right="20"/>
        <w:spacing w:after="0" w:line="303" w:lineRule="auto"/>
        <w:rPr>
          <w:sz w:val="20"/>
          <w:szCs w:val="20"/>
          <w:color w:val="auto"/>
        </w:rPr>
      </w:pPr>
      <w:r>
        <w:rPr>
          <w:rFonts w:ascii="Arial" w:cs="Arial" w:eastAsia="Arial" w:hAnsi="Arial"/>
          <w:sz w:val="20"/>
          <w:szCs w:val="20"/>
          <w:color w:val="auto"/>
        </w:rPr>
        <w:t>successors in title is/are obliged to transfer the preferred shares to one or more persons designated by the Management Board in accordance with the provisions of this article.</w:t>
      </w:r>
    </w:p>
    <w:p>
      <w:pPr>
        <w:spacing w:after="0" w:line="176" w:lineRule="exact"/>
        <w:rPr>
          <w:sz w:val="20"/>
          <w:szCs w:val="20"/>
          <w:color w:val="auto"/>
        </w:rPr>
      </w:pPr>
    </w:p>
    <w:p>
      <w:pPr>
        <w:jc w:val="both"/>
        <w:ind w:left="380" w:right="20"/>
        <w:spacing w:after="0" w:line="289" w:lineRule="auto"/>
        <w:rPr>
          <w:sz w:val="20"/>
          <w:szCs w:val="20"/>
          <w:color w:val="auto"/>
        </w:rPr>
      </w:pPr>
      <w:r>
        <w:rPr>
          <w:rFonts w:ascii="Arial" w:cs="Arial" w:eastAsia="Arial" w:hAnsi="Arial"/>
          <w:sz w:val="20"/>
          <w:szCs w:val="20"/>
          <w:color w:val="auto"/>
        </w:rPr>
        <w:t>If the Management Board remains in default as to designating one or more persons, who are willing and able to purchase all preferred shares the holder, respectively, his successor(s) in title is/are allowed to keep these shares.</w:t>
      </w:r>
    </w:p>
    <w:p>
      <w:pPr>
        <w:spacing w:after="0" w:line="189" w:lineRule="exact"/>
        <w:rPr>
          <w:sz w:val="20"/>
          <w:szCs w:val="20"/>
          <w:color w:val="auto"/>
        </w:rPr>
      </w:pPr>
    </w:p>
    <w:p>
      <w:pPr>
        <w:jc w:val="both"/>
        <w:ind w:left="380"/>
        <w:spacing w:after="0" w:line="278" w:lineRule="auto"/>
        <w:rPr>
          <w:sz w:val="20"/>
          <w:szCs w:val="20"/>
          <w:color w:val="auto"/>
        </w:rPr>
      </w:pPr>
      <w:r>
        <w:rPr>
          <w:rFonts w:ascii="Arial" w:cs="Arial" w:eastAsia="Arial" w:hAnsi="Arial"/>
          <w:sz w:val="20"/>
          <w:szCs w:val="20"/>
          <w:color w:val="auto"/>
        </w:rPr>
        <w:t>In the event of non-compliance with this obligation within three months after the obligation has arisen, the company shall be irrevocably authorized to effect the transfer, provided that it involves all shares, on behalf of the holder of the preferred shares in default, or its successor(s) in title, in accordance with the provisions of this article.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Board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13.</w:t>
      </w:r>
    </w:p>
    <w:p>
      <w:pPr>
        <w:spacing w:after="0" w:line="277" w:lineRule="exact"/>
        <w:rPr>
          <w:sz w:val="20"/>
          <w:szCs w:val="20"/>
          <w:color w:val="auto"/>
        </w:rPr>
      </w:pPr>
    </w:p>
    <w:p>
      <w:pPr>
        <w:ind w:left="380" w:hanging="372"/>
        <w:spacing w:after="0"/>
        <w:tabs>
          <w:tab w:leader="none" w:pos="380" w:val="left"/>
        </w:tabs>
        <w:numPr>
          <w:ilvl w:val="0"/>
          <w:numId w:val="87"/>
        </w:numPr>
        <w:rPr>
          <w:rFonts w:ascii="Arial" w:cs="Arial" w:eastAsia="Arial" w:hAnsi="Arial"/>
          <w:sz w:val="22"/>
          <w:szCs w:val="22"/>
          <w:color w:val="auto"/>
        </w:rPr>
      </w:pPr>
      <w:r>
        <w:rPr>
          <w:rFonts w:ascii="Arial" w:cs="Arial" w:eastAsia="Arial" w:hAnsi="Arial"/>
          <w:sz w:val="20"/>
          <w:szCs w:val="20"/>
          <w:color w:val="auto"/>
        </w:rPr>
        <w:t>The company shall have a Management Board consisting of one or more members.</w:t>
      </w:r>
    </w:p>
    <w:p>
      <w:pPr>
        <w:spacing w:after="0" w:line="235"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The number of members of the Management Board shall be determined by the Supervisory Board.</w:t>
      </w:r>
    </w:p>
    <w:p>
      <w:pPr>
        <w:spacing w:after="0" w:line="267" w:lineRule="exact"/>
        <w:rPr>
          <w:rFonts w:ascii="Arial" w:cs="Arial" w:eastAsia="Arial" w:hAnsi="Arial"/>
          <w:sz w:val="22"/>
          <w:szCs w:val="22"/>
          <w:color w:val="auto"/>
        </w:rPr>
      </w:pPr>
    </w:p>
    <w:p>
      <w:pPr>
        <w:ind w:left="380" w:hanging="372"/>
        <w:spacing w:after="0"/>
        <w:tabs>
          <w:tab w:leader="none" w:pos="380" w:val="left"/>
        </w:tabs>
        <w:numPr>
          <w:ilvl w:val="0"/>
          <w:numId w:val="87"/>
        </w:numPr>
        <w:rPr>
          <w:rFonts w:ascii="Arial" w:cs="Arial" w:eastAsia="Arial" w:hAnsi="Arial"/>
          <w:sz w:val="22"/>
          <w:szCs w:val="22"/>
          <w:color w:val="auto"/>
        </w:rPr>
      </w:pPr>
      <w:r>
        <w:rPr>
          <w:rFonts w:ascii="Arial" w:cs="Arial" w:eastAsia="Arial" w:hAnsi="Arial"/>
          <w:sz w:val="20"/>
          <w:szCs w:val="20"/>
          <w:color w:val="auto"/>
        </w:rPr>
        <w:t>Each member of the Management Board shall be appointed for a maximum period of four years.</w:t>
      </w:r>
    </w:p>
    <w:p>
      <w:pPr>
        <w:spacing w:after="0" w:line="235"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Except if such member of the Management Board has resigned at an earlier date, his term of office shall lapse on the day of the general meeting, to be held in the fourth year after the year of his appointment.</w:t>
      </w:r>
    </w:p>
    <w:p>
      <w:pPr>
        <w:spacing w:after="0" w:line="188"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A member of the Management Board may be re-appointed with due observance of the preceding sentence.</w:t>
      </w:r>
    </w:p>
    <w:p>
      <w:pPr>
        <w:spacing w:after="0" w:line="267" w:lineRule="exact"/>
        <w:rPr>
          <w:rFonts w:ascii="Arial" w:cs="Arial" w:eastAsia="Arial" w:hAnsi="Arial"/>
          <w:sz w:val="22"/>
          <w:szCs w:val="22"/>
          <w:color w:val="auto"/>
        </w:rPr>
      </w:pPr>
    </w:p>
    <w:p>
      <w:pPr>
        <w:ind w:left="380" w:hanging="372"/>
        <w:spacing w:after="0"/>
        <w:tabs>
          <w:tab w:leader="none" w:pos="380" w:val="left"/>
        </w:tabs>
        <w:numPr>
          <w:ilvl w:val="0"/>
          <w:numId w:val="87"/>
        </w:numPr>
        <w:rPr>
          <w:rFonts w:ascii="Arial" w:cs="Arial" w:eastAsia="Arial" w:hAnsi="Arial"/>
          <w:sz w:val="22"/>
          <w:szCs w:val="22"/>
          <w:color w:val="auto"/>
        </w:rPr>
      </w:pPr>
      <w:r>
        <w:rPr>
          <w:rFonts w:ascii="Arial" w:cs="Arial" w:eastAsia="Arial" w:hAnsi="Arial"/>
          <w:sz w:val="20"/>
          <w:szCs w:val="20"/>
          <w:color w:val="auto"/>
        </w:rPr>
        <w:t>The Management Board shall appoint from its members a Chief Executive Officer and a Chief Financial Officer.</w:t>
      </w:r>
    </w:p>
    <w:p>
      <w:pPr>
        <w:spacing w:after="0" w:line="249"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87"/>
        </w:numPr>
        <w:rPr>
          <w:rFonts w:ascii="Arial" w:cs="Arial" w:eastAsia="Arial" w:hAnsi="Arial"/>
          <w:sz w:val="22"/>
          <w:szCs w:val="22"/>
          <w:color w:val="auto"/>
        </w:rPr>
      </w:pPr>
      <w:r>
        <w:rPr>
          <w:rFonts w:ascii="Arial" w:cs="Arial" w:eastAsia="Arial" w:hAnsi="Arial"/>
          <w:sz w:val="20"/>
          <w:szCs w:val="20"/>
          <w:color w:val="auto"/>
        </w:rPr>
        <w:t>Members of the Management Board shall be appointed by the general meeting from a binding nomination to be drawn up by the Supervisory Board in accordance with article 2:133 Dutch Civil Code.</w:t>
      </w:r>
    </w:p>
    <w:p>
      <w:pPr>
        <w:spacing w:after="0" w:line="194"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With due observance of the provisions in paragraph 1, the number of members of the Management Board shall be determined by the Supervisory Board.</w:t>
      </w:r>
    </w:p>
    <w:p>
      <w:pPr>
        <w:spacing w:after="0" w:line="199" w:lineRule="exact"/>
        <w:rPr>
          <w:rFonts w:ascii="Arial" w:cs="Arial" w:eastAsia="Arial" w:hAnsi="Arial"/>
          <w:sz w:val="22"/>
          <w:szCs w:val="22"/>
          <w:color w:val="auto"/>
        </w:rPr>
      </w:pPr>
    </w:p>
    <w:p>
      <w:pPr>
        <w:ind w:left="380" w:hanging="372"/>
        <w:spacing w:after="0"/>
        <w:tabs>
          <w:tab w:leader="none" w:pos="380" w:val="left"/>
        </w:tabs>
        <w:numPr>
          <w:ilvl w:val="0"/>
          <w:numId w:val="87"/>
        </w:numPr>
        <w:rPr>
          <w:rFonts w:ascii="Arial" w:cs="Arial" w:eastAsia="Arial" w:hAnsi="Arial"/>
          <w:sz w:val="22"/>
          <w:szCs w:val="22"/>
          <w:color w:val="auto"/>
        </w:rPr>
      </w:pPr>
      <w:r>
        <w:rPr>
          <w:rFonts w:ascii="Arial" w:cs="Arial" w:eastAsia="Arial" w:hAnsi="Arial"/>
          <w:sz w:val="20"/>
          <w:szCs w:val="20"/>
          <w:color w:val="auto"/>
        </w:rPr>
        <w:t>The Management Board shall invite the Supervisory Board to make a binding nomination.</w:t>
      </w:r>
    </w:p>
    <w:p>
      <w:pPr>
        <w:spacing w:after="0" w:line="235"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19"/>
          <w:szCs w:val="19"/>
          <w:color w:val="auto"/>
        </w:rPr>
        <w:t>If the Supervisory Board fails to make use of its right to submit a binding nomination, the general meeting shall be free in its choice.</w:t>
      </w:r>
    </w:p>
    <w:p>
      <w:pPr>
        <w:spacing w:after="0" w:line="267"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In such case, the resolution for the appointment of a member of the Management Board by the general meeting shall require a majority of at least two-thirds of the votes cast representing more than half of the company's issued capital.</w:t>
      </w:r>
    </w:p>
    <w:p>
      <w:pPr>
        <w:spacing w:after="0" w:line="202"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87"/>
        </w:numPr>
        <w:rPr>
          <w:rFonts w:ascii="Arial" w:cs="Arial" w:eastAsia="Arial" w:hAnsi="Arial"/>
          <w:sz w:val="22"/>
          <w:szCs w:val="22"/>
          <w:color w:val="auto"/>
        </w:rPr>
      </w:pPr>
      <w:r>
        <w:rPr>
          <w:rFonts w:ascii="Arial" w:cs="Arial" w:eastAsia="Arial" w:hAnsi="Arial"/>
          <w:sz w:val="20"/>
          <w:szCs w:val="20"/>
          <w:color w:val="auto"/>
        </w:rPr>
        <w:t>Notwithstanding the foregoing, the general meeting may at all times, by a resolution passed with a two-third majority of the votes cast, representing more than one-half of the issued capital, resolve that such a nomination shall not be binding.</w:t>
      </w:r>
    </w:p>
    <w:p>
      <w:pPr>
        <w:spacing w:after="0" w:line="194"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In such case, a new meeting is called at which the resolution for the appointment of a member of the Management Board shall require a majority of at least two-thirds of the votes cast representing more than half of the company's issued capital.</w:t>
      </w:r>
    </w:p>
    <w:p>
      <w:pPr>
        <w:spacing w:after="0" w:line="202"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87"/>
        </w:numPr>
        <w:rPr>
          <w:rFonts w:ascii="Arial" w:cs="Arial" w:eastAsia="Arial" w:hAnsi="Arial"/>
          <w:sz w:val="22"/>
          <w:szCs w:val="22"/>
          <w:color w:val="auto"/>
        </w:rPr>
      </w:pPr>
      <w:r>
        <w:rPr>
          <w:rFonts w:ascii="Arial" w:cs="Arial" w:eastAsia="Arial" w:hAnsi="Arial"/>
          <w:sz w:val="20"/>
          <w:szCs w:val="20"/>
          <w:color w:val="auto"/>
        </w:rPr>
        <w:t>At a general meeting, votes in respect of the appointment of a member of the Management Board, can only be cast for candidates named in the agenda of the meeting or explanatory notes thereto.</w:t>
      </w:r>
    </w:p>
    <w:p>
      <w:pPr>
        <w:spacing w:after="0" w:line="205" w:lineRule="exact"/>
        <w:rPr>
          <w:rFonts w:ascii="Arial" w:cs="Arial" w:eastAsia="Arial" w:hAnsi="Arial"/>
          <w:sz w:val="22"/>
          <w:szCs w:val="22"/>
          <w:color w:val="auto"/>
        </w:rPr>
      </w:pPr>
    </w:p>
    <w:p>
      <w:pPr>
        <w:ind w:left="380" w:hanging="372"/>
        <w:spacing w:after="0"/>
        <w:tabs>
          <w:tab w:leader="none" w:pos="380" w:val="left"/>
        </w:tabs>
        <w:numPr>
          <w:ilvl w:val="0"/>
          <w:numId w:val="87"/>
        </w:numPr>
        <w:rPr>
          <w:rFonts w:ascii="Arial" w:cs="Arial" w:eastAsia="Arial" w:hAnsi="Arial"/>
          <w:sz w:val="22"/>
          <w:szCs w:val="22"/>
          <w:color w:val="auto"/>
        </w:rPr>
      </w:pPr>
      <w:r>
        <w:rPr>
          <w:rFonts w:ascii="Arial" w:cs="Arial" w:eastAsia="Arial" w:hAnsi="Arial"/>
          <w:sz w:val="20"/>
          <w:szCs w:val="20"/>
          <w:color w:val="auto"/>
        </w:rPr>
        <w:t>Members of the Management Board may be suspended or dismissed by the general meeting at any time.</w:t>
      </w:r>
    </w:p>
    <w:p>
      <w:pPr>
        <w:spacing w:after="0" w:line="235"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A resolution of the general meeting to suspend or dismiss a member of the Management Board pursuant to a proposal by the Supervisory Board shall be passed with an absolute majority of the votes cast.</w:t>
      </w:r>
    </w:p>
    <w:p>
      <w:pPr>
        <w:spacing w:after="0" w:line="188" w:lineRule="exact"/>
        <w:rPr>
          <w:rFonts w:ascii="Arial" w:cs="Arial" w:eastAsia="Arial" w:hAnsi="Arial"/>
          <w:sz w:val="22"/>
          <w:szCs w:val="22"/>
          <w:color w:val="auto"/>
        </w:rPr>
      </w:pPr>
    </w:p>
    <w:p>
      <w:pPr>
        <w:ind w:left="380"/>
        <w:spacing w:after="0" w:line="347" w:lineRule="auto"/>
        <w:rPr>
          <w:rFonts w:ascii="Arial" w:cs="Arial" w:eastAsia="Arial" w:hAnsi="Arial"/>
          <w:sz w:val="22"/>
          <w:szCs w:val="22"/>
          <w:color w:val="auto"/>
        </w:rPr>
      </w:pPr>
      <w:r>
        <w:rPr>
          <w:rFonts w:ascii="Arial" w:cs="Arial" w:eastAsia="Arial" w:hAnsi="Arial"/>
          <w:sz w:val="18"/>
          <w:szCs w:val="18"/>
          <w:color w:val="auto"/>
        </w:rPr>
        <w:t>A resolution of the general meeting to suspend or dismiss a member of the Management Board other than pursuant to a proposal by the Supervisory Board shall require a two-third majority of the votes cast representing more than half of the company's issued capital.</w:t>
      </w:r>
    </w:p>
    <w:p>
      <w:pPr>
        <w:spacing w:after="0" w:line="144"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With respect to the resolution of the general meeting referred to in the previous sentence, the provision included in article 2:120 paragraph 3 Dutch Civil Code is not applicable.</w:t>
      </w:r>
    </w:p>
    <w:p>
      <w:pPr>
        <w:spacing w:after="0" w:line="199" w:lineRule="exact"/>
        <w:rPr>
          <w:rFonts w:ascii="Arial" w:cs="Arial" w:eastAsia="Arial" w:hAnsi="Arial"/>
          <w:sz w:val="22"/>
          <w:szCs w:val="22"/>
          <w:color w:val="auto"/>
        </w:rPr>
      </w:pPr>
    </w:p>
    <w:p>
      <w:pPr>
        <w:ind w:left="380" w:hanging="372"/>
        <w:spacing w:after="0"/>
        <w:tabs>
          <w:tab w:leader="none" w:pos="380" w:val="left"/>
        </w:tabs>
        <w:numPr>
          <w:ilvl w:val="0"/>
          <w:numId w:val="87"/>
        </w:numPr>
        <w:rPr>
          <w:rFonts w:ascii="Arial" w:cs="Arial" w:eastAsia="Arial" w:hAnsi="Arial"/>
          <w:sz w:val="22"/>
          <w:szCs w:val="22"/>
          <w:color w:val="auto"/>
        </w:rPr>
      </w:pPr>
      <w:r>
        <w:rPr>
          <w:rFonts w:ascii="Arial" w:cs="Arial" w:eastAsia="Arial" w:hAnsi="Arial"/>
          <w:sz w:val="20"/>
          <w:szCs w:val="20"/>
          <w:color w:val="auto"/>
        </w:rPr>
        <w:t>Members of the Management Board may be suspended by the Supervisory Board at any time.</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87"/>
        </w:numPr>
        <w:rPr>
          <w:rFonts w:ascii="Arial" w:cs="Arial" w:eastAsia="Arial" w:hAnsi="Arial"/>
          <w:sz w:val="22"/>
          <w:szCs w:val="22"/>
          <w:color w:val="auto"/>
        </w:rPr>
      </w:pPr>
      <w:r>
        <w:rPr>
          <w:rFonts w:ascii="Arial" w:cs="Arial" w:eastAsia="Arial" w:hAnsi="Arial"/>
          <w:sz w:val="20"/>
          <w:szCs w:val="20"/>
          <w:color w:val="auto"/>
        </w:rPr>
        <w:t>A suspension may last no longer than three months in total.</w:t>
      </w:r>
    </w:p>
    <w:p>
      <w:pPr>
        <w:spacing w:after="0" w:line="249" w:lineRule="exact"/>
        <w:rPr>
          <w:rFonts w:ascii="Arial" w:cs="Arial" w:eastAsia="Arial" w:hAnsi="Arial"/>
          <w:sz w:val="22"/>
          <w:szCs w:val="22"/>
          <w:color w:val="auto"/>
        </w:rPr>
      </w:pPr>
    </w:p>
    <w:p>
      <w:pPr>
        <w:ind w:left="380" w:right="4540" w:hanging="372"/>
        <w:spacing w:after="0" w:line="467" w:lineRule="auto"/>
        <w:tabs>
          <w:tab w:leader="none" w:pos="380" w:val="left"/>
        </w:tabs>
        <w:numPr>
          <w:ilvl w:val="0"/>
          <w:numId w:val="87"/>
        </w:numPr>
        <w:rPr>
          <w:rFonts w:ascii="Arial" w:cs="Arial" w:eastAsia="Arial" w:hAnsi="Arial"/>
          <w:sz w:val="22"/>
          <w:szCs w:val="22"/>
          <w:color w:val="auto"/>
        </w:rPr>
      </w:pPr>
      <w:r>
        <w:rPr>
          <w:rFonts w:ascii="Arial" w:cs="Arial" w:eastAsia="Arial" w:hAnsi="Arial"/>
          <w:sz w:val="20"/>
          <w:szCs w:val="20"/>
          <w:color w:val="auto"/>
        </w:rPr>
        <w:t>The company has a policy governing the remuneration of the Management Board. The policy will be adopted by the general meeting.</w:t>
      </w:r>
    </w:p>
    <w:p>
      <w:pPr>
        <w:sectPr>
          <w:pgSz w:w="11900" w:h="17037" w:orient="portrait"/>
          <w:cols w:equalWidth="0" w:num="1">
            <w:col w:w="11420"/>
          </w:cols>
          <w:pgMar w:left="240" w:top="150" w:right="239" w:bottom="0" w:gutter="0" w:footer="0" w:header="0"/>
        </w:sectPr>
      </w:pPr>
    </w:p>
    <w:bookmarkStart w:id="120" w:name="page121"/>
    <w:bookmarkEnd w:id="120"/>
    <w:p>
      <w:pPr>
        <w:ind w:left="380"/>
        <w:spacing w:after="0" w:line="289" w:lineRule="auto"/>
        <w:rPr>
          <w:sz w:val="20"/>
          <w:szCs w:val="20"/>
          <w:color w:val="auto"/>
        </w:rPr>
      </w:pPr>
      <w:r>
        <w:rPr>
          <w:rFonts w:ascii="Arial" w:cs="Arial" w:eastAsia="Arial" w:hAnsi="Arial"/>
          <w:sz w:val="20"/>
          <w:szCs w:val="20"/>
          <w:color w:val="auto"/>
        </w:rPr>
        <w:t>The remuneration of each member of the Board of Management will be determined by the Supervisory Board with due observance of the remuneration policy.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14.</w:t>
      </w:r>
    </w:p>
    <w:p>
      <w:pPr>
        <w:spacing w:after="0" w:line="284" w:lineRule="exact"/>
        <w:rPr>
          <w:sz w:val="20"/>
          <w:szCs w:val="20"/>
          <w:color w:val="auto"/>
        </w:rPr>
      </w:pPr>
    </w:p>
    <w:p>
      <w:pPr>
        <w:ind w:left="380" w:hanging="372"/>
        <w:spacing w:after="0" w:line="279" w:lineRule="auto"/>
        <w:tabs>
          <w:tab w:leader="none" w:pos="380" w:val="left"/>
        </w:tabs>
        <w:numPr>
          <w:ilvl w:val="0"/>
          <w:numId w:val="88"/>
        </w:numPr>
        <w:rPr>
          <w:rFonts w:ascii="Arial" w:cs="Arial" w:eastAsia="Arial" w:hAnsi="Arial"/>
          <w:sz w:val="22"/>
          <w:szCs w:val="22"/>
          <w:color w:val="auto"/>
        </w:rPr>
      </w:pPr>
      <w:r>
        <w:rPr>
          <w:rFonts w:ascii="Arial" w:cs="Arial" w:eastAsia="Arial" w:hAnsi="Arial"/>
          <w:sz w:val="20"/>
          <w:szCs w:val="20"/>
          <w:color w:val="auto"/>
        </w:rPr>
        <w:t>With due observance of the limitations set out by these articles of association, the Management Board is charged with the management of the company.</w:t>
      </w:r>
    </w:p>
    <w:p>
      <w:pPr>
        <w:spacing w:after="0" w:line="208" w:lineRule="exact"/>
        <w:rPr>
          <w:rFonts w:ascii="Arial" w:cs="Arial" w:eastAsia="Arial" w:hAnsi="Arial"/>
          <w:sz w:val="22"/>
          <w:szCs w:val="22"/>
          <w:color w:val="auto"/>
        </w:rPr>
      </w:pPr>
    </w:p>
    <w:p>
      <w:pPr>
        <w:jc w:val="both"/>
        <w:ind w:left="380" w:hanging="372"/>
        <w:spacing w:after="0" w:line="278" w:lineRule="auto"/>
        <w:tabs>
          <w:tab w:leader="none" w:pos="380" w:val="left"/>
        </w:tabs>
        <w:numPr>
          <w:ilvl w:val="0"/>
          <w:numId w:val="88"/>
        </w:numPr>
        <w:rPr>
          <w:rFonts w:ascii="Arial" w:cs="Arial" w:eastAsia="Arial" w:hAnsi="Arial"/>
          <w:sz w:val="22"/>
          <w:szCs w:val="22"/>
          <w:color w:val="auto"/>
        </w:rPr>
      </w:pPr>
      <w:r>
        <w:rPr>
          <w:rFonts w:ascii="Arial" w:cs="Arial" w:eastAsia="Arial" w:hAnsi="Arial"/>
          <w:sz w:val="20"/>
          <w:szCs w:val="20"/>
          <w:color w:val="auto"/>
        </w:rPr>
        <w:t>The Management Board shall draw up a set of regulations, including provisions in respect of, among other things, the manner of convocation of its meetings, the supplying of information to the Supervisory Board, and concerning a conflict of interest between the company and a member of the Management Board.</w:t>
      </w:r>
    </w:p>
    <w:p>
      <w:pPr>
        <w:spacing w:after="0" w:line="200"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The resolution of the Management Board to establish such rules is subject to the approval of the Supervisory Board.</w:t>
      </w:r>
    </w:p>
    <w:p>
      <w:pPr>
        <w:spacing w:after="0" w:line="269" w:lineRule="exact"/>
        <w:rPr>
          <w:rFonts w:ascii="Arial" w:cs="Arial" w:eastAsia="Arial" w:hAnsi="Arial"/>
          <w:sz w:val="22"/>
          <w:szCs w:val="22"/>
          <w:color w:val="auto"/>
        </w:rPr>
      </w:pPr>
    </w:p>
    <w:p>
      <w:pPr>
        <w:ind w:left="380" w:right="1220" w:hanging="372"/>
        <w:spacing w:after="0" w:line="548" w:lineRule="auto"/>
        <w:tabs>
          <w:tab w:leader="none" w:pos="380" w:val="left"/>
        </w:tabs>
        <w:numPr>
          <w:ilvl w:val="0"/>
          <w:numId w:val="88"/>
        </w:numPr>
        <w:rPr>
          <w:rFonts w:ascii="Arial" w:cs="Arial" w:eastAsia="Arial" w:hAnsi="Arial"/>
          <w:sz w:val="19"/>
          <w:szCs w:val="19"/>
          <w:color w:val="auto"/>
        </w:rPr>
      </w:pPr>
      <w:r>
        <w:rPr>
          <w:rFonts w:ascii="Arial" w:cs="Arial" w:eastAsia="Arial" w:hAnsi="Arial"/>
          <w:sz w:val="18"/>
          <w:szCs w:val="18"/>
          <w:color w:val="auto"/>
        </w:rPr>
        <w:t>The Management Board may adopt an internal allocation of duties for each member of the Management Board individually. The internal allocation of duties can be implemented in the rules as referred to in the previous paragraph.</w:t>
      </w:r>
    </w:p>
    <w:p>
      <w:pPr>
        <w:ind w:left="380"/>
        <w:spacing w:after="0"/>
        <w:rPr>
          <w:rFonts w:ascii="Arial" w:cs="Arial" w:eastAsia="Arial" w:hAnsi="Arial"/>
          <w:sz w:val="19"/>
          <w:szCs w:val="19"/>
          <w:color w:val="auto"/>
        </w:rPr>
      </w:pPr>
      <w:r>
        <w:rPr>
          <w:rFonts w:ascii="Arial" w:cs="Arial" w:eastAsia="Arial" w:hAnsi="Arial"/>
          <w:sz w:val="19"/>
          <w:szCs w:val="19"/>
          <w:color w:val="auto"/>
        </w:rPr>
        <w:t>The resolution of the Management Board to establish such allocation of duties is subject to the approval of the Supervisory Board.</w:t>
      </w:r>
    </w:p>
    <w:p>
      <w:pPr>
        <w:spacing w:after="0" w:line="267" w:lineRule="exact"/>
        <w:rPr>
          <w:rFonts w:ascii="Arial" w:cs="Arial" w:eastAsia="Arial" w:hAnsi="Arial"/>
          <w:sz w:val="19"/>
          <w:szCs w:val="19"/>
          <w:color w:val="auto"/>
        </w:rPr>
      </w:pPr>
    </w:p>
    <w:p>
      <w:pPr>
        <w:ind w:left="380"/>
        <w:spacing w:after="0" w:line="347" w:lineRule="auto"/>
        <w:rPr>
          <w:rFonts w:ascii="Arial" w:cs="Arial" w:eastAsia="Arial" w:hAnsi="Arial"/>
          <w:sz w:val="19"/>
          <w:szCs w:val="19"/>
          <w:color w:val="auto"/>
        </w:rPr>
      </w:pPr>
      <w:r>
        <w:rPr>
          <w:rFonts w:ascii="Arial" w:cs="Arial" w:eastAsia="Arial" w:hAnsi="Arial"/>
          <w:sz w:val="18"/>
          <w:szCs w:val="18"/>
          <w:color w:val="auto"/>
        </w:rPr>
        <w:t>Without prejudice to its own responsibility, the Management Board is authorized to appoint persons with such authority to represent the company and, by granting of a power of attorney, conferring such titles and powers as shall be determined by the Management Board.</w:t>
      </w:r>
    </w:p>
    <w:p>
      <w:pPr>
        <w:spacing w:after="0" w:line="157" w:lineRule="exact"/>
        <w:rPr>
          <w:rFonts w:ascii="Arial" w:cs="Arial" w:eastAsia="Arial" w:hAnsi="Arial"/>
          <w:sz w:val="19"/>
          <w:szCs w:val="19"/>
          <w:color w:val="auto"/>
        </w:rPr>
      </w:pPr>
    </w:p>
    <w:p>
      <w:pPr>
        <w:ind w:left="380" w:hanging="372"/>
        <w:spacing w:after="0" w:line="279" w:lineRule="auto"/>
        <w:tabs>
          <w:tab w:leader="none" w:pos="380" w:val="left"/>
        </w:tabs>
        <w:numPr>
          <w:ilvl w:val="0"/>
          <w:numId w:val="88"/>
        </w:numPr>
        <w:rPr>
          <w:rFonts w:ascii="Arial" w:cs="Arial" w:eastAsia="Arial" w:hAnsi="Arial"/>
          <w:sz w:val="22"/>
          <w:szCs w:val="22"/>
          <w:color w:val="auto"/>
        </w:rPr>
      </w:pPr>
      <w:r>
        <w:rPr>
          <w:rFonts w:ascii="Arial" w:cs="Arial" w:eastAsia="Arial" w:hAnsi="Arial"/>
          <w:sz w:val="20"/>
          <w:szCs w:val="20"/>
          <w:color w:val="auto"/>
        </w:rPr>
        <w:t>With due observance of the provisions of these articles of association, the Management Board resolutions relating to any of the following matters shall be subject to the approval of the Supervisory Board:</w:t>
      </w:r>
    </w:p>
    <w:p>
      <w:pPr>
        <w:spacing w:after="0" w:line="208" w:lineRule="exact"/>
        <w:rPr>
          <w:rFonts w:ascii="Arial" w:cs="Arial" w:eastAsia="Arial" w:hAnsi="Arial"/>
          <w:sz w:val="22"/>
          <w:szCs w:val="22"/>
          <w:color w:val="auto"/>
        </w:rPr>
      </w:pPr>
    </w:p>
    <w:p>
      <w:pPr>
        <w:ind w:left="780" w:right="20" w:hanging="380"/>
        <w:spacing w:after="0" w:line="279" w:lineRule="auto"/>
        <w:tabs>
          <w:tab w:leader="none" w:pos="762" w:val="left"/>
        </w:tabs>
        <w:numPr>
          <w:ilvl w:val="1"/>
          <w:numId w:val="88"/>
        </w:numPr>
        <w:rPr>
          <w:rFonts w:ascii="Arial" w:cs="Arial" w:eastAsia="Arial" w:hAnsi="Arial"/>
          <w:sz w:val="22"/>
          <w:szCs w:val="22"/>
          <w:color w:val="auto"/>
        </w:rPr>
      </w:pPr>
      <w:r>
        <w:rPr>
          <w:rFonts w:ascii="Arial" w:cs="Arial" w:eastAsia="Arial" w:hAnsi="Arial"/>
          <w:sz w:val="20"/>
          <w:szCs w:val="20"/>
          <w:color w:val="auto"/>
        </w:rPr>
        <w:t>issue and acquisition of shares of the company and debt instruments issued by the company or of debt instruments issued by a limited partnership or general partnership of which the company is a fully liable partner;</w:t>
      </w:r>
    </w:p>
    <w:p>
      <w:pPr>
        <w:spacing w:after="0" w:line="205" w:lineRule="exact"/>
        <w:rPr>
          <w:rFonts w:ascii="Arial" w:cs="Arial" w:eastAsia="Arial" w:hAnsi="Arial"/>
          <w:sz w:val="22"/>
          <w:szCs w:val="22"/>
          <w:color w:val="auto"/>
        </w:rPr>
      </w:pPr>
    </w:p>
    <w:p>
      <w:pPr>
        <w:ind w:left="760" w:hanging="360"/>
        <w:spacing w:after="0"/>
        <w:tabs>
          <w:tab w:leader="none" w:pos="760" w:val="left"/>
        </w:tabs>
        <w:numPr>
          <w:ilvl w:val="1"/>
          <w:numId w:val="88"/>
        </w:numPr>
        <w:rPr>
          <w:rFonts w:ascii="Arial" w:cs="Arial" w:eastAsia="Arial" w:hAnsi="Arial"/>
          <w:sz w:val="22"/>
          <w:szCs w:val="22"/>
          <w:color w:val="auto"/>
        </w:rPr>
      </w:pPr>
      <w:r>
        <w:rPr>
          <w:rFonts w:ascii="Arial" w:cs="Arial" w:eastAsia="Arial" w:hAnsi="Arial"/>
          <w:sz w:val="20"/>
          <w:szCs w:val="20"/>
          <w:color w:val="auto"/>
        </w:rPr>
        <w:t>application or the withdrawal for quotation of the securities referred to under a. in the listing of any stock exchange;</w:t>
      </w:r>
    </w:p>
    <w:p>
      <w:pPr>
        <w:spacing w:after="0" w:line="249" w:lineRule="exact"/>
        <w:rPr>
          <w:rFonts w:ascii="Arial" w:cs="Arial" w:eastAsia="Arial" w:hAnsi="Arial"/>
          <w:sz w:val="22"/>
          <w:szCs w:val="22"/>
          <w:color w:val="auto"/>
        </w:rPr>
      </w:pPr>
    </w:p>
    <w:p>
      <w:pPr>
        <w:jc w:val="both"/>
        <w:ind w:left="780" w:hanging="380"/>
        <w:spacing w:after="0" w:line="278" w:lineRule="auto"/>
        <w:tabs>
          <w:tab w:leader="none" w:pos="762" w:val="left"/>
        </w:tabs>
        <w:numPr>
          <w:ilvl w:val="1"/>
          <w:numId w:val="88"/>
        </w:numPr>
        <w:rPr>
          <w:rFonts w:ascii="Arial" w:cs="Arial" w:eastAsia="Arial" w:hAnsi="Arial"/>
          <w:sz w:val="22"/>
          <w:szCs w:val="22"/>
          <w:color w:val="auto"/>
        </w:rPr>
      </w:pPr>
      <w:r>
        <w:rPr>
          <w:rFonts w:ascii="Arial" w:cs="Arial" w:eastAsia="Arial" w:hAnsi="Arial"/>
          <w:sz w:val="20"/>
          <w:szCs w:val="20"/>
          <w:color w:val="auto"/>
        </w:rPr>
        <w:t>participation for a value of at least one fourth of the amount of the issued capital with the reserves according to the most recently adopted balance sheet with explanatory notes of the company by the company or by a dependent company in the capital of another company, as well as to a significant increase or reduction of such a participation;</w:t>
      </w:r>
    </w:p>
    <w:p>
      <w:pPr>
        <w:spacing w:after="0" w:line="214" w:lineRule="exact"/>
        <w:rPr>
          <w:rFonts w:ascii="Arial" w:cs="Arial" w:eastAsia="Arial" w:hAnsi="Arial"/>
          <w:sz w:val="22"/>
          <w:szCs w:val="22"/>
          <w:color w:val="auto"/>
        </w:rPr>
      </w:pPr>
    </w:p>
    <w:p>
      <w:pPr>
        <w:ind w:left="780" w:hanging="380"/>
        <w:spacing w:after="0" w:line="279" w:lineRule="auto"/>
        <w:tabs>
          <w:tab w:leader="none" w:pos="762" w:val="left"/>
        </w:tabs>
        <w:numPr>
          <w:ilvl w:val="1"/>
          <w:numId w:val="88"/>
        </w:numPr>
        <w:rPr>
          <w:rFonts w:ascii="Arial" w:cs="Arial" w:eastAsia="Arial" w:hAnsi="Arial"/>
          <w:sz w:val="22"/>
          <w:szCs w:val="22"/>
          <w:color w:val="auto"/>
        </w:rPr>
      </w:pPr>
      <w:r>
        <w:rPr>
          <w:rFonts w:ascii="Arial" w:cs="Arial" w:eastAsia="Arial" w:hAnsi="Arial"/>
          <w:sz w:val="20"/>
          <w:szCs w:val="20"/>
          <w:color w:val="auto"/>
        </w:rPr>
        <w:t>investments involving an amount equal to at least the sum of one-quarter of the company's issued capital plus the reserves of the company as shown in its balance sheet and explanatory notes;</w:t>
      </w:r>
    </w:p>
    <w:p>
      <w:pPr>
        <w:spacing w:after="0" w:line="205" w:lineRule="exact"/>
        <w:rPr>
          <w:rFonts w:ascii="Arial" w:cs="Arial" w:eastAsia="Arial" w:hAnsi="Arial"/>
          <w:sz w:val="22"/>
          <w:szCs w:val="22"/>
          <w:color w:val="auto"/>
        </w:rPr>
      </w:pPr>
    </w:p>
    <w:p>
      <w:pPr>
        <w:ind w:left="760" w:hanging="360"/>
        <w:spacing w:after="0"/>
        <w:tabs>
          <w:tab w:leader="none" w:pos="760" w:val="left"/>
        </w:tabs>
        <w:numPr>
          <w:ilvl w:val="1"/>
          <w:numId w:val="88"/>
        </w:numPr>
        <w:rPr>
          <w:rFonts w:ascii="Arial" w:cs="Arial" w:eastAsia="Arial" w:hAnsi="Arial"/>
          <w:sz w:val="22"/>
          <w:szCs w:val="22"/>
          <w:color w:val="auto"/>
        </w:rPr>
      </w:pPr>
      <w:r>
        <w:rPr>
          <w:rFonts w:ascii="Arial" w:cs="Arial" w:eastAsia="Arial" w:hAnsi="Arial"/>
          <w:sz w:val="20"/>
          <w:szCs w:val="20"/>
          <w:color w:val="auto"/>
        </w:rPr>
        <w:t>a proposal to amend the articles of association;</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88"/>
        </w:numPr>
        <w:rPr>
          <w:rFonts w:ascii="Arial" w:cs="Arial" w:eastAsia="Arial" w:hAnsi="Arial"/>
          <w:sz w:val="22"/>
          <w:szCs w:val="22"/>
          <w:color w:val="auto"/>
        </w:rPr>
      </w:pPr>
      <w:r>
        <w:rPr>
          <w:rFonts w:ascii="Arial" w:cs="Arial" w:eastAsia="Arial" w:hAnsi="Arial"/>
          <w:sz w:val="20"/>
          <w:szCs w:val="20"/>
          <w:color w:val="auto"/>
        </w:rPr>
        <w:t>a proposal to dissolve (</w:t>
      </w:r>
      <w:r>
        <w:rPr>
          <w:rFonts w:ascii="Arial" w:cs="Arial" w:eastAsia="Arial" w:hAnsi="Arial"/>
          <w:sz w:val="20"/>
          <w:szCs w:val="20"/>
          <w:i w:val="1"/>
          <w:iCs w:val="1"/>
          <w:color w:val="auto"/>
        </w:rPr>
        <w:t>ontbinden</w:t>
      </w:r>
      <w:r>
        <w:rPr>
          <w:rFonts w:ascii="Arial" w:cs="Arial" w:eastAsia="Arial" w:hAnsi="Arial"/>
          <w:sz w:val="20"/>
          <w:szCs w:val="20"/>
          <w:color w:val="auto"/>
        </w:rPr>
        <w:t>) the company;</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88"/>
        </w:numPr>
        <w:rPr>
          <w:rFonts w:ascii="Arial" w:cs="Arial" w:eastAsia="Arial" w:hAnsi="Arial"/>
          <w:sz w:val="22"/>
          <w:szCs w:val="22"/>
          <w:color w:val="auto"/>
        </w:rPr>
      </w:pPr>
      <w:r>
        <w:rPr>
          <w:rFonts w:ascii="Arial" w:cs="Arial" w:eastAsia="Arial" w:hAnsi="Arial"/>
          <w:sz w:val="20"/>
          <w:szCs w:val="20"/>
          <w:color w:val="auto"/>
        </w:rPr>
        <w:t>a proposal to conclude a legal merger (</w:t>
      </w:r>
      <w:r>
        <w:rPr>
          <w:rFonts w:ascii="Arial" w:cs="Arial" w:eastAsia="Arial" w:hAnsi="Arial"/>
          <w:sz w:val="20"/>
          <w:szCs w:val="20"/>
          <w:i w:val="1"/>
          <w:iCs w:val="1"/>
          <w:color w:val="auto"/>
        </w:rPr>
        <w:t>juridische fusie</w:t>
      </w:r>
      <w:r>
        <w:rPr>
          <w:rFonts w:ascii="Arial" w:cs="Arial" w:eastAsia="Arial" w:hAnsi="Arial"/>
          <w:sz w:val="20"/>
          <w:szCs w:val="20"/>
          <w:color w:val="auto"/>
        </w:rPr>
        <w:t>) or a demerger (</w:t>
      </w:r>
      <w:r>
        <w:rPr>
          <w:rFonts w:ascii="Arial" w:cs="Arial" w:eastAsia="Arial" w:hAnsi="Arial"/>
          <w:sz w:val="20"/>
          <w:szCs w:val="20"/>
          <w:i w:val="1"/>
          <w:iCs w:val="1"/>
          <w:color w:val="auto"/>
        </w:rPr>
        <w:t>splitsing</w:t>
      </w:r>
      <w:r>
        <w:rPr>
          <w:rFonts w:ascii="Arial" w:cs="Arial" w:eastAsia="Arial" w:hAnsi="Arial"/>
          <w:sz w:val="20"/>
          <w:szCs w:val="20"/>
          <w:color w:val="auto"/>
        </w:rPr>
        <w:t>);</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88"/>
        </w:numPr>
        <w:rPr>
          <w:rFonts w:ascii="Arial" w:cs="Arial" w:eastAsia="Arial" w:hAnsi="Arial"/>
          <w:sz w:val="22"/>
          <w:szCs w:val="22"/>
          <w:color w:val="auto"/>
        </w:rPr>
      </w:pPr>
      <w:r>
        <w:rPr>
          <w:rFonts w:ascii="Arial" w:cs="Arial" w:eastAsia="Arial" w:hAnsi="Arial"/>
          <w:sz w:val="20"/>
          <w:szCs w:val="20"/>
          <w:color w:val="auto"/>
        </w:rPr>
        <w:t>application for bankruptcy and for suspension of payments (</w:t>
      </w:r>
      <w:r>
        <w:rPr>
          <w:rFonts w:ascii="Arial" w:cs="Arial" w:eastAsia="Arial" w:hAnsi="Arial"/>
          <w:sz w:val="20"/>
          <w:szCs w:val="20"/>
          <w:i w:val="1"/>
          <w:iCs w:val="1"/>
          <w:color w:val="auto"/>
        </w:rPr>
        <w:t>surseance van betaling</w:t>
      </w:r>
      <w:r>
        <w:rPr>
          <w:rFonts w:ascii="Arial" w:cs="Arial" w:eastAsia="Arial" w:hAnsi="Arial"/>
          <w:sz w:val="20"/>
          <w:szCs w:val="20"/>
          <w:color w:val="auto"/>
        </w:rPr>
        <w:t>);</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88"/>
        </w:numPr>
        <w:rPr>
          <w:rFonts w:ascii="Arial" w:cs="Arial" w:eastAsia="Arial" w:hAnsi="Arial"/>
          <w:sz w:val="22"/>
          <w:szCs w:val="22"/>
          <w:color w:val="auto"/>
        </w:rPr>
      </w:pPr>
      <w:r>
        <w:rPr>
          <w:rFonts w:ascii="Arial" w:cs="Arial" w:eastAsia="Arial" w:hAnsi="Arial"/>
          <w:sz w:val="20"/>
          <w:szCs w:val="20"/>
          <w:color w:val="auto"/>
        </w:rPr>
        <w:t>a proposal to reduce the issued share capital.</w:t>
      </w:r>
    </w:p>
    <w:p>
      <w:pPr>
        <w:spacing w:after="0" w:line="249" w:lineRule="exact"/>
        <w:rPr>
          <w:rFonts w:ascii="Arial" w:cs="Arial" w:eastAsia="Arial" w:hAnsi="Arial"/>
          <w:sz w:val="22"/>
          <w:szCs w:val="22"/>
          <w:color w:val="auto"/>
        </w:rPr>
      </w:pPr>
    </w:p>
    <w:p>
      <w:pPr>
        <w:ind w:left="780" w:hanging="380"/>
        <w:spacing w:after="0" w:line="279" w:lineRule="auto"/>
        <w:tabs>
          <w:tab w:leader="none" w:pos="762" w:val="left"/>
        </w:tabs>
        <w:numPr>
          <w:ilvl w:val="1"/>
          <w:numId w:val="88"/>
        </w:numPr>
        <w:rPr>
          <w:rFonts w:ascii="Arial" w:cs="Arial" w:eastAsia="Arial" w:hAnsi="Arial"/>
          <w:sz w:val="22"/>
          <w:szCs w:val="22"/>
          <w:color w:val="auto"/>
        </w:rPr>
      </w:pPr>
      <w:r>
        <w:rPr>
          <w:rFonts w:ascii="Arial" w:cs="Arial" w:eastAsia="Arial" w:hAnsi="Arial"/>
          <w:sz w:val="20"/>
          <w:szCs w:val="20"/>
          <w:color w:val="auto"/>
        </w:rPr>
        <w:t>undertaking any such legal acts as shall be determined and clearly defined by the Supervisory Board and notified to the Management Board in writing.</w:t>
      </w:r>
    </w:p>
    <w:p>
      <w:pPr>
        <w:spacing w:after="0" w:line="208"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88"/>
        </w:numPr>
        <w:rPr>
          <w:rFonts w:ascii="Arial" w:cs="Arial" w:eastAsia="Arial" w:hAnsi="Arial"/>
          <w:sz w:val="22"/>
          <w:szCs w:val="22"/>
          <w:color w:val="auto"/>
        </w:rPr>
      </w:pPr>
      <w:r>
        <w:rPr>
          <w:rFonts w:ascii="Arial" w:cs="Arial" w:eastAsia="Arial" w:hAnsi="Arial"/>
          <w:sz w:val="20"/>
          <w:szCs w:val="20"/>
          <w:color w:val="auto"/>
        </w:rPr>
        <w:t>Without prejudice to the provisions above, decisions of the Management Board involving a major change in the company's identity or character are subject to the approval of the general meeting and the Supervisory Board, including:</w:t>
      </w:r>
    </w:p>
    <w:p>
      <w:pPr>
        <w:spacing w:after="0" w:line="205" w:lineRule="exact"/>
        <w:rPr>
          <w:rFonts w:ascii="Arial" w:cs="Arial" w:eastAsia="Arial" w:hAnsi="Arial"/>
          <w:sz w:val="22"/>
          <w:szCs w:val="22"/>
          <w:color w:val="auto"/>
        </w:rPr>
      </w:pPr>
    </w:p>
    <w:p>
      <w:pPr>
        <w:ind w:left="760" w:hanging="360"/>
        <w:spacing w:after="0"/>
        <w:tabs>
          <w:tab w:leader="none" w:pos="760" w:val="left"/>
        </w:tabs>
        <w:numPr>
          <w:ilvl w:val="1"/>
          <w:numId w:val="88"/>
        </w:numPr>
        <w:rPr>
          <w:rFonts w:ascii="Arial" w:cs="Arial" w:eastAsia="Arial" w:hAnsi="Arial"/>
          <w:sz w:val="22"/>
          <w:szCs w:val="22"/>
          <w:color w:val="auto"/>
        </w:rPr>
      </w:pPr>
      <w:r>
        <w:rPr>
          <w:rFonts w:ascii="Arial" w:cs="Arial" w:eastAsia="Arial" w:hAnsi="Arial"/>
          <w:sz w:val="20"/>
          <w:szCs w:val="20"/>
          <w:color w:val="auto"/>
        </w:rPr>
        <w:t>the transfer of the enterprise or practically the whole enterprise to third parties;</w:t>
      </w:r>
    </w:p>
    <w:p>
      <w:pPr>
        <w:spacing w:after="0" w:line="249" w:lineRule="exact"/>
        <w:rPr>
          <w:rFonts w:ascii="Arial" w:cs="Arial" w:eastAsia="Arial" w:hAnsi="Arial"/>
          <w:sz w:val="22"/>
          <w:szCs w:val="22"/>
          <w:color w:val="auto"/>
        </w:rPr>
      </w:pPr>
    </w:p>
    <w:p>
      <w:pPr>
        <w:jc w:val="both"/>
        <w:ind w:left="780" w:right="20" w:hanging="380"/>
        <w:spacing w:after="0" w:line="278" w:lineRule="auto"/>
        <w:tabs>
          <w:tab w:leader="none" w:pos="762" w:val="left"/>
        </w:tabs>
        <w:numPr>
          <w:ilvl w:val="1"/>
          <w:numId w:val="88"/>
        </w:numPr>
        <w:rPr>
          <w:rFonts w:ascii="Arial" w:cs="Arial" w:eastAsia="Arial" w:hAnsi="Arial"/>
          <w:sz w:val="22"/>
          <w:szCs w:val="22"/>
          <w:color w:val="auto"/>
        </w:rPr>
      </w:pPr>
      <w:r>
        <w:rPr>
          <w:rFonts w:ascii="Arial" w:cs="Arial" w:eastAsia="Arial" w:hAnsi="Arial"/>
          <w:sz w:val="20"/>
          <w:szCs w:val="20"/>
          <w:color w:val="auto"/>
        </w:rPr>
        <w:t>to enter or to terminate longstanding joint ventures of the company or a subsidiary with another legal entity or company or as fully liable partner in a limited partnership or a general partnership if this joint venture or termination of such a joint venture is of a major significance to the company;</w:t>
      </w:r>
    </w:p>
    <w:p>
      <w:pPr>
        <w:spacing w:after="0" w:line="214" w:lineRule="exact"/>
        <w:rPr>
          <w:rFonts w:ascii="Arial" w:cs="Arial" w:eastAsia="Arial" w:hAnsi="Arial"/>
          <w:sz w:val="22"/>
          <w:szCs w:val="22"/>
          <w:color w:val="auto"/>
        </w:rPr>
      </w:pPr>
    </w:p>
    <w:p>
      <w:pPr>
        <w:jc w:val="both"/>
        <w:ind w:left="780" w:hanging="380"/>
        <w:spacing w:after="0" w:line="354" w:lineRule="auto"/>
        <w:tabs>
          <w:tab w:leader="none" w:pos="762" w:val="left"/>
        </w:tabs>
        <w:numPr>
          <w:ilvl w:val="1"/>
          <w:numId w:val="88"/>
        </w:numPr>
        <w:rPr>
          <w:rFonts w:ascii="Arial" w:cs="Arial" w:eastAsia="Arial" w:hAnsi="Arial"/>
          <w:sz w:val="18"/>
          <w:szCs w:val="18"/>
          <w:color w:val="auto"/>
        </w:rPr>
      </w:pPr>
      <w:r>
        <w:rPr>
          <w:rFonts w:ascii="Arial" w:cs="Arial" w:eastAsia="Arial" w:hAnsi="Arial"/>
          <w:sz w:val="17"/>
          <w:szCs w:val="17"/>
          <w:color w:val="auto"/>
        </w:rPr>
        <w:t>to acquire or dispose of a participation in the capital of a company worth at least one third of the amount of the assets according to the balance sheet with explanatory notes thereto, or if the company prepares a consolidated balance sheet according to such consolidated balance sheet with explanatory notes according to the last adopted annual account of the company, by the company or a subsidiary.</w:t>
      </w:r>
    </w:p>
    <w:p>
      <w:pPr>
        <w:sectPr>
          <w:pgSz w:w="11900" w:h="16838" w:orient="portrait"/>
          <w:cols w:equalWidth="0" w:num="1">
            <w:col w:w="11420"/>
          </w:cols>
          <w:pgMar w:left="240" w:top="298" w:right="239" w:bottom="0" w:gutter="0" w:footer="0" w:header="0"/>
        </w:sectPr>
      </w:pPr>
    </w:p>
    <w:bookmarkStart w:id="121" w:name="page122"/>
    <w:bookmarkEnd w:id="121"/>
    <w:p>
      <w:pPr>
        <w:ind w:left="380" w:hanging="372"/>
        <w:spacing w:after="0" w:line="279" w:lineRule="auto"/>
        <w:tabs>
          <w:tab w:leader="none" w:pos="380" w:val="left"/>
        </w:tabs>
        <w:numPr>
          <w:ilvl w:val="0"/>
          <w:numId w:val="89"/>
        </w:numPr>
        <w:rPr>
          <w:rFonts w:ascii="Arial" w:cs="Arial" w:eastAsia="Arial" w:hAnsi="Arial"/>
          <w:sz w:val="22"/>
          <w:szCs w:val="22"/>
          <w:color w:val="auto"/>
        </w:rPr>
      </w:pPr>
      <w:r>
        <w:rPr>
          <w:rFonts w:ascii="Arial" w:cs="Arial" w:eastAsia="Arial" w:hAnsi="Arial"/>
          <w:sz w:val="20"/>
          <w:szCs w:val="20"/>
          <w:color w:val="auto"/>
        </w:rPr>
        <w:t>Failure to obtain the approval defined in paragraphs 4 and 5 of this article shall not affect the authority of the Management Board or the members of the Management Board to represent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15.</w:t>
      </w:r>
    </w:p>
    <w:p>
      <w:pPr>
        <w:spacing w:after="0" w:line="271" w:lineRule="exact"/>
        <w:rPr>
          <w:sz w:val="20"/>
          <w:szCs w:val="20"/>
          <w:color w:val="auto"/>
        </w:rPr>
      </w:pPr>
    </w:p>
    <w:p>
      <w:pPr>
        <w:jc w:val="both"/>
        <w:spacing w:after="0" w:line="316" w:lineRule="auto"/>
        <w:rPr>
          <w:sz w:val="20"/>
          <w:szCs w:val="20"/>
          <w:color w:val="auto"/>
        </w:rPr>
      </w:pPr>
      <w:r>
        <w:rPr>
          <w:rFonts w:ascii="Arial" w:cs="Arial" w:eastAsia="Arial" w:hAnsi="Arial"/>
          <w:sz w:val="19"/>
          <w:szCs w:val="19"/>
          <w:color w:val="auto"/>
        </w:rPr>
        <w:t>In the event that one or more members of the Management Board are absent or prevented from acting, the remaining members of the Management Board or the sole remaining member of the Management Board shall be entrusted with the management of the company.</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 the event that all the members of the Management Board or the sole member of the Management Board is absent or prevented from acting, a person to be appointed for that purpose by the Supervisory Board, whether or not from among its members, shall be temporarily entrusted with the management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Representation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16.</w:t>
      </w:r>
    </w:p>
    <w:p>
      <w:pPr>
        <w:spacing w:after="0" w:line="277" w:lineRule="exact"/>
        <w:rPr>
          <w:sz w:val="20"/>
          <w:szCs w:val="20"/>
          <w:color w:val="auto"/>
        </w:rPr>
      </w:pPr>
    </w:p>
    <w:p>
      <w:pPr>
        <w:ind w:left="380" w:hanging="372"/>
        <w:spacing w:after="0"/>
        <w:tabs>
          <w:tab w:leader="none" w:pos="380" w:val="left"/>
        </w:tabs>
        <w:numPr>
          <w:ilvl w:val="0"/>
          <w:numId w:val="90"/>
        </w:numPr>
        <w:rPr>
          <w:rFonts w:ascii="Arial" w:cs="Arial" w:eastAsia="Arial" w:hAnsi="Arial"/>
          <w:sz w:val="22"/>
          <w:szCs w:val="22"/>
          <w:color w:val="auto"/>
        </w:rPr>
      </w:pPr>
      <w:r>
        <w:rPr>
          <w:rFonts w:ascii="Arial" w:cs="Arial" w:eastAsia="Arial" w:hAnsi="Arial"/>
          <w:sz w:val="20"/>
          <w:szCs w:val="20"/>
          <w:color w:val="auto"/>
        </w:rPr>
        <w:t>The company shall be represented by the Management Board.</w:t>
      </w:r>
    </w:p>
    <w:p>
      <w:pPr>
        <w:spacing w:after="0" w:line="235"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In addition, the authority to represent the company is vested in each member of the Management Board acting solely.</w:t>
      </w:r>
    </w:p>
    <w:p>
      <w:pPr>
        <w:spacing w:after="0" w:line="269" w:lineRule="exact"/>
        <w:rPr>
          <w:rFonts w:ascii="Arial" w:cs="Arial" w:eastAsia="Arial" w:hAnsi="Arial"/>
          <w:sz w:val="22"/>
          <w:szCs w:val="22"/>
          <w:color w:val="auto"/>
        </w:rPr>
      </w:pPr>
    </w:p>
    <w:p>
      <w:pPr>
        <w:jc w:val="both"/>
        <w:ind w:left="380" w:hanging="372"/>
        <w:spacing w:after="0" w:line="278" w:lineRule="auto"/>
        <w:tabs>
          <w:tab w:leader="none" w:pos="380" w:val="left"/>
        </w:tabs>
        <w:numPr>
          <w:ilvl w:val="0"/>
          <w:numId w:val="90"/>
        </w:numPr>
        <w:rPr>
          <w:rFonts w:ascii="Arial" w:cs="Arial" w:eastAsia="Arial" w:hAnsi="Arial"/>
          <w:sz w:val="22"/>
          <w:szCs w:val="22"/>
          <w:color w:val="auto"/>
        </w:rPr>
      </w:pPr>
      <w:r>
        <w:rPr>
          <w:rFonts w:ascii="Arial" w:cs="Arial" w:eastAsia="Arial" w:hAnsi="Arial"/>
          <w:sz w:val="20"/>
          <w:szCs w:val="20"/>
          <w:color w:val="auto"/>
        </w:rPr>
        <w:t>In all events of the company having a conflict of interest with one or more members of the Management Board within the meaning of article 2:146 Dutch Civil Code, the company shall continue to be represented in the manner described in the second sentence of paragraph 1 above without prejudice to mandatory provisions of Book 2 Dutch Civil Code.</w:t>
      </w:r>
    </w:p>
    <w:p>
      <w:pPr>
        <w:spacing w:after="0" w:line="200"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In all events in which the company has a conflict of interest with a member of the Management Board in his private capacity, the board resolution regarding that relevant legal act requires the approval of the Supervisory Board.</w:t>
      </w:r>
    </w:p>
    <w:p>
      <w:pPr>
        <w:spacing w:after="0" w:line="188" w:lineRule="exact"/>
        <w:rPr>
          <w:rFonts w:ascii="Arial" w:cs="Arial" w:eastAsia="Arial" w:hAnsi="Arial"/>
          <w:sz w:val="22"/>
          <w:szCs w:val="22"/>
          <w:color w:val="auto"/>
        </w:rPr>
      </w:pPr>
    </w:p>
    <w:p>
      <w:pPr>
        <w:ind w:left="380" w:right="20"/>
        <w:spacing w:after="0" w:line="289" w:lineRule="auto"/>
        <w:rPr>
          <w:rFonts w:ascii="Arial" w:cs="Arial" w:eastAsia="Arial" w:hAnsi="Arial"/>
          <w:sz w:val="22"/>
          <w:szCs w:val="22"/>
          <w:color w:val="auto"/>
        </w:rPr>
      </w:pPr>
      <w:r>
        <w:rPr>
          <w:rFonts w:ascii="Arial" w:cs="Arial" w:eastAsia="Arial" w:hAnsi="Arial"/>
          <w:sz w:val="20"/>
          <w:szCs w:val="20"/>
          <w:color w:val="auto"/>
        </w:rPr>
        <w:t>Failure to obtain the approval defined in the previous sentence shall not affect the Management Board or the members of the Management Board's authority to represent the company.</w:t>
      </w:r>
    </w:p>
    <w:p>
      <w:pPr>
        <w:spacing w:after="0" w:line="202" w:lineRule="exact"/>
        <w:rPr>
          <w:rFonts w:ascii="Arial" w:cs="Arial" w:eastAsia="Arial" w:hAnsi="Arial"/>
          <w:sz w:val="22"/>
          <w:szCs w:val="22"/>
          <w:color w:val="auto"/>
        </w:rPr>
      </w:pPr>
    </w:p>
    <w:p>
      <w:pPr>
        <w:ind w:left="380" w:right="20" w:hanging="372"/>
        <w:spacing w:after="0" w:line="279" w:lineRule="auto"/>
        <w:tabs>
          <w:tab w:leader="none" w:pos="380" w:val="left"/>
        </w:tabs>
        <w:numPr>
          <w:ilvl w:val="0"/>
          <w:numId w:val="90"/>
        </w:numPr>
        <w:rPr>
          <w:rFonts w:ascii="Arial" w:cs="Arial" w:eastAsia="Arial" w:hAnsi="Arial"/>
          <w:sz w:val="22"/>
          <w:szCs w:val="22"/>
          <w:color w:val="auto"/>
        </w:rPr>
      </w:pPr>
      <w:r>
        <w:rPr>
          <w:rFonts w:ascii="Arial" w:cs="Arial" w:eastAsia="Arial" w:hAnsi="Arial"/>
          <w:sz w:val="20"/>
          <w:szCs w:val="20"/>
          <w:color w:val="auto"/>
        </w:rPr>
        <w:t>A member of the Management Board shall not take part in decision making on a subject or transaction in relation to which he has a conflict of interest with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Supervisory Board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17.</w:t>
      </w:r>
    </w:p>
    <w:p>
      <w:pPr>
        <w:spacing w:after="0" w:line="277" w:lineRule="exact"/>
        <w:rPr>
          <w:sz w:val="20"/>
          <w:szCs w:val="20"/>
          <w:color w:val="auto"/>
        </w:rPr>
      </w:pPr>
    </w:p>
    <w:p>
      <w:pPr>
        <w:ind w:left="380" w:hanging="372"/>
        <w:spacing w:after="0"/>
        <w:tabs>
          <w:tab w:leader="none" w:pos="380" w:val="left"/>
        </w:tabs>
        <w:numPr>
          <w:ilvl w:val="0"/>
          <w:numId w:val="91"/>
        </w:numPr>
        <w:rPr>
          <w:rFonts w:ascii="Arial" w:cs="Arial" w:eastAsia="Arial" w:hAnsi="Arial"/>
          <w:sz w:val="22"/>
          <w:szCs w:val="22"/>
          <w:color w:val="auto"/>
        </w:rPr>
      </w:pPr>
      <w:r>
        <w:rPr>
          <w:rFonts w:ascii="Arial" w:cs="Arial" w:eastAsia="Arial" w:hAnsi="Arial"/>
          <w:sz w:val="20"/>
          <w:szCs w:val="20"/>
          <w:color w:val="auto"/>
        </w:rPr>
        <w:t>The company shall have a Supervisory Board consisting of three or more natural persons.</w:t>
      </w:r>
    </w:p>
    <w:p>
      <w:pPr>
        <w:spacing w:after="0" w:line="235"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18"/>
          <w:szCs w:val="18"/>
          <w:color w:val="auto"/>
        </w:rPr>
        <w:t>If there are less than three Supervisory Board members, the Board shall proceed without delay to supplement the number of its members.</w:t>
      </w:r>
    </w:p>
    <w:p>
      <w:pPr>
        <w:spacing w:after="0" w:line="292"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91"/>
        </w:numPr>
        <w:rPr>
          <w:rFonts w:ascii="Arial" w:cs="Arial" w:eastAsia="Arial" w:hAnsi="Arial"/>
          <w:sz w:val="22"/>
          <w:szCs w:val="22"/>
          <w:color w:val="auto"/>
        </w:rPr>
      </w:pPr>
      <w:r>
        <w:rPr>
          <w:rFonts w:ascii="Arial" w:cs="Arial" w:eastAsia="Arial" w:hAnsi="Arial"/>
          <w:sz w:val="20"/>
          <w:szCs w:val="20"/>
          <w:color w:val="auto"/>
        </w:rPr>
        <w:t>With due observance of the provisions in paragraph 1, the number of members of the Supervisory Board shall be determined by the Supervisory Board.</w:t>
      </w:r>
    </w:p>
    <w:p>
      <w:pPr>
        <w:spacing w:after="0" w:line="194" w:lineRule="exact"/>
        <w:rPr>
          <w:rFonts w:ascii="Arial" w:cs="Arial" w:eastAsia="Arial" w:hAnsi="Arial"/>
          <w:sz w:val="22"/>
          <w:szCs w:val="22"/>
          <w:color w:val="auto"/>
        </w:rPr>
      </w:pPr>
    </w:p>
    <w:p>
      <w:pPr>
        <w:ind w:left="380" w:right="20"/>
        <w:spacing w:after="0" w:line="289" w:lineRule="auto"/>
        <w:rPr>
          <w:rFonts w:ascii="Arial" w:cs="Arial" w:eastAsia="Arial" w:hAnsi="Arial"/>
          <w:sz w:val="22"/>
          <w:szCs w:val="22"/>
          <w:color w:val="auto"/>
        </w:rPr>
      </w:pPr>
      <w:r>
        <w:rPr>
          <w:rFonts w:ascii="Arial" w:cs="Arial" w:eastAsia="Arial" w:hAnsi="Arial"/>
          <w:sz w:val="20"/>
          <w:szCs w:val="20"/>
          <w:color w:val="auto"/>
        </w:rPr>
        <w:t>The Supervisory Board shall prepare a profile of its size and composition, taking account of the nature of the business, its activities and the desired expertise and background of the members of the Supervisory Board.</w:t>
      </w:r>
    </w:p>
    <w:p>
      <w:pPr>
        <w:spacing w:after="0" w:line="199" w:lineRule="exact"/>
        <w:rPr>
          <w:rFonts w:ascii="Arial" w:cs="Arial" w:eastAsia="Arial" w:hAnsi="Arial"/>
          <w:sz w:val="22"/>
          <w:szCs w:val="22"/>
          <w:color w:val="auto"/>
        </w:rPr>
      </w:pPr>
    </w:p>
    <w:p>
      <w:pPr>
        <w:ind w:left="380" w:hanging="372"/>
        <w:spacing w:after="0"/>
        <w:tabs>
          <w:tab w:leader="none" w:pos="380" w:val="left"/>
        </w:tabs>
        <w:numPr>
          <w:ilvl w:val="0"/>
          <w:numId w:val="91"/>
        </w:numPr>
        <w:rPr>
          <w:rFonts w:ascii="Arial" w:cs="Arial" w:eastAsia="Arial" w:hAnsi="Arial"/>
          <w:sz w:val="22"/>
          <w:szCs w:val="22"/>
          <w:color w:val="auto"/>
        </w:rPr>
      </w:pPr>
      <w:r>
        <w:rPr>
          <w:rFonts w:ascii="Arial" w:cs="Arial" w:eastAsia="Arial" w:hAnsi="Arial"/>
          <w:sz w:val="20"/>
          <w:szCs w:val="20"/>
          <w:color w:val="auto"/>
        </w:rPr>
        <w:t>Each member of the Supervisory Board shall be appointed by the general meeting, for a maximum of four years.</w:t>
      </w:r>
    </w:p>
    <w:p>
      <w:pPr>
        <w:spacing w:after="0" w:line="235"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Except if such member of the Supervisory Board has resigned at an earlier date, his term of office shall lapse on the day, of the first annual meeting, to be held when four years after his last appointment have lapsed.</w:t>
      </w:r>
    </w:p>
    <w:p>
      <w:pPr>
        <w:spacing w:after="0" w:line="188"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The members of the Supervisory Board shall retire periodically in accordance with a rotation schedule.</w:t>
      </w:r>
    </w:p>
    <w:p>
      <w:pPr>
        <w:spacing w:after="0" w:line="269"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91"/>
        </w:numPr>
        <w:rPr>
          <w:rFonts w:ascii="Arial" w:cs="Arial" w:eastAsia="Arial" w:hAnsi="Arial"/>
          <w:sz w:val="22"/>
          <w:szCs w:val="22"/>
          <w:color w:val="auto"/>
        </w:rPr>
      </w:pPr>
      <w:r>
        <w:rPr>
          <w:rFonts w:ascii="Arial" w:cs="Arial" w:eastAsia="Arial" w:hAnsi="Arial"/>
          <w:sz w:val="20"/>
          <w:szCs w:val="20"/>
          <w:color w:val="auto"/>
        </w:rPr>
        <w:t>The provisions of paragraphs 4, 5, 6, 7 and 8 of article 13 will apply similarly to the appointment, suspension and dismissal of members of the Supervisory Board.</w:t>
      </w:r>
    </w:p>
    <w:p>
      <w:pPr>
        <w:spacing w:after="0" w:line="208"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91"/>
        </w:numPr>
        <w:rPr>
          <w:rFonts w:ascii="Arial" w:cs="Arial" w:eastAsia="Arial" w:hAnsi="Arial"/>
          <w:sz w:val="22"/>
          <w:szCs w:val="22"/>
          <w:color w:val="auto"/>
        </w:rPr>
      </w:pPr>
      <w:r>
        <w:rPr>
          <w:rFonts w:ascii="Arial" w:cs="Arial" w:eastAsia="Arial" w:hAnsi="Arial"/>
          <w:sz w:val="20"/>
          <w:szCs w:val="20"/>
          <w:color w:val="auto"/>
        </w:rPr>
        <w:t>A suspension of members of the Supervisory Board may last no longer than three months in total, even after having been extended one or more times.</w:t>
      </w:r>
    </w:p>
    <w:p>
      <w:pPr>
        <w:spacing w:after="0" w:line="208"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91"/>
        </w:numPr>
        <w:rPr>
          <w:rFonts w:ascii="Arial" w:cs="Arial" w:eastAsia="Arial" w:hAnsi="Arial"/>
          <w:sz w:val="22"/>
          <w:szCs w:val="22"/>
          <w:color w:val="auto"/>
        </w:rPr>
      </w:pPr>
      <w:r>
        <w:rPr>
          <w:rFonts w:ascii="Arial" w:cs="Arial" w:eastAsia="Arial" w:hAnsi="Arial"/>
          <w:sz w:val="20"/>
          <w:szCs w:val="20"/>
          <w:color w:val="auto"/>
        </w:rPr>
        <w:t>The duties of the Supervisory Board shall be the supervision of the conduct of management by the company's Management Board and of the general course of affairs of the company and of any affiliated enterprise.</w:t>
      </w:r>
    </w:p>
    <w:p>
      <w:pPr>
        <w:spacing w:after="0" w:line="194"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The Supervisory Board shall assist the Management Board by rendering advice.</w:t>
      </w:r>
    </w:p>
    <w:p>
      <w:pPr>
        <w:spacing w:after="0" w:line="256"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In performing their duties, the members of the Supervisory Board shall be guided by the interests of the company and of any enterprise affiliated therewith.</w:t>
      </w:r>
    </w:p>
    <w:p>
      <w:pPr>
        <w:sectPr>
          <w:pgSz w:w="11900" w:h="16838" w:orient="portrait"/>
          <w:cols w:equalWidth="0" w:num="1">
            <w:col w:w="11420"/>
          </w:cols>
          <w:pgMar w:left="240" w:top="150" w:right="239" w:bottom="0" w:gutter="0" w:footer="0" w:header="0"/>
        </w:sectPr>
      </w:pPr>
    </w:p>
    <w:bookmarkStart w:id="122" w:name="page123"/>
    <w:bookmarkEnd w:id="122"/>
    <w:p>
      <w:pPr>
        <w:spacing w:after="0" w:line="68" w:lineRule="exact"/>
        <w:rPr>
          <w:sz w:val="20"/>
          <w:szCs w:val="20"/>
          <w:color w:val="auto"/>
        </w:rPr>
      </w:pPr>
    </w:p>
    <w:p>
      <w:pPr>
        <w:ind w:left="380" w:hanging="372"/>
        <w:spacing w:after="0" w:line="350" w:lineRule="auto"/>
        <w:tabs>
          <w:tab w:leader="none" w:pos="380" w:val="left"/>
        </w:tabs>
        <w:numPr>
          <w:ilvl w:val="0"/>
          <w:numId w:val="92"/>
        </w:numPr>
        <w:rPr>
          <w:rFonts w:ascii="Arial" w:cs="Arial" w:eastAsia="Arial" w:hAnsi="Arial"/>
          <w:sz w:val="19"/>
          <w:szCs w:val="19"/>
          <w:color w:val="auto"/>
        </w:rPr>
      </w:pPr>
      <w:r>
        <w:rPr>
          <w:rFonts w:ascii="Arial" w:cs="Arial" w:eastAsia="Arial" w:hAnsi="Arial"/>
          <w:sz w:val="18"/>
          <w:szCs w:val="18"/>
          <w:color w:val="auto"/>
        </w:rPr>
        <w:t>The division of duties within the Supervisory Board and its decision making process and working methods shall be laid down in a set of regulations, including among other things, a paragraph dealing with its relations with the Management Board and the general meeting.</w:t>
      </w:r>
    </w:p>
    <w:p>
      <w:pPr>
        <w:spacing w:after="0" w:line="149" w:lineRule="exact"/>
        <w:rPr>
          <w:rFonts w:ascii="Arial" w:cs="Arial" w:eastAsia="Arial" w:hAnsi="Arial"/>
          <w:sz w:val="19"/>
          <w:szCs w:val="19"/>
          <w:color w:val="auto"/>
        </w:rPr>
      </w:pPr>
    </w:p>
    <w:p>
      <w:pPr>
        <w:ind w:left="380" w:hanging="372"/>
        <w:spacing w:after="0"/>
        <w:tabs>
          <w:tab w:leader="none" w:pos="380" w:val="left"/>
        </w:tabs>
        <w:numPr>
          <w:ilvl w:val="0"/>
          <w:numId w:val="92"/>
        </w:numPr>
        <w:rPr>
          <w:rFonts w:ascii="Arial" w:cs="Arial" w:eastAsia="Arial" w:hAnsi="Arial"/>
          <w:sz w:val="21"/>
          <w:szCs w:val="21"/>
          <w:color w:val="auto"/>
        </w:rPr>
      </w:pPr>
      <w:r>
        <w:rPr>
          <w:rFonts w:ascii="Arial" w:cs="Arial" w:eastAsia="Arial" w:hAnsi="Arial"/>
          <w:sz w:val="19"/>
          <w:szCs w:val="19"/>
          <w:color w:val="auto"/>
        </w:rPr>
        <w:t>Each financial year the Supervisory Board shall make a report, which report shall be included in the annual report of the company.</w:t>
      </w:r>
    </w:p>
    <w:p>
      <w:pPr>
        <w:spacing w:after="0" w:line="258" w:lineRule="exact"/>
        <w:rPr>
          <w:rFonts w:ascii="Arial" w:cs="Arial" w:eastAsia="Arial" w:hAnsi="Arial"/>
          <w:sz w:val="21"/>
          <w:szCs w:val="21"/>
          <w:color w:val="auto"/>
        </w:rPr>
      </w:pPr>
    </w:p>
    <w:p>
      <w:pPr>
        <w:ind w:left="380" w:hanging="372"/>
        <w:spacing w:after="0" w:line="279" w:lineRule="auto"/>
        <w:tabs>
          <w:tab w:leader="none" w:pos="380" w:val="left"/>
        </w:tabs>
        <w:numPr>
          <w:ilvl w:val="0"/>
          <w:numId w:val="92"/>
        </w:numPr>
        <w:rPr>
          <w:rFonts w:ascii="Arial" w:cs="Arial" w:eastAsia="Arial" w:hAnsi="Arial"/>
          <w:sz w:val="22"/>
          <w:szCs w:val="22"/>
          <w:color w:val="auto"/>
        </w:rPr>
      </w:pPr>
      <w:r>
        <w:rPr>
          <w:rFonts w:ascii="Arial" w:cs="Arial" w:eastAsia="Arial" w:hAnsi="Arial"/>
          <w:sz w:val="20"/>
          <w:szCs w:val="20"/>
          <w:color w:val="auto"/>
        </w:rPr>
        <w:t>The Management Board shall provide the Supervisory Board with the information necessary for the performance of its duties, in a timely manner.</w:t>
      </w:r>
    </w:p>
    <w:p>
      <w:pPr>
        <w:spacing w:after="0" w:line="208" w:lineRule="exact"/>
        <w:rPr>
          <w:rFonts w:ascii="Arial" w:cs="Arial" w:eastAsia="Arial" w:hAnsi="Arial"/>
          <w:sz w:val="22"/>
          <w:szCs w:val="22"/>
          <w:color w:val="auto"/>
        </w:rPr>
      </w:pPr>
    </w:p>
    <w:p>
      <w:pPr>
        <w:ind w:left="380" w:right="20" w:hanging="372"/>
        <w:spacing w:after="0" w:line="279" w:lineRule="auto"/>
        <w:tabs>
          <w:tab w:leader="none" w:pos="380" w:val="left"/>
        </w:tabs>
        <w:numPr>
          <w:ilvl w:val="0"/>
          <w:numId w:val="92"/>
        </w:numPr>
        <w:rPr>
          <w:rFonts w:ascii="Arial" w:cs="Arial" w:eastAsia="Arial" w:hAnsi="Arial"/>
          <w:sz w:val="22"/>
          <w:szCs w:val="22"/>
          <w:color w:val="auto"/>
        </w:rPr>
      </w:pPr>
      <w:r>
        <w:rPr>
          <w:rFonts w:ascii="Arial" w:cs="Arial" w:eastAsia="Arial" w:hAnsi="Arial"/>
          <w:sz w:val="20"/>
          <w:szCs w:val="20"/>
          <w:color w:val="auto"/>
        </w:rPr>
        <w:t>The Management Board shall inform the Supervisory Board at least once each year in writing of the strategy generally, the general and financial risks and the management and control systems of the company.</w:t>
      </w:r>
    </w:p>
    <w:p>
      <w:pPr>
        <w:spacing w:after="0" w:line="205" w:lineRule="exact"/>
        <w:rPr>
          <w:rFonts w:ascii="Arial" w:cs="Arial" w:eastAsia="Arial" w:hAnsi="Arial"/>
          <w:sz w:val="22"/>
          <w:szCs w:val="22"/>
          <w:color w:val="auto"/>
        </w:rPr>
      </w:pPr>
    </w:p>
    <w:p>
      <w:pPr>
        <w:ind w:left="380" w:hanging="372"/>
        <w:spacing w:after="0"/>
        <w:tabs>
          <w:tab w:leader="none" w:pos="380" w:val="left"/>
        </w:tabs>
        <w:numPr>
          <w:ilvl w:val="0"/>
          <w:numId w:val="92"/>
        </w:numPr>
        <w:rPr>
          <w:rFonts w:ascii="Arial" w:cs="Arial" w:eastAsia="Arial" w:hAnsi="Arial"/>
          <w:sz w:val="22"/>
          <w:szCs w:val="22"/>
          <w:color w:val="auto"/>
        </w:rPr>
      </w:pPr>
      <w:r>
        <w:rPr>
          <w:rFonts w:ascii="Arial" w:cs="Arial" w:eastAsia="Arial" w:hAnsi="Arial"/>
          <w:sz w:val="20"/>
          <w:szCs w:val="20"/>
          <w:color w:val="auto"/>
        </w:rPr>
        <w:t>The general meeting shall determine the remuneration of each member of the Supervisory Board.</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18.</w:t>
      </w:r>
    </w:p>
    <w:p>
      <w:pPr>
        <w:spacing w:after="0" w:line="284" w:lineRule="exact"/>
        <w:rPr>
          <w:sz w:val="20"/>
          <w:szCs w:val="20"/>
          <w:color w:val="auto"/>
        </w:rPr>
      </w:pPr>
    </w:p>
    <w:p>
      <w:pPr>
        <w:ind w:left="380" w:right="5120" w:hanging="372"/>
        <w:spacing w:after="0" w:line="579" w:lineRule="auto"/>
        <w:tabs>
          <w:tab w:leader="none" w:pos="380" w:val="left"/>
        </w:tabs>
        <w:numPr>
          <w:ilvl w:val="0"/>
          <w:numId w:val="93"/>
        </w:numPr>
        <w:rPr>
          <w:rFonts w:ascii="Arial" w:cs="Arial" w:eastAsia="Arial" w:hAnsi="Arial"/>
          <w:sz w:val="18"/>
          <w:szCs w:val="18"/>
          <w:color w:val="auto"/>
        </w:rPr>
      </w:pPr>
      <w:r>
        <w:rPr>
          <w:rFonts w:ascii="Arial" w:cs="Arial" w:eastAsia="Arial" w:hAnsi="Arial"/>
          <w:sz w:val="17"/>
          <w:szCs w:val="17"/>
          <w:color w:val="auto"/>
        </w:rPr>
        <w:t>The Supervisory Board shall appoint a chairman from among its members. The Supervisory Board may be assisted by the company secretary.</w:t>
      </w:r>
    </w:p>
    <w:p>
      <w:pPr>
        <w:spacing w:after="0" w:line="1" w:lineRule="exact"/>
        <w:rPr>
          <w:rFonts w:ascii="Arial" w:cs="Arial" w:eastAsia="Arial" w:hAnsi="Arial"/>
          <w:sz w:val="18"/>
          <w:szCs w:val="18"/>
          <w:color w:val="auto"/>
        </w:rPr>
      </w:pPr>
    </w:p>
    <w:p>
      <w:pPr>
        <w:ind w:left="380"/>
        <w:spacing w:after="0" w:line="289" w:lineRule="auto"/>
        <w:rPr>
          <w:rFonts w:ascii="Arial" w:cs="Arial" w:eastAsia="Arial" w:hAnsi="Arial"/>
          <w:sz w:val="18"/>
          <w:szCs w:val="18"/>
          <w:color w:val="auto"/>
        </w:rPr>
      </w:pPr>
      <w:r>
        <w:rPr>
          <w:rFonts w:ascii="Arial" w:cs="Arial" w:eastAsia="Arial" w:hAnsi="Arial"/>
          <w:sz w:val="20"/>
          <w:szCs w:val="20"/>
          <w:color w:val="auto"/>
        </w:rPr>
        <w:t>The company secretary shall, either on the recommendation of the Supervisory Board or otherwise, be appointed and dismissed by the Management Board, after the approval of the Supervisory Board has been obtained.</w:t>
      </w:r>
    </w:p>
    <w:p>
      <w:pPr>
        <w:spacing w:after="0" w:line="199" w:lineRule="exact"/>
        <w:rPr>
          <w:rFonts w:ascii="Arial" w:cs="Arial" w:eastAsia="Arial" w:hAnsi="Arial"/>
          <w:sz w:val="18"/>
          <w:szCs w:val="18"/>
          <w:color w:val="auto"/>
        </w:rPr>
      </w:pPr>
    </w:p>
    <w:p>
      <w:pPr>
        <w:ind w:left="380" w:hanging="372"/>
        <w:spacing w:after="0"/>
        <w:tabs>
          <w:tab w:leader="none" w:pos="380" w:val="left"/>
        </w:tabs>
        <w:numPr>
          <w:ilvl w:val="0"/>
          <w:numId w:val="93"/>
        </w:numPr>
        <w:rPr>
          <w:rFonts w:ascii="Arial" w:cs="Arial" w:eastAsia="Arial" w:hAnsi="Arial"/>
          <w:sz w:val="22"/>
          <w:szCs w:val="22"/>
          <w:color w:val="auto"/>
        </w:rPr>
      </w:pPr>
      <w:r>
        <w:rPr>
          <w:rFonts w:ascii="Arial" w:cs="Arial" w:eastAsia="Arial" w:hAnsi="Arial"/>
          <w:sz w:val="20"/>
          <w:szCs w:val="20"/>
          <w:color w:val="auto"/>
        </w:rPr>
        <w:t>In the absence of the chairman in a meeting, the meeting shall appoint a chairman from among those present.</w:t>
      </w:r>
    </w:p>
    <w:p>
      <w:pPr>
        <w:spacing w:after="0" w:line="249"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93"/>
        </w:numPr>
        <w:rPr>
          <w:rFonts w:ascii="Arial" w:cs="Arial" w:eastAsia="Arial" w:hAnsi="Arial"/>
          <w:sz w:val="22"/>
          <w:szCs w:val="22"/>
          <w:color w:val="auto"/>
        </w:rPr>
      </w:pPr>
      <w:r>
        <w:rPr>
          <w:rFonts w:ascii="Arial" w:cs="Arial" w:eastAsia="Arial" w:hAnsi="Arial"/>
          <w:sz w:val="20"/>
          <w:szCs w:val="20"/>
          <w:color w:val="auto"/>
        </w:rPr>
        <w:t>The Supervisory Board shall appoint from among its members an audit committee, a remuneration committee and a nomination and corporate governance committee.</w:t>
      </w:r>
    </w:p>
    <w:p>
      <w:pPr>
        <w:spacing w:after="0" w:line="208"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93"/>
        </w:numPr>
        <w:rPr>
          <w:rFonts w:ascii="Arial" w:cs="Arial" w:eastAsia="Arial" w:hAnsi="Arial"/>
          <w:sz w:val="22"/>
          <w:szCs w:val="22"/>
          <w:color w:val="auto"/>
        </w:rPr>
      </w:pPr>
      <w:r>
        <w:rPr>
          <w:rFonts w:ascii="Arial" w:cs="Arial" w:eastAsia="Arial" w:hAnsi="Arial"/>
          <w:sz w:val="20"/>
          <w:szCs w:val="20"/>
          <w:color w:val="auto"/>
        </w:rPr>
        <w:t>The Supervisory Board shall hold meetings as often as one or more of its members shall desire, as often as the Management Board shall request, or as often as necessary in pursuance of the provisions of these articles of association.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Indemnification of members of the Management Board and members of the Supervisory Board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19.</w:t>
      </w:r>
    </w:p>
    <w:p>
      <w:pPr>
        <w:spacing w:after="0" w:line="280" w:lineRule="exact"/>
        <w:rPr>
          <w:sz w:val="20"/>
          <w:szCs w:val="20"/>
          <w:color w:val="auto"/>
        </w:rPr>
      </w:pPr>
    </w:p>
    <w:p>
      <w:pPr>
        <w:jc w:val="both"/>
        <w:ind w:left="380" w:hanging="372"/>
        <w:spacing w:after="0" w:line="318" w:lineRule="auto"/>
        <w:tabs>
          <w:tab w:leader="none" w:pos="380" w:val="left"/>
        </w:tabs>
        <w:numPr>
          <w:ilvl w:val="0"/>
          <w:numId w:val="94"/>
        </w:numPr>
        <w:rPr>
          <w:rFonts w:ascii="Arial" w:cs="Arial" w:eastAsia="Arial" w:hAnsi="Arial"/>
          <w:sz w:val="19"/>
          <w:szCs w:val="19"/>
          <w:color w:val="auto"/>
        </w:rPr>
      </w:pPr>
      <w:r>
        <w:rPr>
          <w:rFonts w:ascii="Arial" w:cs="Arial" w:eastAsia="Arial" w:hAnsi="Arial"/>
          <w:sz w:val="18"/>
          <w:szCs w:val="18"/>
          <w:color w:val="auto"/>
        </w:rPr>
        <w:t>The company shall indemnify any person who is a member of the Management Board or the Supervisory Board (each of them an '</w:t>
      </w:r>
      <w:r>
        <w:rPr>
          <w:rFonts w:ascii="Arial" w:cs="Arial" w:eastAsia="Arial" w:hAnsi="Arial"/>
          <w:sz w:val="18"/>
          <w:szCs w:val="18"/>
          <w:b w:val="1"/>
          <w:bCs w:val="1"/>
          <w:color w:val="auto"/>
        </w:rPr>
        <w:t>indemnified person</w:t>
      </w:r>
      <w:r>
        <w:rPr>
          <w:rFonts w:ascii="Arial" w:cs="Arial" w:eastAsia="Arial" w:hAnsi="Arial"/>
          <w:sz w:val="18"/>
          <w:szCs w:val="18"/>
          <w:color w:val="auto"/>
        </w:rPr>
        <w:t>') and who was or is in his capacity as member of the Management Board or the Supervisory Board a party or is threatened to be made a party to any threatened, pending or completed action, suit or proceeding, whether civil, criminal or administrative or any action, suit or proceeding in order to obtain information (other than an action, suit or proceeding instituted by or on behalf of the company), against any and all liabilities including all expenses (including attorneys' fees), judgments, fines, amounts paid in settlement and other financial losses, actually and reasonably incurred by him in connection with such action, suit or proceeding if he acted in good faith and in a manner he reasonably believed to be in or not opposed to the best interests of the company.</w:t>
      </w:r>
    </w:p>
    <w:p>
      <w:pPr>
        <w:spacing w:after="0" w:line="171" w:lineRule="exact"/>
        <w:rPr>
          <w:rFonts w:ascii="Arial" w:cs="Arial" w:eastAsia="Arial" w:hAnsi="Arial"/>
          <w:sz w:val="19"/>
          <w:szCs w:val="19"/>
          <w:color w:val="auto"/>
        </w:rPr>
      </w:pPr>
    </w:p>
    <w:p>
      <w:pPr>
        <w:jc w:val="both"/>
        <w:ind w:left="380"/>
        <w:spacing w:after="0" w:line="293" w:lineRule="auto"/>
        <w:rPr>
          <w:rFonts w:ascii="Arial" w:cs="Arial" w:eastAsia="Arial" w:hAnsi="Arial"/>
          <w:sz w:val="19"/>
          <w:szCs w:val="19"/>
          <w:color w:val="auto"/>
        </w:rPr>
      </w:pPr>
      <w:r>
        <w:rPr>
          <w:rFonts w:ascii="Arial" w:cs="Arial" w:eastAsia="Arial" w:hAnsi="Arial"/>
          <w:sz w:val="19"/>
          <w:szCs w:val="19"/>
          <w:color w:val="auto"/>
        </w:rPr>
        <w:t>The termination of any action, suit or proceeding by a judgment, order, settlement, conviction, or the failure to put up a defense or its equivalent, shall not, in and of itself, create a presumption that the person did not act in good faith and not in a manner which he reasonably could believe to be in or not opposed to the best interests of the company. The indemnified person is obliged to inform the company as soon as practically possible about any claim or any circumstance that could lead to a claim.</w:t>
      </w:r>
    </w:p>
    <w:p>
      <w:pPr>
        <w:spacing w:after="0" w:line="199" w:lineRule="exact"/>
        <w:rPr>
          <w:rFonts w:ascii="Arial" w:cs="Arial" w:eastAsia="Arial" w:hAnsi="Arial"/>
          <w:sz w:val="19"/>
          <w:szCs w:val="19"/>
          <w:color w:val="auto"/>
        </w:rPr>
      </w:pPr>
    </w:p>
    <w:p>
      <w:pPr>
        <w:ind w:left="380" w:hanging="372"/>
        <w:spacing w:after="0"/>
        <w:tabs>
          <w:tab w:leader="none" w:pos="380" w:val="left"/>
        </w:tabs>
        <w:numPr>
          <w:ilvl w:val="0"/>
          <w:numId w:val="94"/>
        </w:numPr>
        <w:rPr>
          <w:rFonts w:ascii="Arial" w:cs="Arial" w:eastAsia="Arial" w:hAnsi="Arial"/>
          <w:sz w:val="22"/>
          <w:szCs w:val="22"/>
          <w:color w:val="auto"/>
        </w:rPr>
      </w:pPr>
      <w:r>
        <w:rPr>
          <w:rFonts w:ascii="Arial" w:cs="Arial" w:eastAsia="Arial" w:hAnsi="Arial"/>
          <w:sz w:val="20"/>
          <w:szCs w:val="20"/>
          <w:color w:val="auto"/>
        </w:rPr>
        <w:t>No indemnification pursuant to paragraph 1 of this article shall be made in respect of any claim, issue or matter:</w:t>
      </w:r>
    </w:p>
    <w:p>
      <w:pPr>
        <w:spacing w:after="0" w:line="249" w:lineRule="exact"/>
        <w:rPr>
          <w:rFonts w:ascii="Arial" w:cs="Arial" w:eastAsia="Arial" w:hAnsi="Arial"/>
          <w:sz w:val="22"/>
          <w:szCs w:val="22"/>
          <w:color w:val="auto"/>
        </w:rPr>
      </w:pPr>
    </w:p>
    <w:p>
      <w:pPr>
        <w:jc w:val="both"/>
        <w:ind w:left="780" w:hanging="380"/>
        <w:spacing w:after="0" w:line="280" w:lineRule="auto"/>
        <w:tabs>
          <w:tab w:leader="none" w:pos="762" w:val="left"/>
        </w:tabs>
        <w:numPr>
          <w:ilvl w:val="1"/>
          <w:numId w:val="94"/>
        </w:numPr>
        <w:rPr>
          <w:rFonts w:ascii="Arial" w:cs="Arial" w:eastAsia="Arial" w:hAnsi="Arial"/>
          <w:sz w:val="22"/>
          <w:szCs w:val="22"/>
          <w:color w:val="auto"/>
        </w:rPr>
      </w:pPr>
      <w:r>
        <w:rPr>
          <w:rFonts w:ascii="Arial" w:cs="Arial" w:eastAsia="Arial" w:hAnsi="Arial"/>
          <w:sz w:val="20"/>
          <w:szCs w:val="20"/>
          <w:color w:val="auto"/>
        </w:rPr>
        <w:t>as to which such person shall have been adjudged in a final and non-appealable judgment by a Dutch judge to be liable for gross negligence or willful misconduct in the performance of his duty to the company, unless and only to the extent that the judge before whom such action or proceeding was brought or any other Dutch judge having appropriate jurisdiction shall determine upon application that, despite the adjudication of liability but in view of all of the circumstances of the case, such person is fairly and reasonably entitled to a compensation which the judge before whom such action or proceeding was brought or such other judge having appropriate jurisdiction shall deem proper; or</w:t>
      </w:r>
    </w:p>
    <w:p>
      <w:pPr>
        <w:spacing w:after="0" w:line="213" w:lineRule="exact"/>
        <w:rPr>
          <w:rFonts w:ascii="Arial" w:cs="Arial" w:eastAsia="Arial" w:hAnsi="Arial"/>
          <w:sz w:val="22"/>
          <w:szCs w:val="22"/>
          <w:color w:val="auto"/>
        </w:rPr>
      </w:pPr>
    </w:p>
    <w:p>
      <w:pPr>
        <w:ind w:left="760" w:hanging="360"/>
        <w:spacing w:after="0"/>
        <w:tabs>
          <w:tab w:leader="none" w:pos="760" w:val="left"/>
        </w:tabs>
        <w:numPr>
          <w:ilvl w:val="1"/>
          <w:numId w:val="94"/>
        </w:numPr>
        <w:rPr>
          <w:rFonts w:ascii="Arial" w:cs="Arial" w:eastAsia="Arial" w:hAnsi="Arial"/>
          <w:sz w:val="18"/>
          <w:szCs w:val="18"/>
          <w:color w:val="auto"/>
        </w:rPr>
      </w:pPr>
      <w:r>
        <w:rPr>
          <w:rFonts w:ascii="Arial" w:cs="Arial" w:eastAsia="Arial" w:hAnsi="Arial"/>
          <w:sz w:val="17"/>
          <w:szCs w:val="17"/>
          <w:color w:val="auto"/>
        </w:rPr>
        <w:t>insofar costs and losses have been insured under any insurance and the insurance company has reimbursed to him the costs and losses.</w:t>
      </w:r>
    </w:p>
    <w:p>
      <w:pPr>
        <w:spacing w:after="0" w:line="292" w:lineRule="exact"/>
        <w:rPr>
          <w:rFonts w:ascii="Arial" w:cs="Arial" w:eastAsia="Arial" w:hAnsi="Arial"/>
          <w:sz w:val="18"/>
          <w:szCs w:val="18"/>
          <w:color w:val="auto"/>
        </w:rPr>
      </w:pPr>
    </w:p>
    <w:p>
      <w:pPr>
        <w:jc w:val="both"/>
        <w:ind w:left="380" w:hanging="372"/>
        <w:spacing w:after="0" w:line="279" w:lineRule="auto"/>
        <w:tabs>
          <w:tab w:leader="none" w:pos="380" w:val="left"/>
        </w:tabs>
        <w:numPr>
          <w:ilvl w:val="0"/>
          <w:numId w:val="94"/>
        </w:numPr>
        <w:rPr>
          <w:rFonts w:ascii="Arial" w:cs="Arial" w:eastAsia="Arial" w:hAnsi="Arial"/>
          <w:sz w:val="22"/>
          <w:szCs w:val="22"/>
          <w:color w:val="auto"/>
        </w:rPr>
      </w:pPr>
      <w:r>
        <w:rPr>
          <w:rFonts w:ascii="Arial" w:cs="Arial" w:eastAsia="Arial" w:hAnsi="Arial"/>
          <w:sz w:val="20"/>
          <w:szCs w:val="20"/>
          <w:color w:val="auto"/>
        </w:rPr>
        <w:t>Expenses (including attorneys' fees) incurred by an indemnified person in defending a civil or criminal action, suit or proceeding shall be paid by the company in advance of the final disposition of such action, suit or proceeding upon receipt of an undertaking by or on behalf of an indemnified person to repay such amount if it shall ultimately be determined that he is not entitled to be indemnified by the company as authorized in this article.</w:t>
      </w:r>
    </w:p>
    <w:p>
      <w:pPr>
        <w:spacing w:after="0" w:line="213" w:lineRule="exact"/>
        <w:rPr>
          <w:rFonts w:ascii="Arial" w:cs="Arial" w:eastAsia="Arial" w:hAnsi="Arial"/>
          <w:sz w:val="22"/>
          <w:szCs w:val="22"/>
          <w:color w:val="auto"/>
        </w:rPr>
      </w:pPr>
    </w:p>
    <w:p>
      <w:pPr>
        <w:jc w:val="both"/>
        <w:ind w:left="380" w:hanging="372"/>
        <w:spacing w:after="0" w:line="350" w:lineRule="auto"/>
        <w:tabs>
          <w:tab w:leader="none" w:pos="380" w:val="left"/>
        </w:tabs>
        <w:numPr>
          <w:ilvl w:val="0"/>
          <w:numId w:val="94"/>
        </w:numPr>
        <w:rPr>
          <w:rFonts w:ascii="Arial" w:cs="Arial" w:eastAsia="Arial" w:hAnsi="Arial"/>
          <w:sz w:val="19"/>
          <w:szCs w:val="19"/>
          <w:color w:val="auto"/>
        </w:rPr>
      </w:pPr>
      <w:r>
        <w:rPr>
          <w:rFonts w:ascii="Arial" w:cs="Arial" w:eastAsia="Arial" w:hAnsi="Arial"/>
          <w:sz w:val="18"/>
          <w:szCs w:val="18"/>
          <w:color w:val="auto"/>
        </w:rPr>
        <w:t>The indemnification provided for by this article shall not be deemed exclusive of any other right to which a person seeking indemnification or advancement of expenses may be entitled under the laws of the Netherlands as from time to time amended or under any by-laws,</w:t>
      </w:r>
    </w:p>
    <w:p>
      <w:pPr>
        <w:sectPr>
          <w:pgSz w:w="11900" w:h="16907" w:orient="portrait"/>
          <w:cols w:equalWidth="0" w:num="1">
            <w:col w:w="11420"/>
          </w:cols>
          <w:pgMar w:left="240" w:top="190" w:right="239" w:bottom="0" w:gutter="0" w:footer="0" w:header="0"/>
        </w:sectPr>
      </w:pPr>
    </w:p>
    <w:bookmarkStart w:id="123" w:name="page124"/>
    <w:bookmarkEnd w:id="123"/>
    <w:p>
      <w:pPr>
        <w:jc w:val="both"/>
        <w:ind w:left="380"/>
        <w:spacing w:after="0" w:line="305" w:lineRule="auto"/>
        <w:rPr>
          <w:sz w:val="20"/>
          <w:szCs w:val="20"/>
          <w:color w:val="auto"/>
        </w:rPr>
      </w:pPr>
      <w:r>
        <w:rPr>
          <w:rFonts w:ascii="Arial" w:cs="Arial" w:eastAsia="Arial" w:hAnsi="Arial"/>
          <w:sz w:val="19"/>
          <w:szCs w:val="19"/>
          <w:color w:val="auto"/>
        </w:rPr>
        <w:t>agreement, resolution of the general meeting or of the members of the Management Board or Supervisory Board who are not an interested party in this matter or otherwise, both as to actions in his official capacity and as to actions in another capacity while holding such position, and shall continue as to a person who has ceased to be a member of the Management Board or the Supervisory Board, but was a member of the Management Board or Supervisory Board at any time after the execution of this deed of amendment and shall also inure to the benefit of the heirs, executors and administrators of the estate of such person.</w:t>
      </w:r>
    </w:p>
    <w:p>
      <w:pPr>
        <w:spacing w:after="0" w:line="192" w:lineRule="exact"/>
        <w:rPr>
          <w:sz w:val="20"/>
          <w:szCs w:val="20"/>
          <w:color w:val="auto"/>
        </w:rPr>
      </w:pPr>
    </w:p>
    <w:p>
      <w:pPr>
        <w:ind w:left="380" w:hanging="372"/>
        <w:spacing w:after="0" w:line="279" w:lineRule="auto"/>
        <w:tabs>
          <w:tab w:leader="none" w:pos="380" w:val="left"/>
        </w:tabs>
        <w:numPr>
          <w:ilvl w:val="0"/>
          <w:numId w:val="95"/>
        </w:numPr>
        <w:rPr>
          <w:rFonts w:ascii="Arial" w:cs="Arial" w:eastAsia="Arial" w:hAnsi="Arial"/>
          <w:sz w:val="22"/>
          <w:szCs w:val="22"/>
          <w:color w:val="auto"/>
        </w:rPr>
      </w:pPr>
      <w:r>
        <w:rPr>
          <w:rFonts w:ascii="Arial" w:cs="Arial" w:eastAsia="Arial" w:hAnsi="Arial"/>
          <w:sz w:val="20"/>
          <w:szCs w:val="20"/>
          <w:color w:val="auto"/>
        </w:rPr>
        <w:t>The company may purchase and maintain insurance on behalf of any indemnified person, whether or not the company would have the power to indemnify him against such liability under the provisions of this article.</w:t>
      </w:r>
    </w:p>
    <w:p>
      <w:pPr>
        <w:spacing w:after="0" w:line="208"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95"/>
        </w:numPr>
        <w:rPr>
          <w:rFonts w:ascii="Arial" w:cs="Arial" w:eastAsia="Arial" w:hAnsi="Arial"/>
          <w:sz w:val="22"/>
          <w:szCs w:val="22"/>
          <w:color w:val="auto"/>
        </w:rPr>
      </w:pPr>
      <w:r>
        <w:rPr>
          <w:rFonts w:ascii="Arial" w:cs="Arial" w:eastAsia="Arial" w:hAnsi="Arial"/>
          <w:sz w:val="20"/>
          <w:szCs w:val="20"/>
          <w:color w:val="auto"/>
        </w:rPr>
        <w:t>No amendment or repeal of this article shall adversely affect any right to protection of any person entitled to indemnification or advancement of expenses under this article prior to such amendment or repeal.</w:t>
      </w:r>
    </w:p>
    <w:p>
      <w:pPr>
        <w:spacing w:after="0" w:line="195" w:lineRule="exact"/>
        <w:rPr>
          <w:sz w:val="20"/>
          <w:szCs w:val="20"/>
          <w:color w:val="auto"/>
        </w:rPr>
      </w:pPr>
    </w:p>
    <w:p>
      <w:pPr>
        <w:ind w:left="380"/>
        <w:spacing w:after="0" w:line="289" w:lineRule="auto"/>
        <w:rPr>
          <w:sz w:val="20"/>
          <w:szCs w:val="20"/>
          <w:color w:val="auto"/>
        </w:rPr>
      </w:pPr>
      <w:r>
        <w:rPr>
          <w:rFonts w:ascii="Arial" w:cs="Arial" w:eastAsia="Arial" w:hAnsi="Arial"/>
          <w:sz w:val="20"/>
          <w:szCs w:val="20"/>
          <w:color w:val="auto"/>
        </w:rPr>
        <w:t>By the amendment or repeal of this article an amendment can be made in the protection of any persons that have been (re-)appointed as member of the Management Board or Supervisory Board after the amendment or repeal of this article.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year, annual accounts, annual report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20.</w:t>
      </w:r>
    </w:p>
    <w:p>
      <w:pPr>
        <w:spacing w:after="0" w:line="277" w:lineRule="exact"/>
        <w:rPr>
          <w:sz w:val="20"/>
          <w:szCs w:val="20"/>
          <w:color w:val="auto"/>
        </w:rPr>
      </w:pPr>
    </w:p>
    <w:p>
      <w:pPr>
        <w:ind w:left="380" w:hanging="372"/>
        <w:spacing w:after="0"/>
        <w:tabs>
          <w:tab w:leader="none" w:pos="380" w:val="left"/>
        </w:tabs>
        <w:numPr>
          <w:ilvl w:val="0"/>
          <w:numId w:val="96"/>
        </w:numPr>
        <w:rPr>
          <w:rFonts w:ascii="Arial" w:cs="Arial" w:eastAsia="Arial" w:hAnsi="Arial"/>
          <w:sz w:val="22"/>
          <w:szCs w:val="22"/>
          <w:color w:val="auto"/>
        </w:rPr>
      </w:pPr>
      <w:r>
        <w:rPr>
          <w:rFonts w:ascii="Arial" w:cs="Arial" w:eastAsia="Arial" w:hAnsi="Arial"/>
          <w:sz w:val="20"/>
          <w:szCs w:val="20"/>
          <w:color w:val="auto"/>
        </w:rPr>
        <w:t>The company's financial year shall begin on the first day of July and end on the thirtieth day of June of the following year.</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96"/>
        </w:numPr>
        <w:rPr>
          <w:rFonts w:ascii="Arial" w:cs="Arial" w:eastAsia="Arial" w:hAnsi="Arial"/>
          <w:sz w:val="22"/>
          <w:szCs w:val="22"/>
          <w:color w:val="auto"/>
        </w:rPr>
      </w:pPr>
      <w:r>
        <w:rPr>
          <w:rFonts w:ascii="Arial" w:cs="Arial" w:eastAsia="Arial" w:hAnsi="Arial"/>
          <w:sz w:val="20"/>
          <w:szCs w:val="20"/>
          <w:color w:val="auto"/>
        </w:rPr>
        <w:t>The Management Board shall prepare the annual accounts within the period prescribed by law.</w:t>
      </w:r>
    </w:p>
    <w:p>
      <w:pPr>
        <w:spacing w:after="0" w:line="235" w:lineRule="exact"/>
        <w:rPr>
          <w:rFonts w:ascii="Arial" w:cs="Arial" w:eastAsia="Arial" w:hAnsi="Arial"/>
          <w:sz w:val="22"/>
          <w:szCs w:val="22"/>
          <w:color w:val="auto"/>
        </w:rPr>
      </w:pPr>
    </w:p>
    <w:p>
      <w:pPr>
        <w:ind w:left="380" w:right="1340"/>
        <w:spacing w:after="0" w:line="563" w:lineRule="auto"/>
        <w:rPr>
          <w:rFonts w:ascii="Arial" w:cs="Arial" w:eastAsia="Arial" w:hAnsi="Arial"/>
          <w:sz w:val="22"/>
          <w:szCs w:val="22"/>
          <w:color w:val="auto"/>
        </w:rPr>
      </w:pPr>
      <w:r>
        <w:rPr>
          <w:rFonts w:ascii="Arial" w:cs="Arial" w:eastAsia="Arial" w:hAnsi="Arial"/>
          <w:sz w:val="18"/>
          <w:szCs w:val="18"/>
          <w:color w:val="auto"/>
        </w:rPr>
        <w:t>The annual accounts shall be signed by all members of the Management Board and all members of the Supervisory Board. If the signature of one or more of them is lacking, this fact and the reason therefore shall be indicated.</w:t>
      </w:r>
    </w:p>
    <w:p>
      <w:pPr>
        <w:spacing w:after="0" w:line="1"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The Management Board shall also, within the period mentioned above, prepare an annual report.</w:t>
      </w:r>
    </w:p>
    <w:p>
      <w:pPr>
        <w:spacing w:after="0" w:line="269" w:lineRule="exact"/>
        <w:rPr>
          <w:rFonts w:ascii="Arial" w:cs="Arial" w:eastAsia="Arial" w:hAnsi="Arial"/>
          <w:sz w:val="22"/>
          <w:szCs w:val="22"/>
          <w:color w:val="auto"/>
        </w:rPr>
      </w:pPr>
    </w:p>
    <w:p>
      <w:pPr>
        <w:jc w:val="both"/>
        <w:ind w:left="380" w:hanging="372"/>
        <w:spacing w:after="0" w:line="278" w:lineRule="auto"/>
        <w:tabs>
          <w:tab w:leader="none" w:pos="380" w:val="left"/>
        </w:tabs>
        <w:numPr>
          <w:ilvl w:val="0"/>
          <w:numId w:val="96"/>
        </w:numPr>
        <w:rPr>
          <w:rFonts w:ascii="Arial" w:cs="Arial" w:eastAsia="Arial" w:hAnsi="Arial"/>
          <w:sz w:val="22"/>
          <w:szCs w:val="22"/>
          <w:color w:val="auto"/>
        </w:rPr>
      </w:pPr>
      <w:r>
        <w:rPr>
          <w:rFonts w:ascii="Arial" w:cs="Arial" w:eastAsia="Arial" w:hAnsi="Arial"/>
          <w:sz w:val="20"/>
          <w:szCs w:val="20"/>
          <w:color w:val="auto"/>
        </w:rPr>
        <w:t>The general meeting shall instruct a registered accountant or a firm of registered accountants, as defined in article 2:393 paragraph 1 Dutch Civil Code, to audit the annual accounts and the annual report by the Management Board, to report thereon, and to issue an auditor's certificate with respect thereto.</w:t>
      </w:r>
    </w:p>
    <w:p>
      <w:pPr>
        <w:spacing w:after="0" w:line="214"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96"/>
        </w:numPr>
        <w:rPr>
          <w:rFonts w:ascii="Arial" w:cs="Arial" w:eastAsia="Arial" w:hAnsi="Arial"/>
          <w:sz w:val="22"/>
          <w:szCs w:val="22"/>
          <w:color w:val="auto"/>
        </w:rPr>
      </w:pPr>
      <w:r>
        <w:rPr>
          <w:rFonts w:ascii="Arial" w:cs="Arial" w:eastAsia="Arial" w:hAnsi="Arial"/>
          <w:sz w:val="20"/>
          <w:szCs w:val="20"/>
          <w:color w:val="auto"/>
        </w:rPr>
        <w:t>If the general meeting fails to issue such instructions, the Supervisory Board shall be authorized to do so, and if the latter fails to do so, the Management Board.</w:t>
      </w:r>
    </w:p>
    <w:p>
      <w:pPr>
        <w:spacing w:after="0" w:line="208" w:lineRule="exact"/>
        <w:rPr>
          <w:rFonts w:ascii="Arial" w:cs="Arial" w:eastAsia="Arial" w:hAnsi="Arial"/>
          <w:sz w:val="22"/>
          <w:szCs w:val="22"/>
          <w:color w:val="auto"/>
        </w:rPr>
      </w:pPr>
    </w:p>
    <w:p>
      <w:pPr>
        <w:jc w:val="both"/>
        <w:ind w:left="380" w:hanging="372"/>
        <w:spacing w:after="0" w:line="278" w:lineRule="auto"/>
        <w:tabs>
          <w:tab w:leader="none" w:pos="380" w:val="left"/>
        </w:tabs>
        <w:numPr>
          <w:ilvl w:val="0"/>
          <w:numId w:val="96"/>
        </w:numPr>
        <w:rPr>
          <w:rFonts w:ascii="Arial" w:cs="Arial" w:eastAsia="Arial" w:hAnsi="Arial"/>
          <w:sz w:val="22"/>
          <w:szCs w:val="22"/>
          <w:color w:val="auto"/>
        </w:rPr>
      </w:pPr>
      <w:r>
        <w:rPr>
          <w:rFonts w:ascii="Arial" w:cs="Arial" w:eastAsia="Arial" w:hAnsi="Arial"/>
          <w:sz w:val="20"/>
          <w:szCs w:val="20"/>
          <w:color w:val="auto"/>
        </w:rPr>
        <w:t>The company shall ensure that, as of the day on which a general meeting at which they are to be considered, is called, the annual accounts, the annual report and the additional information to be provided pursuant to article 2:392 paragraph 1 Dutch Civil Code are available for examination by those entitled to attend meetings.</w:t>
      </w:r>
    </w:p>
    <w:p>
      <w:pPr>
        <w:spacing w:after="0" w:line="200"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The company shall make copies of the documents referred to in the previous sentence available free of charge to those entitled to attend meetings.</w:t>
      </w:r>
    </w:p>
    <w:p>
      <w:pPr>
        <w:spacing w:after="0" w:line="188"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If these documents are amended, this obligation shall also extend to the amended documents.</w:t>
      </w:r>
    </w:p>
    <w:p>
      <w:pPr>
        <w:spacing w:after="0" w:line="267" w:lineRule="exact"/>
        <w:rPr>
          <w:rFonts w:ascii="Arial" w:cs="Arial" w:eastAsia="Arial" w:hAnsi="Arial"/>
          <w:sz w:val="22"/>
          <w:szCs w:val="22"/>
          <w:color w:val="auto"/>
        </w:rPr>
      </w:pPr>
    </w:p>
    <w:p>
      <w:pPr>
        <w:ind w:left="380" w:hanging="372"/>
        <w:spacing w:after="0"/>
        <w:tabs>
          <w:tab w:leader="none" w:pos="380" w:val="left"/>
        </w:tabs>
        <w:numPr>
          <w:ilvl w:val="0"/>
          <w:numId w:val="96"/>
        </w:numPr>
        <w:rPr>
          <w:rFonts w:ascii="Arial" w:cs="Arial" w:eastAsia="Arial" w:hAnsi="Arial"/>
          <w:sz w:val="22"/>
          <w:szCs w:val="22"/>
          <w:color w:val="auto"/>
        </w:rPr>
      </w:pPr>
      <w:r>
        <w:rPr>
          <w:rFonts w:ascii="Arial" w:cs="Arial" w:eastAsia="Arial" w:hAnsi="Arial"/>
          <w:sz w:val="20"/>
          <w:szCs w:val="20"/>
          <w:color w:val="auto"/>
        </w:rPr>
        <w:t>The annual accounts shall be adopted by the general meeting.</w:t>
      </w:r>
    </w:p>
    <w:p>
      <w:pPr>
        <w:spacing w:after="0" w:line="249" w:lineRule="exact"/>
        <w:rPr>
          <w:rFonts w:ascii="Arial" w:cs="Arial" w:eastAsia="Arial" w:hAnsi="Arial"/>
          <w:sz w:val="22"/>
          <w:szCs w:val="22"/>
          <w:color w:val="auto"/>
        </w:rPr>
      </w:pPr>
    </w:p>
    <w:p>
      <w:pPr>
        <w:jc w:val="both"/>
        <w:ind w:left="380" w:hanging="372"/>
        <w:spacing w:after="0" w:line="278" w:lineRule="auto"/>
        <w:tabs>
          <w:tab w:leader="none" w:pos="380" w:val="left"/>
        </w:tabs>
        <w:numPr>
          <w:ilvl w:val="0"/>
          <w:numId w:val="96"/>
        </w:numPr>
        <w:rPr>
          <w:rFonts w:ascii="Arial" w:cs="Arial" w:eastAsia="Arial" w:hAnsi="Arial"/>
          <w:sz w:val="22"/>
          <w:szCs w:val="22"/>
          <w:color w:val="auto"/>
        </w:rPr>
      </w:pPr>
      <w:r>
        <w:rPr>
          <w:rFonts w:ascii="Arial" w:cs="Arial" w:eastAsia="Arial" w:hAnsi="Arial"/>
          <w:sz w:val="20"/>
          <w:szCs w:val="20"/>
          <w:color w:val="auto"/>
        </w:rPr>
        <w:t>The annual accounts shall not be adopted if the general meeting is unable to take cognizance of the certificate as referred to in paragraph 3 of this article, unless, together with the remaining information as referred to in article 2:392 Dutch Civil Code, a legitimate ground is given why the certificate is lacking.</w:t>
      </w:r>
    </w:p>
    <w:p>
      <w:pPr>
        <w:spacing w:after="0" w:line="200" w:lineRule="exact"/>
        <w:rPr>
          <w:rFonts w:ascii="Arial" w:cs="Arial" w:eastAsia="Arial" w:hAnsi="Arial"/>
          <w:sz w:val="22"/>
          <w:szCs w:val="22"/>
          <w:color w:val="auto"/>
        </w:rPr>
      </w:pPr>
    </w:p>
    <w:p>
      <w:pPr>
        <w:jc w:val="both"/>
        <w:ind w:left="380"/>
        <w:spacing w:after="0" w:line="299" w:lineRule="auto"/>
        <w:rPr>
          <w:rFonts w:ascii="Arial" w:cs="Arial" w:eastAsia="Arial" w:hAnsi="Arial"/>
          <w:sz w:val="22"/>
          <w:szCs w:val="22"/>
          <w:color w:val="auto"/>
        </w:rPr>
      </w:pPr>
      <w:r>
        <w:rPr>
          <w:rFonts w:ascii="Arial" w:cs="Arial" w:eastAsia="Arial" w:hAnsi="Arial"/>
          <w:sz w:val="19"/>
          <w:szCs w:val="19"/>
          <w:color w:val="auto"/>
        </w:rPr>
        <w:t>After the proposal to adopt the annual accounts has been dealt with, the proposal will be made to the general meeting to discharge the members of the Management Board in respect of their conduct of management and the members of the Supervisory Board for their supervision thereon during the relevant financial year insofar this appears from the annual accounts.</w:t>
      </w:r>
    </w:p>
    <w:p>
      <w:pPr>
        <w:spacing w:after="0" w:line="193" w:lineRule="exact"/>
        <w:rPr>
          <w:rFonts w:ascii="Arial" w:cs="Arial" w:eastAsia="Arial" w:hAnsi="Arial"/>
          <w:sz w:val="22"/>
          <w:szCs w:val="22"/>
          <w:color w:val="auto"/>
        </w:rPr>
      </w:pPr>
    </w:p>
    <w:p>
      <w:pPr>
        <w:ind w:left="380" w:hanging="372"/>
        <w:spacing w:after="0"/>
        <w:tabs>
          <w:tab w:leader="none" w:pos="380" w:val="left"/>
        </w:tabs>
        <w:numPr>
          <w:ilvl w:val="0"/>
          <w:numId w:val="96"/>
        </w:numPr>
        <w:rPr>
          <w:rFonts w:ascii="Arial" w:cs="Arial" w:eastAsia="Arial" w:hAnsi="Arial"/>
          <w:sz w:val="22"/>
          <w:szCs w:val="22"/>
          <w:color w:val="auto"/>
        </w:rPr>
      </w:pPr>
      <w:r>
        <w:rPr>
          <w:rFonts w:ascii="Arial" w:cs="Arial" w:eastAsia="Arial" w:hAnsi="Arial"/>
          <w:sz w:val="20"/>
          <w:szCs w:val="20"/>
          <w:color w:val="auto"/>
        </w:rPr>
        <w:t>The company shall be obliged to make its annual accounts publicly available at the Trade Register.</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Allocations of profit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21.</w:t>
      </w:r>
    </w:p>
    <w:p>
      <w:pPr>
        <w:spacing w:after="0" w:line="280" w:lineRule="exact"/>
        <w:rPr>
          <w:sz w:val="20"/>
          <w:szCs w:val="20"/>
          <w:color w:val="auto"/>
        </w:rPr>
      </w:pPr>
    </w:p>
    <w:p>
      <w:pPr>
        <w:ind w:left="380" w:hanging="372"/>
        <w:spacing w:after="0" w:line="350" w:lineRule="auto"/>
        <w:tabs>
          <w:tab w:leader="none" w:pos="380" w:val="left"/>
        </w:tabs>
        <w:numPr>
          <w:ilvl w:val="0"/>
          <w:numId w:val="97"/>
        </w:numPr>
        <w:rPr>
          <w:rFonts w:ascii="Arial" w:cs="Arial" w:eastAsia="Arial" w:hAnsi="Arial"/>
          <w:sz w:val="19"/>
          <w:szCs w:val="19"/>
          <w:color w:val="auto"/>
        </w:rPr>
      </w:pPr>
      <w:r>
        <w:rPr>
          <w:rFonts w:ascii="Arial" w:cs="Arial" w:eastAsia="Arial" w:hAnsi="Arial"/>
          <w:sz w:val="18"/>
          <w:szCs w:val="18"/>
          <w:color w:val="auto"/>
        </w:rPr>
        <w:t>The company may make distributions to the shareholders and other persons entitled to the distributable profits only to the extent that the company's shareholders' equity exceeds the sum of the paid-in capital and the reserves which it is required by law to maintain.</w:t>
      </w:r>
    </w:p>
    <w:p>
      <w:pPr>
        <w:spacing w:after="0" w:line="146" w:lineRule="exact"/>
        <w:rPr>
          <w:rFonts w:ascii="Arial" w:cs="Arial" w:eastAsia="Arial" w:hAnsi="Arial"/>
          <w:sz w:val="19"/>
          <w:szCs w:val="19"/>
          <w:color w:val="auto"/>
        </w:rPr>
      </w:pPr>
    </w:p>
    <w:p>
      <w:pPr>
        <w:ind w:left="380" w:hanging="372"/>
        <w:spacing w:after="0"/>
        <w:tabs>
          <w:tab w:leader="none" w:pos="380" w:val="left"/>
        </w:tabs>
        <w:numPr>
          <w:ilvl w:val="0"/>
          <w:numId w:val="97"/>
        </w:numPr>
        <w:rPr>
          <w:rFonts w:ascii="Arial" w:cs="Arial" w:eastAsia="Arial" w:hAnsi="Arial"/>
          <w:sz w:val="22"/>
          <w:szCs w:val="22"/>
          <w:color w:val="auto"/>
        </w:rPr>
      </w:pPr>
      <w:r>
        <w:rPr>
          <w:rFonts w:ascii="Arial" w:cs="Arial" w:eastAsia="Arial" w:hAnsi="Arial"/>
          <w:sz w:val="20"/>
          <w:szCs w:val="20"/>
          <w:color w:val="auto"/>
        </w:rPr>
        <w:t>From the profits as they appear from the annual accounts:</w:t>
      </w:r>
    </w:p>
    <w:p>
      <w:pPr>
        <w:spacing w:after="0" w:line="249" w:lineRule="exact"/>
        <w:rPr>
          <w:rFonts w:ascii="Arial" w:cs="Arial" w:eastAsia="Arial" w:hAnsi="Arial"/>
          <w:sz w:val="22"/>
          <w:szCs w:val="22"/>
          <w:color w:val="auto"/>
        </w:rPr>
      </w:pPr>
    </w:p>
    <w:p>
      <w:pPr>
        <w:ind w:left="760" w:hanging="360"/>
        <w:spacing w:after="0"/>
        <w:tabs>
          <w:tab w:leader="none" w:pos="760" w:val="left"/>
        </w:tabs>
        <w:numPr>
          <w:ilvl w:val="1"/>
          <w:numId w:val="97"/>
        </w:numPr>
        <w:rPr>
          <w:rFonts w:ascii="Arial" w:cs="Arial" w:eastAsia="Arial" w:hAnsi="Arial"/>
          <w:sz w:val="19"/>
          <w:szCs w:val="19"/>
          <w:b w:val="1"/>
          <w:bCs w:val="1"/>
          <w:color w:val="auto"/>
        </w:rPr>
      </w:pPr>
      <w:r>
        <w:rPr>
          <w:rFonts w:ascii="Arial" w:cs="Arial" w:eastAsia="Arial" w:hAnsi="Arial"/>
          <w:sz w:val="18"/>
          <w:szCs w:val="18"/>
          <w:color w:val="auto"/>
        </w:rPr>
        <w:t>first of all, on the preferred shares a dividend will be distributed to the amount of a percentage on the amount paid on those shares,</w:t>
      </w:r>
    </w:p>
    <w:p>
      <w:pPr>
        <w:sectPr>
          <w:pgSz w:w="11900" w:h="16838" w:orient="portrait"/>
          <w:cols w:equalWidth="0" w:num="1">
            <w:col w:w="11420"/>
          </w:cols>
          <w:pgMar w:left="240" w:top="150" w:right="239" w:bottom="0" w:gutter="0" w:footer="0" w:header="0"/>
        </w:sectPr>
      </w:pPr>
    </w:p>
    <w:bookmarkStart w:id="124" w:name="page125"/>
    <w:bookmarkEnd w:id="124"/>
    <w:p>
      <w:pPr>
        <w:jc w:val="both"/>
        <w:ind w:left="780"/>
        <w:spacing w:after="0" w:line="288" w:lineRule="auto"/>
        <w:rPr>
          <w:sz w:val="20"/>
          <w:szCs w:val="20"/>
          <w:color w:val="auto"/>
        </w:rPr>
      </w:pPr>
      <w:r>
        <w:rPr>
          <w:rFonts w:ascii="Arial" w:cs="Arial" w:eastAsia="Arial" w:hAnsi="Arial"/>
          <w:sz w:val="20"/>
          <w:szCs w:val="20"/>
          <w:color w:val="auto"/>
        </w:rPr>
        <w:t>which equals twelve months 'EURIBOR', as published by De Nederlandsche Bank N.V. - calculated according to the number of days the rate applied - during the financial year to which the distribution relates, increased by a premium to be determined by the Management Board with the approval of the Supervisory Board in line with market conditions per the date of the first issue of the preferred shares with a maximum of five hundred basis points.</w:t>
      </w:r>
    </w:p>
    <w:p>
      <w:pPr>
        <w:spacing w:after="0" w:line="193" w:lineRule="exact"/>
        <w:rPr>
          <w:sz w:val="20"/>
          <w:szCs w:val="20"/>
          <w:color w:val="auto"/>
        </w:rPr>
      </w:pPr>
    </w:p>
    <w:p>
      <w:pPr>
        <w:jc w:val="both"/>
        <w:ind w:left="780"/>
        <w:spacing w:after="0" w:line="289" w:lineRule="auto"/>
        <w:rPr>
          <w:sz w:val="20"/>
          <w:szCs w:val="20"/>
          <w:color w:val="auto"/>
        </w:rPr>
      </w:pPr>
      <w:r>
        <w:rPr>
          <w:rFonts w:ascii="Arial" w:cs="Arial" w:eastAsia="Arial" w:hAnsi="Arial"/>
          <w:sz w:val="20"/>
          <w:szCs w:val="20"/>
          <w:color w:val="auto"/>
        </w:rPr>
        <w:t>If and to the extent that the profit is not sufficient to fully make a distribution meant afore in this paragraph, the deficit shall be paid from the reserves.</w:t>
      </w:r>
    </w:p>
    <w:p>
      <w:pPr>
        <w:spacing w:after="0" w:line="189" w:lineRule="exact"/>
        <w:rPr>
          <w:sz w:val="20"/>
          <w:szCs w:val="20"/>
          <w:color w:val="auto"/>
        </w:rPr>
      </w:pPr>
    </w:p>
    <w:p>
      <w:pPr>
        <w:jc w:val="both"/>
        <w:ind w:left="780"/>
        <w:spacing w:after="0" w:line="273" w:lineRule="auto"/>
        <w:rPr>
          <w:sz w:val="20"/>
          <w:szCs w:val="20"/>
          <w:color w:val="auto"/>
        </w:rPr>
      </w:pPr>
      <w:r>
        <w:rPr>
          <w:rFonts w:ascii="Arial" w:cs="Arial" w:eastAsia="Arial" w:hAnsi="Arial"/>
          <w:sz w:val="20"/>
          <w:szCs w:val="20"/>
          <w:color w:val="auto"/>
        </w:rPr>
        <w:t>In case of cancellation with repayment of preferred shares, on the day of repayment a distribution shall be made on the cancelled preferred shares, which distribution shall be calculated to the extent possible in accordance with the provision referred to above and with regard to the current financial year to be calculated time wise over the period from the first day of the current financial year, or if the preferred shares have been issued after such day, as from the day of issue, until the day of repayment without prejudice to the provisions of article 2:105 paragraph 4 Dutch Civil Code.</w:t>
      </w:r>
    </w:p>
    <w:p>
      <w:pPr>
        <w:spacing w:after="0" w:line="205" w:lineRule="exact"/>
        <w:rPr>
          <w:sz w:val="20"/>
          <w:szCs w:val="20"/>
          <w:color w:val="auto"/>
        </w:rPr>
      </w:pPr>
    </w:p>
    <w:p>
      <w:pPr>
        <w:jc w:val="both"/>
        <w:ind w:left="780"/>
        <w:spacing w:after="0" w:line="278" w:lineRule="auto"/>
        <w:rPr>
          <w:sz w:val="20"/>
          <w:szCs w:val="20"/>
          <w:color w:val="auto"/>
        </w:rPr>
      </w:pPr>
      <w:r>
        <w:rPr>
          <w:rFonts w:ascii="Arial" w:cs="Arial" w:eastAsia="Arial" w:hAnsi="Arial"/>
          <w:sz w:val="20"/>
          <w:szCs w:val="20"/>
          <w:color w:val="auto"/>
        </w:rPr>
        <w:t>In the event that in a financial year the profit or the distributable reserves (as the case may be) are not sufficient to make the distributions meant above in this article, the provisions above shall apply over the following financial years until the deficit has been cleared;</w:t>
      </w:r>
    </w:p>
    <w:p>
      <w:pPr>
        <w:spacing w:after="0" w:line="214" w:lineRule="exact"/>
        <w:rPr>
          <w:sz w:val="20"/>
          <w:szCs w:val="20"/>
          <w:color w:val="auto"/>
        </w:rPr>
      </w:pPr>
    </w:p>
    <w:p>
      <w:pPr>
        <w:ind w:left="780" w:hanging="380"/>
        <w:spacing w:after="0" w:line="279" w:lineRule="auto"/>
        <w:tabs>
          <w:tab w:leader="none" w:pos="762" w:val="left"/>
        </w:tabs>
        <w:numPr>
          <w:ilvl w:val="1"/>
          <w:numId w:val="98"/>
        </w:numPr>
        <w:rPr>
          <w:rFonts w:ascii="Arial" w:cs="Arial" w:eastAsia="Arial" w:hAnsi="Arial"/>
          <w:sz w:val="22"/>
          <w:szCs w:val="22"/>
          <w:color w:val="auto"/>
        </w:rPr>
      </w:pPr>
      <w:r>
        <w:rPr>
          <w:rFonts w:ascii="Arial" w:cs="Arial" w:eastAsia="Arial" w:hAnsi="Arial"/>
          <w:sz w:val="20"/>
          <w:szCs w:val="20"/>
          <w:color w:val="auto"/>
        </w:rPr>
        <w:t>Secondly, the Management Board shall determine, subject to prior approval of the Supervisory Board, which part of the profits remaining after application of the first bullet shall be reserved.</w:t>
      </w:r>
    </w:p>
    <w:p>
      <w:pPr>
        <w:spacing w:after="0" w:line="194"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0"/>
          <w:szCs w:val="20"/>
          <w:color w:val="auto"/>
        </w:rPr>
        <w:t>The part of the profits not reserved, shall be at the disposal of the general meeting.</w:t>
      </w:r>
    </w:p>
    <w:p>
      <w:pPr>
        <w:spacing w:after="0" w:line="269" w:lineRule="exact"/>
        <w:rPr>
          <w:rFonts w:ascii="Arial" w:cs="Arial" w:eastAsia="Arial" w:hAnsi="Arial"/>
          <w:sz w:val="22"/>
          <w:szCs w:val="22"/>
          <w:color w:val="auto"/>
        </w:rPr>
      </w:pPr>
    </w:p>
    <w:p>
      <w:pPr>
        <w:jc w:val="both"/>
        <w:ind w:left="380" w:hanging="372"/>
        <w:spacing w:after="0" w:line="278" w:lineRule="auto"/>
        <w:tabs>
          <w:tab w:leader="none" w:pos="380" w:val="left"/>
        </w:tabs>
        <w:numPr>
          <w:ilvl w:val="0"/>
          <w:numId w:val="98"/>
        </w:numPr>
        <w:rPr>
          <w:rFonts w:ascii="Arial" w:cs="Arial" w:eastAsia="Arial" w:hAnsi="Arial"/>
          <w:sz w:val="22"/>
          <w:szCs w:val="22"/>
          <w:color w:val="auto"/>
        </w:rPr>
      </w:pPr>
      <w:r>
        <w:rPr>
          <w:rFonts w:ascii="Arial" w:cs="Arial" w:eastAsia="Arial" w:hAnsi="Arial"/>
          <w:sz w:val="20"/>
          <w:szCs w:val="20"/>
          <w:color w:val="auto"/>
        </w:rPr>
        <w:t>After the approval of the Supervisory Board, the Management Board may make interim distributions only to the extent that the requirements set forth in paragraph 1 above are satisfied as apparent from an (interim) financial statement drawn up in accordance with the law.</w:t>
      </w:r>
    </w:p>
    <w:p>
      <w:pPr>
        <w:spacing w:after="0" w:line="214"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98"/>
        </w:numPr>
        <w:rPr>
          <w:rFonts w:ascii="Arial" w:cs="Arial" w:eastAsia="Arial" w:hAnsi="Arial"/>
          <w:sz w:val="22"/>
          <w:szCs w:val="22"/>
          <w:color w:val="auto"/>
        </w:rPr>
      </w:pPr>
      <w:r>
        <w:rPr>
          <w:rFonts w:ascii="Arial" w:cs="Arial" w:eastAsia="Arial" w:hAnsi="Arial"/>
          <w:sz w:val="20"/>
          <w:szCs w:val="20"/>
          <w:color w:val="auto"/>
        </w:rPr>
        <w:t>After the approval of the Supervisory Board, the Management Board may decide that a distribution on shares is not made entirely or partly in cash, but rather in shares in the company.</w:t>
      </w:r>
    </w:p>
    <w:p>
      <w:pPr>
        <w:spacing w:after="0" w:line="208"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98"/>
        </w:numPr>
        <w:rPr>
          <w:rFonts w:ascii="Arial" w:cs="Arial" w:eastAsia="Arial" w:hAnsi="Arial"/>
          <w:sz w:val="22"/>
          <w:szCs w:val="22"/>
          <w:color w:val="auto"/>
        </w:rPr>
      </w:pPr>
      <w:r>
        <w:rPr>
          <w:rFonts w:ascii="Arial" w:cs="Arial" w:eastAsia="Arial" w:hAnsi="Arial"/>
          <w:sz w:val="20"/>
          <w:szCs w:val="20"/>
          <w:color w:val="auto"/>
        </w:rPr>
        <w:t>On proposal of the Management Board which has been approved by the Supervisory Board, the general meeting may decide to make payments to holders of shares from the distributable part of the shareholders' equity.</w:t>
      </w:r>
    </w:p>
    <w:p>
      <w:pPr>
        <w:spacing w:after="0" w:line="208" w:lineRule="exact"/>
        <w:rPr>
          <w:rFonts w:ascii="Arial" w:cs="Arial" w:eastAsia="Arial" w:hAnsi="Arial"/>
          <w:sz w:val="22"/>
          <w:szCs w:val="22"/>
          <w:color w:val="auto"/>
        </w:rPr>
      </w:pPr>
    </w:p>
    <w:p>
      <w:pPr>
        <w:ind w:left="380" w:right="20" w:hanging="372"/>
        <w:spacing w:after="0" w:line="279" w:lineRule="auto"/>
        <w:tabs>
          <w:tab w:leader="none" w:pos="380" w:val="left"/>
        </w:tabs>
        <w:numPr>
          <w:ilvl w:val="0"/>
          <w:numId w:val="98"/>
        </w:numPr>
        <w:rPr>
          <w:rFonts w:ascii="Arial" w:cs="Arial" w:eastAsia="Arial" w:hAnsi="Arial"/>
          <w:sz w:val="22"/>
          <w:szCs w:val="22"/>
          <w:color w:val="auto"/>
        </w:rPr>
      </w:pPr>
      <w:r>
        <w:rPr>
          <w:rFonts w:ascii="Arial" w:cs="Arial" w:eastAsia="Arial" w:hAnsi="Arial"/>
          <w:sz w:val="20"/>
          <w:szCs w:val="20"/>
          <w:color w:val="auto"/>
        </w:rPr>
        <w:t>Any claim a shareholder may have to a distribution shall lapse after five years, to be computed from the day on which such a distribution becomes payable.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meetings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22.</w:t>
      </w:r>
    </w:p>
    <w:p>
      <w:pPr>
        <w:spacing w:after="0" w:line="280" w:lineRule="exact"/>
        <w:rPr>
          <w:sz w:val="20"/>
          <w:szCs w:val="20"/>
          <w:color w:val="auto"/>
        </w:rPr>
      </w:pPr>
    </w:p>
    <w:p>
      <w:pPr>
        <w:ind w:left="380" w:hanging="372"/>
        <w:spacing w:after="0" w:line="279" w:lineRule="auto"/>
        <w:tabs>
          <w:tab w:leader="none" w:pos="380" w:val="left"/>
        </w:tabs>
        <w:numPr>
          <w:ilvl w:val="0"/>
          <w:numId w:val="99"/>
        </w:numPr>
        <w:rPr>
          <w:rFonts w:ascii="Arial" w:cs="Arial" w:eastAsia="Arial" w:hAnsi="Arial"/>
          <w:sz w:val="22"/>
          <w:szCs w:val="22"/>
          <w:color w:val="auto"/>
        </w:rPr>
      </w:pPr>
      <w:r>
        <w:rPr>
          <w:rFonts w:ascii="Arial" w:cs="Arial" w:eastAsia="Arial" w:hAnsi="Arial"/>
          <w:sz w:val="20"/>
          <w:szCs w:val="20"/>
          <w:color w:val="auto"/>
        </w:rPr>
        <w:t>The annual general meeting shall be held every year within six months of the end of the financial year, in which shall, in any event, be considered:</w:t>
      </w:r>
    </w:p>
    <w:p>
      <w:pPr>
        <w:spacing w:after="0" w:line="205" w:lineRule="exact"/>
        <w:rPr>
          <w:rFonts w:ascii="Arial" w:cs="Arial" w:eastAsia="Arial" w:hAnsi="Arial"/>
          <w:sz w:val="22"/>
          <w:szCs w:val="22"/>
          <w:color w:val="auto"/>
        </w:rPr>
      </w:pPr>
    </w:p>
    <w:p>
      <w:pPr>
        <w:ind w:left="760" w:hanging="360"/>
        <w:spacing w:after="0"/>
        <w:tabs>
          <w:tab w:leader="none" w:pos="760" w:val="left"/>
        </w:tabs>
        <w:numPr>
          <w:ilvl w:val="1"/>
          <w:numId w:val="99"/>
        </w:numPr>
        <w:rPr>
          <w:rFonts w:ascii="Arial" w:cs="Arial" w:eastAsia="Arial" w:hAnsi="Arial"/>
          <w:sz w:val="22"/>
          <w:szCs w:val="22"/>
          <w:color w:val="auto"/>
        </w:rPr>
      </w:pPr>
      <w:r>
        <w:rPr>
          <w:rFonts w:ascii="Arial" w:cs="Arial" w:eastAsia="Arial" w:hAnsi="Arial"/>
          <w:sz w:val="20"/>
          <w:szCs w:val="20"/>
          <w:color w:val="auto"/>
        </w:rPr>
        <w:t>the consideration of the annual report;</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99"/>
        </w:numPr>
        <w:rPr>
          <w:rFonts w:ascii="Arial" w:cs="Arial" w:eastAsia="Arial" w:hAnsi="Arial"/>
          <w:sz w:val="22"/>
          <w:szCs w:val="22"/>
          <w:color w:val="auto"/>
        </w:rPr>
      </w:pPr>
      <w:r>
        <w:rPr>
          <w:rFonts w:ascii="Arial" w:cs="Arial" w:eastAsia="Arial" w:hAnsi="Arial"/>
          <w:sz w:val="20"/>
          <w:szCs w:val="20"/>
          <w:color w:val="auto"/>
        </w:rPr>
        <w:t>the adoption of the annual accounts;</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99"/>
        </w:numPr>
        <w:rPr>
          <w:rFonts w:ascii="Arial" w:cs="Arial" w:eastAsia="Arial" w:hAnsi="Arial"/>
          <w:sz w:val="22"/>
          <w:szCs w:val="22"/>
          <w:color w:val="auto"/>
        </w:rPr>
      </w:pPr>
      <w:r>
        <w:rPr>
          <w:rFonts w:ascii="Arial" w:cs="Arial" w:eastAsia="Arial" w:hAnsi="Arial"/>
          <w:sz w:val="20"/>
          <w:szCs w:val="20"/>
          <w:color w:val="auto"/>
        </w:rPr>
        <w:t>any other matters put forward by the Supervisory Board or Management Board and announced pursuant to this article.</w:t>
      </w:r>
    </w:p>
    <w:p>
      <w:pPr>
        <w:spacing w:after="0" w:line="236" w:lineRule="exact"/>
        <w:rPr>
          <w:sz w:val="20"/>
          <w:szCs w:val="20"/>
          <w:color w:val="auto"/>
        </w:rPr>
      </w:pPr>
    </w:p>
    <w:p>
      <w:pPr>
        <w:jc w:val="both"/>
        <w:ind w:left="380" w:right="20"/>
        <w:spacing w:after="0" w:line="278" w:lineRule="auto"/>
        <w:rPr>
          <w:sz w:val="20"/>
          <w:szCs w:val="20"/>
          <w:color w:val="auto"/>
        </w:rPr>
      </w:pPr>
      <w:r>
        <w:rPr>
          <w:rFonts w:ascii="Arial" w:cs="Arial" w:eastAsia="Arial" w:hAnsi="Arial"/>
          <w:sz w:val="20"/>
          <w:szCs w:val="20"/>
          <w:color w:val="auto"/>
        </w:rPr>
        <w:t>In the event the period preparing the annual accounts as set forth in article 20 paragraph 2 of these articles of association is extended in conformity with applicable law, the matters indicated in the previous sentence will be dealt with in a general meeting to be held no later than one month after the extension.</w:t>
      </w:r>
    </w:p>
    <w:p>
      <w:pPr>
        <w:spacing w:after="0" w:line="214" w:lineRule="exact"/>
        <w:rPr>
          <w:sz w:val="20"/>
          <w:szCs w:val="20"/>
          <w:color w:val="auto"/>
        </w:rPr>
      </w:pPr>
    </w:p>
    <w:p>
      <w:pPr>
        <w:ind w:left="380" w:hanging="372"/>
        <w:spacing w:after="0"/>
        <w:tabs>
          <w:tab w:leader="none" w:pos="380" w:val="left"/>
        </w:tabs>
        <w:numPr>
          <w:ilvl w:val="0"/>
          <w:numId w:val="100"/>
        </w:numPr>
        <w:rPr>
          <w:rFonts w:ascii="Arial" w:cs="Arial" w:eastAsia="Arial" w:hAnsi="Arial"/>
          <w:sz w:val="21"/>
          <w:szCs w:val="21"/>
          <w:color w:val="auto"/>
        </w:rPr>
      </w:pPr>
      <w:r>
        <w:rPr>
          <w:rFonts w:ascii="Arial" w:cs="Arial" w:eastAsia="Arial" w:hAnsi="Arial"/>
          <w:sz w:val="19"/>
          <w:szCs w:val="19"/>
          <w:color w:val="auto"/>
        </w:rPr>
        <w:t>General meetings will be held in Amsterdam, Baarlo, Venlo, The Hague, Rotterdam, Haarlemmermeer (Schiphol) or in Deventer.</w:t>
      </w:r>
    </w:p>
    <w:p>
      <w:pPr>
        <w:spacing w:after="0" w:line="258" w:lineRule="exact"/>
        <w:rPr>
          <w:rFonts w:ascii="Arial" w:cs="Arial" w:eastAsia="Arial" w:hAnsi="Arial"/>
          <w:sz w:val="21"/>
          <w:szCs w:val="21"/>
          <w:color w:val="auto"/>
        </w:rPr>
      </w:pPr>
    </w:p>
    <w:p>
      <w:pPr>
        <w:ind w:left="380" w:right="20" w:hanging="372"/>
        <w:spacing w:after="0" w:line="306" w:lineRule="auto"/>
        <w:tabs>
          <w:tab w:leader="none" w:pos="380" w:val="left"/>
        </w:tabs>
        <w:numPr>
          <w:ilvl w:val="0"/>
          <w:numId w:val="100"/>
        </w:numPr>
        <w:rPr>
          <w:rFonts w:ascii="Arial" w:cs="Arial" w:eastAsia="Arial" w:hAnsi="Arial"/>
          <w:sz w:val="21"/>
          <w:szCs w:val="21"/>
          <w:color w:val="auto"/>
        </w:rPr>
      </w:pPr>
      <w:r>
        <w:rPr>
          <w:rFonts w:ascii="Arial" w:cs="Arial" w:eastAsia="Arial" w:hAnsi="Arial"/>
          <w:sz w:val="19"/>
          <w:szCs w:val="19"/>
          <w:color w:val="auto"/>
        </w:rPr>
        <w:t>General meetings shall be convened by the Supervisory Board or the Management Board in the manner and with reference to the applicable provisions of the legislation and applicable stock exchange regulations and with consideration of the applicable terms.</w:t>
      </w:r>
    </w:p>
    <w:p>
      <w:pPr>
        <w:spacing w:after="0" w:line="180" w:lineRule="exact"/>
        <w:rPr>
          <w:rFonts w:ascii="Arial" w:cs="Arial" w:eastAsia="Arial" w:hAnsi="Arial"/>
          <w:sz w:val="21"/>
          <w:szCs w:val="21"/>
          <w:color w:val="auto"/>
        </w:rPr>
      </w:pPr>
    </w:p>
    <w:p>
      <w:pPr>
        <w:ind w:left="380" w:hanging="372"/>
        <w:spacing w:after="0"/>
        <w:tabs>
          <w:tab w:leader="none" w:pos="380" w:val="left"/>
        </w:tabs>
        <w:numPr>
          <w:ilvl w:val="0"/>
          <w:numId w:val="100"/>
        </w:numPr>
        <w:rPr>
          <w:rFonts w:ascii="Arial" w:cs="Arial" w:eastAsia="Arial" w:hAnsi="Arial"/>
          <w:sz w:val="22"/>
          <w:szCs w:val="22"/>
          <w:color w:val="auto"/>
        </w:rPr>
      </w:pPr>
      <w:r>
        <w:rPr>
          <w:rFonts w:ascii="Arial" w:cs="Arial" w:eastAsia="Arial" w:hAnsi="Arial"/>
          <w:sz w:val="20"/>
          <w:szCs w:val="20"/>
          <w:color w:val="auto"/>
        </w:rPr>
        <w:t>The convocation states:</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100"/>
        </w:numPr>
        <w:rPr>
          <w:rFonts w:ascii="Arial" w:cs="Arial" w:eastAsia="Arial" w:hAnsi="Arial"/>
          <w:sz w:val="22"/>
          <w:szCs w:val="22"/>
          <w:color w:val="auto"/>
        </w:rPr>
      </w:pPr>
      <w:r>
        <w:rPr>
          <w:rFonts w:ascii="Arial" w:cs="Arial" w:eastAsia="Arial" w:hAnsi="Arial"/>
          <w:sz w:val="20"/>
          <w:szCs w:val="20"/>
          <w:color w:val="auto"/>
        </w:rPr>
        <w:t>the subjects to be discussed;</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100"/>
        </w:numPr>
        <w:rPr>
          <w:rFonts w:ascii="Arial" w:cs="Arial" w:eastAsia="Arial" w:hAnsi="Arial"/>
          <w:sz w:val="22"/>
          <w:szCs w:val="22"/>
          <w:color w:val="auto"/>
        </w:rPr>
      </w:pPr>
      <w:r>
        <w:rPr>
          <w:rFonts w:ascii="Arial" w:cs="Arial" w:eastAsia="Arial" w:hAnsi="Arial"/>
          <w:sz w:val="20"/>
          <w:szCs w:val="20"/>
          <w:color w:val="auto"/>
        </w:rPr>
        <w:t>the place and time of the general meeting;</w:t>
      </w:r>
    </w:p>
    <w:p>
      <w:pPr>
        <w:spacing w:after="0" w:line="246" w:lineRule="exact"/>
        <w:rPr>
          <w:rFonts w:ascii="Arial" w:cs="Arial" w:eastAsia="Arial" w:hAnsi="Arial"/>
          <w:sz w:val="22"/>
          <w:szCs w:val="22"/>
          <w:color w:val="auto"/>
        </w:rPr>
      </w:pPr>
    </w:p>
    <w:p>
      <w:pPr>
        <w:ind w:left="760" w:hanging="360"/>
        <w:spacing w:after="0"/>
        <w:tabs>
          <w:tab w:leader="none" w:pos="760" w:val="left"/>
        </w:tabs>
        <w:numPr>
          <w:ilvl w:val="1"/>
          <w:numId w:val="100"/>
        </w:numPr>
        <w:rPr>
          <w:rFonts w:ascii="Arial" w:cs="Arial" w:eastAsia="Arial" w:hAnsi="Arial"/>
          <w:sz w:val="22"/>
          <w:szCs w:val="22"/>
          <w:color w:val="auto"/>
        </w:rPr>
      </w:pPr>
      <w:r>
        <w:rPr>
          <w:rFonts w:ascii="Arial" w:cs="Arial" w:eastAsia="Arial" w:hAnsi="Arial"/>
          <w:sz w:val="20"/>
          <w:szCs w:val="20"/>
          <w:color w:val="auto"/>
        </w:rPr>
        <w:t>the procedure for participation in the general meeting and the exercise of voting rights in person or by proxy.</w:t>
      </w:r>
    </w:p>
    <w:p>
      <w:pPr>
        <w:sectPr>
          <w:pgSz w:w="11900" w:h="16838" w:orient="portrait"/>
          <w:cols w:equalWidth="0" w:num="1">
            <w:col w:w="11420"/>
          </w:cols>
          <w:pgMar w:left="240" w:top="150" w:right="239" w:bottom="0" w:gutter="0" w:footer="0" w:header="0"/>
        </w:sectPr>
      </w:pPr>
    </w:p>
    <w:bookmarkStart w:id="125" w:name="page126"/>
    <w:bookmarkEnd w:id="125"/>
    <w:p>
      <w:pPr>
        <w:spacing w:after="0" w:line="196" w:lineRule="exact"/>
        <w:rPr>
          <w:sz w:val="20"/>
          <w:szCs w:val="20"/>
          <w:color w:val="auto"/>
        </w:rPr>
      </w:pPr>
    </w:p>
    <w:p>
      <w:pPr>
        <w:ind w:left="380" w:hanging="372"/>
        <w:spacing w:after="0"/>
        <w:tabs>
          <w:tab w:leader="none" w:pos="380" w:val="left"/>
        </w:tabs>
        <w:numPr>
          <w:ilvl w:val="0"/>
          <w:numId w:val="101"/>
        </w:numPr>
        <w:rPr>
          <w:rFonts w:ascii="Arial" w:cs="Arial" w:eastAsia="Arial" w:hAnsi="Arial"/>
          <w:sz w:val="21"/>
          <w:szCs w:val="21"/>
          <w:color w:val="auto"/>
        </w:rPr>
      </w:pPr>
      <w:r>
        <w:rPr>
          <w:rFonts w:ascii="Arial" w:cs="Arial" w:eastAsia="Arial" w:hAnsi="Arial"/>
          <w:sz w:val="19"/>
          <w:szCs w:val="19"/>
          <w:color w:val="auto"/>
        </w:rPr>
        <w:t>Extraordinary general meetings shall be held as often as the Management Board or the Supervisory Board deems this necessary.</w:t>
      </w:r>
    </w:p>
    <w:p>
      <w:pPr>
        <w:spacing w:after="0" w:line="258" w:lineRule="exact"/>
        <w:rPr>
          <w:rFonts w:ascii="Arial" w:cs="Arial" w:eastAsia="Arial" w:hAnsi="Arial"/>
          <w:sz w:val="21"/>
          <w:szCs w:val="21"/>
          <w:color w:val="auto"/>
        </w:rPr>
      </w:pPr>
    </w:p>
    <w:p>
      <w:pPr>
        <w:jc w:val="both"/>
        <w:ind w:left="380" w:right="20" w:hanging="372"/>
        <w:spacing w:after="0" w:line="278" w:lineRule="auto"/>
        <w:tabs>
          <w:tab w:leader="none" w:pos="380" w:val="left"/>
        </w:tabs>
        <w:numPr>
          <w:ilvl w:val="0"/>
          <w:numId w:val="101"/>
        </w:numPr>
        <w:rPr>
          <w:rFonts w:ascii="Arial" w:cs="Arial" w:eastAsia="Arial" w:hAnsi="Arial"/>
          <w:sz w:val="22"/>
          <w:szCs w:val="22"/>
          <w:color w:val="auto"/>
        </w:rPr>
      </w:pPr>
      <w:r>
        <w:rPr>
          <w:rFonts w:ascii="Arial" w:cs="Arial" w:eastAsia="Arial" w:hAnsi="Arial"/>
          <w:sz w:val="20"/>
          <w:szCs w:val="20"/>
          <w:color w:val="auto"/>
        </w:rPr>
        <w:t>An item proposed by one or more shareholders having the right thereto according to applicable law, will be included in the convocation or announced in the same manner, provided the company receives such substantiated request or a proposal for a resolution in writing no later than the sixtieth day prior to the day of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23.</w:t>
      </w:r>
    </w:p>
    <w:p>
      <w:pPr>
        <w:spacing w:after="0" w:line="284" w:lineRule="exact"/>
        <w:rPr>
          <w:sz w:val="20"/>
          <w:szCs w:val="20"/>
          <w:color w:val="auto"/>
        </w:rPr>
      </w:pPr>
    </w:p>
    <w:p>
      <w:pPr>
        <w:jc w:val="both"/>
        <w:ind w:left="380" w:right="20" w:hanging="372"/>
        <w:spacing w:after="0" w:line="278" w:lineRule="auto"/>
        <w:tabs>
          <w:tab w:leader="none" w:pos="380" w:val="left"/>
        </w:tabs>
        <w:numPr>
          <w:ilvl w:val="0"/>
          <w:numId w:val="102"/>
        </w:numPr>
        <w:rPr>
          <w:rFonts w:ascii="Arial" w:cs="Arial" w:eastAsia="Arial" w:hAnsi="Arial"/>
          <w:sz w:val="22"/>
          <w:szCs w:val="22"/>
          <w:color w:val="auto"/>
        </w:rPr>
      </w:pPr>
      <w:r>
        <w:rPr>
          <w:rFonts w:ascii="Arial" w:cs="Arial" w:eastAsia="Arial" w:hAnsi="Arial"/>
          <w:sz w:val="20"/>
          <w:szCs w:val="20"/>
          <w:color w:val="auto"/>
        </w:rPr>
        <w:t>The general meetings will be chaired by the chairman of the Supervisory Board, or, in his absence, by a member of the Supervisory Board appointed by the Supervisory Board; if the chairman of the Supervisory Board is absent and no other member of the Supervisory Board has been appointed in his place, the general meeting shall appoint the chairman.</w:t>
      </w:r>
    </w:p>
    <w:p>
      <w:pPr>
        <w:spacing w:after="0" w:line="211" w:lineRule="exact"/>
        <w:rPr>
          <w:rFonts w:ascii="Arial" w:cs="Arial" w:eastAsia="Arial" w:hAnsi="Arial"/>
          <w:sz w:val="22"/>
          <w:szCs w:val="22"/>
          <w:color w:val="auto"/>
        </w:rPr>
      </w:pPr>
    </w:p>
    <w:p>
      <w:pPr>
        <w:ind w:left="380" w:hanging="372"/>
        <w:spacing w:after="0"/>
        <w:tabs>
          <w:tab w:leader="none" w:pos="380" w:val="left"/>
        </w:tabs>
        <w:numPr>
          <w:ilvl w:val="0"/>
          <w:numId w:val="102"/>
        </w:numPr>
        <w:rPr>
          <w:rFonts w:ascii="Arial" w:cs="Arial" w:eastAsia="Arial" w:hAnsi="Arial"/>
          <w:sz w:val="22"/>
          <w:szCs w:val="22"/>
          <w:color w:val="auto"/>
        </w:rPr>
      </w:pPr>
      <w:r>
        <w:rPr>
          <w:rFonts w:ascii="Arial" w:cs="Arial" w:eastAsia="Arial" w:hAnsi="Arial"/>
          <w:sz w:val="20"/>
          <w:szCs w:val="20"/>
          <w:color w:val="auto"/>
        </w:rPr>
        <w:t>Minutes shall be kept of the items dealt with at the general meeting.</w:t>
      </w:r>
    </w:p>
    <w:p>
      <w:pPr>
        <w:spacing w:after="0" w:line="235"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The minutes shall be adopted by the chairman and the company secretary and shall be signed by them in witness thereof.</w:t>
      </w:r>
    </w:p>
    <w:p>
      <w:pPr>
        <w:spacing w:after="0" w:line="269"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102"/>
        </w:numPr>
        <w:rPr>
          <w:rFonts w:ascii="Arial" w:cs="Arial" w:eastAsia="Arial" w:hAnsi="Arial"/>
          <w:sz w:val="22"/>
          <w:szCs w:val="22"/>
          <w:color w:val="auto"/>
        </w:rPr>
      </w:pPr>
      <w:r>
        <w:rPr>
          <w:rFonts w:ascii="Arial" w:cs="Arial" w:eastAsia="Arial" w:hAnsi="Arial"/>
          <w:sz w:val="20"/>
          <w:szCs w:val="20"/>
          <w:color w:val="auto"/>
        </w:rPr>
        <w:t>The chairman of the meeting as well as any member of the Management Board may at all times commission the drawing up of a notarial record of the meeting at the company's expense.</w:t>
      </w:r>
    </w:p>
    <w:p>
      <w:pPr>
        <w:spacing w:after="0" w:line="208"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102"/>
        </w:numPr>
        <w:rPr>
          <w:rFonts w:ascii="Arial" w:cs="Arial" w:eastAsia="Arial" w:hAnsi="Arial"/>
          <w:sz w:val="22"/>
          <w:szCs w:val="22"/>
          <w:color w:val="auto"/>
        </w:rPr>
      </w:pPr>
      <w:r>
        <w:rPr>
          <w:rFonts w:ascii="Arial" w:cs="Arial" w:eastAsia="Arial" w:hAnsi="Arial"/>
          <w:sz w:val="20"/>
          <w:szCs w:val="20"/>
          <w:color w:val="auto"/>
        </w:rPr>
        <w:t>The chairman shall decide on all disputes with regard to voting, admitting people and, in general the procedure at the meeting, insofar as this is not provided for by law or the articles of association.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24.</w:t>
      </w:r>
    </w:p>
    <w:p>
      <w:pPr>
        <w:spacing w:after="0" w:line="284" w:lineRule="exact"/>
        <w:rPr>
          <w:sz w:val="20"/>
          <w:szCs w:val="20"/>
          <w:color w:val="auto"/>
        </w:rPr>
      </w:pPr>
    </w:p>
    <w:p>
      <w:pPr>
        <w:jc w:val="both"/>
        <w:ind w:left="380" w:hanging="372"/>
        <w:spacing w:after="0" w:line="278" w:lineRule="auto"/>
        <w:tabs>
          <w:tab w:leader="none" w:pos="380" w:val="left"/>
        </w:tabs>
        <w:numPr>
          <w:ilvl w:val="0"/>
          <w:numId w:val="103"/>
        </w:numPr>
        <w:rPr>
          <w:rFonts w:ascii="Arial" w:cs="Arial" w:eastAsia="Arial" w:hAnsi="Arial"/>
          <w:sz w:val="22"/>
          <w:szCs w:val="22"/>
          <w:color w:val="auto"/>
        </w:rPr>
      </w:pPr>
      <w:r>
        <w:rPr>
          <w:rFonts w:ascii="Arial" w:cs="Arial" w:eastAsia="Arial" w:hAnsi="Arial"/>
          <w:sz w:val="20"/>
          <w:szCs w:val="20"/>
          <w:color w:val="auto"/>
        </w:rPr>
        <w:t>Each shareholder, as well as each other person with voting rights and/or meeting rights, is entitled, in person or through an attorney authorized in writing for the specific meeting, or by proxy, to attend the general meeting, to address the meeting and, in the event the shareholder is entitled to the voting rights, to exercise the voting rights.</w:t>
      </w:r>
    </w:p>
    <w:p>
      <w:pPr>
        <w:spacing w:after="0" w:line="214" w:lineRule="exact"/>
        <w:rPr>
          <w:rFonts w:ascii="Arial" w:cs="Arial" w:eastAsia="Arial" w:hAnsi="Arial"/>
          <w:sz w:val="22"/>
          <w:szCs w:val="22"/>
          <w:color w:val="auto"/>
        </w:rPr>
      </w:pPr>
    </w:p>
    <w:p>
      <w:pPr>
        <w:jc w:val="both"/>
        <w:ind w:left="380" w:hanging="372"/>
        <w:spacing w:after="0" w:line="321" w:lineRule="auto"/>
        <w:tabs>
          <w:tab w:leader="none" w:pos="380" w:val="left"/>
        </w:tabs>
        <w:numPr>
          <w:ilvl w:val="0"/>
          <w:numId w:val="103"/>
        </w:numPr>
        <w:rPr>
          <w:rFonts w:ascii="Arial" w:cs="Arial" w:eastAsia="Arial" w:hAnsi="Arial"/>
          <w:sz w:val="19"/>
          <w:szCs w:val="19"/>
          <w:color w:val="auto"/>
        </w:rPr>
      </w:pPr>
      <w:r>
        <w:rPr>
          <w:rFonts w:ascii="Arial" w:cs="Arial" w:eastAsia="Arial" w:hAnsi="Arial"/>
          <w:sz w:val="18"/>
          <w:szCs w:val="18"/>
          <w:color w:val="auto"/>
        </w:rPr>
        <w:t>The Management Board may resolve that for the application of the provision in paragraph 1, persons with voting rights and/or meeting rights are considered to be those persons who (i) on a date determined by the Management Board (the '</w:t>
      </w:r>
      <w:r>
        <w:rPr>
          <w:rFonts w:ascii="Arial" w:cs="Arial" w:eastAsia="Arial" w:hAnsi="Arial"/>
          <w:sz w:val="18"/>
          <w:szCs w:val="18"/>
          <w:b w:val="1"/>
          <w:bCs w:val="1"/>
          <w:color w:val="auto"/>
        </w:rPr>
        <w:t>record date</w:t>
      </w:r>
      <w:r>
        <w:rPr>
          <w:rFonts w:ascii="Arial" w:cs="Arial" w:eastAsia="Arial" w:hAnsi="Arial"/>
          <w:sz w:val="18"/>
          <w:szCs w:val="18"/>
          <w:color w:val="auto"/>
        </w:rPr>
        <w:t>') are persons with voting rights and/or meeting rights with respect to a share, and (ii) are registered in (a) register(s) determined by the Management Board (the '</w:t>
      </w:r>
      <w:r>
        <w:rPr>
          <w:rFonts w:ascii="Arial" w:cs="Arial" w:eastAsia="Arial" w:hAnsi="Arial"/>
          <w:sz w:val="18"/>
          <w:szCs w:val="18"/>
          <w:b w:val="1"/>
          <w:bCs w:val="1"/>
          <w:color w:val="auto"/>
        </w:rPr>
        <w:t>register</w:t>
      </w:r>
      <w:r>
        <w:rPr>
          <w:rFonts w:ascii="Arial" w:cs="Arial" w:eastAsia="Arial" w:hAnsi="Arial"/>
          <w:sz w:val="18"/>
          <w:szCs w:val="18"/>
          <w:color w:val="auto"/>
        </w:rPr>
        <w:t>'), provided that (iii) that person with voting rights and/or meeting rights gave notice to the company of his intention to attend the general meeting, irrespective of who at the time of the general meeting is a person with voting rights and/or meeting rights.</w:t>
      </w:r>
    </w:p>
    <w:p>
      <w:pPr>
        <w:spacing w:after="0" w:line="167" w:lineRule="exact"/>
        <w:rPr>
          <w:rFonts w:ascii="Arial" w:cs="Arial" w:eastAsia="Arial" w:hAnsi="Arial"/>
          <w:sz w:val="19"/>
          <w:szCs w:val="19"/>
          <w:color w:val="auto"/>
        </w:rPr>
      </w:pPr>
    </w:p>
    <w:p>
      <w:pPr>
        <w:ind w:left="380" w:right="380"/>
        <w:spacing w:after="0" w:line="631" w:lineRule="auto"/>
        <w:rPr>
          <w:rFonts w:ascii="Arial" w:cs="Arial" w:eastAsia="Arial" w:hAnsi="Arial"/>
          <w:sz w:val="19"/>
          <w:szCs w:val="19"/>
          <w:color w:val="auto"/>
        </w:rPr>
      </w:pPr>
      <w:r>
        <w:rPr>
          <w:rFonts w:ascii="Arial" w:cs="Arial" w:eastAsia="Arial" w:hAnsi="Arial"/>
          <w:sz w:val="16"/>
          <w:szCs w:val="16"/>
          <w:color w:val="auto"/>
        </w:rPr>
        <w:t xml:space="preserve">The notice must state the name and the number of shares for which the person is entitled to vote and/or to attend the general meeting. The provisions regarding the notice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a holder of a proxy of a person with voting rights and/or meeting rights.</w:t>
      </w:r>
    </w:p>
    <w:p>
      <w:pPr>
        <w:spacing w:after="0" w:line="18" w:lineRule="exact"/>
        <w:rPr>
          <w:rFonts w:ascii="Arial" w:cs="Arial" w:eastAsia="Arial" w:hAnsi="Arial"/>
          <w:sz w:val="19"/>
          <w:szCs w:val="19"/>
          <w:color w:val="auto"/>
        </w:rPr>
      </w:pPr>
    </w:p>
    <w:p>
      <w:pPr>
        <w:jc w:val="both"/>
        <w:ind w:left="380" w:hanging="372"/>
        <w:spacing w:after="0" w:line="329" w:lineRule="auto"/>
        <w:tabs>
          <w:tab w:leader="none" w:pos="380" w:val="left"/>
        </w:tabs>
        <w:numPr>
          <w:ilvl w:val="0"/>
          <w:numId w:val="103"/>
        </w:numPr>
        <w:rPr>
          <w:rFonts w:ascii="Arial" w:cs="Arial" w:eastAsia="Arial" w:hAnsi="Arial"/>
          <w:sz w:val="19"/>
          <w:szCs w:val="19"/>
          <w:color w:val="auto"/>
        </w:rPr>
      </w:pPr>
      <w:r>
        <w:rPr>
          <w:rFonts w:ascii="Arial" w:cs="Arial" w:eastAsia="Arial" w:hAnsi="Arial"/>
          <w:sz w:val="18"/>
          <w:szCs w:val="18"/>
          <w:color w:val="auto"/>
        </w:rPr>
        <w:t>In case the Management Board does not use the authority referred to in paragraph 2, persons with voting rights and/or meeting rights with respect to shares, must give written notice to the Management Board of their intention to exercise the rights referred to in paragraph 1 at the general meeting, at such places and at such date as the Management Board will give notice of in the notice for the general meeting.</w:t>
      </w:r>
    </w:p>
    <w:p>
      <w:pPr>
        <w:spacing w:after="0" w:line="172" w:lineRule="exact"/>
        <w:rPr>
          <w:rFonts w:ascii="Arial" w:cs="Arial" w:eastAsia="Arial" w:hAnsi="Arial"/>
          <w:sz w:val="19"/>
          <w:szCs w:val="19"/>
          <w:color w:val="auto"/>
        </w:rPr>
      </w:pPr>
    </w:p>
    <w:p>
      <w:pPr>
        <w:jc w:val="both"/>
        <w:ind w:left="380" w:hanging="372"/>
        <w:spacing w:after="0" w:line="278" w:lineRule="auto"/>
        <w:tabs>
          <w:tab w:leader="none" w:pos="380" w:val="left"/>
        </w:tabs>
        <w:numPr>
          <w:ilvl w:val="0"/>
          <w:numId w:val="103"/>
        </w:numPr>
        <w:rPr>
          <w:rFonts w:ascii="Arial" w:cs="Arial" w:eastAsia="Arial" w:hAnsi="Arial"/>
          <w:sz w:val="22"/>
          <w:szCs w:val="22"/>
          <w:color w:val="auto"/>
        </w:rPr>
      </w:pPr>
      <w:r>
        <w:rPr>
          <w:rFonts w:ascii="Arial" w:cs="Arial" w:eastAsia="Arial" w:hAnsi="Arial"/>
          <w:sz w:val="20"/>
          <w:szCs w:val="20"/>
          <w:color w:val="auto"/>
        </w:rPr>
        <w:t>Insofar applicable, the convocation notice shall state the record date as well as where and how the registration as referred to in paragraph 2 is to take place, and, in so far as votes can be cast electronically, the way in which the rights of the person entitled to vote and to attend a meeting can be exercised.</w:t>
      </w:r>
    </w:p>
    <w:p>
      <w:pPr>
        <w:spacing w:after="0" w:line="214" w:lineRule="exact"/>
        <w:rPr>
          <w:rFonts w:ascii="Arial" w:cs="Arial" w:eastAsia="Arial" w:hAnsi="Arial"/>
          <w:sz w:val="22"/>
          <w:szCs w:val="22"/>
          <w:color w:val="auto"/>
        </w:rPr>
      </w:pPr>
    </w:p>
    <w:p>
      <w:pPr>
        <w:jc w:val="both"/>
        <w:ind w:left="380" w:hanging="372"/>
        <w:spacing w:after="0" w:line="279" w:lineRule="auto"/>
        <w:tabs>
          <w:tab w:leader="none" w:pos="380" w:val="left"/>
        </w:tabs>
        <w:numPr>
          <w:ilvl w:val="0"/>
          <w:numId w:val="103"/>
        </w:numPr>
        <w:rPr>
          <w:rFonts w:ascii="Arial" w:cs="Arial" w:eastAsia="Arial" w:hAnsi="Arial"/>
          <w:sz w:val="22"/>
          <w:szCs w:val="22"/>
          <w:color w:val="auto"/>
        </w:rPr>
      </w:pPr>
      <w:r>
        <w:rPr>
          <w:rFonts w:ascii="Arial" w:cs="Arial" w:eastAsia="Arial" w:hAnsi="Arial"/>
          <w:sz w:val="20"/>
          <w:szCs w:val="20"/>
          <w:color w:val="auto"/>
        </w:rPr>
        <w:t>A person entitled to vote and/or attend meetings, who wants to be represented in the general meeting by an attorney authorized in writing or proxy, must hand in their power of attorney or duly executed proxy at the office of the company or at another place to be designated by the company within the period laid down on the convocation notice; or inform the company about the power of attorney by electronic means.</w:t>
      </w:r>
    </w:p>
    <w:p>
      <w:pPr>
        <w:spacing w:after="0" w:line="200"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The Board of Management may decide that the proxies from those entitled to vote are attached to the attendance list.</w:t>
      </w:r>
    </w:p>
    <w:p>
      <w:pPr>
        <w:spacing w:after="0" w:line="267" w:lineRule="exact"/>
        <w:rPr>
          <w:rFonts w:ascii="Arial" w:cs="Arial" w:eastAsia="Arial" w:hAnsi="Arial"/>
          <w:sz w:val="22"/>
          <w:szCs w:val="22"/>
          <w:color w:val="auto"/>
        </w:rPr>
      </w:pPr>
    </w:p>
    <w:p>
      <w:pPr>
        <w:ind w:left="380" w:hanging="372"/>
        <w:spacing w:after="0"/>
        <w:tabs>
          <w:tab w:leader="none" w:pos="380" w:val="left"/>
        </w:tabs>
        <w:numPr>
          <w:ilvl w:val="0"/>
          <w:numId w:val="103"/>
        </w:numPr>
        <w:rPr>
          <w:rFonts w:ascii="Arial" w:cs="Arial" w:eastAsia="Arial" w:hAnsi="Arial"/>
          <w:sz w:val="22"/>
          <w:szCs w:val="22"/>
          <w:color w:val="auto"/>
        </w:rPr>
      </w:pPr>
      <w:r>
        <w:rPr>
          <w:rFonts w:ascii="Arial" w:cs="Arial" w:eastAsia="Arial" w:hAnsi="Arial"/>
          <w:sz w:val="20"/>
          <w:szCs w:val="20"/>
          <w:color w:val="auto"/>
        </w:rPr>
        <w:t>The attendance list must be signed by each person with voting rights and/or meeting rights or his representative.</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103"/>
        </w:numPr>
        <w:rPr>
          <w:rFonts w:ascii="Arial" w:cs="Arial" w:eastAsia="Arial" w:hAnsi="Arial"/>
          <w:sz w:val="22"/>
          <w:szCs w:val="22"/>
          <w:color w:val="auto"/>
        </w:rPr>
      </w:pPr>
      <w:r>
        <w:rPr>
          <w:rFonts w:ascii="Arial" w:cs="Arial" w:eastAsia="Arial" w:hAnsi="Arial"/>
          <w:sz w:val="20"/>
          <w:szCs w:val="20"/>
          <w:color w:val="auto"/>
        </w:rPr>
        <w:t>The members of the Management Board and the Supervisory Board shall have the right to attend the general meeting.</w:t>
      </w:r>
    </w:p>
    <w:p>
      <w:pPr>
        <w:spacing w:after="0" w:line="249" w:lineRule="exact"/>
        <w:rPr>
          <w:rFonts w:ascii="Arial" w:cs="Arial" w:eastAsia="Arial" w:hAnsi="Arial"/>
          <w:sz w:val="22"/>
          <w:szCs w:val="22"/>
          <w:color w:val="auto"/>
        </w:rPr>
      </w:pPr>
    </w:p>
    <w:p>
      <w:pPr>
        <w:jc w:val="both"/>
        <w:ind w:left="380" w:hanging="372"/>
        <w:spacing w:after="0" w:line="298" w:lineRule="auto"/>
        <w:tabs>
          <w:tab w:leader="none" w:pos="380" w:val="left"/>
        </w:tabs>
        <w:numPr>
          <w:ilvl w:val="0"/>
          <w:numId w:val="103"/>
        </w:numPr>
        <w:rPr>
          <w:rFonts w:ascii="Arial" w:cs="Arial" w:eastAsia="Arial" w:hAnsi="Arial"/>
          <w:sz w:val="21"/>
          <w:szCs w:val="21"/>
          <w:color w:val="auto"/>
        </w:rPr>
      </w:pPr>
      <w:r>
        <w:rPr>
          <w:rFonts w:ascii="Arial" w:cs="Arial" w:eastAsia="Arial" w:hAnsi="Arial"/>
          <w:sz w:val="19"/>
          <w:szCs w:val="19"/>
          <w:color w:val="auto"/>
        </w:rPr>
        <w:t>The Management Board may decide that every shareholder is entitled to participate in, to address and to vote in the general meeting by way of an electronic means of communication, in person or by proxy, provided the shareholder may by the electronic means of communication be identified, directly take notice of the discussion in the meeting and participate in the deliberations.</w:t>
      </w:r>
    </w:p>
    <w:p>
      <w:pPr>
        <w:spacing w:after="0" w:line="183" w:lineRule="exact"/>
        <w:rPr>
          <w:rFonts w:ascii="Arial" w:cs="Arial" w:eastAsia="Arial" w:hAnsi="Arial"/>
          <w:sz w:val="21"/>
          <w:szCs w:val="21"/>
          <w:color w:val="auto"/>
        </w:rPr>
      </w:pPr>
    </w:p>
    <w:p>
      <w:pPr>
        <w:ind w:left="380" w:right="640"/>
        <w:spacing w:after="0" w:line="614" w:lineRule="auto"/>
        <w:rPr>
          <w:rFonts w:ascii="Arial" w:cs="Arial" w:eastAsia="Arial" w:hAnsi="Arial"/>
          <w:sz w:val="21"/>
          <w:szCs w:val="21"/>
          <w:color w:val="auto"/>
        </w:rPr>
      </w:pPr>
      <w:r>
        <w:rPr>
          <w:rFonts w:ascii="Arial" w:cs="Arial" w:eastAsia="Arial" w:hAnsi="Arial"/>
          <w:sz w:val="18"/>
          <w:szCs w:val="18"/>
          <w:color w:val="auto"/>
        </w:rPr>
        <w:t>The Management Board may adopt a resolution containing conditions for the use of electronic means of communication in writing. If the Management Board has made such regulation, such conditions will be disclosed with the notice convening the meeting.</w:t>
      </w:r>
    </w:p>
    <w:p>
      <w:pPr>
        <w:sectPr>
          <w:pgSz w:w="11900" w:h="17035" w:orient="portrait"/>
          <w:cols w:equalWidth="0" w:num="1">
            <w:col w:w="11420"/>
          </w:cols>
          <w:pgMar w:left="240" w:top="150" w:right="239" w:bottom="0" w:gutter="0" w:footer="0" w:header="0"/>
        </w:sectPr>
      </w:pPr>
    </w:p>
    <w:bookmarkStart w:id="126" w:name="page127"/>
    <w:bookmarkEnd w:id="126"/>
    <w:p>
      <w:pPr>
        <w:ind w:left="380" w:hanging="372"/>
        <w:spacing w:after="0" w:line="279" w:lineRule="auto"/>
        <w:tabs>
          <w:tab w:leader="none" w:pos="380" w:val="left"/>
        </w:tabs>
        <w:numPr>
          <w:ilvl w:val="0"/>
          <w:numId w:val="104"/>
        </w:numPr>
        <w:rPr>
          <w:rFonts w:ascii="Arial" w:cs="Arial" w:eastAsia="Arial" w:hAnsi="Arial"/>
          <w:sz w:val="22"/>
          <w:szCs w:val="22"/>
          <w:color w:val="auto"/>
        </w:rPr>
      </w:pPr>
      <w:r>
        <w:rPr>
          <w:rFonts w:ascii="Arial" w:cs="Arial" w:eastAsia="Arial" w:hAnsi="Arial"/>
          <w:sz w:val="20"/>
          <w:szCs w:val="20"/>
          <w:color w:val="auto"/>
        </w:rPr>
        <w:t>In the event a record date issued as referred to in paragraph 2, the Management Board may stipulate that votes cast prior to the general meeting by electronic means are equated with votes cast during the meeting.</w:t>
      </w:r>
    </w:p>
    <w:p>
      <w:pPr>
        <w:spacing w:after="0" w:line="194" w:lineRule="exact"/>
        <w:rPr>
          <w:rFonts w:ascii="Arial" w:cs="Arial" w:eastAsia="Arial" w:hAnsi="Arial"/>
          <w:sz w:val="22"/>
          <w:szCs w:val="22"/>
          <w:color w:val="auto"/>
        </w:rPr>
      </w:pPr>
    </w:p>
    <w:p>
      <w:pPr>
        <w:ind w:left="380"/>
        <w:spacing w:after="0" w:line="289" w:lineRule="auto"/>
        <w:rPr>
          <w:rFonts w:ascii="Arial" w:cs="Arial" w:eastAsia="Arial" w:hAnsi="Arial"/>
          <w:sz w:val="22"/>
          <w:szCs w:val="22"/>
          <w:color w:val="auto"/>
        </w:rPr>
      </w:pPr>
      <w:r>
        <w:rPr>
          <w:rFonts w:ascii="Arial" w:cs="Arial" w:eastAsia="Arial" w:hAnsi="Arial"/>
          <w:sz w:val="20"/>
          <w:szCs w:val="20"/>
          <w:color w:val="auto"/>
        </w:rPr>
        <w:t>These votes, in order to be valid, must be cast by a holder of voting rights on the record date and may not be cast earlier than on the record date.</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Article 25.</w:t>
      </w:r>
    </w:p>
    <w:p>
      <w:pPr>
        <w:spacing w:after="0" w:line="282" w:lineRule="exact"/>
        <w:rPr>
          <w:sz w:val="20"/>
          <w:szCs w:val="20"/>
          <w:color w:val="auto"/>
        </w:rPr>
      </w:pPr>
    </w:p>
    <w:p>
      <w:pPr>
        <w:ind w:left="380" w:hanging="372"/>
        <w:spacing w:after="0"/>
        <w:tabs>
          <w:tab w:leader="none" w:pos="380" w:val="left"/>
        </w:tabs>
        <w:numPr>
          <w:ilvl w:val="0"/>
          <w:numId w:val="105"/>
        </w:numPr>
        <w:rPr>
          <w:rFonts w:ascii="Arial" w:cs="Arial" w:eastAsia="Arial" w:hAnsi="Arial"/>
          <w:sz w:val="22"/>
          <w:szCs w:val="22"/>
          <w:color w:val="auto"/>
        </w:rPr>
      </w:pPr>
      <w:r>
        <w:rPr>
          <w:rFonts w:ascii="Arial" w:cs="Arial" w:eastAsia="Arial" w:hAnsi="Arial"/>
          <w:sz w:val="20"/>
          <w:szCs w:val="20"/>
          <w:color w:val="auto"/>
        </w:rPr>
        <w:t>Each share shall confer the right to cast one vote.</w:t>
      </w:r>
    </w:p>
    <w:p>
      <w:pPr>
        <w:spacing w:after="0" w:line="249"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105"/>
        </w:numPr>
        <w:rPr>
          <w:rFonts w:ascii="Arial" w:cs="Arial" w:eastAsia="Arial" w:hAnsi="Arial"/>
          <w:sz w:val="22"/>
          <w:szCs w:val="22"/>
          <w:color w:val="auto"/>
        </w:rPr>
      </w:pPr>
      <w:r>
        <w:rPr>
          <w:rFonts w:ascii="Arial" w:cs="Arial" w:eastAsia="Arial" w:hAnsi="Arial"/>
          <w:sz w:val="20"/>
          <w:szCs w:val="20"/>
          <w:color w:val="auto"/>
        </w:rPr>
        <w:t>Insofar as the law or these articles of association do not prescribe a larger majority, resolutions shall be passed by a simple majority of votes cast in a meeting where at least one third of the outstanding shares are represented.</w:t>
      </w:r>
    </w:p>
    <w:p>
      <w:pPr>
        <w:spacing w:after="0" w:line="205" w:lineRule="exact"/>
        <w:rPr>
          <w:rFonts w:ascii="Arial" w:cs="Arial" w:eastAsia="Arial" w:hAnsi="Arial"/>
          <w:sz w:val="22"/>
          <w:szCs w:val="22"/>
          <w:color w:val="auto"/>
        </w:rPr>
      </w:pPr>
    </w:p>
    <w:p>
      <w:pPr>
        <w:ind w:left="380" w:hanging="372"/>
        <w:spacing w:after="0"/>
        <w:tabs>
          <w:tab w:leader="none" w:pos="380" w:val="left"/>
        </w:tabs>
        <w:numPr>
          <w:ilvl w:val="0"/>
          <w:numId w:val="105"/>
        </w:numPr>
        <w:rPr>
          <w:rFonts w:ascii="Arial" w:cs="Arial" w:eastAsia="Arial" w:hAnsi="Arial"/>
          <w:sz w:val="22"/>
          <w:szCs w:val="22"/>
          <w:color w:val="auto"/>
        </w:rPr>
      </w:pPr>
      <w:r>
        <w:rPr>
          <w:rFonts w:ascii="Arial" w:cs="Arial" w:eastAsia="Arial" w:hAnsi="Arial"/>
          <w:sz w:val="20"/>
          <w:szCs w:val="20"/>
          <w:color w:val="auto"/>
        </w:rPr>
        <w:t>The chairman of the meeting determines the method of voting, which includes oral, written or electronic voting.</w:t>
      </w:r>
    </w:p>
    <w:p>
      <w:pPr>
        <w:spacing w:after="0" w:line="235" w:lineRule="exact"/>
        <w:rPr>
          <w:rFonts w:ascii="Arial" w:cs="Arial" w:eastAsia="Arial" w:hAnsi="Arial"/>
          <w:sz w:val="22"/>
          <w:szCs w:val="22"/>
          <w:color w:val="auto"/>
        </w:rPr>
      </w:pPr>
    </w:p>
    <w:p>
      <w:pPr>
        <w:ind w:left="380" w:right="1500"/>
        <w:spacing w:after="0" w:line="504" w:lineRule="auto"/>
        <w:rPr>
          <w:rFonts w:ascii="Arial" w:cs="Arial" w:eastAsia="Arial" w:hAnsi="Arial"/>
          <w:sz w:val="22"/>
          <w:szCs w:val="22"/>
          <w:color w:val="auto"/>
        </w:rPr>
      </w:pPr>
      <w:r>
        <w:rPr>
          <w:rFonts w:ascii="Arial" w:cs="Arial" w:eastAsia="Arial" w:hAnsi="Arial"/>
          <w:sz w:val="20"/>
          <w:szCs w:val="20"/>
          <w:color w:val="auto"/>
        </w:rPr>
        <w:t>In the event of the election of persons, anyone entitled to vote may demand that voting shall take place by written ballot. Voting by written ballot shall take place by means of sealed, unsigned ballot papers.</w:t>
      </w:r>
    </w:p>
    <w:p>
      <w:pPr>
        <w:spacing w:after="0" w:line="19" w:lineRule="exact"/>
        <w:rPr>
          <w:rFonts w:ascii="Arial" w:cs="Arial" w:eastAsia="Arial" w:hAnsi="Arial"/>
          <w:sz w:val="22"/>
          <w:szCs w:val="22"/>
          <w:color w:val="auto"/>
        </w:rPr>
      </w:pPr>
    </w:p>
    <w:p>
      <w:pPr>
        <w:ind w:left="380" w:right="1700" w:hanging="372"/>
        <w:spacing w:after="0" w:line="480" w:lineRule="auto"/>
        <w:tabs>
          <w:tab w:leader="none" w:pos="380" w:val="left"/>
        </w:tabs>
        <w:numPr>
          <w:ilvl w:val="0"/>
          <w:numId w:val="105"/>
        </w:numPr>
        <w:rPr>
          <w:rFonts w:ascii="Arial" w:cs="Arial" w:eastAsia="Arial" w:hAnsi="Arial"/>
          <w:sz w:val="22"/>
          <w:szCs w:val="22"/>
          <w:color w:val="auto"/>
        </w:rPr>
      </w:pPr>
      <w:r>
        <w:rPr>
          <w:rFonts w:ascii="Arial" w:cs="Arial" w:eastAsia="Arial" w:hAnsi="Arial"/>
          <w:sz w:val="20"/>
          <w:szCs w:val="20"/>
          <w:color w:val="auto"/>
        </w:rPr>
        <w:t>In the event the votes tie, the issue shall be decided by drawing lots, if it involves a proposal pertaining to individuals. If it concerns matters, the proposal shall be rejected in the event the votes tie.</w:t>
      </w:r>
    </w:p>
    <w:p>
      <w:pPr>
        <w:spacing w:after="0" w:line="17" w:lineRule="exact"/>
        <w:rPr>
          <w:rFonts w:ascii="Arial" w:cs="Arial" w:eastAsia="Arial" w:hAnsi="Arial"/>
          <w:sz w:val="22"/>
          <w:szCs w:val="22"/>
          <w:color w:val="auto"/>
        </w:rPr>
      </w:pPr>
    </w:p>
    <w:p>
      <w:pPr>
        <w:ind w:left="380" w:hanging="372"/>
        <w:spacing w:after="0"/>
        <w:tabs>
          <w:tab w:leader="none" w:pos="380" w:val="left"/>
        </w:tabs>
        <w:numPr>
          <w:ilvl w:val="0"/>
          <w:numId w:val="105"/>
        </w:numPr>
        <w:rPr>
          <w:rFonts w:ascii="Arial" w:cs="Arial" w:eastAsia="Arial" w:hAnsi="Arial"/>
          <w:sz w:val="22"/>
          <w:szCs w:val="22"/>
          <w:color w:val="auto"/>
        </w:rPr>
      </w:pPr>
      <w:r>
        <w:rPr>
          <w:rFonts w:ascii="Arial" w:cs="Arial" w:eastAsia="Arial" w:hAnsi="Arial"/>
          <w:sz w:val="20"/>
          <w:szCs w:val="20"/>
          <w:color w:val="auto"/>
        </w:rPr>
        <w:t>Blank votes and invalid votes shall be considered as not having been cast.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Meetings of holders of preferred shares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Article 26.</w:t>
      </w:r>
    </w:p>
    <w:p>
      <w:pPr>
        <w:spacing w:after="0" w:line="266" w:lineRule="exact"/>
        <w:rPr>
          <w:sz w:val="20"/>
          <w:szCs w:val="20"/>
          <w:color w:val="auto"/>
        </w:rPr>
      </w:pPr>
    </w:p>
    <w:p>
      <w:pPr>
        <w:jc w:val="both"/>
        <w:spacing w:after="0" w:line="316" w:lineRule="auto"/>
        <w:rPr>
          <w:sz w:val="20"/>
          <w:szCs w:val="20"/>
          <w:color w:val="auto"/>
        </w:rPr>
      </w:pPr>
      <w:r>
        <w:rPr>
          <w:rFonts w:ascii="Arial" w:cs="Arial" w:eastAsia="Arial" w:hAnsi="Arial"/>
          <w:sz w:val="19"/>
          <w:szCs w:val="19"/>
          <w:color w:val="auto"/>
        </w:rPr>
        <w:t>Meetings of holders of preferred shares are held as frequently as a resolution is required by the meeting in question and as frequently as is deemed desirable by either the Management Board or the Supervisory Board, or by one or more holder(s) of preferred shares.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 xml:space="preserve">The provision of articles 22 through 25 apply </w:t>
      </w:r>
      <w:r>
        <w:rPr>
          <w:rFonts w:ascii="Arial" w:cs="Arial" w:eastAsia="Arial" w:hAnsi="Arial"/>
          <w:sz w:val="20"/>
          <w:szCs w:val="20"/>
          <w:i w:val="1"/>
          <w:iCs w:val="1"/>
          <w:color w:val="auto"/>
        </w:rPr>
        <w:t>mutatis mutandis</w:t>
      </w:r>
      <w:r>
        <w:rPr>
          <w:rFonts w:ascii="Arial" w:cs="Arial" w:eastAsia="Arial" w:hAnsi="Arial"/>
          <w:sz w:val="20"/>
          <w:szCs w:val="20"/>
          <w:color w:val="auto"/>
        </w:rPr>
        <w:t>, this with the exceptions that (i) the convocation shall be effected no later than the eighth day preceding the meeting, (ii) the meeting arranges the chairmanship shall not apply and (iii) the convocation will be affected by means of a notice of the meeting at the addresses of the holders of preferred shares listed in the shareholders' register or to the extent the holder of preferred shares consents thereto, he/she may be notified by a legible message sent electronically to the address that he/she has given to the company for this purpose.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Amendments to the articles of association, legal merger, demerger, dissolution and liquidation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Article 27.</w:t>
      </w:r>
    </w:p>
    <w:p>
      <w:pPr>
        <w:spacing w:after="0" w:line="280" w:lineRule="exact"/>
        <w:rPr>
          <w:sz w:val="20"/>
          <w:szCs w:val="20"/>
          <w:color w:val="auto"/>
        </w:rPr>
      </w:pPr>
    </w:p>
    <w:p>
      <w:pPr>
        <w:ind w:left="380" w:hanging="372"/>
        <w:spacing w:after="0" w:line="306" w:lineRule="auto"/>
        <w:tabs>
          <w:tab w:leader="none" w:pos="380" w:val="left"/>
        </w:tabs>
        <w:numPr>
          <w:ilvl w:val="0"/>
          <w:numId w:val="106"/>
        </w:numPr>
        <w:rPr>
          <w:rFonts w:ascii="Arial" w:cs="Arial" w:eastAsia="Arial" w:hAnsi="Arial"/>
          <w:sz w:val="21"/>
          <w:szCs w:val="21"/>
          <w:color w:val="auto"/>
        </w:rPr>
      </w:pPr>
      <w:r>
        <w:rPr>
          <w:rFonts w:ascii="Arial" w:cs="Arial" w:eastAsia="Arial" w:hAnsi="Arial"/>
          <w:sz w:val="19"/>
          <w:szCs w:val="19"/>
          <w:color w:val="auto"/>
        </w:rPr>
        <w:t>On proposal of the Management Board which has been approved by the Supervisory Board, the general meeting may resolve to amend the company's articles, to conclude a legal merger (</w:t>
      </w:r>
      <w:r>
        <w:rPr>
          <w:rFonts w:ascii="Arial" w:cs="Arial" w:eastAsia="Arial" w:hAnsi="Arial"/>
          <w:sz w:val="19"/>
          <w:szCs w:val="19"/>
          <w:i w:val="1"/>
          <w:iCs w:val="1"/>
          <w:color w:val="auto"/>
        </w:rPr>
        <w:t>juridische fusie</w:t>
      </w:r>
      <w:r>
        <w:rPr>
          <w:rFonts w:ascii="Arial" w:cs="Arial" w:eastAsia="Arial" w:hAnsi="Arial"/>
          <w:sz w:val="19"/>
          <w:szCs w:val="19"/>
          <w:color w:val="auto"/>
        </w:rPr>
        <w:t>) or a demerger (</w:t>
      </w:r>
      <w:r>
        <w:rPr>
          <w:rFonts w:ascii="Arial" w:cs="Arial" w:eastAsia="Arial" w:hAnsi="Arial"/>
          <w:sz w:val="19"/>
          <w:szCs w:val="19"/>
          <w:i w:val="1"/>
          <w:iCs w:val="1"/>
          <w:color w:val="auto"/>
        </w:rPr>
        <w:t>splitsing</w:t>
      </w:r>
      <w:r>
        <w:rPr>
          <w:rFonts w:ascii="Arial" w:cs="Arial" w:eastAsia="Arial" w:hAnsi="Arial"/>
          <w:sz w:val="19"/>
          <w:szCs w:val="19"/>
          <w:color w:val="auto"/>
        </w:rPr>
        <w:t>), or to dissolve the company.</w:t>
      </w:r>
    </w:p>
    <w:p>
      <w:pPr>
        <w:spacing w:after="0" w:line="183" w:lineRule="exact"/>
        <w:rPr>
          <w:rFonts w:ascii="Arial" w:cs="Arial" w:eastAsia="Arial" w:hAnsi="Arial"/>
          <w:sz w:val="21"/>
          <w:szCs w:val="21"/>
          <w:color w:val="auto"/>
        </w:rPr>
      </w:pPr>
    </w:p>
    <w:p>
      <w:pPr>
        <w:jc w:val="both"/>
        <w:ind w:left="380" w:hanging="372"/>
        <w:spacing w:after="0" w:line="278" w:lineRule="auto"/>
        <w:tabs>
          <w:tab w:leader="none" w:pos="380" w:val="left"/>
        </w:tabs>
        <w:numPr>
          <w:ilvl w:val="0"/>
          <w:numId w:val="106"/>
        </w:numPr>
        <w:rPr>
          <w:rFonts w:ascii="Arial" w:cs="Arial" w:eastAsia="Arial" w:hAnsi="Arial"/>
          <w:sz w:val="22"/>
          <w:szCs w:val="22"/>
          <w:color w:val="auto"/>
        </w:rPr>
      </w:pPr>
      <w:r>
        <w:rPr>
          <w:rFonts w:ascii="Arial" w:cs="Arial" w:eastAsia="Arial" w:hAnsi="Arial"/>
          <w:sz w:val="20"/>
          <w:szCs w:val="20"/>
          <w:color w:val="auto"/>
        </w:rPr>
        <w:t>The full proposal shall be available at the offices of the company from the day of the convocation to the general meeting until the close of same for inspection by those who are entitled to attend meetings; the copies of this proposal shall be made available free of charge to those who are entitled to attend meetings.</w:t>
      </w:r>
    </w:p>
    <w:p>
      <w:pPr>
        <w:spacing w:after="0" w:line="200"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0"/>
          <w:szCs w:val="20"/>
          <w:color w:val="auto"/>
        </w:rPr>
        <w:t>This shall be stated in the convocation advertisement.</w:t>
      </w:r>
    </w:p>
    <w:p>
      <w:pPr>
        <w:spacing w:after="0" w:line="269" w:lineRule="exact"/>
        <w:rPr>
          <w:rFonts w:ascii="Arial" w:cs="Arial" w:eastAsia="Arial" w:hAnsi="Arial"/>
          <w:sz w:val="22"/>
          <w:szCs w:val="22"/>
          <w:color w:val="auto"/>
        </w:rPr>
      </w:pPr>
    </w:p>
    <w:p>
      <w:pPr>
        <w:ind w:left="380" w:hanging="372"/>
        <w:spacing w:after="0" w:line="279" w:lineRule="auto"/>
        <w:tabs>
          <w:tab w:leader="none" w:pos="380" w:val="left"/>
        </w:tabs>
        <w:numPr>
          <w:ilvl w:val="0"/>
          <w:numId w:val="106"/>
        </w:numPr>
        <w:rPr>
          <w:rFonts w:ascii="Arial" w:cs="Arial" w:eastAsia="Arial" w:hAnsi="Arial"/>
          <w:sz w:val="22"/>
          <w:szCs w:val="22"/>
          <w:color w:val="auto"/>
        </w:rPr>
      </w:pPr>
      <w:r>
        <w:rPr>
          <w:rFonts w:ascii="Arial" w:cs="Arial" w:eastAsia="Arial" w:hAnsi="Arial"/>
          <w:sz w:val="20"/>
          <w:szCs w:val="20"/>
          <w:color w:val="auto"/>
        </w:rPr>
        <w:t>Upon dissolution, the liquidation of the company shall be effected by the Management Board, unless the general meeting has designated other liquidators.</w:t>
      </w:r>
    </w:p>
    <w:p>
      <w:pPr>
        <w:spacing w:after="0" w:line="208" w:lineRule="exact"/>
        <w:rPr>
          <w:rFonts w:ascii="Arial" w:cs="Arial" w:eastAsia="Arial" w:hAnsi="Arial"/>
          <w:sz w:val="22"/>
          <w:szCs w:val="22"/>
          <w:color w:val="auto"/>
        </w:rPr>
      </w:pPr>
    </w:p>
    <w:p>
      <w:pPr>
        <w:ind w:left="380" w:hanging="372"/>
        <w:spacing w:after="0"/>
        <w:tabs>
          <w:tab w:leader="none" w:pos="380" w:val="left"/>
        </w:tabs>
        <w:numPr>
          <w:ilvl w:val="0"/>
          <w:numId w:val="106"/>
        </w:numPr>
        <w:rPr>
          <w:rFonts w:ascii="Arial" w:cs="Arial" w:eastAsia="Arial" w:hAnsi="Arial"/>
          <w:sz w:val="21"/>
          <w:szCs w:val="21"/>
          <w:color w:val="auto"/>
        </w:rPr>
      </w:pPr>
      <w:r>
        <w:rPr>
          <w:rFonts w:ascii="Arial" w:cs="Arial" w:eastAsia="Arial" w:hAnsi="Arial"/>
          <w:sz w:val="19"/>
          <w:szCs w:val="19"/>
          <w:color w:val="auto"/>
        </w:rPr>
        <w:t>The remainder of the company's assets after payment of all debts and the costs of the liquidation shall be distributed as follows:</w:t>
      </w:r>
    </w:p>
    <w:p>
      <w:pPr>
        <w:spacing w:after="0" w:line="258" w:lineRule="exact"/>
        <w:rPr>
          <w:rFonts w:ascii="Arial" w:cs="Arial" w:eastAsia="Arial" w:hAnsi="Arial"/>
          <w:sz w:val="21"/>
          <w:szCs w:val="21"/>
          <w:color w:val="auto"/>
        </w:rPr>
      </w:pPr>
    </w:p>
    <w:p>
      <w:pPr>
        <w:jc w:val="both"/>
        <w:ind w:left="780" w:hanging="380"/>
        <w:spacing w:after="0" w:line="297" w:lineRule="auto"/>
        <w:tabs>
          <w:tab w:leader="none" w:pos="762" w:val="left"/>
        </w:tabs>
        <w:numPr>
          <w:ilvl w:val="1"/>
          <w:numId w:val="106"/>
        </w:numPr>
        <w:rPr>
          <w:rFonts w:ascii="Arial" w:cs="Arial" w:eastAsia="Arial" w:hAnsi="Arial"/>
          <w:sz w:val="21"/>
          <w:szCs w:val="21"/>
          <w:color w:val="auto"/>
        </w:rPr>
      </w:pPr>
      <w:r>
        <w:rPr>
          <w:rFonts w:ascii="Arial" w:cs="Arial" w:eastAsia="Arial" w:hAnsi="Arial"/>
          <w:sz w:val="19"/>
          <w:szCs w:val="19"/>
          <w:color w:val="auto"/>
        </w:rPr>
        <w:t>first, the holders of the preferred shares shall be paid the nominal amount paid on their preferred shares, increased by (i) any deficit in the payment of dividend as referred to in article 21 paragraph 2 and (ii) an amount equal to the percentage referred to in article 21 paragraph 2 on the compulsory amount paid on the preferred shares, calculated over the period starting on the first day of the last full financial year prior to the liquidation and ending on the day of the payment on preferred shares as referred to in this article, with due observance of the fact that any and all dividends and/or other distributions paid on the preferred shares relating to such period shall be deducted from the payment as referred to in this subparagraph;</w:t>
      </w:r>
    </w:p>
    <w:p>
      <w:pPr>
        <w:spacing w:after="0" w:line="199" w:lineRule="exact"/>
        <w:rPr>
          <w:rFonts w:ascii="Arial" w:cs="Arial" w:eastAsia="Arial" w:hAnsi="Arial"/>
          <w:sz w:val="21"/>
          <w:szCs w:val="21"/>
          <w:color w:val="auto"/>
        </w:rPr>
      </w:pPr>
    </w:p>
    <w:p>
      <w:pPr>
        <w:ind w:left="760" w:hanging="360"/>
        <w:spacing w:after="0"/>
        <w:tabs>
          <w:tab w:leader="none" w:pos="760" w:val="left"/>
        </w:tabs>
        <w:numPr>
          <w:ilvl w:val="1"/>
          <w:numId w:val="106"/>
        </w:numPr>
        <w:rPr>
          <w:rFonts w:ascii="Arial" w:cs="Arial" w:eastAsia="Arial" w:hAnsi="Arial"/>
          <w:sz w:val="19"/>
          <w:szCs w:val="19"/>
          <w:color w:val="auto"/>
        </w:rPr>
      </w:pPr>
      <w:r>
        <w:rPr>
          <w:rFonts w:ascii="Arial" w:cs="Arial" w:eastAsia="Arial" w:hAnsi="Arial"/>
          <w:sz w:val="18"/>
          <w:szCs w:val="18"/>
          <w:color w:val="auto"/>
        </w:rPr>
        <w:t>the remainder shall be paid to the holders of ordinary shares, in proportion to the number of ordinary shares that each party owns.</w:t>
      </w:r>
    </w:p>
    <w:p>
      <w:pPr>
        <w:spacing w:after="0" w:line="278" w:lineRule="exact"/>
        <w:rPr>
          <w:rFonts w:ascii="Arial" w:cs="Arial" w:eastAsia="Arial" w:hAnsi="Arial"/>
          <w:sz w:val="19"/>
          <w:szCs w:val="19"/>
          <w:color w:val="auto"/>
        </w:rPr>
      </w:pPr>
    </w:p>
    <w:p>
      <w:pPr>
        <w:ind w:left="380" w:hanging="372"/>
        <w:spacing w:after="0"/>
        <w:tabs>
          <w:tab w:leader="none" w:pos="380" w:val="left"/>
        </w:tabs>
        <w:numPr>
          <w:ilvl w:val="0"/>
          <w:numId w:val="106"/>
        </w:numPr>
        <w:rPr>
          <w:rFonts w:ascii="Arial" w:cs="Arial" w:eastAsia="Arial" w:hAnsi="Arial"/>
          <w:sz w:val="22"/>
          <w:szCs w:val="22"/>
          <w:color w:val="auto"/>
        </w:rPr>
      </w:pPr>
      <w:r>
        <w:rPr>
          <w:rFonts w:ascii="Arial" w:cs="Arial" w:eastAsia="Arial" w:hAnsi="Arial"/>
          <w:sz w:val="20"/>
          <w:szCs w:val="20"/>
          <w:color w:val="auto"/>
        </w:rPr>
        <w:t>During the liquidation, the provisions of the articles of association shall remain in force in as much as possible.</w:t>
      </w:r>
    </w:p>
    <w:p>
      <w:pPr>
        <w:sectPr>
          <w:pgSz w:w="11900" w:h="16838" w:orient="portrait"/>
          <w:cols w:equalWidth="0" w:num="1">
            <w:col w:w="11420"/>
          </w:cols>
          <w:pgMar w:left="240" w:top="190" w:right="239" w:bottom="0" w:gutter="0" w:footer="0" w:header="0"/>
        </w:sectPr>
      </w:pPr>
    </w:p>
    <w:bookmarkStart w:id="127" w:name="page128"/>
    <w:bookmarkEnd w:id="127"/>
    <w:p>
      <w:pPr>
        <w:spacing w:after="0"/>
        <w:tabs>
          <w:tab w:leader="none" w:pos="280" w:val="left"/>
        </w:tabs>
        <w:rPr>
          <w:sz w:val="20"/>
          <w:szCs w:val="20"/>
          <w:color w:val="auto"/>
        </w:rPr>
      </w:pPr>
      <w:r>
        <w:rPr>
          <w:rFonts w:ascii="Arial" w:cs="Arial" w:eastAsia="Arial" w:hAnsi="Arial"/>
          <w:sz w:val="14"/>
          <w:szCs w:val="14"/>
          <w:color w:val="auto"/>
        </w:rPr>
        <w:t>//v</w:t>
      </w:r>
      <w:r>
        <w:rPr>
          <w:sz w:val="20"/>
          <w:szCs w:val="20"/>
          <w:color w:val="auto"/>
        </w:rPr>
        <w:tab/>
      </w:r>
      <w:r>
        <w:rPr>
          <w:rFonts w:ascii="Arial" w:cs="Arial" w:eastAsia="Arial" w:hAnsi="Arial"/>
          <w:sz w:val="19"/>
          <w:szCs w:val="19"/>
          <w:color w:val="auto"/>
        </w:rPr>
        <w:t>(1)</w:t>
      </w:r>
    </w:p>
    <w:p>
      <w:pPr>
        <w:sectPr>
          <w:pgSz w:w="11900" w:h="16838" w:orient="portrait"/>
          <w:cols w:equalWidth="0" w:num="1">
            <w:col w:w="10219"/>
          </w:cols>
          <w:pgMar w:left="240" w:top="919" w:right="1440"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20"/>
          <w:szCs w:val="20"/>
          <w:b w:val="1"/>
          <w:bCs w:val="1"/>
          <w:color w:val="auto"/>
        </w:rPr>
        <w:t>AMENDMENT NO. 9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EMPLOYMENT AGREEMENT</w:t>
      </w:r>
    </w:p>
    <w:p>
      <w:pPr>
        <w:spacing w:after="0" w:line="308"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This Amendment No. 9 to Employment Agreement is entered into on July 31, 2018 by Cimpress USA Incorporated (formerly known as Vistaprint USA, Incorporated) (the “Company”) and Robert S. Keane (the “Employee”). The Company and the Employee previously entered into an Employment Agreement dated September 1, 2009, as amended (the “Agreement”), and now wish to amend the Agreement further to reflect the Employee’s compensation for the Company’s 2019 fiscal year.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agree as follows:</w:t>
      </w:r>
    </w:p>
    <w:p>
      <w:pPr>
        <w:spacing w:after="0" w:line="229" w:lineRule="exact"/>
        <w:rPr>
          <w:sz w:val="20"/>
          <w:szCs w:val="20"/>
          <w:color w:val="auto"/>
        </w:rPr>
      </w:pPr>
    </w:p>
    <w:p>
      <w:pPr>
        <w:ind w:left="1460" w:hanging="804"/>
        <w:spacing w:after="0"/>
        <w:tabs>
          <w:tab w:leader="none" w:pos="1460"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Compensation and Benefits</w:t>
      </w:r>
      <w:r>
        <w:rPr>
          <w:rFonts w:ascii="Arial" w:cs="Arial" w:eastAsia="Arial" w:hAnsi="Arial"/>
          <w:sz w:val="20"/>
          <w:szCs w:val="20"/>
          <w:color w:val="auto"/>
        </w:rPr>
        <w:t>.</w:t>
      </w:r>
    </w:p>
    <w:p>
      <w:pPr>
        <w:spacing w:after="0" w:line="238" w:lineRule="exact"/>
        <w:rPr>
          <w:sz w:val="20"/>
          <w:szCs w:val="20"/>
          <w:color w:val="auto"/>
        </w:rPr>
      </w:pPr>
    </w:p>
    <w:p>
      <w:pPr>
        <w:ind w:right="20" w:firstLine="1297"/>
        <w:spacing w:after="0" w:line="258" w:lineRule="auto"/>
        <w:rPr>
          <w:sz w:val="20"/>
          <w:szCs w:val="20"/>
          <w:color w:val="auto"/>
        </w:rPr>
      </w:pPr>
      <w:r>
        <w:rPr>
          <w:rFonts w:ascii="Arial" w:cs="Arial" w:eastAsia="Arial" w:hAnsi="Arial"/>
          <w:sz w:val="22"/>
          <w:szCs w:val="22"/>
          <w:color w:val="auto"/>
        </w:rPr>
        <w:t xml:space="preserve">1.1 </w:t>
      </w:r>
      <w:r>
        <w:rPr>
          <w:rFonts w:ascii="Arial" w:cs="Arial" w:eastAsia="Arial" w:hAnsi="Arial"/>
          <w:sz w:val="19"/>
          <w:szCs w:val="19"/>
          <w:u w:val="single" w:color="auto"/>
          <w:color w:val="auto"/>
        </w:rPr>
        <w:t>Salary</w:t>
      </w:r>
      <w:r>
        <w:rPr>
          <w:rFonts w:ascii="Arial" w:cs="Arial" w:eastAsia="Arial" w:hAnsi="Arial"/>
          <w:sz w:val="19"/>
          <w:szCs w:val="19"/>
          <w:color w:val="auto"/>
        </w:rPr>
        <w:t>. The Company shall pay the Employee, in accordance with the Company’s regular payroll practices, an annualized</w:t>
      </w:r>
      <w:r>
        <w:rPr>
          <w:rFonts w:ascii="Arial" w:cs="Arial" w:eastAsia="Arial" w:hAnsi="Arial"/>
          <w:sz w:val="22"/>
          <w:szCs w:val="22"/>
          <w:color w:val="auto"/>
        </w:rPr>
        <w:t xml:space="preserve"> </w:t>
      </w:r>
      <w:r>
        <w:rPr>
          <w:rFonts w:ascii="Arial" w:cs="Arial" w:eastAsia="Arial" w:hAnsi="Arial"/>
          <w:sz w:val="19"/>
          <w:szCs w:val="19"/>
          <w:color w:val="auto"/>
        </w:rPr>
        <w:t>base salary of $1,298,850 for the one-year period commencing on July 1, 2018.</w:t>
      </w:r>
    </w:p>
    <w:p>
      <w:pPr>
        <w:spacing w:after="0" w:line="19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6"/>
          <w:szCs w:val="16"/>
          <w:u w:val="single" w:color="auto"/>
          <w:color w:val="auto"/>
        </w:rPr>
        <w:t>FY 2019 Incentive Compensation</w:t>
      </w:r>
      <w:r>
        <w:rPr>
          <w:rFonts w:ascii="Arial" w:cs="Arial" w:eastAsia="Arial" w:hAnsi="Arial"/>
          <w:sz w:val="16"/>
          <w:szCs w:val="16"/>
          <w:color w:val="auto"/>
        </w:rPr>
        <w:t>. The Employee is entitled to receive performance share units under the Cimpress N.V.</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2016 Performance Equity Plan with a value of $6,037,500.</w:t>
      </w:r>
    </w:p>
    <w:p>
      <w:pPr>
        <w:spacing w:after="0" w:line="23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8"/>
          <w:szCs w:val="18"/>
          <w:u w:val="single" w:color="auto"/>
          <w:color w:val="auto"/>
        </w:rPr>
        <w:t>Withholding</w:t>
      </w:r>
      <w:r>
        <w:rPr>
          <w:rFonts w:ascii="Arial" w:cs="Arial" w:eastAsia="Arial" w:hAnsi="Arial"/>
          <w:sz w:val="18"/>
          <w:szCs w:val="18"/>
          <w:color w:val="auto"/>
        </w:rPr>
        <w:t>. All salary, equity, and other compensation payable to the Employee is subject to applicable withholding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taxes.</w:t>
      </w:r>
    </w:p>
    <w:p>
      <w:pPr>
        <w:spacing w:after="0" w:line="256" w:lineRule="exact"/>
        <w:rPr>
          <w:sz w:val="20"/>
          <w:szCs w:val="20"/>
          <w:color w:val="auto"/>
        </w:rPr>
      </w:pPr>
    </w:p>
    <w:p>
      <w:pPr>
        <w:ind w:left="1000" w:hanging="344"/>
        <w:spacing w:after="0"/>
        <w:tabs>
          <w:tab w:leader="none" w:pos="1000" w:val="left"/>
        </w:tabs>
        <w:numPr>
          <w:ilvl w:val="0"/>
          <w:numId w:val="108"/>
        </w:numPr>
        <w:rPr>
          <w:rFonts w:ascii="Arial" w:cs="Arial" w:eastAsia="Arial" w:hAnsi="Arial"/>
          <w:sz w:val="19"/>
          <w:szCs w:val="19"/>
          <w:color w:val="auto"/>
        </w:rPr>
      </w:pPr>
      <w:r>
        <w:rPr>
          <w:rFonts w:ascii="Arial" w:cs="Arial" w:eastAsia="Arial" w:hAnsi="Arial"/>
          <w:sz w:val="18"/>
          <w:szCs w:val="18"/>
          <w:u w:val="single" w:color="auto"/>
          <w:color w:val="auto"/>
        </w:rPr>
        <w:t>No Other Modification</w:t>
      </w:r>
      <w:r>
        <w:rPr>
          <w:rFonts w:ascii="Arial" w:cs="Arial" w:eastAsia="Arial" w:hAnsi="Arial"/>
          <w:sz w:val="18"/>
          <w:szCs w:val="18"/>
          <w:color w:val="auto"/>
        </w:rPr>
        <w:t>. Except as specifically modified by this Amendment, the Agreement remains unchanged and in full force</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and effect.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have executed this Amendment as of the date set forth above.</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CIMPRESS USA INCORPORATED</w:t>
      </w: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/s/Sean E. Quinn</w:t>
      </w:r>
    </w:p>
    <w:p>
      <w:pPr>
        <w:spacing w:after="0" w:line="16"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0"/>
          <w:szCs w:val="20"/>
          <w:color w:val="auto"/>
        </w:rPr>
        <w:t>Title:</w:t>
        <w:tab/>
        <w:t>Chief Financial Officer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EMPLOYEE</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/s/Robert S. Keane</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Robert S. Keane</w:t>
      </w:r>
    </w:p>
    <w:p>
      <w:pPr>
        <w:sectPr>
          <w:pgSz w:w="11900" w:h="16838" w:orient="portrait"/>
          <w:cols w:equalWidth="0" w:num="1">
            <w:col w:w="11400"/>
          </w:cols>
          <w:pgMar w:left="240" w:top="657" w:right="2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80" w:type="dxa"/>
            <w:vAlign w:val="bottom"/>
          </w:tcPr>
          <w:p>
            <w:pPr>
              <w:spacing w:after="0"/>
              <w:rPr>
                <w:sz w:val="20"/>
                <w:szCs w:val="20"/>
                <w:color w:val="auto"/>
              </w:rPr>
            </w:pPr>
          </w:p>
        </w:tc>
        <w:tc>
          <w:tcPr>
            <w:tcW w:w="7240" w:type="dxa"/>
            <w:vAlign w:val="bottom"/>
            <w:gridSpan w:val="3"/>
          </w:tcPr>
          <w:p>
            <w:pPr>
              <w:ind w:left="200"/>
              <w:spacing w:after="0"/>
              <w:rPr>
                <w:sz w:val="20"/>
                <w:szCs w:val="20"/>
                <w:color w:val="auto"/>
              </w:rPr>
            </w:pPr>
            <w:r>
              <w:rPr>
                <w:rFonts w:ascii="Arial" w:cs="Arial" w:eastAsia="Arial" w:hAnsi="Arial"/>
                <w:sz w:val="18"/>
                <w:szCs w:val="18"/>
                <w:b w:val="1"/>
                <w:bCs w:val="1"/>
                <w:color w:val="auto"/>
              </w:rPr>
              <w:t>SUBSIDIARIES OF CIMPRESS N.V.</w:t>
            </w:r>
          </w:p>
        </w:tc>
      </w:tr>
      <w:tr>
        <w:trPr>
          <w:trHeight w:val="352"/>
        </w:trPr>
        <w:tc>
          <w:tcPr>
            <w:tcW w:w="3980" w:type="dxa"/>
            <w:vAlign w:val="bottom"/>
          </w:tcPr>
          <w:p>
            <w:pPr>
              <w:ind w:left="40"/>
              <w:spacing w:after="0"/>
              <w:rPr>
                <w:sz w:val="20"/>
                <w:szCs w:val="20"/>
                <w:color w:val="auto"/>
              </w:rPr>
            </w:pPr>
            <w:r>
              <w:rPr>
                <w:rFonts w:ascii="Arial" w:cs="Arial" w:eastAsia="Arial" w:hAnsi="Arial"/>
                <w:sz w:val="17"/>
                <w:szCs w:val="17"/>
                <w:b w:val="1"/>
                <w:bCs w:val="1"/>
                <w:color w:val="auto"/>
              </w:rPr>
              <w:t>Subsidiary</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40"/>
              <w:spacing w:after="0"/>
              <w:rPr>
                <w:sz w:val="20"/>
                <w:szCs w:val="20"/>
                <w:color w:val="auto"/>
              </w:rPr>
            </w:pPr>
            <w:r>
              <w:rPr>
                <w:rFonts w:ascii="Arial" w:cs="Arial" w:eastAsia="Arial" w:hAnsi="Arial"/>
                <w:sz w:val="17"/>
                <w:szCs w:val="17"/>
                <w:b w:val="1"/>
                <w:bCs w:val="1"/>
                <w:color w:val="auto"/>
              </w:rPr>
              <w:t>Jurisdiction of Incorporation</w:t>
            </w:r>
          </w:p>
        </w:tc>
      </w:tr>
      <w:tr>
        <w:trPr>
          <w:trHeight w:val="31"/>
        </w:trPr>
        <w:tc>
          <w:tcPr>
            <w:tcW w:w="39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393"/>
        </w:trPr>
        <w:tc>
          <w:tcPr>
            <w:tcW w:w="3980" w:type="dxa"/>
            <w:vAlign w:val="bottom"/>
          </w:tcPr>
          <w:p>
            <w:pPr>
              <w:ind w:left="260"/>
              <w:spacing w:after="0"/>
              <w:rPr>
                <w:sz w:val="20"/>
                <w:szCs w:val="20"/>
                <w:color w:val="auto"/>
              </w:rPr>
            </w:pPr>
            <w:r>
              <w:rPr>
                <w:rFonts w:ascii="Arial" w:cs="Arial" w:eastAsia="Arial" w:hAnsi="Arial"/>
                <w:sz w:val="16"/>
                <w:szCs w:val="16"/>
                <w:color w:val="auto"/>
              </w:rPr>
              <w:t>Araprint B.V.</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The Netherlands</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Cimpress Australia Pty Limited</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Australia</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Cimpress Detroit Incorporated</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Delaware, USA</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Cimpress France SARL</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Cimpress India Private Limited</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India</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Cimpress Investments B.V.</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The Netherlands</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Cimpress Jamaica Limited</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Jamaica</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Cimpress Schweiz GmbH</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Switzerland</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Cimpress UK Limited</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England and Wales</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Cimpress USA Incorporated</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Delaware, USA</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Cimpress Windsor Corporation</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Nova Scotia, Canada</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Del Camino SCI</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Druck.at Druck- und Handelsgesellschaft GmbH</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Austria</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Drukwerkdeal.nl B.V.</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The Netherlands</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Drukwerkdeal.nl Productie B.V.</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The Netherlands</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E-Factory SAS</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Exagroup SAS</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FL Print SAS</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FM Impressos Personalizados Ltda</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Brazil</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Grafica Editora Aquarela S.A.</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Brazil</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La Mougère SCI</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Litotipografia Alcione S.r.l.</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Italy</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Pixartprinting S.p.A.</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Italy</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Printdeal B.V.</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The Netherlands</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Printi LLC</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Delaware, USA</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Pure Services SARL</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Shanghai Cimpress Technology Company Limited</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China</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Vistaprint B.V.</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The Netherlands</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Vistaprint España, S.L.</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Spain</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Vistaprint Italy S.R.L.</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Italy</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Vistaprint Japan Co., Ltd</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Japan</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Vistaprint Limited</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Bermuda</w:t>
            </w:r>
          </w:p>
        </w:tc>
      </w:tr>
      <w:tr>
        <w:trPr>
          <w:trHeight w:val="392"/>
        </w:trPr>
        <w:tc>
          <w:tcPr>
            <w:tcW w:w="3980" w:type="dxa"/>
            <w:vAlign w:val="bottom"/>
          </w:tcPr>
          <w:p>
            <w:pPr>
              <w:ind w:left="220"/>
              <w:spacing w:after="0"/>
              <w:rPr>
                <w:sz w:val="20"/>
                <w:szCs w:val="20"/>
                <w:color w:val="auto"/>
              </w:rPr>
            </w:pPr>
            <w:r>
              <w:rPr>
                <w:rFonts w:ascii="Arial" w:cs="Arial" w:eastAsia="Arial" w:hAnsi="Arial"/>
                <w:sz w:val="16"/>
                <w:szCs w:val="16"/>
                <w:color w:val="auto"/>
              </w:rPr>
              <w:t>Vistaprint Netherlands B.V.</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The Netherlands</w:t>
            </w:r>
          </w:p>
        </w:tc>
      </w:tr>
      <w:tr>
        <w:trPr>
          <w:trHeight w:val="392"/>
        </w:trPr>
        <w:tc>
          <w:tcPr>
            <w:tcW w:w="3980" w:type="dxa"/>
            <w:vAlign w:val="bottom"/>
          </w:tcPr>
          <w:p>
            <w:pPr>
              <w:ind w:left="260"/>
              <w:spacing w:after="0"/>
              <w:rPr>
                <w:sz w:val="20"/>
                <w:szCs w:val="20"/>
                <w:color w:val="auto"/>
              </w:rPr>
            </w:pPr>
            <w:r>
              <w:rPr>
                <w:rFonts w:ascii="Arial" w:cs="Arial" w:eastAsia="Arial" w:hAnsi="Arial"/>
                <w:sz w:val="16"/>
                <w:szCs w:val="16"/>
                <w:color w:val="auto"/>
              </w:rPr>
              <w:t>Vistaprint Technologies Private Limited</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India</w:t>
            </w:r>
          </w:p>
        </w:tc>
      </w:tr>
      <w:tr>
        <w:trPr>
          <w:trHeight w:val="392"/>
        </w:trPr>
        <w:tc>
          <w:tcPr>
            <w:tcW w:w="3980" w:type="dxa"/>
            <w:vAlign w:val="bottom"/>
          </w:tcPr>
          <w:p>
            <w:pPr>
              <w:ind w:left="260"/>
              <w:spacing w:after="0"/>
              <w:rPr>
                <w:sz w:val="20"/>
                <w:szCs w:val="20"/>
                <w:color w:val="auto"/>
              </w:rPr>
            </w:pPr>
            <w:r>
              <w:rPr>
                <w:rFonts w:ascii="Arial" w:cs="Arial" w:eastAsia="Arial" w:hAnsi="Arial"/>
                <w:sz w:val="16"/>
                <w:szCs w:val="16"/>
                <w:color w:val="auto"/>
              </w:rPr>
              <w:t>Vistaprint Tunisie SARL</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Arial" w:cs="Arial" w:eastAsia="Arial" w:hAnsi="Arial"/>
                <w:sz w:val="16"/>
                <w:szCs w:val="16"/>
                <w:color w:val="auto"/>
              </w:rPr>
              <w:t>Tunisia</w:t>
            </w:r>
          </w:p>
        </w:tc>
      </w:tr>
      <w:tr>
        <w:trPr>
          <w:trHeight w:val="405"/>
        </w:trPr>
        <w:tc>
          <w:tcPr>
            <w:tcW w:w="3980" w:type="dxa"/>
            <w:vAlign w:val="bottom"/>
          </w:tcPr>
          <w:p>
            <w:pPr>
              <w:ind w:left="260"/>
              <w:spacing w:after="0"/>
              <w:rPr>
                <w:sz w:val="20"/>
                <w:szCs w:val="20"/>
                <w:color w:val="auto"/>
              </w:rPr>
            </w:pPr>
            <w:r>
              <w:rPr>
                <w:rFonts w:ascii="Arial" w:cs="Arial" w:eastAsia="Arial" w:hAnsi="Arial"/>
                <w:sz w:val="16"/>
                <w:szCs w:val="16"/>
                <w:color w:val="auto"/>
              </w:rPr>
              <w:t>Webs, Inc.</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ind w:left="400"/>
              <w:spacing w:after="0"/>
              <w:rPr>
                <w:sz w:val="20"/>
                <w:szCs w:val="20"/>
                <w:color w:val="auto"/>
              </w:rPr>
            </w:pPr>
            <w:r>
              <w:rPr>
                <w:rFonts w:ascii="Arial" w:cs="Arial" w:eastAsia="Arial" w:hAnsi="Arial"/>
                <w:sz w:val="16"/>
                <w:szCs w:val="16"/>
                <w:color w:val="auto"/>
              </w:rPr>
              <w:t>Delaware, USA</w:t>
            </w:r>
          </w:p>
        </w:tc>
      </w:tr>
    </w:tbl>
    <w:p>
      <w:pPr>
        <w:sectPr>
          <w:pgSz w:w="11900" w:h="16838" w:orient="portrait"/>
          <w:cols w:equalWidth="0" w:num="1">
            <w:col w:w="11340"/>
          </w:cols>
          <w:pgMar w:left="320" w:top="576" w:right="239" w:bottom="703" w:gutter="0" w:footer="0" w:header="0"/>
        </w:sectPr>
      </w:pPr>
    </w:p>
    <w:bookmarkStart w:id="130" w:name="page131"/>
    <w:bookmarkEnd w:id="130"/>
    <w:p>
      <w:pPr>
        <w:jc w:val="center"/>
        <w:ind w:right="-1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0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8 (No. 333-129912, 333-133797, 333-147753, 333-176421, and 333-211743) of Cimpress N.V. of our report dated August 10, 2018 relating to the consolidated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2018</w:t>
      </w:r>
    </w:p>
    <w:p>
      <w:pPr>
        <w:sectPr>
          <w:pgSz w:w="11900" w:h="16838" w:orient="portrait"/>
          <w:cols w:equalWidth="0" w:num="1">
            <w:col w:w="11280"/>
          </w:cols>
          <w:pgMar w:left="240" w:top="1008" w:right="3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S. Keane, certify that:</w:t>
      </w:r>
    </w:p>
    <w:p>
      <w:pPr>
        <w:spacing w:after="0" w:line="144" w:lineRule="exact"/>
        <w:rPr>
          <w:sz w:val="20"/>
          <w:szCs w:val="20"/>
          <w:color w:val="auto"/>
        </w:rPr>
      </w:pPr>
    </w:p>
    <w:p>
      <w:pPr>
        <w:ind w:left="580" w:hanging="410"/>
        <w:spacing w:after="0"/>
        <w:tabs>
          <w:tab w:leader="none" w:pos="5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2018</w:t>
      </w:r>
    </w:p>
    <w:p>
      <w:pPr>
        <w:spacing w:after="0" w:line="1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Robert S. Keane</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71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Sean E. Quinn, certify that:</w:t>
      </w:r>
    </w:p>
    <w:p>
      <w:pPr>
        <w:spacing w:after="0" w:line="144" w:lineRule="exact"/>
        <w:rPr>
          <w:sz w:val="20"/>
          <w:szCs w:val="20"/>
          <w:color w:val="auto"/>
        </w:rPr>
      </w:pPr>
    </w:p>
    <w:p>
      <w:pPr>
        <w:ind w:left="580" w:hanging="410"/>
        <w:spacing w:after="0"/>
        <w:tabs>
          <w:tab w:leader="none" w:pos="5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2018</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71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connection with the Annual Report on Form 10-K of Cimpress N.V. (the “Company”) for the fiscal year ended June 30, 2018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spacing w:after="0" w:line="123"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tabs>
          <w:tab w:leader="none" w:pos="700" w:val="left"/>
          <w:tab w:leader="none" w:pos="7880" w:val="left"/>
        </w:tabs>
        <w:rPr>
          <w:sz w:val="20"/>
          <w:szCs w:val="20"/>
          <w:color w:val="auto"/>
        </w:rPr>
      </w:pPr>
      <w:r>
        <w:rPr>
          <w:rFonts w:ascii="Arial" w:cs="Arial" w:eastAsia="Arial" w:hAnsi="Arial"/>
          <w:sz w:val="18"/>
          <w:szCs w:val="18"/>
          <w:color w:val="auto"/>
        </w:rPr>
        <w:t>Date:</w:t>
        <w:tab/>
        <w:t>August 10, 2018</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Robert S. Keane</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355" w:lineRule="exact"/>
        <w:rPr>
          <w:sz w:val="20"/>
          <w:szCs w:val="20"/>
          <w:color w:val="auto"/>
        </w:rPr>
      </w:pPr>
    </w:p>
    <w:p>
      <w:pPr>
        <w:ind w:left="40"/>
        <w:spacing w:after="0"/>
        <w:tabs>
          <w:tab w:leader="none" w:pos="700" w:val="left"/>
          <w:tab w:leader="none" w:pos="7960" w:val="left"/>
        </w:tabs>
        <w:rPr>
          <w:sz w:val="20"/>
          <w:szCs w:val="20"/>
          <w:color w:val="auto"/>
        </w:rPr>
      </w:pPr>
      <w:r>
        <w:rPr>
          <w:rFonts w:ascii="Arial" w:cs="Arial" w:eastAsia="Arial" w:hAnsi="Arial"/>
          <w:sz w:val="18"/>
          <w:szCs w:val="18"/>
          <w:color w:val="auto"/>
        </w:rPr>
        <w:t>Date:</w:t>
        <w:tab/>
        <w:t>August 10, 2018</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Sean E. Quinn</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o"/>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1."/>
      <w:numFmt w:val="decimal"/>
      <w:start w:val="4"/>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1)"/>
      <w:numFmt w:val="decimal"/>
      <w:start w:val="1"/>
    </w:lvl>
  </w:abstractNum>
  <w:abstractNum w:abstractNumId="24">
    <w:nsid w:val="5F5E7FD0"/>
    <w:multiLevelType w:val="hybridMultilevel"/>
    <w:lvl w:ilvl="0">
      <w:lvlJc w:val="left"/>
      <w:lvlText w:val="(%1)"/>
      <w:numFmt w:val="lowerLetter"/>
      <w:start w:val="1"/>
    </w:lvl>
  </w:abstractNum>
  <w:abstractNum w:abstractNumId="25">
    <w:nsid w:val="98A3148"/>
    <w:multiLevelType w:val="hybridMultilevel"/>
    <w:lvl w:ilvl="0">
      <w:lvlJc w:val="left"/>
      <w:lvlText w:val="(%1)"/>
      <w:numFmt w:val="lowerLetter"/>
      <w:start w:val="3"/>
    </w:lvl>
  </w:abstractNum>
  <w:abstractNum w:abstractNumId="26">
    <w:nsid w:val="799D0247"/>
    <w:multiLevelType w:val="hybridMultilevel"/>
    <w:lvl w:ilvl="0">
      <w:lvlJc w:val="left"/>
      <w:lvlText w:val="(%1)"/>
      <w:numFmt w:val="lowerLetter"/>
      <w:start w:val="4"/>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lvl w:ilvl="1">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1)"/>
      <w:numFmt w:val="decimal"/>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1)"/>
      <w:numFmt w:val="decimal"/>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1)"/>
      <w:numFmt w:val="decimal"/>
      <w:start w:val="1"/>
    </w:lvl>
  </w:abstractNum>
  <w:abstractNum w:abstractNumId="40">
    <w:nsid w:val="A0382C5"/>
    <w:multiLevelType w:val="hybridMultilevel"/>
    <w:lvl w:ilvl="0">
      <w:lvlJc w:val="left"/>
      <w:lvlText w:val="(%1)"/>
      <w:numFmt w:val="decimal"/>
      <w:start w:val="1"/>
    </w:lvl>
  </w:abstractNum>
  <w:abstractNum w:abstractNumId="41">
    <w:nsid w:val="8F2B15E"/>
    <w:multiLevelType w:val="hybridMultilevel"/>
    <w:lvl w:ilvl="0">
      <w:lvlJc w:val="left"/>
      <w:lvlText w:val="(%1)"/>
      <w:numFmt w:val="decimal"/>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1."/>
      <w:numFmt w:val="decimal"/>
      <w:start w:val="2"/>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1)"/>
      <w:numFmt w:val="decimal"/>
      <w:start w:val="1"/>
    </w:lvl>
  </w:abstractNum>
  <w:abstractNum w:abstractNumId="48">
    <w:nsid w:val="14330624"/>
    <w:multiLevelType w:val="hybridMultilevel"/>
    <w:lvl w:ilvl="0">
      <w:lvlJc w:val="left"/>
      <w:lvlText w:val="(%1)"/>
      <w:numFmt w:val="decimal"/>
      <w:start w:val="1"/>
    </w:lvl>
  </w:abstractNum>
  <w:abstractNum w:abstractNumId="49">
    <w:nsid w:val="7FFFCA11"/>
    <w:multiLevelType w:val="hybridMultilevel"/>
    <w:lvl w:ilvl="0">
      <w:lvlJc w:val="left"/>
      <w:lvlText w:val="(%1)"/>
      <w:numFmt w:val="decimal"/>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decimal"/>
      <w:start w:val="1"/>
    </w:lvl>
  </w:abstractNum>
  <w:abstractNum w:abstractNumId="52">
    <w:nsid w:val="100F59DC"/>
    <w:multiLevelType w:val="hybridMultilevel"/>
    <w:lvl w:ilvl="0">
      <w:lvlJc w:val="left"/>
      <w:lvlText w:val="(%1)"/>
      <w:numFmt w:val="decimal"/>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1)"/>
      <w:numFmt w:val="decimal"/>
      <w:start w:val="4"/>
    </w:lvl>
    <w:lvl w:ilvl="1">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1."/>
      <w:numFmt w:val="decimal"/>
      <w:start w:val="1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1)"/>
      <w:numFmt w:val="decimal"/>
      <w:start w:val="2"/>
    </w:lvl>
  </w:abstractNum>
  <w:abstractNum w:abstractNumId="60">
    <w:nsid w:val="1716703B"/>
    <w:multiLevelType w:val="hybridMultilevel"/>
    <w:lvl w:ilvl="0">
      <w:lvlJc w:val="left"/>
      <w:lvlText w:val="(%1)"/>
      <w:numFmt w:val="decimal"/>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1)"/>
      <w:numFmt w:val="decimal"/>
      <w:start w:val="1"/>
    </w:lvl>
  </w:abstractNum>
  <w:abstractNum w:abstractNumId="63">
    <w:nsid w:val="74DE0EE3"/>
    <w:multiLevelType w:val="hybridMultilevel"/>
    <w:lvl w:ilvl="0">
      <w:lvlJc w:val="left"/>
      <w:lvlText w:val="(%1)"/>
      <w:numFmt w:val="decimal"/>
      <w:start w:val="1"/>
    </w:lvl>
  </w:abstractNum>
  <w:abstractNum w:abstractNumId="64">
    <w:nsid w:val="68EBC550"/>
    <w:multiLevelType w:val="hybridMultilevel"/>
    <w:lvl w:ilvl="0">
      <w:lvlJc w:val="left"/>
      <w:lvlText w:val="(%1)"/>
      <w:numFmt w:val="decimal"/>
      <w:start w:val="1"/>
    </w:lvl>
  </w:abstractNum>
  <w:abstractNum w:abstractNumId="65">
    <w:nsid w:val="2DF6D648"/>
    <w:multiLevelType w:val="hybridMultilevel"/>
    <w:lvl w:ilvl="0">
      <w:lvlJc w:val="left"/>
      <w:lvlText w:val="(%1)"/>
      <w:numFmt w:val="decimal"/>
      <w:start w:val="1"/>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1"/>
      <w:numFmt w:val="decimal"/>
      <w:start w:val="101"/>
    </w:lvl>
  </w:abstractNum>
  <w:abstractNum w:abstractNumId="68">
    <w:nsid w:val="39EE015C"/>
    <w:multiLevelType w:val="hybridMultilevel"/>
    <w:lvl w:ilvl="0">
      <w:lvlJc w:val="left"/>
      <w:lvlText w:val="(%1)"/>
      <w:numFmt w:val="lowerLetter"/>
      <w:start w:val="2"/>
    </w:lvl>
    <w:lvl w:ilvl="1">
      <w:lvlJc w:val="left"/>
      <w:lvlText w:val="*"/>
      <w:numFmt w:val="bullet"/>
      <w:start w:val="1"/>
    </w:lvl>
  </w:abstractNum>
  <w:abstractNum w:abstractNumId="69">
    <w:nsid w:val="57FC4FBB"/>
    <w:multiLevelType w:val="hybridMultilevel"/>
    <w:lvl w:ilvl="0">
      <w:lvlJc w:val="left"/>
      <w:lvlText w:val="%1."/>
      <w:numFmt w:val="lowerLetter"/>
      <w:start w:val="1"/>
    </w:lvl>
  </w:abstractNum>
  <w:abstractNum w:abstractNumId="70">
    <w:nsid w:val="CC1016F"/>
    <w:multiLevelType w:val="hybridMultilevel"/>
    <w:lvl w:ilvl="0">
      <w:lvlJc w:val="left"/>
      <w:lvlText w:val="%1."/>
      <w:numFmt w:val="decimal"/>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1."/>
      <w:numFmt w:val="decimal"/>
      <w:start w:val="1"/>
    </w:lvl>
  </w:abstractNum>
  <w:abstractNum w:abstractNumId="74">
    <w:nsid w:val="7F01579B"/>
    <w:multiLevelType w:val="hybridMultilevel"/>
    <w:lvl w:ilvl="0">
      <w:lvlJc w:val="left"/>
      <w:lvlText w:val="%1."/>
      <w:numFmt w:val="decimal"/>
      <w:start w:val="1"/>
    </w:lvl>
  </w:abstractNum>
  <w:abstractNum w:abstractNumId="75">
    <w:nsid w:val="49DA307D"/>
    <w:multiLevelType w:val="hybridMultilevel"/>
    <w:lvl w:ilvl="0">
      <w:lvlJc w:val="left"/>
      <w:lvlText w:val="%1."/>
      <w:numFmt w:val="decimal"/>
      <w:start w:val="6"/>
    </w:lvl>
  </w:abstractNum>
  <w:abstractNum w:abstractNumId="76">
    <w:nsid w:val="7055A5F5"/>
    <w:multiLevelType w:val="hybridMultilevel"/>
    <w:lvl w:ilvl="0">
      <w:lvlJc w:val="left"/>
      <w:lvlText w:val="%1."/>
      <w:numFmt w:val="decimal"/>
      <w:start w:val="1"/>
    </w:lvl>
    <w:lvl w:ilvl="1">
      <w:lvlJc w:val="left"/>
      <w:lvlText w:val="•"/>
      <w:numFmt w:val="bullet"/>
      <w:start w:val="1"/>
    </w:lvl>
  </w:abstractNum>
  <w:abstractNum w:abstractNumId="77">
    <w:nsid w:val="5FB8370B"/>
    <w:multiLevelType w:val="hybridMultilevel"/>
    <w:lvl w:ilvl="0">
      <w:lvlJc w:val="left"/>
      <w:lvlText w:val="%1."/>
      <w:numFmt w:val="decimal"/>
      <w:start w:val="9"/>
    </w:lvl>
  </w:abstractNum>
  <w:abstractNum w:abstractNumId="78">
    <w:nsid w:val="50801EE1"/>
    <w:multiLevelType w:val="hybridMultilevel"/>
    <w:lvl w:ilvl="0">
      <w:lvlJc w:val="left"/>
      <w:lvlText w:val="%1."/>
      <w:numFmt w:val="decimal"/>
      <w:start w:val="1"/>
    </w:lvl>
    <w:lvl w:ilvl="1">
      <w:lvlJc w:val="left"/>
      <w:lvlText w:val="%2."/>
      <w:numFmt w:val="lowerLetter"/>
      <w:start w:val="1"/>
    </w:lvl>
  </w:abstractNum>
  <w:abstractNum w:abstractNumId="79">
    <w:nsid w:val="488AC1A"/>
    <w:multiLevelType w:val="hybridMultilevel"/>
    <w:lvl w:ilvl="0">
      <w:lvlJc w:val="left"/>
      <w:lvlText w:val="%1."/>
      <w:numFmt w:val="decimal"/>
      <w:start w:val="4"/>
    </w:lvl>
    <w:lvl w:ilvl="1">
      <w:lvlJc w:val="left"/>
      <w:lvlText w:val="•"/>
      <w:numFmt w:val="bullet"/>
      <w:start w:val="1"/>
    </w:lvl>
  </w:abstractNum>
  <w:abstractNum w:abstractNumId="80">
    <w:nsid w:val="5FB8011C"/>
    <w:multiLevelType w:val="hybridMultilevel"/>
    <w:lvl w:ilvl="0">
      <w:lvlJc w:val="left"/>
      <w:lvlText w:val="%1."/>
      <w:numFmt w:val="decimal"/>
      <w:start w:val="1"/>
    </w:lvl>
  </w:abstractNum>
  <w:abstractNum w:abstractNumId="81">
    <w:nsid w:val="6AA78F7F"/>
    <w:multiLevelType w:val="hybridMultilevel"/>
    <w:lvl w:ilvl="0">
      <w:lvlJc w:val="left"/>
      <w:lvlText w:val="%1."/>
      <w:numFmt w:val="decimal"/>
      <w:start w:val="1"/>
    </w:lvl>
    <w:lvl w:ilvl="1">
      <w:lvlJc w:val="left"/>
      <w:lvlText w:val="•"/>
      <w:numFmt w:val="bullet"/>
      <w:start w:val="1"/>
    </w:lvl>
  </w:abstractNum>
  <w:abstractNum w:abstractNumId="82">
    <w:nsid w:val="7672BD23"/>
    <w:multiLevelType w:val="hybridMultilevel"/>
    <w:lvl w:ilvl="0">
      <w:lvlJc w:val="left"/>
      <w:lvlText w:val="%1."/>
      <w:numFmt w:val="decimal"/>
      <w:start w:val="1"/>
    </w:lvl>
  </w:abstractNum>
  <w:abstractNum w:abstractNumId="83">
    <w:nsid w:val="6FC75AF8"/>
    <w:multiLevelType w:val="hybridMultilevel"/>
    <w:lvl w:ilvl="0">
      <w:lvlJc w:val="left"/>
      <w:lvlText w:val="%1."/>
      <w:numFmt w:val="decimal"/>
      <w:start w:val="3"/>
    </w:lvl>
  </w:abstractNum>
  <w:abstractNum w:abstractNumId="84">
    <w:nsid w:val="6A5F7029"/>
    <w:multiLevelType w:val="hybridMultilevel"/>
    <w:lvl w:ilvl="0">
      <w:lvlJc w:val="left"/>
      <w:lvlText w:val="%1."/>
      <w:numFmt w:val="decimal"/>
      <w:start w:val="1"/>
    </w:lvl>
  </w:abstractNum>
  <w:abstractNum w:abstractNumId="85">
    <w:nsid w:val="7D5E18F8"/>
    <w:multiLevelType w:val="hybridMultilevel"/>
    <w:lvl w:ilvl="0">
      <w:lvlJc w:val="left"/>
      <w:lvlText w:val="%1."/>
      <w:numFmt w:val="decimal"/>
      <w:start w:val="1"/>
    </w:lvl>
  </w:abstractNum>
  <w:abstractNum w:abstractNumId="86">
    <w:nsid w:val="5F3534A4"/>
    <w:multiLevelType w:val="hybridMultilevel"/>
    <w:lvl w:ilvl="0">
      <w:lvlJc w:val="left"/>
      <w:lvlText w:val="%1."/>
      <w:numFmt w:val="decimal"/>
      <w:start w:val="1"/>
    </w:lvl>
  </w:abstractNum>
  <w:abstractNum w:abstractNumId="87">
    <w:nsid w:val="73A1821B"/>
    <w:multiLevelType w:val="hybridMultilevel"/>
    <w:lvl w:ilvl="0">
      <w:lvlJc w:val="left"/>
      <w:lvlText w:val="%1."/>
      <w:numFmt w:val="decimal"/>
      <w:start w:val="1"/>
    </w:lvl>
    <w:lvl w:ilvl="1">
      <w:lvlJc w:val="left"/>
      <w:lvlText w:val="%2."/>
      <w:numFmt w:val="lowerLetter"/>
      <w:start w:val="1"/>
    </w:lvl>
  </w:abstractNum>
  <w:abstractNum w:abstractNumId="88">
    <w:nsid w:val="7DE67713"/>
    <w:multiLevelType w:val="hybridMultilevel"/>
    <w:lvl w:ilvl="0">
      <w:lvlJc w:val="left"/>
      <w:lvlText w:val="%1."/>
      <w:numFmt w:val="decimal"/>
      <w:start w:val="6"/>
    </w:lvl>
  </w:abstractNum>
  <w:abstractNum w:abstractNumId="89">
    <w:nsid w:val="555C55B5"/>
    <w:multiLevelType w:val="hybridMultilevel"/>
    <w:lvl w:ilvl="0">
      <w:lvlJc w:val="left"/>
      <w:lvlText w:val="%1."/>
      <w:numFmt w:val="decimal"/>
      <w:start w:val="1"/>
    </w:lvl>
  </w:abstractNum>
  <w:abstractNum w:abstractNumId="90">
    <w:nsid w:val="3FA62ACA"/>
    <w:multiLevelType w:val="hybridMultilevel"/>
    <w:lvl w:ilvl="0">
      <w:lvlJc w:val="left"/>
      <w:lvlText w:val="%1."/>
      <w:numFmt w:val="decimal"/>
      <w:start w:val="1"/>
    </w:lvl>
  </w:abstractNum>
  <w:abstractNum w:abstractNumId="91">
    <w:nsid w:val="14FCE74E"/>
    <w:multiLevelType w:val="hybridMultilevel"/>
    <w:lvl w:ilvl="0">
      <w:lvlJc w:val="left"/>
      <w:lvlText w:val="%1."/>
      <w:numFmt w:val="decimal"/>
      <w:start w:val="7"/>
    </w:lvl>
  </w:abstractNum>
  <w:abstractNum w:abstractNumId="92">
    <w:nsid w:val="6A3DD3E8"/>
    <w:multiLevelType w:val="hybridMultilevel"/>
    <w:lvl w:ilvl="0">
      <w:lvlJc w:val="left"/>
      <w:lvlText w:val="%1."/>
      <w:numFmt w:val="decimal"/>
      <w:start w:val="1"/>
    </w:lvl>
  </w:abstractNum>
  <w:abstractNum w:abstractNumId="93">
    <w:nsid w:val="71C91298"/>
    <w:multiLevelType w:val="hybridMultilevel"/>
    <w:lvl w:ilvl="0">
      <w:lvlJc w:val="left"/>
      <w:lvlText w:val="%1."/>
      <w:numFmt w:val="decimal"/>
      <w:start w:val="1"/>
    </w:lvl>
    <w:lvl w:ilvl="1">
      <w:lvlJc w:val="left"/>
      <w:lvlText w:val="•"/>
      <w:numFmt w:val="bullet"/>
      <w:start w:val="1"/>
    </w:lvl>
  </w:abstractNum>
  <w:abstractNum w:abstractNumId="94">
    <w:nsid w:val="9DAF632"/>
    <w:multiLevelType w:val="hybridMultilevel"/>
    <w:lvl w:ilvl="0">
      <w:lvlJc w:val="left"/>
      <w:lvlText w:val="%1."/>
      <w:numFmt w:val="decimal"/>
      <w:start w:val="5"/>
    </w:lvl>
  </w:abstractNum>
  <w:abstractNum w:abstractNumId="95">
    <w:nsid w:val="53299938"/>
    <w:multiLevelType w:val="hybridMultilevel"/>
    <w:lvl w:ilvl="0">
      <w:lvlJc w:val="left"/>
      <w:lvlText w:val="%1."/>
      <w:numFmt w:val="decimal"/>
      <w:start w:val="1"/>
    </w:lvl>
  </w:abstractNum>
  <w:abstractNum w:abstractNumId="96">
    <w:nsid w:val="1FBFE8E0"/>
    <w:multiLevelType w:val="hybridMultilevel"/>
    <w:lvl w:ilvl="0">
      <w:lvlJc w:val="left"/>
      <w:lvlText w:val="%1."/>
      <w:numFmt w:val="decimal"/>
      <w:start w:val="1"/>
    </w:lvl>
    <w:lvl w:ilvl="1">
      <w:lvlJc w:val="left"/>
      <w:lvlText w:val="•"/>
      <w:numFmt w:val="bullet"/>
      <w:start w:val="1"/>
    </w:lvl>
  </w:abstractNum>
  <w:abstractNum w:abstractNumId="97">
    <w:nsid w:val="5092CA79"/>
    <w:multiLevelType w:val="hybridMultilevel"/>
    <w:lvl w:ilvl="0">
      <w:lvlJc w:val="left"/>
      <w:lvlText w:val="%1."/>
      <w:numFmt w:val="decimal"/>
      <w:start w:val="2"/>
    </w:lvl>
    <w:lvl w:ilvl="1">
      <w:lvlJc w:val="left"/>
      <w:lvlText w:val="•"/>
      <w:numFmt w:val="bullet"/>
      <w:start w:val="1"/>
    </w:lvl>
  </w:abstractNum>
  <w:abstractNum w:abstractNumId="98">
    <w:nsid w:val="1D545C4D"/>
    <w:multiLevelType w:val="hybridMultilevel"/>
    <w:lvl w:ilvl="0">
      <w:lvlJc w:val="left"/>
      <w:lvlText w:val="%1."/>
      <w:numFmt w:val="decimal"/>
      <w:start w:val="1"/>
    </w:lvl>
    <w:lvl w:ilvl="1">
      <w:lvlJc w:val="left"/>
      <w:lvlText w:val="•"/>
      <w:numFmt w:val="bullet"/>
      <w:start w:val="1"/>
    </w:lvl>
  </w:abstractNum>
  <w:abstractNum w:abstractNumId="99">
    <w:nsid w:val="59ADEA3D"/>
    <w:multiLevelType w:val="hybridMultilevel"/>
    <w:lvl w:ilvl="0">
      <w:lvlJc w:val="left"/>
      <w:lvlText w:val="%1."/>
      <w:numFmt w:val="decimal"/>
      <w:start w:val="2"/>
    </w:lvl>
    <w:lvl w:ilvl="1">
      <w:lvlJc w:val="left"/>
      <w:lvlText w:val="%2."/>
      <w:numFmt w:val="lowerLetter"/>
      <w:start w:val="1"/>
    </w:lvl>
  </w:abstractNum>
  <w:abstractNum w:abstractNumId="100">
    <w:nsid w:val="288F1A34"/>
    <w:multiLevelType w:val="hybridMultilevel"/>
    <w:lvl w:ilvl="0">
      <w:lvlJc w:val="left"/>
      <w:lvlText w:val="%1."/>
      <w:numFmt w:val="decimal"/>
      <w:start w:val="5"/>
    </w:lvl>
  </w:abstractNum>
  <w:abstractNum w:abstractNumId="101">
    <w:nsid w:val="2A155DBC"/>
    <w:multiLevelType w:val="hybridMultilevel"/>
    <w:lvl w:ilvl="0">
      <w:lvlJc w:val="left"/>
      <w:lvlText w:val="%1."/>
      <w:numFmt w:val="decimal"/>
      <w:start w:val="1"/>
    </w:lvl>
  </w:abstractNum>
  <w:abstractNum w:abstractNumId="102">
    <w:nsid w:val="1D9F6E5F"/>
    <w:multiLevelType w:val="hybridMultilevel"/>
    <w:lvl w:ilvl="0">
      <w:lvlJc w:val="left"/>
      <w:lvlText w:val="%1."/>
      <w:numFmt w:val="decimal"/>
      <w:start w:val="1"/>
    </w:lvl>
  </w:abstractNum>
  <w:abstractNum w:abstractNumId="103">
    <w:nsid w:val="97E1B4E"/>
    <w:multiLevelType w:val="hybridMultilevel"/>
    <w:lvl w:ilvl="0">
      <w:lvlJc w:val="left"/>
      <w:lvlText w:val="%1."/>
      <w:numFmt w:val="decimal"/>
      <w:start w:val="9"/>
    </w:lvl>
  </w:abstractNum>
  <w:abstractNum w:abstractNumId="104">
    <w:nsid w:val="51088277"/>
    <w:multiLevelType w:val="hybridMultilevel"/>
    <w:lvl w:ilvl="0">
      <w:lvlJc w:val="left"/>
      <w:lvlText w:val="%1."/>
      <w:numFmt w:val="decimal"/>
      <w:start w:val="1"/>
    </w:lvl>
  </w:abstractNum>
  <w:abstractNum w:abstractNumId="105">
    <w:nsid w:val="1CA0C5FA"/>
    <w:multiLevelType w:val="hybridMultilevel"/>
    <w:lvl w:ilvl="0">
      <w:lvlJc w:val="left"/>
      <w:lvlText w:val="%1."/>
      <w:numFmt w:val="decimal"/>
      <w:start w:val="1"/>
    </w:lvl>
    <w:lvl w:ilvl="1">
      <w:lvlJc w:val="left"/>
      <w:lvlText w:val="%2."/>
      <w:numFmt w:val="lowerLetter"/>
      <w:start w:val="1"/>
    </w:lvl>
  </w:abstractNum>
  <w:abstractNum w:abstractNumId="106">
    <w:nsid w:val="53584BCB"/>
    <w:multiLevelType w:val="hybridMultilevel"/>
    <w:lvl w:ilvl="0">
      <w:lvlJc w:val="left"/>
      <w:lvlText w:val="%1."/>
      <w:numFmt w:val="decimal"/>
      <w:start w:val="1"/>
    </w:lvl>
  </w:abstractNum>
  <w:abstractNum w:abstractNumId="107">
    <w:nsid w:val="415E286C"/>
    <w:multiLevelType w:val="hybridMultilevel"/>
    <w:lvl w:ilvl="0">
      <w:lvlJc w:val="left"/>
      <w:lvlText w:val="%1."/>
      <w:numFmt w:val="decimal"/>
      <w:start w:val="2"/>
    </w:lvl>
  </w:abstractNum>
  <w:abstractNum w:abstractNumId="108">
    <w:nsid w:val="7C58FD05"/>
    <w:multiLevelType w:val="hybridMultilevel"/>
    <w:lvl w:ilvl="0">
      <w:lvlJc w:val="left"/>
      <w:lvlText w:val="%1."/>
      <w:numFmt w:val="decimal"/>
      <w:start w:val="1"/>
    </w:lvl>
  </w:abstractNum>
  <w:abstractNum w:abstractNumId="109">
    <w:nsid w:val="23D86AAC"/>
    <w:multiLevelType w:val="hybridMultilevel"/>
    <w:lvl w:ilvl="0">
      <w:lvlJc w:val="left"/>
      <w:lvlText w:val="(%1)"/>
      <w:numFmt w:val="lowerLetter"/>
      <w:start w:val="3"/>
    </w:lvl>
  </w:abstractNum>
  <w:abstractNum w:abstractNumId="110">
    <w:nsid w:val="45E6D486"/>
    <w:multiLevelType w:val="hybridMultilevel"/>
    <w:lvl w:ilvl="0">
      <w:lvlJc w:val="left"/>
      <w:lvlText w:val="%1."/>
      <w:numFmt w:val="decimal"/>
      <w:start w:val="5"/>
    </w:lvl>
  </w:abstractNum>
  <w:abstractNum w:abstractNumId="111">
    <w:nsid w:val="5C10FE21"/>
    <w:multiLevelType w:val="hybridMultilevel"/>
    <w:lvl w:ilvl="0">
      <w:lvlJc w:val="left"/>
      <w:lvlText w:val="%1."/>
      <w:numFmt w:val="decimal"/>
      <w:start w:val="1"/>
    </w:lvl>
  </w:abstractNum>
  <w:abstractNum w:abstractNumId="112">
    <w:nsid w:val="E7FFA2B"/>
    <w:multiLevelType w:val="hybridMultilevel"/>
    <w:lvl w:ilvl="0">
      <w:lvlJc w:val="left"/>
      <w:lvlText w:val="(%1)"/>
      <w:numFmt w:val="lowerLetter"/>
      <w:start w:val="3"/>
    </w:lvl>
  </w:abstractNum>
  <w:abstractNum w:abstractNumId="113">
    <w:nsid w:val="3C5991AA"/>
    <w:multiLevelType w:val="hybridMultilevel"/>
    <w:lvl w:ilvl="0">
      <w:lvlJc w:val="left"/>
      <w:lvlText w:val="%1."/>
      <w:numFmt w:val="decimal"/>
      <w:start w:val="5"/>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84" Type="http://schemas.openxmlformats.org/officeDocument/2006/relationships/image" Target="media/image35.png"/><Relationship Id="rId85" Type="http://schemas.openxmlformats.org/officeDocument/2006/relationships/image" Target="media/image36.png"/><Relationship Id="rId86" Type="http://schemas.openxmlformats.org/officeDocument/2006/relationships/image" Target="media/image37.png"/><Relationship Id="rId87" Type="http://schemas.openxmlformats.org/officeDocument/2006/relationships/image" Target="media/image38.png"/><Relationship Id="rId88" Type="http://schemas.openxmlformats.org/officeDocument/2006/relationships/image" Target="media/image39.png"/><Relationship Id="rId42" Type="http://schemas.openxmlformats.org/officeDocument/2006/relationships/hyperlink" Target="http://www.sec.gov/Archives/edgar/data/1262976/000126297618000043/ex41indenture.htm" TargetMode="External"/><Relationship Id="rId43" Type="http://schemas.openxmlformats.org/officeDocument/2006/relationships/hyperlink" Target="http://www.sec.gov/Archives/edgar/data/1262976/000095012310098163/b83125exv10w3.htm" TargetMode="External"/><Relationship Id="rId44" Type="http://schemas.openxmlformats.org/officeDocument/2006/relationships/hyperlink" Target="http://www.sec.gov/Archives/edgar/data/1262976/000119312509218946/dex104.htm" TargetMode="External"/><Relationship Id="rId45" Type="http://schemas.openxmlformats.org/officeDocument/2006/relationships/hyperlink" Target="http://www.sec.gov/Archives/edgar/data/1262976/000119312509218946/dex101.htm" TargetMode="External"/><Relationship Id="rId46" Type="http://schemas.openxmlformats.org/officeDocument/2006/relationships/hyperlink" Target="http://www.sec.gov/Archives/edgar/data/1262976/000119312509218946/dex105.htm" TargetMode="External"/><Relationship Id="rId47" Type="http://schemas.openxmlformats.org/officeDocument/2006/relationships/hyperlink" Target="http://www.sec.gov/Archives/edgar/data/1262976/000095012311057554/b86732dedef14a.htm" TargetMode="External"/><Relationship Id="rId48" Type="http://schemas.openxmlformats.org/officeDocument/2006/relationships/hyperlink" Target="http://www.sec.gov/Archives/edgar/data/1262976/000095012311093030/b87964exv10w3.htm" TargetMode="External"/><Relationship Id="rId49" Type="http://schemas.openxmlformats.org/officeDocument/2006/relationships/hyperlink" Target="http://www.sec.gov/Archives/edgar/data/1262976/000095012311093030/b87964exv10w1.htm" TargetMode="External"/><Relationship Id="rId50" Type="http://schemas.openxmlformats.org/officeDocument/2006/relationships/hyperlink" Target="http://www.sec.gov/Archives/edgar/data/1262976/000126297616000085/exhibit10_1.htm" TargetMode="External"/><Relationship Id="rId51" Type="http://schemas.openxmlformats.org/officeDocument/2006/relationships/hyperlink" Target="http://www.sec.gov/Archives/edgar/data/1262976/000126297616000081/ex102.htm" TargetMode="External"/><Relationship Id="rId52" Type="http://schemas.openxmlformats.org/officeDocument/2006/relationships/hyperlink" Target="http://www.sec.gov/Archives/edgar/data/1262976/000126297616000081/ex103.htm" TargetMode="External"/><Relationship Id="rId53" Type="http://schemas.openxmlformats.org/officeDocument/2006/relationships/hyperlink" Target="http://www.sec.gov/Archives/edgar/data/1262976/000126297617000008/exhibit102-supervisorydire.htm" TargetMode="External"/><Relationship Id="rId54" Type="http://schemas.openxmlformats.org/officeDocument/2006/relationships/hyperlink" Target="http://www.sec.gov/Archives/edgar/data/1262976/000126297617000034/exhibit101supplementalpsua.htm" TargetMode="External"/><Relationship Id="rId55" Type="http://schemas.openxmlformats.org/officeDocument/2006/relationships/hyperlink" Target="http://www.sec.gov/Archives/edgar/data/1262976/000126297615000008/cmprex109inducementsharepl.htm" TargetMode="External"/><Relationship Id="rId56" Type="http://schemas.openxmlformats.org/officeDocument/2006/relationships/hyperlink" Target="http://www.sec.gov/Archives/edgar/data/1262976/000126297615000008/cmprex1010forminducementrsa.htm" TargetMode="External"/><Relationship Id="rId57" Type="http://schemas.openxmlformats.org/officeDocument/2006/relationships/hyperlink" Target="http://www.sec.gov/Archives/edgar/data/1262976/000119312509184821/dex101.htm" TargetMode="External"/><Relationship Id="rId58" Type="http://schemas.openxmlformats.org/officeDocument/2006/relationships/hyperlink" Target="http://www.sec.gov/Archives/edgar/data/1262976/000119312509218946/dex107.htm" TargetMode="External"/><Relationship Id="rId59" Type="http://schemas.openxmlformats.org/officeDocument/2006/relationships/hyperlink" Target="http://www.sec.gov/Archives/edgar/data/1262976/000119312509218946/dex108.htm" TargetMode="External"/><Relationship Id="rId60" Type="http://schemas.openxmlformats.org/officeDocument/2006/relationships/hyperlink" Target="http://www.sec.gov/Archives/edgar/data/1262976/000126297616000081/ex104.htm" TargetMode="External"/><Relationship Id="rId61" Type="http://schemas.openxmlformats.org/officeDocument/2006/relationships/hyperlink" Target="http://www.sec.gov/Archives/edgar/data/1262976/000095012310042023/b80738exv10w2.htm" TargetMode="External"/><Relationship Id="rId62" Type="http://schemas.openxmlformats.org/officeDocument/2006/relationships/hyperlink" Target="http://www.sec.gov/Archives/edgar/data/1262976/000095012310081849/b80590exv10w18.htm" TargetMode="External"/><Relationship Id="rId63" Type="http://schemas.openxmlformats.org/officeDocument/2006/relationships/hyperlink" Target="http://www.sec.gov/Archives/edgar/data/1262976/000095012311093030/b87964exv10w6.htm" TargetMode="External"/><Relationship Id="rId64" Type="http://schemas.openxmlformats.org/officeDocument/2006/relationships/hyperlink" Target="http://www.sec.gov/Archives/edgar/data/1262976/000144530512002668/vprtex-1029.htm" TargetMode="External"/><Relationship Id="rId65" Type="http://schemas.openxmlformats.org/officeDocument/2006/relationships/hyperlink" Target="http://www.sec.gov/Archives/edgar/data/1262976/000144530513002580/vprtex-1019301310xq.htm" TargetMode="External"/><Relationship Id="rId66" Type="http://schemas.openxmlformats.org/officeDocument/2006/relationships/hyperlink" Target="http://www.sec.gov/Archives/edgar/data/1262976/000144530514004617/ex101amendmentno5toemploym.htm" TargetMode="External"/><Relationship Id="rId67" Type="http://schemas.openxmlformats.org/officeDocument/2006/relationships/hyperlink" Target="http://www.sec.gov/Archives/edgar/data/1262976/000126297616000030/cmprex10112311510-q.htm" TargetMode="External"/><Relationship Id="rId68" Type="http://schemas.openxmlformats.org/officeDocument/2006/relationships/hyperlink" Target="http://www.sec.gov/Archives/edgar/data/1262976/000126297616000081/ex101.htm" TargetMode="External"/><Relationship Id="rId69" Type="http://schemas.openxmlformats.org/officeDocument/2006/relationships/hyperlink" Target="http://www.sec.gov/Archives/edgar/data/1262976/000126297617000034/exhibit102rkeaneemployment.htm" TargetMode="External"/><Relationship Id="rId70" Type="http://schemas.openxmlformats.org/officeDocument/2006/relationships/hyperlink" Target="http://www.sec.gov/Archives/edgar/data/1262976/000095012310081849/b80590exv10w19.htm" TargetMode="External"/><Relationship Id="rId71" Type="http://schemas.openxmlformats.org/officeDocument/2006/relationships/hyperlink" Target="http://www.sec.gov/Archives/edgar/data/1262976/000126297616000064/psulimitationagmtex101.htm" TargetMode="External"/><Relationship Id="rId72" Type="http://schemas.openxmlformats.org/officeDocument/2006/relationships/hyperlink" Target="http://www.sec.gov/Archives/edgar/data/1262976/000126297616000081/ex109.htm" TargetMode="External"/><Relationship Id="rId73" Type="http://schemas.openxmlformats.org/officeDocument/2006/relationships/hyperlink" Target="http://www.sec.gov/Archives/edgar/data/1262976/000126297617000044/ex101.htm" TargetMode="External"/><Relationship Id="rId74" Type="http://schemas.openxmlformats.org/officeDocument/2006/relationships/hyperlink" Target="http://www.sec.gov/Archives/edgar/data/1262976/000126297616000081/ex1010.htm" TargetMode="External"/><Relationship Id="rId75" Type="http://schemas.openxmlformats.org/officeDocument/2006/relationships/hyperlink" Target="http://www.sec.gov/Archives/edgar/data/1262976/000126297617000044/ex102.htm" TargetMode="External"/><Relationship Id="rId76" Type="http://schemas.openxmlformats.org/officeDocument/2006/relationships/hyperlink" Target="http://www.sec.gov/Archives/edgar/data/1262976/000119312505190875/dex1022.htm" TargetMode="External"/><Relationship Id="rId77" Type="http://schemas.openxmlformats.org/officeDocument/2006/relationships/hyperlink" Target="http://www.sec.gov/Archives/edgar/data/1262976/000119312505190875/dex1023.htm" TargetMode="External"/><Relationship Id="rId78" Type="http://schemas.openxmlformats.org/officeDocument/2006/relationships/hyperlink" Target="http://www.sec.gov/Archives/edgar/data/1262976/000126297617000008/exhibit101-supervisoryboar.htm" TargetMode="External"/><Relationship Id="rId79" Type="http://schemas.openxmlformats.org/officeDocument/2006/relationships/hyperlink" Target="http://www.sec.gov/Archives/edgar/data/1262976/000118143109052844/rrd256705_30414.htm" TargetMode="External"/><Relationship Id="rId80" Type="http://schemas.openxmlformats.org/officeDocument/2006/relationships/hyperlink" Target="http://www.sec.gov/Archives/edgar/data/1262976/000126297617000020/ex101amendmentandrestateme.htm" TargetMode="External"/><Relationship Id="rId81" Type="http://schemas.openxmlformats.org/officeDocument/2006/relationships/hyperlink" Target="http://www.sec.gov/Archives/edgar/data/1262976/000126297618000043/ex101-creditagreement1.htm" TargetMode="External"/><Relationship Id="rId82" Type="http://schemas.openxmlformats.org/officeDocument/2006/relationships/hyperlink" Target="http://www.sec.gov/Archives/edgar/data/1262976/000126297617000020/ex102secondarguaranty.htm" TargetMode="External"/><Relationship Id="rId83" Type="http://schemas.openxmlformats.org/officeDocument/2006/relationships/hyperlink" Target="http://www.sec.gov/Archives/edgar/data/1262976/000126297617000020/ex103pledgeandsecurity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2019-12-28T20:02:39Z</dcterms:created>
  <dcterms:modified xsi:type="dcterms:W3CDTF">2019-12-28T20:02:39Z</dcterms:modified>
</cp:coreProperties>
</file>