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109855</wp:posOffset>
            </wp:positionH>
            <wp:positionV relativeFrom="paragraph">
              <wp:posOffset>68580</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36195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380" w:hanging="259"/>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8"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September 30, 2022</w:t>
      </w:r>
    </w:p>
    <w:p>
      <w:pPr>
        <w:spacing w:after="0" w:line="16"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ind w:left="380" w:hanging="259"/>
        <w:spacing w:after="0" w:line="207" w:lineRule="auto"/>
        <w:tabs>
          <w:tab w:leader="none" w:pos="38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380"/>
        <w:spacing w:after="0"/>
        <w:tabs>
          <w:tab w:leader="none" w:pos="30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198"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198"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198" w:right="31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Building D, Xerox Technology Park A91 H9N9,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 353 42 938 8500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198"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198"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198"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252" w:lineRule="exact"/>
        <w:rPr>
          <w:sz w:val="24"/>
          <w:szCs w:val="24"/>
          <w:color w:val="auto"/>
        </w:rPr>
      </w:pPr>
    </w:p>
    <w:p>
      <w:pPr>
        <w:ind w:left="1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7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No o</w:t>
      </w:r>
    </w:p>
    <w:p>
      <w:pPr>
        <w:spacing w:after="0" w:line="64" w:lineRule="exact"/>
        <w:rPr>
          <w:sz w:val="24"/>
          <w:szCs w:val="24"/>
          <w:color w:val="auto"/>
        </w:rPr>
      </w:pPr>
    </w:p>
    <w:p>
      <w:pPr>
        <w:ind w:left="62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w:t>
      </w:r>
    </w:p>
    <w:p>
      <w:pPr>
        <w:spacing w:after="0" w:line="20" w:lineRule="exact"/>
        <w:rPr>
          <w:sz w:val="24"/>
          <w:szCs w:val="24"/>
          <w:color w:val="auto"/>
        </w:rPr>
      </w:pPr>
    </w:p>
    <w:p>
      <w:pPr>
        <w:spacing w:after="0" w:line="173" w:lineRule="exact"/>
        <w:tabs>
          <w:tab w:leader="none" w:pos="10700" w:val="left"/>
        </w:tabs>
        <w:rPr>
          <w:sz w:val="20"/>
          <w:szCs w:val="20"/>
          <w:color w:val="auto"/>
        </w:rPr>
      </w:pPr>
      <w:r>
        <w:rPr>
          <w:rFonts w:ascii="Arial" w:cs="Arial" w:eastAsia="Arial" w:hAnsi="Arial"/>
          <w:sz w:val="15"/>
          <w:szCs w:val="15"/>
          <w:color w:val="auto"/>
        </w:rPr>
        <w:t xml:space="preserve">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6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198"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198" w:right="319" w:bottom="1440" w:gutter="0" w:footer="0" w:header="0"/>
          <w:type w:val="continuous"/>
        </w:sectPr>
      </w:pPr>
    </w:p>
    <w:p>
      <w:pPr>
        <w:ind w:right="40" w:firstLine="623"/>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620" w:right="262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24, 2022, there were 26,232,581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259715</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226695</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19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September 30, 2022 and June 30, 2022</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months ended September 30,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Loss for the three months ended September 30,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months ended September 30,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three months ended September 30,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3.</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Item 1A. Risk Factors</w:t>
            </w:r>
          </w:p>
        </w:tc>
        <w:tc>
          <w:tcPr>
            <w:tcW w:w="816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277,053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101,726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49,952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$6,652 and $6,140, respectively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70,533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63,885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153,504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126,728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121,428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108,697</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579,291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626,315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272,625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286,826</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64,389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80,694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90,474</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114,020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113,088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748,055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766,600</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139,864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154,730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 non-current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22,449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67,693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48,945</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2,098,047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285,226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313,710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266,196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253,841</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54,229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58,861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10,386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23,013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27,706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33,061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28,035</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671,625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692,539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48,418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41,142</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1,654,529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1,675,562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44,783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57,474</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56,443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64,394</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2,475,798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2,531,111</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129,909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131,483</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8240" w:type="dxa"/>
            <w:vAlign w:val="bottom"/>
          </w:tcPr>
          <w:p>
            <w:pPr>
              <w:ind w:left="220"/>
              <w:spacing w:after="0" w:line="157" w:lineRule="exact"/>
              <w:rPr>
                <w:sz w:val="20"/>
                <w:szCs w:val="20"/>
                <w:color w:val="auto"/>
              </w:rPr>
            </w:pPr>
            <w:r>
              <w:rPr>
                <w:rFonts w:ascii="Arial" w:cs="Arial" w:eastAsia="Arial" w:hAnsi="Arial"/>
                <w:sz w:val="16"/>
                <w:szCs w:val="16"/>
                <w:color w:val="auto"/>
              </w:rPr>
              <w:t>Ordinary shares, nominal value €0.01 per share, 100,000,000 shares authorized; 44,196,093 and 44,083,569</w:t>
            </w:r>
          </w:p>
        </w:tc>
        <w:tc>
          <w:tcPr>
            <w:tcW w:w="160" w:type="dxa"/>
            <w:vAlign w:val="bottom"/>
          </w:tcPr>
          <w:p>
            <w:pPr>
              <w:spacing w:after="0"/>
              <w:rPr>
                <w:sz w:val="13"/>
                <w:szCs w:val="13"/>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shares issued, respectively; 26,224,846 and 26,112,322 shares outstanding, respectively</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509,444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501,003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385,972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414,138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(507,660)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(494,922)</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2,098,047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7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703,415</w:t>
            </w:r>
          </w:p>
        </w:tc>
        <w:tc>
          <w:tcPr>
            <w:tcW w:w="46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657,599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377,735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200,930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 (1)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(Loss) income from operations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(24,806)</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 Net (income) attributable to noncontrolling 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Borders>
              <w:right w:val="single" w:sz="8" w:color="CCEEFF"/>
            </w:tcBorders>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Cimpress plc</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(25,441)</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960" w:type="dxa"/>
            <w:vAlign w:val="bottom"/>
            <w:vMerge w:val="restart"/>
          </w:tcPr>
          <w:p>
            <w:pPr>
              <w:spacing w:after="0"/>
              <w:rPr>
                <w:sz w:val="20"/>
                <w:szCs w:val="20"/>
                <w:color w:val="auto"/>
              </w:rPr>
            </w:pPr>
            <w:r>
              <w:rPr>
                <w:rFonts w:ascii="Arial" w:cs="Arial" w:eastAsia="Arial" w:hAnsi="Arial"/>
                <w:sz w:val="16"/>
                <w:szCs w:val="16"/>
                <w:color w:val="auto"/>
              </w:rPr>
              <w:t>Basic and diluted net loss per share attributable to Cimpress plc</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7960" w:type="dxa"/>
            <w:vAlign w:val="bottom"/>
            <w:vMerge w:val="continue"/>
          </w:tcPr>
          <w:p>
            <w:pPr>
              <w:spacing w:after="0"/>
              <w:rPr>
                <w:sz w:val="13"/>
                <w:szCs w:val="13"/>
                <w:color w:val="auto"/>
              </w:rPr>
            </w:pPr>
          </w:p>
        </w:tc>
        <w:tc>
          <w:tcPr>
            <w:tcW w:w="260" w:type="dxa"/>
            <w:vAlign w:val="bottom"/>
          </w:tcPr>
          <w:p>
            <w:pPr>
              <w:jc w:val="right"/>
              <w:ind w:right="84"/>
              <w:spacing w:after="0" w:line="154"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54" w:lineRule="exact"/>
              <w:rPr>
                <w:sz w:val="20"/>
                <w:szCs w:val="20"/>
                <w:color w:val="auto"/>
              </w:rPr>
            </w:pPr>
            <w:r>
              <w:rPr>
                <w:rFonts w:ascii="Arial" w:cs="Arial" w:eastAsia="Arial" w:hAnsi="Arial"/>
                <w:sz w:val="16"/>
                <w:szCs w:val="16"/>
                <w:color w:val="auto"/>
              </w:rPr>
              <w:t>(0.97)</w:t>
            </w:r>
          </w:p>
        </w:tc>
        <w:tc>
          <w:tcPr>
            <w:tcW w:w="460" w:type="dxa"/>
            <w:vAlign w:val="bottom"/>
            <w:gridSpan w:val="3"/>
          </w:tcPr>
          <w:p>
            <w:pPr>
              <w:jc w:val="right"/>
              <w:ind w:right="162"/>
              <w:spacing w:after="0" w:line="154"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54" w:lineRule="exact"/>
              <w:rPr>
                <w:sz w:val="20"/>
                <w:szCs w:val="20"/>
                <w:color w:val="auto"/>
              </w:rPr>
            </w:pPr>
            <w:r>
              <w:rPr>
                <w:rFonts w:ascii="Arial" w:cs="Arial" w:eastAsia="Arial" w:hAnsi="Arial"/>
                <w:sz w:val="16"/>
                <w:szCs w:val="16"/>
                <w:color w:val="auto"/>
              </w:rPr>
              <w:t>(0.26)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Borders>
              <w:right w:val="single" w:sz="8" w:color="CCEEFF"/>
            </w:tcBorders>
          </w:tcPr>
          <w:p>
            <w:pPr>
              <w:spacing w:after="0"/>
              <w:rPr>
                <w:sz w:val="17"/>
                <w:szCs w:val="17"/>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 basic and diluted</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26,178,818</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26,072,249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8020" w:type="dxa"/>
            <w:vAlign w:val="bottom"/>
            <w:gridSpan w:val="2"/>
          </w:tcPr>
          <w:p>
            <w:pPr>
              <w:spacing w:after="0"/>
              <w:rPr>
                <w:sz w:val="20"/>
                <w:szCs w:val="20"/>
                <w:color w:val="auto"/>
              </w:rPr>
            </w:pPr>
            <w:r>
              <w:rPr>
                <w:rFonts w:ascii="Arial" w:cs="Arial" w:eastAsia="Arial" w:hAnsi="Arial"/>
                <w:sz w:val="14"/>
                <w:szCs w:val="14"/>
                <w:color w:val="auto"/>
              </w:rPr>
              <w:t>(1) Share-based compensation is allocated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7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193</w:t>
            </w:r>
          </w:p>
        </w:tc>
        <w:tc>
          <w:tcPr>
            <w:tcW w:w="460" w:type="dxa"/>
            <w:vAlign w:val="bottom"/>
            <w:gridSpan w:val="3"/>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3,041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4,782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79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r>
      <w:tr>
        <w:trPr>
          <w:trHeight w:val="20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(24,741)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net of hedges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7"/>
        </w:trPr>
        <w:tc>
          <w:tcPr>
            <w:tcW w:w="7940" w:type="dxa"/>
            <w:vAlign w:val="bottom"/>
          </w:tcPr>
          <w:p>
            <w:pPr>
              <w:ind w:left="200"/>
              <w:spacing w:after="0"/>
              <w:rPr>
                <w:sz w:val="20"/>
                <w:szCs w:val="20"/>
                <w:color w:val="auto"/>
              </w:rPr>
            </w:pPr>
            <w:r>
              <w:rPr>
                <w:rFonts w:ascii="Arial" w:cs="Arial" w:eastAsia="Arial" w:hAnsi="Arial"/>
                <w:sz w:val="16"/>
                <w:szCs w:val="16"/>
                <w:color w:val="auto"/>
              </w:rPr>
              <w:t>Net unrealized gains (losses) on derivative instruments designated and qualifying as cash flow hedges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(1,925)</w:t>
            </w:r>
          </w:p>
        </w:tc>
      </w:tr>
      <w:tr>
        <w:trPr>
          <w:trHeight w:val="20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loss to net loss on derivative instruments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5,546</w:t>
            </w:r>
          </w:p>
        </w:tc>
      </w:tr>
      <w:tr>
        <w:trPr>
          <w:trHeight w:val="200"/>
        </w:trPr>
        <w:tc>
          <w:tcPr>
            <w:tcW w:w="79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(19,101)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08"/>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02"/>
        </w:trPr>
        <w:tc>
          <w:tcPr>
            <w:tcW w:w="7940" w:type="dxa"/>
            <w:vAlign w:val="bottom"/>
          </w:tcPr>
          <w:p>
            <w:pPr>
              <w:ind w:left="20"/>
              <w:spacing w:after="0"/>
              <w:rPr>
                <w:sz w:val="20"/>
                <w:szCs w:val="20"/>
                <w:color w:val="auto"/>
              </w:rPr>
            </w:pPr>
            <w:r>
              <w:rPr>
                <w:rFonts w:ascii="Arial" w:cs="Arial" w:eastAsia="Arial" w:hAnsi="Arial"/>
                <w:sz w:val="16"/>
                <w:szCs w:val="16"/>
                <w:color w:val="auto"/>
              </w:rPr>
              <w:t>Total comprehensive loss attributable to Cimpress plc</w:t>
            </w: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(18,454)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w:t>
            </w:r>
          </w:p>
        </w:tc>
      </w:tr>
      <w:tr>
        <w:trPr>
          <w:trHeight w:val="20"/>
        </w:trPr>
        <w:tc>
          <w:tcPr>
            <w:tcW w:w="7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80" w:top="861" w:right="37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Deferred Ordinary</w:t>
            </w:r>
          </w:p>
        </w:tc>
        <w:tc>
          <w:tcPr>
            <w:tcW w:w="2060" w:type="dxa"/>
            <w:vAlign w:val="bottom"/>
            <w:gridSpan w:val="5"/>
            <w:vMerge w:val="restart"/>
          </w:tcPr>
          <w:p>
            <w:pPr>
              <w:ind w:left="500"/>
              <w:spacing w:after="0"/>
              <w:rPr>
                <w:sz w:val="20"/>
                <w:szCs w:val="20"/>
                <w:color w:val="auto"/>
              </w:rPr>
            </w:pPr>
            <w:r>
              <w:rPr>
                <w:rFonts w:ascii="Arial" w:cs="Arial" w:eastAsia="Arial" w:hAnsi="Arial"/>
                <w:sz w:val="12"/>
                <w:szCs w:val="12"/>
                <w:b w:val="1"/>
                <w:bCs w:val="1"/>
                <w:color w:val="auto"/>
              </w:rPr>
              <w:t>Treasury Shares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20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34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10"/>
                <w:szCs w:val="10"/>
                <w:color w:val="auto"/>
              </w:rPr>
            </w:pPr>
          </w:p>
        </w:tc>
        <w:tc>
          <w:tcPr>
            <w:tcW w:w="980" w:type="dxa"/>
            <w:vAlign w:val="bottom"/>
          </w:tcPr>
          <w:p>
            <w:pPr>
              <w:jc w:val="center"/>
              <w:ind w:right="7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7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68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70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8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80" w:type="dxa"/>
            <w:vAlign w:val="bottom"/>
            <w:gridSpan w:val="2"/>
            <w:vMerge w:val="restart"/>
          </w:tcPr>
          <w:p>
            <w:pPr>
              <w:ind w:left="100"/>
              <w:spacing w:after="0" w:line="117"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7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700" w:type="dxa"/>
            <w:vAlign w:val="bottom"/>
          </w:tcPr>
          <w:p>
            <w:pPr>
              <w:spacing w:after="0"/>
              <w:rPr>
                <w:sz w:val="8"/>
                <w:szCs w:val="8"/>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Issued</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8"/>
                <w:szCs w:val="8"/>
                <w:color w:val="auto"/>
              </w:rPr>
            </w:pPr>
          </w:p>
        </w:tc>
        <w:tc>
          <w:tcPr>
            <w:tcW w:w="9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7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459,904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530,159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Restricted share units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11,129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11,129</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(6,698)</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3,621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3,621</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net of hedges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(17,991)</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(1,365,079)</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464,938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515,869</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(67,187)</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(450,816)</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680" w:type="dxa"/>
            <w:vAlign w:val="bottom"/>
          </w:tcPr>
          <w:p>
            <w:pPr>
              <w:jc w:val="right"/>
              <w:spacing w:after="0"/>
              <w:rPr>
                <w:sz w:val="20"/>
                <w:szCs w:val="20"/>
                <w:color w:val="auto"/>
              </w:rPr>
            </w:pPr>
            <w:r>
              <w:rPr>
                <w:rFonts w:ascii="Arial" w:cs="Arial" w:eastAsia="Arial" w:hAnsi="Arial"/>
                <w:sz w:val="14"/>
                <w:szCs w:val="14"/>
                <w:color w:val="auto"/>
              </w:rPr>
              <w:t>44,084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(17,971)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501,003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414,138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(47,128)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54"/>
        </w:trPr>
        <w:tc>
          <w:tcPr>
            <w:tcW w:w="17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Restricted share units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10,653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10,653</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(25,441)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(25,441)</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13,822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13,822</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net of hedges</w:t>
            </w: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44,196</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509,444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385,972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(40,141)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(507,660)</w:t>
            </w: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2022</w:t>
            </w: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1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r>
      <w:tr>
        <w:trPr>
          <w:trHeight w:val="209"/>
        </w:trPr>
        <w:tc>
          <w:tcPr>
            <w:tcW w:w="7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18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(24,741)</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(4,960)</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76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40,942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44,432</w:t>
            </w: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11,006</w:t>
            </w:r>
          </w:p>
        </w:tc>
      </w:tr>
      <w:tr>
        <w:trPr>
          <w:trHeight w:val="207"/>
        </w:trPr>
        <w:tc>
          <w:tcPr>
            <w:tcW w:w="7660" w:type="dxa"/>
            <w:vAlign w:val="bottom"/>
          </w:tcPr>
          <w:p>
            <w:pPr>
              <w:ind w:left="220"/>
              <w:spacing w:after="0"/>
              <w:rPr>
                <w:sz w:val="20"/>
                <w:szCs w:val="20"/>
                <w:color w:val="auto"/>
              </w:rPr>
            </w:pPr>
            <w:r>
              <w:rPr>
                <w:rFonts w:ascii="Arial" w:cs="Arial" w:eastAsia="Arial" w:hAnsi="Arial"/>
                <w:sz w:val="16"/>
                <w:szCs w:val="16"/>
                <w:color w:val="auto"/>
              </w:rPr>
              <w:t>Deferred taxes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on derivatives not designated as hedging instruments included in net loss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(16,534)</w:t>
            </w:r>
          </w:p>
        </w:tc>
      </w:tr>
      <w:tr>
        <w:trPr>
          <w:trHeight w:val="207"/>
        </w:trPr>
        <w:tc>
          <w:tcPr>
            <w:tcW w:w="7660" w:type="dxa"/>
            <w:vAlign w:val="bottom"/>
          </w:tcPr>
          <w:p>
            <w:pPr>
              <w:ind w:left="220"/>
              <w:spacing w:after="0"/>
              <w:rPr>
                <w:sz w:val="20"/>
                <w:szCs w:val="20"/>
                <w:color w:val="auto"/>
              </w:rPr>
            </w:pPr>
            <w:r>
              <w:rPr>
                <w:rFonts w:ascii="Arial" w:cs="Arial" w:eastAsia="Arial" w:hAnsi="Arial"/>
                <w:sz w:val="16"/>
                <w:szCs w:val="16"/>
                <w:color w:val="auto"/>
                <w:w w:val="98"/>
              </w:rPr>
              <w:t>Effect of exchange rate changes on monetary assets and liabilities denominated in non-functional currency</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07"/>
        </w:trPr>
        <w:tc>
          <w:tcPr>
            <w:tcW w:w="76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7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w:t>
            </w:r>
          </w:p>
        </w:tc>
      </w:tr>
      <w:tr>
        <w:trPr>
          <w:trHeight w:val="207"/>
        </w:trPr>
        <w:tc>
          <w:tcPr>
            <w:tcW w:w="7660" w:type="dxa"/>
            <w:vAlign w:val="bottom"/>
          </w:tcPr>
          <w:p>
            <w:pPr>
              <w:ind w:left="5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(11,744)</w:t>
            </w:r>
          </w:p>
        </w:tc>
      </w:tr>
      <w:tr>
        <w:trPr>
          <w:trHeight w:val="209"/>
        </w:trPr>
        <w:tc>
          <w:tcPr>
            <w:tcW w:w="7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07"/>
        </w:trPr>
        <w:tc>
          <w:tcPr>
            <w:tcW w:w="766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10,290</w:t>
            </w:r>
          </w:p>
        </w:tc>
      </w:tr>
      <w:tr>
        <w:trPr>
          <w:trHeight w:val="209"/>
        </w:trPr>
        <w:tc>
          <w:tcPr>
            <w:tcW w:w="76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16,312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17,493</w:t>
            </w:r>
          </w:p>
        </w:tc>
      </w:tr>
      <w:tr>
        <w:trPr>
          <w:trHeight w:val="20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36,567</w:t>
            </w:r>
          </w:p>
        </w:tc>
      </w:tr>
      <w:tr>
        <w:trPr>
          <w:trHeight w:val="18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(8,624)</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(15,639)</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1,699</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9,953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0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(101,043)</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(13,181)</w:t>
            </w:r>
          </w:p>
        </w:tc>
      </w:tr>
      <w:tr>
        <w:trPr>
          <w:trHeight w:val="18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borrowings of debt</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(11,780)</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(10,351)</w:t>
            </w:r>
          </w:p>
        </w:tc>
      </w:tr>
      <w:tr>
        <w:trPr>
          <w:trHeight w:val="202"/>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w:t>
            </w:r>
          </w:p>
        </w:tc>
      </w:tr>
      <w:tr>
        <w:trPr>
          <w:trHeight w:val="200"/>
        </w:trPr>
        <w:tc>
          <w:tcPr>
            <w:tcW w:w="76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(144,953)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10,208</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277,053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183,023</w:t>
            </w:r>
          </w:p>
        </w:tc>
      </w:tr>
      <w:tr>
        <w:trPr>
          <w:trHeight w:val="202"/>
        </w:trPr>
        <w:tc>
          <w:tcPr>
            <w:tcW w:w="76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132,100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193,231</w:t>
            </w:r>
          </w:p>
        </w:tc>
      </w:tr>
      <w:tr>
        <w:trPr>
          <w:trHeight w:val="82"/>
        </w:trPr>
        <w:tc>
          <w:tcPr>
            <w:tcW w:w="76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08"/>
        </w:trPr>
        <w:tc>
          <w:tcPr>
            <w:tcW w:w="76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7660" w:type="dxa"/>
            <w:vAlign w:val="bottom"/>
          </w:tcPr>
          <w:p>
            <w:pPr>
              <w:ind w:left="440"/>
              <w:spacing w:after="0"/>
              <w:rPr>
                <w:sz w:val="20"/>
                <w:szCs w:val="20"/>
                <w:color w:val="auto"/>
              </w:rPr>
            </w:pPr>
            <w:r>
              <w:rPr>
                <w:rFonts w:ascii="Arial" w:cs="Arial" w:eastAsia="Arial" w:hAnsi="Arial"/>
                <w:sz w:val="16"/>
                <w:szCs w:val="16"/>
                <w:color w:val="auto"/>
              </w:rPr>
              <w:t>Interest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15,060</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14,358</w:t>
            </w:r>
          </w:p>
        </w:tc>
      </w:tr>
      <w:tr>
        <w:trPr>
          <w:trHeight w:val="209"/>
        </w:trPr>
        <w:tc>
          <w:tcPr>
            <w:tcW w:w="7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7,767</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r>
      <w:tr>
        <w:trPr>
          <w:trHeight w:val="207"/>
        </w:trPr>
        <w:tc>
          <w:tcPr>
            <w:tcW w:w="7660" w:type="dxa"/>
            <w:vAlign w:val="bottom"/>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9,500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7,441</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06"/>
        </w:trPr>
        <w:tc>
          <w:tcPr>
            <w:tcW w:w="7660" w:type="dxa"/>
            <w:vAlign w:val="bottom"/>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3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8,463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44,852</w:t>
            </w: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104775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40"/>
          </w:cols>
          <w:pgMar w:left="520" w:top="121" w:right="5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7"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3"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Revision of Prior Period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Gains Associated with Intercompany Loan Hedge</w:t>
      </w:r>
    </w:p>
    <w:p>
      <w:pPr>
        <w:spacing w:after="0" w:line="207" w:lineRule="exact"/>
        <w:rPr>
          <w:sz w:val="20"/>
          <w:szCs w:val="20"/>
          <w:color w:val="auto"/>
        </w:rPr>
      </w:pPr>
    </w:p>
    <w:p>
      <w:pPr>
        <w:ind w:right="60" w:firstLine="623"/>
        <w:spacing w:after="0" w:line="260" w:lineRule="auto"/>
        <w:rPr>
          <w:sz w:val="20"/>
          <w:szCs w:val="20"/>
          <w:color w:val="auto"/>
        </w:rPr>
      </w:pPr>
      <w:r>
        <w:rPr>
          <w:rFonts w:ascii="Arial" w:cs="Arial" w:eastAsia="Arial" w:hAnsi="Arial"/>
          <w:sz w:val="17"/>
          <w:szCs w:val="17"/>
          <w:color w:val="auto"/>
        </w:rPr>
        <w:t>During the quarter ended December 31, 2021, we identified an error related to the recognition of foreign currency gains that were included in other income (expense), net within our consolidated statements of operations, associated with a net investment hedge. In May 2021, we designated a €300,000 intercompany loan as a net investment hedge to hedge the risk of changes in the U.S. dollar equivalent value of a portion of our net investment in one of our consolidated subsidiaries that has the Euro as its functional currency. As this hedging instrument was designated as a net investment hedge, all foreign currency gains and losses should be recognized in accumulated other comprehensive loss as part of currency translation adjustment. For the three months ended September 30, 2021, we incorrectly recognized $9,027, respectively, of gains in other income (expense), net. This error overstated other income (expense), net; income (loss) before income taxes; and net income for both periods but did not have an impact on cash provided by operating activities, since it is a non-cash currency item. Included below are the revisions made for each period presented.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803"/>
              <w:spacing w:after="0"/>
              <w:rPr>
                <w:sz w:val="20"/>
                <w:szCs w:val="20"/>
                <w:color w:val="auto"/>
              </w:rPr>
            </w:pPr>
            <w:r>
              <w:rPr>
                <w:rFonts w:ascii="Arial" w:cs="Arial" w:eastAsia="Arial" w:hAnsi="Arial"/>
                <w:sz w:val="14"/>
                <w:szCs w:val="14"/>
                <w:b w:val="1"/>
                <w:bCs w:val="1"/>
                <w:color w:val="auto"/>
                <w:w w:val="99"/>
              </w:rPr>
              <w:t>As of September 30, 2021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97"/>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Revised</w:t>
            </w:r>
          </w:p>
        </w:tc>
        <w:tc>
          <w:tcPr>
            <w:tcW w:w="0" w:type="dxa"/>
            <w:vAlign w:val="bottom"/>
          </w:tcPr>
          <w:p>
            <w:pPr>
              <w:spacing w:after="0"/>
              <w:rPr>
                <w:sz w:val="1"/>
                <w:szCs w:val="1"/>
                <w:color w:val="auto"/>
              </w:rPr>
            </w:pPr>
          </w:p>
        </w:tc>
      </w:tr>
      <w:tr>
        <w:trPr>
          <w:trHeight w:val="200"/>
        </w:trPr>
        <w:tc>
          <w:tcPr>
            <w:tcW w:w="70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(83,732)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16,545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(67,187)</w:t>
            </w:r>
          </w:p>
        </w:tc>
        <w:tc>
          <w:tcPr>
            <w:tcW w:w="0" w:type="dxa"/>
            <w:vAlign w:val="bottom"/>
          </w:tcPr>
          <w:p>
            <w:pPr>
              <w:spacing w:after="0"/>
              <w:rPr>
                <w:sz w:val="1"/>
                <w:szCs w:val="1"/>
                <w:color w:val="auto"/>
              </w:rPr>
            </w:pPr>
          </w:p>
        </w:tc>
      </w:tr>
      <w:tr>
        <w:trPr>
          <w:trHeight w:val="208"/>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532,414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515,869</w:t>
            </w:r>
          </w:p>
        </w:tc>
        <w:tc>
          <w:tcPr>
            <w:tcW w:w="0" w:type="dxa"/>
            <w:vAlign w:val="bottom"/>
          </w:tcPr>
          <w:p>
            <w:pPr>
              <w:spacing w:after="0"/>
              <w:rPr>
                <w:sz w:val="1"/>
                <w:szCs w:val="1"/>
                <w:color w:val="auto"/>
              </w:rPr>
            </w:pPr>
          </w:p>
        </w:tc>
      </w:tr>
      <w:tr>
        <w:trPr>
          <w:trHeight w:val="279"/>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97"/>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Revised</w:t>
            </w:r>
          </w:p>
        </w:tc>
        <w:tc>
          <w:tcPr>
            <w:tcW w:w="0" w:type="dxa"/>
            <w:vAlign w:val="bottom"/>
          </w:tcPr>
          <w:p>
            <w:pPr>
              <w:spacing w:after="0"/>
              <w:rPr>
                <w:sz w:val="1"/>
                <w:szCs w:val="1"/>
                <w:color w:val="auto"/>
              </w:rPr>
            </w:pPr>
          </w:p>
        </w:tc>
      </w:tr>
      <w:tr>
        <w:trPr>
          <w:trHeight w:val="200"/>
        </w:trPr>
        <w:tc>
          <w:tcPr>
            <w:tcW w:w="70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22,197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13,170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0" w:type="dxa"/>
            <w:vAlign w:val="bottom"/>
          </w:tcPr>
          <w:p>
            <w:pPr>
              <w:spacing w:after="0"/>
              <w:rPr>
                <w:sz w:val="1"/>
                <w:szCs w:val="1"/>
                <w:color w:val="auto"/>
              </w:rPr>
            </w:pP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Cimpress plc:</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79"/>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Comprehensive Loss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97"/>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Revised</w:t>
            </w:r>
          </w:p>
        </w:tc>
        <w:tc>
          <w:tcPr>
            <w:tcW w:w="0" w:type="dxa"/>
            <w:vAlign w:val="bottom"/>
          </w:tcPr>
          <w:p>
            <w:pPr>
              <w:spacing w:after="0"/>
              <w:rPr>
                <w:sz w:val="1"/>
                <w:szCs w:val="1"/>
                <w:color w:val="auto"/>
              </w:rPr>
            </w:pPr>
          </w:p>
        </w:tc>
      </w:tr>
      <w:tr>
        <w:trPr>
          <w:trHeight w:val="200"/>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208"/>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losses, net of hedges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9,027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79"/>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Shareholders' Deficit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97"/>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Revised</w:t>
            </w:r>
          </w:p>
        </w:tc>
        <w:tc>
          <w:tcPr>
            <w:tcW w:w="0" w:type="dxa"/>
            <w:vAlign w:val="bottom"/>
          </w:tcPr>
          <w:p>
            <w:pPr>
              <w:spacing w:after="0"/>
              <w:rPr>
                <w:sz w:val="1"/>
                <w:szCs w:val="1"/>
                <w:color w:val="auto"/>
              </w:rPr>
            </w:pPr>
          </w:p>
        </w:tc>
      </w:tr>
      <w:tr>
        <w:trPr>
          <w:trHeight w:val="200"/>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08"/>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net of hedges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9,027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9"/>
        </w:trPr>
        <w:tc>
          <w:tcPr>
            <w:tcW w:w="7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right="102"/>
              <w:spacing w:after="0"/>
              <w:rPr>
                <w:sz w:val="20"/>
                <w:szCs w:val="20"/>
                <w:color w:val="auto"/>
              </w:rPr>
            </w:pPr>
            <w:r>
              <w:rPr>
                <w:rFonts w:ascii="Arial" w:cs="Arial" w:eastAsia="Arial" w:hAnsi="Arial"/>
                <w:sz w:val="16"/>
                <w:szCs w:val="16"/>
                <w:color w:val="auto"/>
                <w:w w:val="97"/>
              </w:rPr>
              <w:t>Adjustments</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Revised</w:t>
            </w:r>
          </w:p>
        </w:tc>
        <w:tc>
          <w:tcPr>
            <w:tcW w:w="0" w:type="dxa"/>
            <w:vAlign w:val="bottom"/>
          </w:tcPr>
          <w:p>
            <w:pPr>
              <w:spacing w:after="0"/>
              <w:rPr>
                <w:sz w:val="1"/>
                <w:szCs w:val="1"/>
                <w:color w:val="auto"/>
              </w:rPr>
            </w:pPr>
          </w:p>
        </w:tc>
      </w:tr>
      <w:tr>
        <w:trPr>
          <w:trHeight w:val="200"/>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158"/>
        </w:trPr>
        <w:tc>
          <w:tcPr>
            <w:tcW w:w="70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9,027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6"/>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currency</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Marketable Securities</w:t>
      </w:r>
    </w:p>
    <w:p>
      <w:pPr>
        <w:spacing w:after="0" w:line="196" w:lineRule="exact"/>
        <w:rPr>
          <w:sz w:val="20"/>
          <w:szCs w:val="20"/>
          <w:color w:val="auto"/>
        </w:rPr>
      </w:pPr>
    </w:p>
    <w:p>
      <w:pPr>
        <w:ind w:right="220" w:firstLine="623"/>
        <w:spacing w:after="0" w:line="263" w:lineRule="auto"/>
        <w:rPr>
          <w:sz w:val="20"/>
          <w:szCs w:val="20"/>
          <w:color w:val="auto"/>
        </w:rPr>
      </w:pPr>
      <w:r>
        <w:rPr>
          <w:rFonts w:ascii="Arial" w:cs="Arial" w:eastAsia="Arial" w:hAnsi="Arial"/>
          <w:sz w:val="17"/>
          <w:szCs w:val="17"/>
          <w:color w:val="auto"/>
        </w:rPr>
        <w:t>We hold certain investments that are classified as held-to-maturity (HTM) as we have the intent and ability to hold them to their maturity dates. Our policy is to invest in the following permitted classes of assets: overnight money market funds invested in U.S. Treasury securities and U.S. government agency securities, U.S. Treasury securities, specifically U.S. Treasury bills, notes, and bonds, U.S. government agency securities, bank time deposits, commercial paper, corporate notes and bonds, and medium term notes. We generally invest in securities with a maturity of two years or less. As the investments are classified as held-to-maturity they are recorded at amortized cost and interest income is recorded as it is earned within interest expense, net.</w:t>
      </w:r>
    </w:p>
    <w:p>
      <w:pPr>
        <w:spacing w:after="0" w:line="155"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months ended September 30, 2022 and 2021.</w:t>
      </w:r>
    </w:p>
    <w:p>
      <w:pPr>
        <w:spacing w:after="0" w:line="154" w:lineRule="exact"/>
        <w:rPr>
          <w:sz w:val="20"/>
          <w:szCs w:val="20"/>
          <w:color w:val="auto"/>
        </w:rPr>
      </w:pPr>
    </w:p>
    <w:p>
      <w:pPr>
        <w:ind w:right="80" w:firstLine="623"/>
        <w:spacing w:after="0" w:line="295" w:lineRule="auto"/>
        <w:rPr>
          <w:sz w:val="20"/>
          <w:szCs w:val="20"/>
          <w:color w:val="auto"/>
        </w:rPr>
      </w:pPr>
      <w:r>
        <w:rPr>
          <w:rFonts w:ascii="Arial" w:cs="Arial" w:eastAsia="Arial" w:hAnsi="Arial"/>
          <w:sz w:val="17"/>
          <w:szCs w:val="17"/>
          <w:color w:val="auto"/>
        </w:rPr>
        <w:t>The following is a summary of the net carrying amount, unrealized gains, unrealized losses, and fair value of held-to-maturity securities by type and contractual maturity as of September 30, 2022 and June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September 30, 2022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Unrealized losses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50,608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50,347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51,118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due within one year or less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101,726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(779)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Due between one and two years: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13,239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124,175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(1,174)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June 30,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Unrealized losses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49,952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49,952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Net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6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720" w:type="dxa"/>
            <w:vAlign w:val="bottom"/>
          </w:tcPr>
          <w:p>
            <w:pPr>
              <w:ind w:left="600"/>
              <w:spacing w:after="0"/>
              <w:rPr>
                <w:sz w:val="20"/>
                <w:szCs w:val="20"/>
                <w:color w:val="auto"/>
              </w:rPr>
            </w:pPr>
            <w:r>
              <w:rPr>
                <w:rFonts w:ascii="Arial" w:cs="Arial" w:eastAsia="Arial" w:hAnsi="Arial"/>
                <w:sz w:val="17"/>
                <w:szCs w:val="17"/>
                <w:color w:val="auto"/>
              </w:rPr>
              <w:t>The following table summarizes the components of other income, 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604"/>
              <w:spacing w:after="0"/>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 (1)</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28,645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13,327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Currency-related (losses) gains, net (2)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losses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1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27,397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13,170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180" w:hanging="236"/>
        <w:spacing w:after="0" w:line="296" w:lineRule="auto"/>
        <w:tabs>
          <w:tab w:leader="none" w:pos="214"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realized and unrealized gains and losses on derivative currency forward and option contracts not designated as hedging instruments,as well as the ineffective portion of certain interest rate swap contracts that were de-designated from hedge accounting in the prior period. For contracts not designated as hedging instruments, we realized gains of $14,621 and losses of $3,672 for the three months ended September 30, 2022 and 2021, respectively. Refer to Note 4 for additional details relating to our derivative contracts.</w:t>
      </w:r>
    </w:p>
    <w:p>
      <w:pPr>
        <w:spacing w:after="0" w:line="30" w:lineRule="exact"/>
        <w:rPr>
          <w:rFonts w:ascii="Arial" w:cs="Arial" w:eastAsia="Arial" w:hAnsi="Arial"/>
          <w:sz w:val="13"/>
          <w:szCs w:val="13"/>
          <w:color w:val="auto"/>
        </w:rPr>
      </w:pPr>
    </w:p>
    <w:p>
      <w:pPr>
        <w:ind w:left="240" w:right="4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(losses) gains,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Net Loss Per Share Attributable to Cimpress plc</w:t>
      </w:r>
    </w:p>
    <w:p>
      <w:pPr>
        <w:spacing w:after="0" w:line="19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Basic net loss per share attributable to Cimpress plc is computed by dividing net loss 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9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2021</w:t>
            </w:r>
          </w:p>
        </w:tc>
      </w:tr>
      <w:tr>
        <w:trPr>
          <w:trHeight w:val="20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 and diluted</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26,178,818</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26,072,249</w:t>
            </w:r>
          </w:p>
        </w:tc>
      </w:tr>
      <w:tr>
        <w:trPr>
          <w:trHeight w:val="206"/>
        </w:trPr>
        <w:tc>
          <w:tcPr>
            <w:tcW w:w="7900" w:type="dxa"/>
            <w:vAlign w:val="bottom"/>
          </w:tcPr>
          <w:p>
            <w:pPr>
              <w:ind w:left="20"/>
              <w:spacing w:after="0"/>
              <w:rPr>
                <w:sz w:val="20"/>
                <w:szCs w:val="20"/>
                <w:color w:val="auto"/>
              </w:rPr>
            </w:pPr>
            <w:r>
              <w:rPr>
                <w:rFonts w:ascii="Arial" w:cs="Arial" w:eastAsia="Arial" w:hAnsi="Arial"/>
                <w:sz w:val="16"/>
                <w:szCs w:val="16"/>
                <w:color w:val="auto"/>
                <w:w w:val="98"/>
              </w:rPr>
              <w:t>Weighted average anti-dilutive shares excluded from diluted net loss per share attributable to Cimpress plc (1)(2)</w:t>
            </w:r>
          </w:p>
        </w:tc>
        <w:tc>
          <w:tcPr>
            <w:tcW w:w="1620" w:type="dxa"/>
            <w:vAlign w:val="bottom"/>
          </w:tcPr>
          <w:p>
            <w:pPr>
              <w:jc w:val="right"/>
              <w:ind w:right="11"/>
              <w:spacing w:after="0"/>
              <w:rPr>
                <w:sz w:val="20"/>
                <w:szCs w:val="20"/>
                <w:color w:val="auto"/>
              </w:rPr>
            </w:pPr>
            <w:r>
              <w:rPr>
                <w:rFonts w:ascii="Arial" w:cs="Arial" w:eastAsia="Arial" w:hAnsi="Arial"/>
                <w:sz w:val="16"/>
                <w:szCs w:val="16"/>
                <w:color w:val="auto"/>
              </w:rPr>
              <w:t>2,688,813</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530,011</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14" w:lineRule="exact"/>
        <w:rPr>
          <w:sz w:val="20"/>
          <w:szCs w:val="20"/>
          <w:color w:val="auto"/>
        </w:rPr>
      </w:pPr>
    </w:p>
    <w:p>
      <w:pPr>
        <w:ind w:left="220" w:hanging="216"/>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RSUs and warrants is not included as they are anti-dilutive.</w:t>
      </w:r>
    </w:p>
    <w:p>
      <w:pPr>
        <w:spacing w:after="0" w:line="85" w:lineRule="exact"/>
        <w:rPr>
          <w:rFonts w:ascii="Arial" w:cs="Arial" w:eastAsia="Arial" w:hAnsi="Arial"/>
          <w:sz w:val="14"/>
          <w:szCs w:val="14"/>
          <w:color w:val="auto"/>
        </w:rPr>
      </w:pPr>
    </w:p>
    <w:p>
      <w:pPr>
        <w:ind w:left="240" w:right="200" w:hanging="236"/>
        <w:spacing w:after="0" w:line="266"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with Apollo Global Management, Inc., which included 7-year warrants with a strike price of $60 that have a potentially dilutive impact on our weighted average shares outstanding. For the three months ended September 30, 2022 and 2021, the weighted average anti-dilutive effect of the warrants were 1,055,377 and 409,561 shares,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Adopted Accounting Standards</w:t>
      </w:r>
    </w:p>
    <w:p>
      <w:pPr>
        <w:spacing w:after="0" w:line="246" w:lineRule="exact"/>
        <w:rPr>
          <w:sz w:val="20"/>
          <w:szCs w:val="20"/>
          <w:color w:val="auto"/>
        </w:rPr>
      </w:pPr>
    </w:p>
    <w:p>
      <w:pPr>
        <w:ind w:right="60" w:firstLine="623"/>
        <w:spacing w:after="0" w:line="263" w:lineRule="auto"/>
        <w:rPr>
          <w:sz w:val="20"/>
          <w:szCs w:val="20"/>
          <w:color w:val="auto"/>
        </w:rPr>
      </w:pPr>
      <w:r>
        <w:rPr>
          <w:rFonts w:ascii="Arial" w:cs="Arial" w:eastAsia="Arial" w:hAnsi="Arial"/>
          <w:sz w:val="17"/>
          <w:szCs w:val="17"/>
          <w:color w:val="auto"/>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accounting treatment of contracts in an entity's own equity when calculating earnings per share. We adopted the standard on July 1, 2022. We recognize freestanding equity-classified warrants on our consolidated balance sheet and as the standard is applied prospectively, there was no impact on our consolidated financial statements in the current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Issued Accounting Standards to be Adopted</w:t>
      </w:r>
    </w:p>
    <w:p>
      <w:pPr>
        <w:spacing w:after="0" w:line="246"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In September 2022, the FASB issued Accounting Standards Update No. 2022-04 "Liabilities - Supplier Finance Programs (Subtopic 405-50)" (ASU 2022-04), which provides authoritative guidance for expanded disclosure requirements for supply chain finance programs. The standard is effective for us on July 1, 2023, and early adoption is permitted. Cimpress businesses have an active supply chain finance program which will require additional disclosure after adoption of this standard.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80" w:hanging="305"/>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1" w:name="page12"/>
    <w:bookmarkEnd w:id="11"/>
    <w:p>
      <w:pPr>
        <w:ind w:right="36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rPr>
              <w:t>September 30, 2022</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28,209</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28,209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3,448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26,995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26,995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19,173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19,173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77,825</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77,825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tcBorders>
              <w:bottom w:val="single" w:sz="8" w:color="auto"/>
            </w:tcBorders>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9"/>
              </w:rPr>
              <w:t>June 30, 2022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14,336</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14,336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20,638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20,638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10,611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10,611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45,585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45,585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623"/>
        <w:spacing w:after="0" w:line="295" w:lineRule="auto"/>
        <w:rPr>
          <w:sz w:val="20"/>
          <w:szCs w:val="20"/>
          <w:color w:val="auto"/>
        </w:rPr>
      </w:pPr>
      <w:r>
        <w:rPr>
          <w:rFonts w:ascii="Arial" w:cs="Arial" w:eastAsia="Arial" w:hAnsi="Arial"/>
          <w:sz w:val="17"/>
          <w:szCs w:val="17"/>
          <w:color w:val="auto"/>
        </w:rPr>
        <w:t>During the three months ended September 30, 2022 and year ended June 30, 2022, there were no significant transfers in or out of Level 1, Level 2 and Level 3 classifications.</w:t>
      </w:r>
    </w:p>
    <w:p>
      <w:pPr>
        <w:spacing w:after="0" w:line="130"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55"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September 30, 2022, we have assessed the significance of the impact of the credit valuation adjustments on the overall valuation of our derivative positions and have determined that the credit valuation adjustments are not significant to the overall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 w:name="page13"/>
    <w:bookmarkEnd w:id="12"/>
    <w:p>
      <w:pPr>
        <w:ind w:right="120"/>
        <w:spacing w:after="0" w:line="295" w:lineRule="auto"/>
        <w:rPr>
          <w:sz w:val="20"/>
          <w:szCs w:val="20"/>
          <w:color w:val="auto"/>
        </w:rPr>
      </w:pPr>
      <w:r>
        <w:rPr>
          <w:rFonts w:ascii="Arial" w:cs="Arial" w:eastAsia="Arial" w:hAnsi="Arial"/>
          <w:sz w:val="17"/>
          <w:szCs w:val="17"/>
          <w:color w:val="auto"/>
        </w:rPr>
        <w:t>valuation of our derivatives. As a result, we have determined that our derivative valuations in their entirety are classified in Level 2 in the fair value hierarchy.</w:t>
      </w:r>
    </w:p>
    <w:p>
      <w:pPr>
        <w:spacing w:after="0" w:line="168"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As of September 30, 2022 and June 30, 2022, the carrying amounts of our cash and cash equivalents, accounts receivable, accounts payable and other current liabilities approximated their estimated fair values. As of September 30, 2022 and June 30, 2022, the carrying value of our debt, excluding debt issuance costs and debt premiums and discounts, was $1,682,977 and $1,705,365, respectively, and the fair value was $1,511,108 and $1,600,627, respectively. Our debt at September 30, 2022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ind w:right="180" w:firstLine="623"/>
        <w:spacing w:after="0" w:line="275" w:lineRule="auto"/>
        <w:rPr>
          <w:sz w:val="20"/>
          <w:szCs w:val="20"/>
          <w:color w:val="auto"/>
        </w:rPr>
      </w:pPr>
      <w:r>
        <w:rPr>
          <w:rFonts w:ascii="Arial" w:cs="Arial" w:eastAsia="Arial" w:hAnsi="Arial"/>
          <w:sz w:val="17"/>
          <w:szCs w:val="17"/>
          <w:color w:val="auto"/>
        </w:rPr>
        <w:t>As of September 30, 2022 and June 30, 2022 our held-to-maturity marketable securities were held at an amortized cost of $124,175 and $49,952, respectively, while the fair value was $123,001 and $49,406, respectively. The securities were valued using quoted prices for identical assets in active markets, which fall into Level 1 under the fair value hierarchy.</w:t>
      </w:r>
    </w:p>
    <w:p>
      <w:pPr>
        <w:spacing w:after="0" w:line="185"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196"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 in the fair value of derivatives not designated as hedges is recognized directly in earnings as a component of other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196"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60"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As of September 30, 2022, we estimate that $6,490 will be reclassified from accumulated other comprehensive loss to interest expense, net during the twelve months ending September 30, 2023. As of September 30, 2022, we had fourteen effective outstanding interest rate swap contracts indexed to USD LIBOR. These hedges have varying start and maturity dates through April 2028.</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September 30, 2022</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400,000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Hedges of Currency Risk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5"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September 30, 2022,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spacing w:after="0" w:line="327" w:lineRule="exact"/>
        <w:rPr>
          <w:sz w:val="20"/>
          <w:szCs w:val="20"/>
          <w:color w:val="auto"/>
        </w:rPr>
      </w:pPr>
    </w:p>
    <w:p>
      <w:pPr>
        <w:ind w:right="180" w:firstLine="623"/>
        <w:spacing w:after="0" w:line="275" w:lineRule="auto"/>
        <w:rPr>
          <w:sz w:val="20"/>
          <w:szCs w:val="20"/>
          <w:color w:val="auto"/>
        </w:rPr>
      </w:pPr>
      <w:r>
        <w:rPr>
          <w:rFonts w:ascii="Arial" w:cs="Arial" w:eastAsia="Arial" w:hAnsi="Arial"/>
          <w:sz w:val="17"/>
          <w:szCs w:val="17"/>
          <w:color w:val="auto"/>
        </w:rPr>
        <w:t>Amounts reported in accumulated other comprehensive loss will be reclassified to other income, net as interest payments are accrued or paid and upon remeasuring the intercompany loan. As of September 30, 2022, we estimate that $2,132 of income will be reclassified from accumulated other comprehensive loss to interest expense, net during the twelve months ending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52" w:lineRule="exact"/>
        <w:rPr>
          <w:sz w:val="20"/>
          <w:szCs w:val="20"/>
          <w:color w:val="auto"/>
        </w:rPr>
      </w:pPr>
    </w:p>
    <w:p>
      <w:pPr>
        <w:ind w:right="380" w:firstLine="623"/>
        <w:spacing w:after="0" w:line="275" w:lineRule="auto"/>
        <w:rPr>
          <w:sz w:val="20"/>
          <w:szCs w:val="20"/>
          <w:color w:val="auto"/>
        </w:rPr>
      </w:pPr>
      <w:r>
        <w:rPr>
          <w:rFonts w:ascii="Arial" w:cs="Arial" w:eastAsia="Arial" w:hAnsi="Arial"/>
          <w:sz w:val="17"/>
          <w:szCs w:val="17"/>
          <w:color w:val="auto"/>
        </w:rPr>
        <w:t>In April 2022 we early terminated all of our currency forward contracts designated as net investment hedges, and as of September 30, 2022 we had no currency forward contracts designated as net investment hedges. We have one intercompany loan designated as a net investment hedge with a total notional amount of $364,524 that matures in May 2028.</w:t>
      </w:r>
    </w:p>
    <w:p>
      <w:pPr>
        <w:spacing w:after="0" w:line="146"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months ended September 30, 2022 and 2021,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43"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As of September 30, 2022,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Japanese Yen, Mexican Peso, New Zealand Dollar, Norwegian Krone, Philippine Peso, Swiss Franc and Swedish Krona: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$675,605</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December 2020 through</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September 2022</w:t>
            </w:r>
          </w:p>
        </w:tc>
        <w:tc>
          <w:tcPr>
            <w:tcW w:w="2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2024</w:t>
            </w: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September 30, 2022 and June 30, 2022. Our derivative asset and liability balances fluctuate with interest rate and currency exchange rate volatility.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September 30,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of recognized</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60" w:type="dxa"/>
            <w:vAlign w:val="bottom"/>
          </w:tcPr>
          <w:p>
            <w:pPr>
              <w:ind w:left="20"/>
              <w:spacing w:after="0" w:line="104"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28,209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96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960" w:type="dxa"/>
            <w:vAlign w:val="bottom"/>
            <w:vMerge w:val="continue"/>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3,448</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3,448</w:t>
            </w:r>
          </w:p>
        </w:tc>
        <w:tc>
          <w:tcPr>
            <w:tcW w:w="10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9"/>
                <w:szCs w:val="9"/>
                <w:color w:val="auto"/>
              </w:rPr>
            </w:pPr>
          </w:p>
        </w:tc>
        <w:tc>
          <w:tcPr>
            <w:tcW w:w="94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196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w w:val="99"/>
              </w:rPr>
              <w:t>Total derivatives designated as</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31,657</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31,657</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hedging instruments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96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35,378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(8,383)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26,995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w w:val="99"/>
              </w:rPr>
              <w:t>(1,435)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35"/>
        </w:trPr>
        <w:tc>
          <w:tcPr>
            <w:tcW w:w="196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96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Currency option contracts</w:t>
            </w:r>
          </w:p>
        </w:tc>
        <w:tc>
          <w:tcPr>
            <w:tcW w:w="1020" w:type="dxa"/>
            <w:vAlign w:val="bottom"/>
            <w:gridSpan w:val="2"/>
            <w:vMerge w:val="restart"/>
          </w:tcPr>
          <w:p>
            <w:pPr>
              <w:ind w:left="20"/>
              <w:spacing w:after="0" w:line="135"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5"/>
                <w:szCs w:val="5"/>
                <w:color w:val="auto"/>
              </w:rPr>
            </w:pPr>
          </w:p>
        </w:tc>
        <w:tc>
          <w:tcPr>
            <w:tcW w:w="92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19,173</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ind w:left="94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860" w:type="dxa"/>
            <w:vAlign w:val="bottom"/>
            <w:vMerge w:val="restart"/>
          </w:tcPr>
          <w:p>
            <w:pPr>
              <w:jc w:val="right"/>
              <w:ind w:right="13"/>
              <w:spacing w:after="0" w:line="135" w:lineRule="exact"/>
              <w:rPr>
                <w:sz w:val="20"/>
                <w:szCs w:val="20"/>
                <w:color w:val="auto"/>
              </w:rPr>
            </w:pPr>
            <w:r>
              <w:rPr>
                <w:rFonts w:ascii="Arial" w:cs="Arial" w:eastAsia="Arial" w:hAnsi="Arial"/>
                <w:sz w:val="14"/>
                <w:szCs w:val="14"/>
                <w:color w:val="auto"/>
              </w:rPr>
              <w:t>19,173</w:t>
            </w: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ind w:left="7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5"/>
                <w:szCs w:val="5"/>
                <w:color w:val="auto"/>
              </w:rPr>
            </w:pPr>
          </w:p>
        </w:tc>
        <w:tc>
          <w:tcPr>
            <w:tcW w:w="1240" w:type="dxa"/>
            <w:vAlign w:val="bottom"/>
            <w:gridSpan w:val="2"/>
            <w:vMerge w:val="restart"/>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860" w:type="dxa"/>
            <w:vAlign w:val="bottom"/>
            <w:vMerge w:val="restart"/>
          </w:tcPr>
          <w:p>
            <w:pPr>
              <w:ind w:left="64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19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6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rPr>
              <w:t>Total derivatives not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54,551</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(8,383)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46,168</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w w:val="99"/>
              </w:rPr>
              <w:t>(1,435)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rPr>
              <w:t>of recognized</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96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96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24,440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20,638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3"/>
        </w:trPr>
        <w:tc>
          <w:tcPr>
            <w:tcW w:w="19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10,612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10,611</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1960" w:type="dxa"/>
            <w:vAlign w:val="bottom"/>
            <w:vMerge w:val="continue"/>
          </w:tcPr>
          <w:p>
            <w:pPr>
              <w:spacing w:after="0"/>
              <w:rPr>
                <w:sz w:val="12"/>
                <w:szCs w:val="12"/>
                <w:color w:val="auto"/>
              </w:rPr>
            </w:pP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35,052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31,249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173" w:right="379" w:bottom="1440" w:gutter="0" w:footer="0" w:header="0"/>
        </w:sectPr>
      </w:pPr>
    </w:p>
    <w:bookmarkStart w:id="16" w:name="page17"/>
    <w:bookmarkEnd w:id="16"/>
    <w:p>
      <w:pPr>
        <w:spacing w:after="0" w:line="20"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for the three months ended September 30, 2022 and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r>
      <w:tr>
        <w:trPr>
          <w:trHeight w:val="164"/>
        </w:trPr>
        <w:tc>
          <w:tcPr>
            <w:tcW w:w="8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12,954</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w:t>
            </w:r>
          </w:p>
        </w:tc>
      </w:tr>
      <w:tr>
        <w:trPr>
          <w:trHeight w:val="194"/>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3,492</w:t>
            </w:r>
          </w:p>
        </w:tc>
      </w:tr>
      <w:tr>
        <w:trPr>
          <w:trHeight w:val="22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10,594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right="360" w:firstLine="623"/>
        <w:spacing w:after="0" w:line="278"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months ended September 30, 2022 and 2021:</w:t>
      </w:r>
    </w:p>
    <w:tbl>
      <w:tblPr>
        <w:tblLayout w:type="fixed"/>
        <w:tblInd w:w="60" w:type="dxa"/>
        <w:tblCellMar>
          <w:top w:w="0" w:type="dxa"/>
          <w:left w:w="0" w:type="dxa"/>
          <w:bottom w:w="0" w:type="dxa"/>
          <w:right w:w="0" w:type="dxa"/>
        </w:tblCellMar>
      </w:tblPr>
      <w:tr>
        <w:trPr>
          <w:trHeight w:val="130"/>
        </w:trPr>
        <w:tc>
          <w:tcPr>
            <w:tcW w:w="4200" w:type="dxa"/>
            <w:vAlign w:val="bottom"/>
          </w:tcPr>
          <w:p>
            <w:pPr>
              <w:spacing w:after="0"/>
              <w:rPr>
                <w:sz w:val="11"/>
                <w:szCs w:val="11"/>
                <w:color w:val="auto"/>
              </w:rPr>
            </w:pPr>
          </w:p>
        </w:tc>
        <w:tc>
          <w:tcPr>
            <w:tcW w:w="34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Amount of Net Gain (Loss) Reclassified from Accumulated</w:t>
            </w:r>
          </w:p>
        </w:tc>
        <w:tc>
          <w:tcPr>
            <w:tcW w:w="3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Affected line item in the</w:t>
            </w:r>
          </w:p>
        </w:tc>
      </w:tr>
      <w:tr>
        <w:trPr>
          <w:trHeight w:val="170"/>
        </w:trPr>
        <w:tc>
          <w:tcPr>
            <w:tcW w:w="4200" w:type="dxa"/>
            <w:vAlign w:val="bottom"/>
          </w:tcPr>
          <w:p>
            <w:pPr>
              <w:spacing w:after="0"/>
              <w:rPr>
                <w:sz w:val="14"/>
                <w:szCs w:val="14"/>
                <w:color w:val="auto"/>
              </w:rPr>
            </w:pPr>
          </w:p>
        </w:tc>
        <w:tc>
          <w:tcPr>
            <w:tcW w:w="2920" w:type="dxa"/>
            <w:vAlign w:val="bottom"/>
            <w:tcBorders>
              <w:bottom w:val="single" w:sz="8" w:color="auto"/>
            </w:tcBorders>
            <w:gridSpan w:val="4"/>
          </w:tcPr>
          <w:p>
            <w:pPr>
              <w:ind w:left="560"/>
              <w:spacing w:after="0"/>
              <w:rPr>
                <w:sz w:val="20"/>
                <w:szCs w:val="20"/>
                <w:color w:val="auto"/>
              </w:rPr>
            </w:pPr>
            <w:r>
              <w:rPr>
                <w:rFonts w:ascii="Arial" w:cs="Arial" w:eastAsia="Arial" w:hAnsi="Arial"/>
                <w:sz w:val="12"/>
                <w:szCs w:val="12"/>
                <w:b w:val="1"/>
                <w:bCs w:val="1"/>
                <w:color w:val="auto"/>
              </w:rPr>
              <w:t>Other Comprehensive Loss into Income</w:t>
            </w:r>
          </w:p>
        </w:tc>
        <w:tc>
          <w:tcPr>
            <w:tcW w:w="5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4"/>
        </w:trPr>
        <w:tc>
          <w:tcPr>
            <w:tcW w:w="4200" w:type="dxa"/>
            <w:vAlign w:val="bottom"/>
          </w:tcPr>
          <w:p>
            <w:pPr>
              <w:spacing w:after="0"/>
              <w:rPr>
                <w:sz w:val="14"/>
                <w:szCs w:val="14"/>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2"/>
                <w:szCs w:val="12"/>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r>
      <w:tr>
        <w:trPr>
          <w:trHeight w:val="160"/>
        </w:trPr>
        <w:tc>
          <w:tcPr>
            <w:tcW w:w="4200" w:type="dxa"/>
            <w:vAlign w:val="bottom"/>
          </w:tcPr>
          <w:p>
            <w:pPr>
              <w:spacing w:after="0"/>
              <w:rPr>
                <w:sz w:val="13"/>
                <w:szCs w:val="13"/>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r>
      <w:tr>
        <w:trPr>
          <w:trHeight w:val="177"/>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3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Interest expense, net</w:t>
            </w:r>
          </w:p>
        </w:tc>
      </w:tr>
      <w:tr>
        <w:trPr>
          <w:trHeight w:val="20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Cross-currency swaps</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3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7"/>
              </w:rPr>
              <w:t>Other income, net</w:t>
            </w: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w:t>
            </w:r>
          </w:p>
        </w:tc>
        <w:tc>
          <w:tcPr>
            <w:tcW w:w="3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(Loss) income before income taxes</w:t>
            </w:r>
          </w:p>
        </w:tc>
      </w:tr>
      <w:tr>
        <w:trPr>
          <w:trHeight w:val="20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3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r>
      <w:tr>
        <w:trPr>
          <w:trHeight w:val="22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5,546</w:t>
            </w:r>
          </w:p>
        </w:tc>
        <w:tc>
          <w:tcPr>
            <w:tcW w:w="3520" w:type="dxa"/>
            <w:vAlign w:val="bottom"/>
            <w:tcBorders>
              <w:bottom w:val="single" w:sz="8" w:color="CCEEFF"/>
            </w:tcBorders>
            <w:shd w:val="clear" w:color="auto" w:fill="CCEEFF"/>
          </w:tcPr>
          <w:p>
            <w:pPr>
              <w:spacing w:after="0"/>
              <w:rPr>
                <w:sz w:val="19"/>
                <w:szCs w:val="19"/>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months ended September 30, 2022 and 2021 for derivative instruments for which we did not elect hedge accounting and de-designated derivative financial instruments that did not qualify as hedging instruments.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2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r>
      <w:tr>
        <w:trPr>
          <w:trHeight w:val="175"/>
        </w:trPr>
        <w:tc>
          <w:tcPr>
            <w:tcW w:w="4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7"/>
        </w:trPr>
        <w:tc>
          <w:tcPr>
            <w:tcW w:w="420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r>
      <w:tr>
        <w:trPr>
          <w:trHeight w:val="162"/>
        </w:trPr>
        <w:tc>
          <w:tcPr>
            <w:tcW w:w="4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28,645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12,863</w:t>
            </w:r>
          </w:p>
        </w:tc>
        <w:tc>
          <w:tcPr>
            <w:tcW w:w="3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income, net</w:t>
            </w:r>
          </w:p>
        </w:tc>
      </w:tr>
      <w:tr>
        <w:trPr>
          <w:trHeight w:val="207"/>
        </w:trPr>
        <w:tc>
          <w:tcPr>
            <w:tcW w:w="42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464</w:t>
            </w:r>
          </w:p>
        </w:tc>
        <w:tc>
          <w:tcPr>
            <w:tcW w:w="3520" w:type="dxa"/>
            <w:vAlign w:val="bottom"/>
          </w:tcPr>
          <w:p>
            <w:pPr>
              <w:jc w:val="center"/>
              <w:spacing w:after="0"/>
              <w:rPr>
                <w:sz w:val="20"/>
                <w:szCs w:val="20"/>
                <w:color w:val="auto"/>
              </w:rPr>
            </w:pPr>
            <w:r>
              <w:rPr>
                <w:rFonts w:ascii="Arial" w:cs="Arial" w:eastAsia="Arial" w:hAnsi="Arial"/>
                <w:sz w:val="14"/>
                <w:szCs w:val="14"/>
                <w:color w:val="auto"/>
                <w:w w:val="98"/>
              </w:rPr>
              <w:t>Other income, net</w:t>
            </w:r>
          </w:p>
        </w:tc>
      </w:tr>
      <w:tr>
        <w:trPr>
          <w:trHeight w:val="227"/>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28,645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13,327</w:t>
            </w:r>
          </w:p>
        </w:tc>
        <w:tc>
          <w:tcPr>
            <w:tcW w:w="35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$5,506 for the three months ended September 30, 2022</w:t>
      </w:r>
      <w:r>
        <w:rPr>
          <w:rFonts w:ascii="Times New Roman" w:cs="Times New Roman" w:eastAsia="Times New Roman" w:hAnsi="Times New Roman"/>
          <w:sz w:val="17"/>
          <w:szCs w:val="17"/>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Losses on pension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8"/>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benefit obligation</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5,179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827"/>
              <w:spacing w:after="0"/>
              <w:rPr>
                <w:sz w:val="20"/>
                <w:szCs w:val="20"/>
                <w:color w:val="auto"/>
              </w:rPr>
            </w:pPr>
            <w:r>
              <w:rPr>
                <w:rFonts w:ascii="Arial" w:cs="Arial" w:eastAsia="Arial" w:hAnsi="Arial"/>
                <w:sz w:val="16"/>
                <w:szCs w:val="16"/>
                <w:color w:val="auto"/>
                <w:w w:val="98"/>
              </w:rPr>
              <w:t>(86)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16,760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747"/>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9,925</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847"/>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0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13,822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747"/>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6,987</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19,001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center"/>
              <w:ind w:left="827"/>
              <w:spacing w:after="0"/>
              <w:rPr>
                <w:sz w:val="20"/>
                <w:szCs w:val="20"/>
                <w:color w:val="auto"/>
              </w:rPr>
            </w:pPr>
            <w:r>
              <w:rPr>
                <w:rFonts w:ascii="Arial" w:cs="Arial" w:eastAsia="Arial" w:hAnsi="Arial"/>
                <w:sz w:val="16"/>
                <w:szCs w:val="16"/>
                <w:color w:val="auto"/>
                <w:w w:val="98"/>
              </w:rPr>
              <w:t>(86)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12" w:lineRule="exact"/>
        <w:rPr>
          <w:sz w:val="20"/>
          <w:szCs w:val="20"/>
          <w:color w:val="auto"/>
        </w:rPr>
      </w:pPr>
    </w:p>
    <w:p>
      <w:pPr>
        <w:ind w:left="220" w:hanging="216"/>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and cross-currency swap contracts designated in cash flow hedging relationships.</w:t>
      </w:r>
    </w:p>
    <w:p>
      <w:pPr>
        <w:spacing w:after="0" w:line="19" w:lineRule="exact"/>
        <w:rPr>
          <w:rFonts w:ascii="Arial" w:cs="Arial" w:eastAsia="Arial" w:hAnsi="Arial"/>
          <w:sz w:val="14"/>
          <w:szCs w:val="14"/>
          <w:color w:val="auto"/>
        </w:rPr>
      </w:pPr>
    </w:p>
    <w:p>
      <w:pPr>
        <w:ind w:left="240" w:right="80" w:hanging="236"/>
        <w:spacing w:after="0" w:line="257" w:lineRule="auto"/>
        <w:tabs>
          <w:tab w:leader="none" w:pos="214"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2022 and June 30, 2022, the translation adjustment is inclusive of both the unrealized and realized effects of our net investment hedges. Gains on currency forward and swap contracts, net of tax, of $15,079 have been included in accumulated other comprehensive loss as of September 30, 2022 and June 30, 2022. Intercompany loan hedge gains of $76,073 and $56,743, net of tax, have been included in accumulated other comprehensive loss as of September 30, 2022 and June 30, 2022,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September 30, 2022 and June 30, 2022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291,498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143,969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200,305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766,600</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w:t>
            </w:r>
          </w:p>
        </w:tc>
      </w:tr>
      <w:tr>
        <w:trPr>
          <w:trHeight w:val="202"/>
        </w:trPr>
        <w:tc>
          <w:tcPr>
            <w:tcW w:w="424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288,662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123,398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135,465</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200,530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748,055</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(1) Related to goodwill held by subsidiaries whose functional currency is not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2022</w:t>
            </w:r>
          </w:p>
        </w:tc>
        <w:tc>
          <w:tcPr>
            <w:tcW w:w="280" w:type="dxa"/>
            <w:vAlign w:val="bottom"/>
          </w:tcPr>
          <w:p>
            <w:pPr>
              <w:spacing w:after="0"/>
              <w:rPr>
                <w:sz w:val="14"/>
                <w:szCs w:val="14"/>
                <w:color w:val="auto"/>
              </w:rPr>
            </w:pPr>
          </w:p>
        </w:tc>
        <w:tc>
          <w:tcPr>
            <w:tcW w:w="1380" w:type="dxa"/>
            <w:vAlign w:val="bottom"/>
          </w:tcPr>
          <w:p>
            <w:pPr>
              <w:jc w:val="right"/>
              <w:ind w:right="363"/>
              <w:spacing w:after="0"/>
              <w:rPr>
                <w:sz w:val="20"/>
                <w:szCs w:val="20"/>
                <w:color w:val="auto"/>
              </w:rPr>
            </w:pPr>
            <w:r>
              <w:rPr>
                <w:rFonts w:ascii="Arial" w:cs="Arial" w:eastAsia="Arial" w:hAnsi="Arial"/>
                <w:sz w:val="12"/>
                <w:szCs w:val="12"/>
                <w:b w:val="1"/>
                <w:bCs w:val="1"/>
                <w:color w:val="auto"/>
              </w:rPr>
              <w:t>June 30, 2022</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69,156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78,521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45,696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41,886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Shipping costs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12,200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10,228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party manufacturing and digital content costs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 (1)</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7,978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Interest payable (2)</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13,076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63,316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69,692</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266,196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253,841</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73" w:lineRule="exact"/>
        <w:rPr>
          <w:sz w:val="20"/>
          <w:szCs w:val="20"/>
          <w:color w:val="auto"/>
        </w:rPr>
      </w:pPr>
    </w:p>
    <w:p>
      <w:pPr>
        <w:ind w:left="220" w:hanging="216"/>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cash-based employee bonus incentives, which are variable based on the performance of individual businesses and vest over four years.</w:t>
      </w:r>
    </w:p>
    <w:p>
      <w:pPr>
        <w:spacing w:after="0" w:line="85" w:lineRule="exact"/>
        <w:rPr>
          <w:rFonts w:ascii="Arial" w:cs="Arial" w:eastAsia="Arial" w:hAnsi="Arial"/>
          <w:sz w:val="14"/>
          <w:szCs w:val="14"/>
          <w:color w:val="auto"/>
        </w:rPr>
      </w:pPr>
    </w:p>
    <w:p>
      <w:pPr>
        <w:ind w:right="80" w:firstLine="4"/>
        <w:spacing w:after="0" w:line="281" w:lineRule="auto"/>
        <w:tabs>
          <w:tab w:leader="none" w:pos="20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increase in interest payable as of September 30, 2022, is due to the interest on our 2026 Notes being payable semi-annually on June 15 and December 15 of each year. Refer to Note 8 for further detail.</w:t>
      </w:r>
    </w:p>
    <w:p>
      <w:pPr>
        <w:spacing w:after="0" w:line="3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2022</w:t>
            </w:r>
          </w:p>
        </w:tc>
        <w:tc>
          <w:tcPr>
            <w:tcW w:w="260" w:type="dxa"/>
            <w:vAlign w:val="bottom"/>
          </w:tcPr>
          <w:p>
            <w:pPr>
              <w:spacing w:after="0"/>
              <w:rPr>
                <w:sz w:val="14"/>
                <w:szCs w:val="14"/>
                <w:color w:val="auto"/>
              </w:rPr>
            </w:pPr>
          </w:p>
        </w:tc>
        <w:tc>
          <w:tcPr>
            <w:tcW w:w="1380" w:type="dxa"/>
            <w:vAlign w:val="bottom"/>
          </w:tcPr>
          <w:p>
            <w:pPr>
              <w:jc w:val="right"/>
              <w:ind w:right="346"/>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6,684</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 (1)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16,896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17,052</w:t>
            </w: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33,061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(1) The increase in short-term derivative liabilities is due to volatility in interest and foreign currency rates. Refer to Note 4 for additional details.</w:t>
      </w:r>
    </w:p>
    <w:p>
      <w:pPr>
        <w:spacing w:after="0" w:line="3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2022</w:t>
            </w:r>
          </w:p>
        </w:tc>
        <w:tc>
          <w:tcPr>
            <w:tcW w:w="28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Long-term compensation incentives (1)</w:t>
            </w:r>
          </w:p>
        </w:tc>
        <w:tc>
          <w:tcPr>
            <w:tcW w:w="180" w:type="dxa"/>
            <w:vAlign w:val="bottom"/>
          </w:tcPr>
          <w:p>
            <w:pPr>
              <w:spacing w:after="0"/>
              <w:rPr>
                <w:sz w:val="17"/>
                <w:szCs w:val="17"/>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14,583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19,934</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27,087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29,298</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56,443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64,394</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(1) Includes cash-based employee bonus incentives, which are variable based on the performance of each individual business and vest over four years.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2022</w:t>
            </w:r>
          </w:p>
        </w:tc>
        <w:tc>
          <w:tcPr>
            <w:tcW w:w="280" w:type="dxa"/>
            <w:vAlign w:val="bottom"/>
          </w:tcPr>
          <w:p>
            <w:pPr>
              <w:spacing w:after="0"/>
              <w:rPr>
                <w:sz w:val="14"/>
                <w:szCs w:val="14"/>
                <w:color w:val="auto"/>
              </w:rPr>
            </w:pPr>
          </w:p>
        </w:tc>
        <w:tc>
          <w:tcPr>
            <w:tcW w:w="138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2022</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 Senior Notes due 2026</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6"/>
                <w:szCs w:val="16"/>
                <w:color w:val="auto"/>
              </w:rPr>
              <w:t>1,076,279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1,097,302</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debt premiums (discounts)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1,664,429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1,685,948</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9,900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10,386</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1,654,529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1,675,562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September 30, 2022 and June 30, 2022 are inclusive of short-term debt issuance costs, debt premiums and discounts of $3,498 for both periods presented.</w:t>
      </w:r>
    </w:p>
    <w:p>
      <w:pPr>
        <w:spacing w:after="0" w:line="206"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September 30, 2022, we were in compliance with all covenants in our debt contracts, including those under our amended and restated senior secured credit agreement ("Restated Credit Agreement") and the indenture governing our 2026 Notes (as defined below).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17, 2021, we entered into a Restated Credit Agreement consisting of the following:</w:t>
      </w:r>
    </w:p>
    <w:p>
      <w:pPr>
        <w:spacing w:after="0" w:line="103" w:lineRule="exact"/>
        <w:rPr>
          <w:sz w:val="20"/>
          <w:szCs w:val="20"/>
          <w:color w:val="auto"/>
        </w:rPr>
      </w:pPr>
    </w:p>
    <w:p>
      <w:pPr>
        <w:ind w:left="620" w:hanging="305"/>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7"/>
          <w:szCs w:val="17"/>
          <w:color w:val="auto"/>
        </w:rPr>
        <w:t>A senior secured Term Loan B with a maturity date of May 17, 2028 (the “Term Loan B”), consisting of:</w:t>
      </w:r>
    </w:p>
    <w:p>
      <w:pPr>
        <w:spacing w:after="0" w:line="54" w:lineRule="exact"/>
        <w:rPr>
          <w:rFonts w:ascii="Arial" w:cs="Arial" w:eastAsia="Arial" w:hAnsi="Arial"/>
          <w:sz w:val="19"/>
          <w:szCs w:val="19"/>
          <w:color w:val="auto"/>
        </w:rPr>
      </w:pPr>
    </w:p>
    <w:p>
      <w:pPr>
        <w:ind w:left="1240" w:hanging="302"/>
        <w:spacing w:after="0"/>
        <w:tabs>
          <w:tab w:leader="none" w:pos="1240" w:val="left"/>
        </w:tabs>
        <w:numPr>
          <w:ilvl w:val="1"/>
          <w:numId w:val="9"/>
        </w:numPr>
        <w:rPr>
          <w:rFonts w:ascii="Arial" w:cs="Arial" w:eastAsia="Arial" w:hAnsi="Arial"/>
          <w:sz w:val="19"/>
          <w:szCs w:val="19"/>
          <w:color w:val="auto"/>
        </w:rPr>
      </w:pPr>
      <w:r>
        <w:rPr>
          <w:rFonts w:ascii="Arial" w:cs="Arial" w:eastAsia="Arial" w:hAnsi="Arial"/>
          <w:sz w:val="17"/>
          <w:szCs w:val="17"/>
          <w:color w:val="auto"/>
        </w:rPr>
        <w:t>a $795,000 tranche that bears interest at LIBOR (with a LIBOR floor of 0.50%) plus 3.50%, and</w:t>
      </w:r>
    </w:p>
    <w:p>
      <w:pPr>
        <w:spacing w:after="0" w:line="54" w:lineRule="exact"/>
        <w:rPr>
          <w:rFonts w:ascii="Arial" w:cs="Arial" w:eastAsia="Arial" w:hAnsi="Arial"/>
          <w:sz w:val="19"/>
          <w:szCs w:val="19"/>
          <w:color w:val="auto"/>
        </w:rPr>
      </w:pPr>
    </w:p>
    <w:p>
      <w:pPr>
        <w:ind w:left="1240" w:hanging="302"/>
        <w:spacing w:after="0"/>
        <w:tabs>
          <w:tab w:leader="none" w:pos="1240" w:val="left"/>
        </w:tabs>
        <w:numPr>
          <w:ilvl w:val="1"/>
          <w:numId w:val="9"/>
        </w:numPr>
        <w:rPr>
          <w:rFonts w:ascii="Arial" w:cs="Arial" w:eastAsia="Arial" w:hAnsi="Arial"/>
          <w:sz w:val="19"/>
          <w:szCs w:val="19"/>
          <w:color w:val="auto"/>
        </w:rPr>
      </w:pPr>
      <w:r>
        <w:rPr>
          <w:rFonts w:ascii="Arial" w:cs="Arial" w:eastAsia="Arial" w:hAnsi="Arial"/>
          <w:sz w:val="17"/>
          <w:szCs w:val="17"/>
          <w:color w:val="auto"/>
        </w:rPr>
        <w:t>a €300,000 tranche that bears interest at EURIBOR (with a EURIBOR floor of 0%) plus 3.50%; and</w:t>
      </w:r>
    </w:p>
    <w:p>
      <w:pPr>
        <w:spacing w:after="0" w:line="54" w:lineRule="exact"/>
        <w:rPr>
          <w:rFonts w:ascii="Arial" w:cs="Arial" w:eastAsia="Arial" w:hAnsi="Arial"/>
          <w:sz w:val="19"/>
          <w:szCs w:val="19"/>
          <w:color w:val="auto"/>
        </w:rPr>
      </w:pPr>
    </w:p>
    <w:p>
      <w:pPr>
        <w:ind w:left="620" w:right="100" w:hanging="305"/>
        <w:spacing w:after="0" w:line="244"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spacing w:after="0" w:line="263" w:lineRule="exact"/>
        <w:rPr>
          <w:sz w:val="20"/>
          <w:szCs w:val="20"/>
          <w:color w:val="auto"/>
        </w:rPr>
      </w:pPr>
    </w:p>
    <w:p>
      <w:pPr>
        <w:ind w:firstLine="623"/>
        <w:spacing w:after="0" w:line="250"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84" w:lineRule="exact"/>
        <w:rPr>
          <w:sz w:val="20"/>
          <w:szCs w:val="20"/>
          <w:color w:val="auto"/>
        </w:rPr>
      </w:pPr>
    </w:p>
    <w:p>
      <w:pPr>
        <w:jc w:val="both"/>
        <w:ind w:right="80" w:firstLine="623"/>
        <w:spacing w:after="0" w:line="275" w:lineRule="auto"/>
        <w:rPr>
          <w:sz w:val="20"/>
          <w:szCs w:val="20"/>
          <w:color w:val="auto"/>
        </w:rPr>
      </w:pPr>
      <w:r>
        <w:rPr>
          <w:rFonts w:ascii="Arial" w:cs="Arial" w:eastAsia="Arial" w:hAnsi="Arial"/>
          <w:sz w:val="17"/>
          <w:szCs w:val="17"/>
          <w:color w:val="auto"/>
        </w:rPr>
        <w:t>As of September 30, 2022, we have borrowings under the Restated Credit Agreement of $1,076,279 consisting of the Term Loan B, which amortizes over the loan period, with a final maturity date of May 17, 2028. We have no outstanding borrowings under our Revolving Credit Facility as of September 30, 2022.</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2022,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5.80%, inclusive of interest rate swap rates. We are also required to pay a commitment fee for our Revolving Credit Facility on unused balances of</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0.35% to 0.45% depending on our First Lien Leverage Ratio. We have pledged the assets and/or share capital of a number of our subsidiaries as collateral for our debt as of September 30,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20" w:lineRule="exact"/>
        <w:rPr>
          <w:sz w:val="20"/>
          <w:szCs w:val="20"/>
          <w:color w:val="auto"/>
        </w:rPr>
      </w:pPr>
    </w:p>
    <w:p>
      <w:pPr>
        <w:ind w:right="260" w:firstLine="623"/>
        <w:spacing w:after="0" w:line="275" w:lineRule="auto"/>
        <w:rPr>
          <w:sz w:val="20"/>
          <w:szCs w:val="20"/>
          <w:color w:val="auto"/>
        </w:rPr>
      </w:pPr>
      <w:r>
        <w:rPr>
          <w:rFonts w:ascii="Arial" w:cs="Arial" w:eastAsia="Arial" w:hAnsi="Arial"/>
          <w:sz w:val="17"/>
          <w:szCs w:val="17"/>
          <w:color w:val="auto"/>
        </w:rPr>
        <w:t>We have issued $ 600,000 in aggregate principal of 7.0% Senior Notes due 2026 (the "2026 Notes"), which are unsecured. We can redeem some or all of the 2026 Notes at the redemption prices specified in the indenture that governs the 2026 Notes, plus accrued and unpaid interest to, but not including, the redemption date. As of September 30, 2022, we have not redeemed any of the 2026 Notes.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Other Debt</w:t>
      </w:r>
    </w:p>
    <w:p>
      <w:pPr>
        <w:spacing w:after="0" w:line="194"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September 30, 2022 and June 30, 2022, we had $6,698 and $8,063, respectively, outstanding for those obligations that are payable through March 2027.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6"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Our income tax expense was $9,365 and $ 9,381 for the three months ended September 30, 2022 and 2021, respectively. The decreased tax expense is due to decreased profits, offset by a higher forecasted effective tax rate. Excluding the effect of discrete tax adjustments, our estimated annual effective tax rate is higher for fiscal 2023 as compared to fiscal 2022 primarily due to decreased forecasted profits. Our effective tax rate continues to be negatively impacted by losses in certain jurisdictions where we are unable to recognize a tax benefit in the current period.</w:t>
      </w:r>
    </w:p>
    <w:p>
      <w:pPr>
        <w:spacing w:after="0" w:line="191"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As of September 30, 2022 we had unrecognized tax benefits of $14,468, including accrued interest and penalties of $1,500. We recognize interest and, if applicable, penalties related to unrecognized tax benefits in the provision for income taxes. If recognized, $7,620 of unrecognized tax benefits would reduce our tax expense. It is reasonably possible that a reduction in unrecognized tax benefits may occur within the next twelve months in the range of $360 to $410 related to the lapse of applicable statutes of limitations.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2016 through 2022 remain open for examination by the U.S. Internal Revenue Service and the years 2015 through 2022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not recorded a valuation allowance against deferred tax assets of $15,060 and $99,924 related to Swiss tax losses and the Swiss</w:t>
      </w:r>
    </w:p>
    <w:p>
      <w:pPr>
        <w:spacing w:after="0" w:line="15"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amortizable goodwill, respectively, as we expect to realize these assets in the future. Management believes there is sufficient positive evidence in the form of historical and future projected profitability to conclude that it is more likely than not that these benefits in Switzerland will be utilized</w:t>
      </w:r>
    </w:p>
    <w:p>
      <w:pPr>
        <w:ind w:right="160"/>
        <w:spacing w:after="0" w:line="246" w:lineRule="auto"/>
        <w:rPr>
          <w:sz w:val="20"/>
          <w:szCs w:val="20"/>
          <w:color w:val="auto"/>
        </w:rPr>
      </w:pPr>
      <w:r>
        <w:rPr>
          <w:rFonts w:ascii="Arial" w:cs="Arial" w:eastAsia="Arial" w:hAnsi="Arial"/>
          <w:sz w:val="17"/>
          <w:szCs w:val="17"/>
          <w:color w:val="auto"/>
        </w:rPr>
        <w:t>against future taxable profits within the available carryforward periods. Our assessments are reliant on the attainment of our forecasted operating profits. Failure to achieve these forecasted operating profits may change our assessment of these deferred tax assets, and such change would result in additional valuation allowance and an increase in income tax expense to be recorded in the period of the change in assessment. We will continue to review our forecasts and profitability trends relevant to these Swiss deferred tax assets on a quarterly basis.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194"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owns a minority portion of the equity, which includes those described below. The put options for several of our noncontrolling interests are exercisable in fiscal year 2023. Exercising a put option is at the discretion of each noncontrolling interest holder, which creates uncertainty around the timing of our cash outflow should an option be exercised</w:t>
      </w:r>
      <w:r>
        <w:rPr>
          <w:rFonts w:ascii="Arial" w:cs="Arial" w:eastAsia="Arial" w:hAnsi="Arial"/>
          <w:sz w:val="17"/>
          <w:szCs w:val="17"/>
          <w:color w:val="EE2724"/>
        </w:rPr>
        <w:t>.</w:t>
      </w:r>
      <w:r>
        <w:rPr>
          <w:rFonts w:ascii="Arial" w:cs="Arial" w:eastAsia="Arial" w:hAnsi="Arial"/>
          <w:sz w:val="17"/>
          <w:szCs w:val="17"/>
          <w:color w:val="auto"/>
        </w:rPr>
        <w:t xml:space="preserve"> As of September 30, 2022, the total estimated redemption value is $ 88,991 for those noncontrolling interests with put option windows that are exercisable in fiscal year 2023, of which $4,726 has already been exercised in the second quarter of fiscal 2023. The remaining equity interests are exercisable through November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PrintBrothers</w:t>
      </w:r>
    </w:p>
    <w:p>
      <w:pPr>
        <w:spacing w:after="0" w:line="181"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color w:val="auto"/>
        </w:rPr>
        <w:t>Members of the PrintBrothers management team hold minority equity interests ranging from 11% to 12% in each of the three businesses within the segment. The put options associated with the redeemable noncontrolling interests have annual exercise windows for 90% of their minority equity interest to Cimpress in each quarter ending in December. For the exercise window occurring in the second quarter of fiscal 2023, the estimated redemption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jc w:val="both"/>
        <w:ind w:right="120"/>
        <w:spacing w:after="0" w:line="268" w:lineRule="auto"/>
        <w:rPr>
          <w:sz w:val="20"/>
          <w:szCs w:val="20"/>
          <w:color w:val="auto"/>
        </w:rPr>
      </w:pPr>
      <w:r>
        <w:rPr>
          <w:rFonts w:ascii="Arial" w:cs="Arial" w:eastAsia="Arial" w:hAnsi="Arial"/>
          <w:sz w:val="17"/>
          <w:szCs w:val="17"/>
          <w:color w:val="auto"/>
        </w:rPr>
        <w:t>value for the portion of the put options that could be exercised is $84,266 and is based on actual results through June 30, 2022. If the put options are exercised, then Cimpress may redeem the remaining 10% of these holders' minority equity interests concurrently with the put option exercise or on the first, second, or third anniversary of the put option exercise. Cimpress has call options for the full amount of the minority equity interests with the first exercise window occurring during the second quarter of fiscal year 2027.</w:t>
      </w:r>
    </w:p>
    <w:p>
      <w:pPr>
        <w:spacing w:after="0" w:line="126"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During the three months ended September 30, 2022, the redemption value of a PrintBrothers business increased above its carrying value due to continued strong performance. The increased redemption value resulted in an adjustment to redeemable noncontrolling interest of $2,075. The offsetting amount was recognized within retained earnings as the redemption values for this noncontrolling interest was below the estimated fair value.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redeemable noncontrolling interests:</w:t>
      </w:r>
    </w:p>
    <w:p>
      <w:pPr>
        <w:spacing w:after="0" w:line="41" w:lineRule="exact"/>
        <w:rPr>
          <w:sz w:val="20"/>
          <w:szCs w:val="20"/>
          <w:color w:val="auto"/>
        </w:rPr>
      </w:pPr>
    </w:p>
    <w:p>
      <w:pPr>
        <w:jc w:val="center"/>
        <w:ind w:left="9740"/>
        <w:spacing w:after="0"/>
        <w:rPr>
          <w:sz w:val="20"/>
          <w:szCs w:val="20"/>
          <w:color w:val="auto"/>
        </w:rPr>
      </w:pPr>
      <w:r>
        <w:rPr>
          <w:rFonts w:ascii="Arial" w:cs="Arial" w:eastAsia="Arial" w:hAnsi="Arial"/>
          <w:sz w:val="12"/>
          <w:szCs w:val="12"/>
          <w:b w:val="1"/>
          <w:bCs w:val="1"/>
          <w:color w:val="auto"/>
        </w:rPr>
        <w:t>Redeemable</w:t>
      </w:r>
    </w:p>
    <w:p>
      <w:pPr>
        <w:jc w:val="center"/>
        <w:ind w:left="9740"/>
        <w:spacing w:after="0"/>
        <w:rPr>
          <w:sz w:val="20"/>
          <w:szCs w:val="20"/>
          <w:color w:val="auto"/>
        </w:rPr>
      </w:pPr>
      <w:r>
        <w:rPr>
          <w:rFonts w:ascii="Arial" w:cs="Arial" w:eastAsia="Arial" w:hAnsi="Arial"/>
          <w:sz w:val="11"/>
          <w:szCs w:val="11"/>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6208395</wp:posOffset>
            </wp:positionH>
            <wp:positionV relativeFrom="paragraph">
              <wp:posOffset>30480</wp:posOffset>
            </wp:positionV>
            <wp:extent cx="915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20890" cy="132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0890" cy="13208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Accretion to redemption value (1)</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120890" cy="132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0890" cy="13208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Distributions to noncontrolling interests (2)</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20890" cy="156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0890" cy="15684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September 30, 2022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785" w:hanging="785"/>
        <w:spacing w:after="0"/>
        <w:tabs>
          <w:tab w:leader="none" w:pos="7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131,483</w:t>
      </w:r>
    </w:p>
    <w:p>
      <w:pPr>
        <w:spacing w:after="0" w:line="23" w:lineRule="exact"/>
        <w:rPr>
          <w:rFonts w:ascii="Arial" w:cs="Arial" w:eastAsia="Arial" w:hAnsi="Arial"/>
          <w:sz w:val="16"/>
          <w:szCs w:val="16"/>
          <w:color w:val="auto"/>
        </w:rPr>
      </w:pPr>
    </w:p>
    <w:p>
      <w:pPr>
        <w:ind w:left="965"/>
        <w:spacing w:after="0"/>
        <w:rPr>
          <w:rFonts w:ascii="Arial" w:cs="Arial" w:eastAsia="Arial" w:hAnsi="Arial"/>
          <w:sz w:val="16"/>
          <w:szCs w:val="16"/>
          <w:color w:val="auto"/>
        </w:rPr>
      </w:pPr>
      <w:r>
        <w:rPr>
          <w:rFonts w:ascii="Arial" w:cs="Arial" w:eastAsia="Arial" w:hAnsi="Arial"/>
          <w:sz w:val="16"/>
          <w:szCs w:val="16"/>
          <w:color w:val="auto"/>
        </w:rPr>
        <w:t>2,725</w:t>
      </w:r>
    </w:p>
    <w:p>
      <w:pPr>
        <w:spacing w:after="0" w:line="23" w:lineRule="exact"/>
        <w:rPr>
          <w:rFonts w:ascii="Arial" w:cs="Arial" w:eastAsia="Arial" w:hAnsi="Arial"/>
          <w:sz w:val="16"/>
          <w:szCs w:val="16"/>
          <w:color w:val="auto"/>
        </w:rPr>
      </w:pPr>
    </w:p>
    <w:p>
      <w:pPr>
        <w:ind w:left="1085"/>
        <w:spacing w:after="0"/>
        <w:rPr>
          <w:rFonts w:ascii="Arial" w:cs="Arial" w:eastAsia="Arial" w:hAnsi="Arial"/>
          <w:sz w:val="16"/>
          <w:szCs w:val="16"/>
          <w:color w:val="auto"/>
        </w:rPr>
      </w:pPr>
      <w:r>
        <w:rPr>
          <w:rFonts w:ascii="Arial" w:cs="Arial" w:eastAsia="Arial" w:hAnsi="Arial"/>
          <w:sz w:val="16"/>
          <w:szCs w:val="16"/>
          <w:color w:val="auto"/>
        </w:rPr>
        <w:t>700</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(3,652)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(1,347)</w:t>
      </w:r>
    </w:p>
    <w:p>
      <w:pPr>
        <w:spacing w:after="0" w:line="37" w:lineRule="exact"/>
        <w:rPr>
          <w:sz w:val="20"/>
          <w:szCs w:val="20"/>
          <w:color w:val="auto"/>
        </w:rPr>
      </w:pPr>
    </w:p>
    <w:p>
      <w:pPr>
        <w:ind w:left="785" w:hanging="785"/>
        <w:spacing w:after="0"/>
        <w:tabs>
          <w:tab w:leader="none" w:pos="7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129,909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915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9075" w:space="720"/>
            <w:col w:w="1405"/>
          </w:cols>
          <w:pgMar w:left="320" w:top="862" w:right="379" w:bottom="1440" w:gutter="0" w:footer="0" w:header="0"/>
          <w:type w:val="continuous"/>
        </w:sectPr>
      </w:pPr>
    </w:p>
    <w:p>
      <w:pPr>
        <w:ind w:left="240" w:right="140" w:hanging="236"/>
        <w:spacing w:after="0" w:line="281"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or additional paid in capital is the result of the estimated redemption amount being greater than carrying value but less than fair value. Refer above for additional details.</w:t>
      </w:r>
    </w:p>
    <w:p>
      <w:pPr>
        <w:spacing w:after="0" w:line="38" w:lineRule="exact"/>
        <w:rPr>
          <w:rFonts w:ascii="Arial" w:cs="Arial" w:eastAsia="Arial" w:hAnsi="Arial"/>
          <w:sz w:val="14"/>
          <w:szCs w:val="14"/>
          <w:color w:val="auto"/>
        </w:rPr>
      </w:pPr>
    </w:p>
    <w:p>
      <w:pPr>
        <w:ind w:left="220" w:hanging="216"/>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Distributions to noncontrolling interests include contractually required profit sharing payments made annually to the minority interest holders in one of the PrintBrothers businesses.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09" w:lineRule="exact"/>
        <w:rPr>
          <w:sz w:val="20"/>
          <w:szCs w:val="20"/>
          <w:color w:val="auto"/>
        </w:rPr>
      </w:pPr>
    </w:p>
    <w:p>
      <w:pPr>
        <w:jc w:val="both"/>
        <w:ind w:right="58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46"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As of September 30, 2022, we have numerous operating segments under our management reporting structure which are reported in the following five reportable segments:</w:t>
      </w:r>
    </w:p>
    <w:p>
      <w:pPr>
        <w:spacing w:after="0" w:line="117" w:lineRule="exact"/>
        <w:rPr>
          <w:sz w:val="20"/>
          <w:szCs w:val="20"/>
          <w:color w:val="auto"/>
        </w:rPr>
      </w:pPr>
    </w:p>
    <w:p>
      <w:pPr>
        <w:ind w:left="620" w:right="120" w:hanging="305"/>
        <w:spacing w:after="0" w:line="268"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Vista - </w:t>
      </w:r>
      <w:r>
        <w:rPr>
          <w:rFonts w:ascii="Arial" w:cs="Arial" w:eastAsia="Arial" w:hAnsi="Arial"/>
          <w:sz w:val="17"/>
          <w:szCs w:val="17"/>
          <w:color w:val="auto"/>
        </w:rPr>
        <w:t>Vista is the parent brand of multiple offerings including VistaPrint, VistaCreate, 99designs by Vista, and Vista Corporate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which together represent a full-service design, digital and print solution, elevating small businesses’ presence in physical and digital spaces and empowering them to achieve success. This segment also includes our recently acquired Depositphotos business, whose subsidiary, Crello, was rebranded to VistaCreate soon after the acquisition.</w:t>
      </w:r>
    </w:p>
    <w:p>
      <w:pPr>
        <w:spacing w:after="0" w:line="152"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our druck.at, Printdeal, and WIRmachenDRUCK businesses.</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our Easyflyer, Exaprint, Pixartprinting, and Tradeprint businesses.</w:t>
      </w:r>
    </w:p>
    <w:p>
      <w:pPr>
        <w:spacing w:after="0" w:line="193" w:lineRule="exact"/>
        <w:rPr>
          <w:rFonts w:ascii="Arial" w:cs="Arial" w:eastAsia="Arial" w:hAnsi="Arial"/>
          <w:sz w:val="17"/>
          <w:szCs w:val="17"/>
          <w:color w:val="auto"/>
        </w:rPr>
      </w:pPr>
    </w:p>
    <w:p>
      <w:pPr>
        <w:ind w:left="620" w:right="140" w:hanging="305"/>
        <w:spacing w:after="0" w:line="29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Includes the global operations of our National Pen business, which manufactures and markets custom writing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promotional products, apparel and gifts.</w:t>
      </w:r>
    </w:p>
    <w:p>
      <w:pPr>
        <w:spacing w:after="0" w:line="129" w:lineRule="exact"/>
        <w:rPr>
          <w:rFonts w:ascii="Arial" w:cs="Arial" w:eastAsia="Arial" w:hAnsi="Arial"/>
          <w:sz w:val="17"/>
          <w:szCs w:val="17"/>
          <w:color w:val="auto"/>
        </w:rPr>
      </w:pPr>
    </w:p>
    <w:p>
      <w:pPr>
        <w:ind w:left="620" w:right="220" w:hanging="305"/>
        <w:spacing w:after="0" w:line="268" w:lineRule="auto"/>
        <w:tabs>
          <w:tab w:leader="none" w:pos="616"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 In addition to BuildASign, which is a larger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profitable business, the All Other Businesses reportable segment consists of another, smaller business that we continue to manage at a relatively modest operating loss and a recently acquired company that provides production expertise and sells into a growing product category.</w:t>
      </w:r>
    </w:p>
    <w:p>
      <w:pPr>
        <w:spacing w:after="0" w:line="9" w:lineRule="exact"/>
        <w:rPr>
          <w:rFonts w:ascii="Arial" w:cs="Arial" w:eastAsia="Arial" w:hAnsi="Arial"/>
          <w:sz w:val="17"/>
          <w:szCs w:val="17"/>
          <w:i w:val="1"/>
          <w:iCs w:val="1"/>
          <w:color w:val="auto"/>
        </w:rPr>
      </w:pPr>
    </w:p>
    <w:p>
      <w:pPr>
        <w:ind w:left="1240" w:right="340" w:hanging="302"/>
        <w:spacing w:after="0" w:line="286" w:lineRule="auto"/>
        <w:tabs>
          <w:tab w:leader="none" w:pos="1236"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BuildASign is an internet-based provider of canvas-print wall décor, business signage and other large-format printed products, based in Austin, Texas.</w:t>
      </w:r>
    </w:p>
    <w:p>
      <w:pPr>
        <w:spacing w:after="0" w:line="1" w:lineRule="exact"/>
        <w:rPr>
          <w:rFonts w:ascii="Arial" w:cs="Arial" w:eastAsia="Arial" w:hAnsi="Arial"/>
          <w:sz w:val="17"/>
          <w:szCs w:val="17"/>
          <w:b w:val="1"/>
          <w:bCs w:val="1"/>
          <w:color w:val="auto"/>
        </w:rPr>
      </w:pPr>
    </w:p>
    <w:p>
      <w:pPr>
        <w:ind w:left="1240" w:right="380" w:hanging="302"/>
        <w:spacing w:after="0" w:line="295" w:lineRule="auto"/>
        <w:tabs>
          <w:tab w:leader="none" w:pos="12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type w:val="continuous"/>
        </w:sectPr>
      </w:pPr>
    </w:p>
    <w:bookmarkStart w:id="22" w:name="page23"/>
    <w:bookmarkEnd w:id="22"/>
    <w:p>
      <w:pPr>
        <w:ind w:right="2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41" w:lineRule="exact"/>
        <w:rPr>
          <w:sz w:val="20"/>
          <w:szCs w:val="20"/>
          <w:color w:val="auto"/>
        </w:rPr>
      </w:pPr>
    </w:p>
    <w:p>
      <w:pPr>
        <w:ind w:right="260" w:firstLine="623"/>
        <w:spacing w:after="0" w:line="268" w:lineRule="auto"/>
        <w:rPr>
          <w:sz w:val="20"/>
          <w:szCs w:val="20"/>
          <w:color w:val="auto"/>
        </w:rPr>
      </w:pPr>
      <w:r>
        <w:rPr>
          <w:rFonts w:ascii="Arial" w:cs="Arial" w:eastAsia="Arial" w:hAnsi="Arial"/>
          <w:sz w:val="17"/>
          <w:szCs w:val="17"/>
          <w:color w:val="auto"/>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52" w:lineRule="exact"/>
        <w:rPr>
          <w:sz w:val="20"/>
          <w:szCs w:val="20"/>
          <w:color w:val="auto"/>
        </w:rPr>
      </w:pPr>
    </w:p>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28"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the prior period presented to reflect our updated segment reporting, which decreased both Vista segment EBITDA and Central and corporate costs by $1,119 for the three months ended September 30, 2021.</w:t>
      </w:r>
    </w:p>
    <w:p>
      <w:pPr>
        <w:spacing w:after="0" w:line="154"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76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r>
      <w:tr>
        <w:trPr>
          <w:trHeight w:val="164"/>
        </w:trPr>
        <w:tc>
          <w:tcPr>
            <w:tcW w:w="77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bottom w:val="single" w:sz="8" w:color="auto"/>
            </w:tcBorders>
          </w:tcPr>
          <w:p>
            <w:pPr>
              <w:spacing w:after="0"/>
              <w:rPr>
                <w:sz w:val="14"/>
                <w:szCs w:val="14"/>
                <w:color w:val="auto"/>
              </w:rPr>
            </w:pP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7"/>
        </w:trPr>
        <w:tc>
          <w:tcPr>
            <w:tcW w:w="7760" w:type="dxa"/>
            <w:vAlign w:val="bottom"/>
          </w:tcPr>
          <w:p>
            <w:pPr>
              <w:ind w:left="340"/>
              <w:spacing w:after="0"/>
              <w:rPr>
                <w:sz w:val="20"/>
                <w:szCs w:val="20"/>
                <w:color w:val="auto"/>
              </w:rPr>
            </w:pPr>
            <w:r>
              <w:rPr>
                <w:rFonts w:ascii="Arial" w:cs="Arial" w:eastAsia="Arial" w:hAnsi="Arial"/>
                <w:sz w:val="16"/>
                <w:szCs w:val="16"/>
                <w:color w:val="auto"/>
              </w:rPr>
              <w:t>Vista</w:t>
            </w:r>
          </w:p>
        </w:tc>
        <w:tc>
          <w:tcPr>
            <w:tcW w:w="960" w:type="dxa"/>
            <w:vAlign w:val="bottom"/>
          </w:tcPr>
          <w:p>
            <w:pPr>
              <w:jc w:val="right"/>
              <w:ind w:right="79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369,369</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349,480</w:t>
            </w:r>
          </w:p>
        </w:tc>
      </w:tr>
      <w:tr>
        <w:trPr>
          <w:trHeight w:val="209"/>
        </w:trPr>
        <w:tc>
          <w:tcPr>
            <w:tcW w:w="7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132,699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125,357</w:t>
            </w:r>
          </w:p>
        </w:tc>
      </w:tr>
      <w:tr>
        <w:trPr>
          <w:trHeight w:val="207"/>
        </w:trPr>
        <w:tc>
          <w:tcPr>
            <w:tcW w:w="776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6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76,823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72,820</w:t>
            </w:r>
          </w:p>
        </w:tc>
      </w:tr>
      <w:tr>
        <w:trPr>
          <w:trHeight w:val="209"/>
        </w:trPr>
        <w:tc>
          <w:tcPr>
            <w:tcW w:w="7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81,666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69,264</w:t>
            </w:r>
          </w:p>
        </w:tc>
      </w:tr>
      <w:tr>
        <w:trPr>
          <w:trHeight w:val="207"/>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51,827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47,871</w:t>
            </w:r>
          </w:p>
        </w:tc>
      </w:tr>
      <w:tr>
        <w:trPr>
          <w:trHeight w:val="202"/>
        </w:trPr>
        <w:tc>
          <w:tcPr>
            <w:tcW w:w="7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segment revenue</w:t>
            </w: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712,384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664,792</w:t>
            </w:r>
          </w:p>
        </w:tc>
      </w:tr>
      <w:tr>
        <w:trPr>
          <w:trHeight w:val="207"/>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Inter-segment eliminations (1)</w:t>
            </w: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(7,193)</w:t>
            </w:r>
          </w:p>
        </w:tc>
      </w:tr>
      <w:tr>
        <w:trPr>
          <w:trHeight w:val="227"/>
        </w:trPr>
        <w:tc>
          <w:tcPr>
            <w:tcW w:w="7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consolidated revenue</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703,415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657,599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266,486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49,447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43,292</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359,225</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24,945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302,814</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31,877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41,376</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4,722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8,969</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369,369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81,666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51,827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712,384</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(8,969)</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368,859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76,944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50,239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703,415</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5"/>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244,449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41,038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41,308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326,795</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71,533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20,851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288,667</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32,796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3,533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42,137</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349,480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69,264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47,871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664,792</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348,778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125,128</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71,155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65,422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47,116</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657,599</w:t>
            </w:r>
          </w:p>
        </w:tc>
      </w:tr>
      <w:tr>
        <w:trPr>
          <w:trHeight w:val="20"/>
        </w:trPr>
        <w:tc>
          <w:tcPr>
            <w:tcW w:w="3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income (loss) before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80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20" w:type="dxa"/>
            <w:vAlign w:val="bottom"/>
            <w:tcBorders>
              <w:bottom w:val="single" w:sz="8" w:color="auto"/>
            </w:tcBorders>
          </w:tcPr>
          <w:p>
            <w:pPr>
              <w:spacing w:after="0"/>
              <w:rPr>
                <w:sz w:val="14"/>
                <w:szCs w:val="14"/>
                <w:color w:val="auto"/>
              </w:rPr>
            </w:pPr>
          </w:p>
        </w:tc>
      </w:tr>
      <w:tr>
        <w:trPr>
          <w:trHeight w:val="164"/>
        </w:trPr>
        <w:tc>
          <w:tcPr>
            <w:tcW w:w="7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7"/>
        </w:trPr>
        <w:tc>
          <w:tcPr>
            <w:tcW w:w="780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30,737</w:t>
            </w:r>
          </w:p>
        </w:tc>
        <w:tc>
          <w:tcPr>
            <w:tcW w:w="100" w:type="dxa"/>
            <w:vAlign w:val="bottom"/>
          </w:tcPr>
          <w:p>
            <w:pPr>
              <w:spacing w:after="0"/>
              <w:rPr>
                <w:sz w:val="17"/>
                <w:szCs w:val="17"/>
                <w:color w:val="auto"/>
              </w:rPr>
            </w:pPr>
          </w:p>
        </w:tc>
        <w:tc>
          <w:tcPr>
            <w:tcW w:w="1020" w:type="dxa"/>
            <w:vAlign w:val="bottom"/>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66,920</w:t>
            </w:r>
          </w:p>
        </w:tc>
      </w:tr>
      <w:tr>
        <w:trPr>
          <w:trHeight w:val="209"/>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16,283</w:t>
            </w:r>
          </w:p>
        </w:tc>
      </w:tr>
      <w:tr>
        <w:trPr>
          <w:trHeight w:val="207"/>
        </w:trPr>
        <w:tc>
          <w:tcPr>
            <w:tcW w:w="780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14,389</w:t>
            </w:r>
          </w:p>
        </w:tc>
      </w:tr>
      <w:tr>
        <w:trPr>
          <w:trHeight w:val="209"/>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r>
      <w:tr>
        <w:trPr>
          <w:trHeight w:val="207"/>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4,891</w:t>
            </w:r>
          </w:p>
        </w:tc>
      </w:tr>
      <w:tr>
        <w:trPr>
          <w:trHeight w:val="202"/>
        </w:trPr>
        <w:tc>
          <w:tcPr>
            <w:tcW w:w="7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segment EBITDA</w:t>
            </w: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62,829</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94,435</w:t>
            </w:r>
          </w:p>
        </w:tc>
      </w:tr>
      <w:tr>
        <w:trPr>
          <w:trHeight w:val="200"/>
        </w:trPr>
        <w:tc>
          <w:tcPr>
            <w:tcW w:w="7800" w:type="dxa"/>
            <w:vAlign w:val="bottom"/>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(34,578)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(34,153)</w:t>
            </w:r>
          </w:p>
        </w:tc>
      </w:tr>
      <w:tr>
        <w:trPr>
          <w:trHeight w:val="209"/>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(44,432)</w:t>
            </w:r>
          </w:p>
        </w:tc>
      </w:tr>
      <w:tr>
        <w:trPr>
          <w:trHeight w:val="207"/>
        </w:trPr>
        <w:tc>
          <w:tcPr>
            <w:tcW w:w="7800" w:type="dxa"/>
            <w:vAlign w:val="bottom"/>
          </w:tcPr>
          <w:p>
            <w:pPr>
              <w:ind w:left="340"/>
              <w:spacing w:after="0"/>
              <w:rPr>
                <w:sz w:val="20"/>
                <w:szCs w:val="20"/>
                <w:color w:val="auto"/>
              </w:rPr>
            </w:pPr>
            <w:r>
              <w:rPr>
                <w:rFonts w:ascii="Arial" w:cs="Arial" w:eastAsia="Arial" w:hAnsi="Arial"/>
                <w:sz w:val="16"/>
                <w:szCs w:val="16"/>
                <w:color w:val="auto"/>
              </w:rPr>
              <w:t>Certain impairments and other adjustments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09"/>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Restructuring-related charges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0"/>
        </w:trPr>
        <w:tc>
          <w:tcPr>
            <w:tcW w:w="78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(loss) income from operations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(17,967)</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16,939</w:t>
            </w:r>
          </w:p>
        </w:tc>
      </w:tr>
      <w:tr>
        <w:trPr>
          <w:trHeight w:val="202"/>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13,170</w:t>
            </w:r>
          </w:p>
        </w:tc>
      </w:tr>
      <w:tr>
        <w:trPr>
          <w:trHeight w:val="207"/>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 net</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(25,688)</w:t>
            </w:r>
          </w:p>
        </w:tc>
      </w:tr>
      <w:tr>
        <w:trPr>
          <w:trHeight w:val="227"/>
        </w:trPr>
        <w:tc>
          <w:tcPr>
            <w:tcW w:w="7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income before income taxes</w:t>
            </w: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r>
      <w:tr>
        <w:trPr>
          <w:trHeight w:val="164"/>
        </w:trPr>
        <w:tc>
          <w:tcPr>
            <w:tcW w:w="7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14,670</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16,403</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5,234</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5,862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6,584</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5,908</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4,516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5,042</w:t>
            </w:r>
          </w:p>
        </w:tc>
      </w:tr>
      <w:tr>
        <w:trPr>
          <w:trHeight w:val="208"/>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5,230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5,261</w:t>
            </w:r>
          </w:p>
        </w:tc>
      </w:tr>
      <w:tr>
        <w:trPr>
          <w:trHeight w:val="202"/>
        </w:trPr>
        <w:tc>
          <w:tcPr>
            <w:tcW w:w="768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40,942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44,432</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2"/>
                <w:szCs w:val="12"/>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r>
      <w:tr>
        <w:trPr>
          <w:trHeight w:val="164"/>
        </w:trPr>
        <w:tc>
          <w:tcPr>
            <w:tcW w:w="78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7"/>
        </w:trPr>
        <w:tc>
          <w:tcPr>
            <w:tcW w:w="7840" w:type="dxa"/>
            <w:vAlign w:val="bottom"/>
          </w:tcPr>
          <w:p>
            <w:pPr>
              <w:ind w:left="320"/>
              <w:spacing w:after="0"/>
              <w:rPr>
                <w:sz w:val="20"/>
                <w:szCs w:val="20"/>
                <w:color w:val="auto"/>
              </w:rPr>
            </w:pPr>
            <w:r>
              <w:rPr>
                <w:rFonts w:ascii="Arial" w:cs="Arial" w:eastAsia="Arial" w:hAnsi="Arial"/>
                <w:sz w:val="16"/>
                <w:szCs w:val="16"/>
                <w:color w:val="auto"/>
              </w:rPr>
              <w:t>Vista</w:t>
            </w:r>
          </w:p>
        </w:tc>
        <w:tc>
          <w:tcPr>
            <w:tcW w:w="1020" w:type="dxa"/>
            <w:vAlign w:val="bottom"/>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2,478</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1,512</w:t>
            </w:r>
          </w:p>
        </w:tc>
      </w:tr>
      <w:tr>
        <w:trPr>
          <w:trHeight w:val="207"/>
        </w:trPr>
        <w:tc>
          <w:tcPr>
            <w:tcW w:w="784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4,819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1,428</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1,188</w:t>
            </w:r>
          </w:p>
        </w:tc>
      </w:tr>
      <w:tr>
        <w:trPr>
          <w:trHeight w:val="207"/>
        </w:trPr>
        <w:tc>
          <w:tcPr>
            <w:tcW w:w="7840" w:type="dxa"/>
            <w:vAlign w:val="bottom"/>
          </w:tcPr>
          <w:p>
            <w:pPr>
              <w:ind w:left="320"/>
              <w:spacing w:after="0"/>
              <w:rPr>
                <w:sz w:val="20"/>
                <w:szCs w:val="20"/>
                <w:color w:val="auto"/>
              </w:rPr>
            </w:pPr>
            <w:r>
              <w:rPr>
                <w:rFonts w:ascii="Arial" w:cs="Arial" w:eastAsia="Arial" w:hAnsi="Arial"/>
                <w:sz w:val="16"/>
                <w:szCs w:val="16"/>
                <w:color w:val="auto"/>
              </w:rPr>
              <w:t>All Other Businesses</w:t>
            </w: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1,515</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Central and corporate costs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503</w:t>
            </w:r>
          </w:p>
        </w:tc>
      </w:tr>
      <w:tr>
        <w:trPr>
          <w:trHeight w:val="202"/>
        </w:trPr>
        <w:tc>
          <w:tcPr>
            <w:tcW w:w="7840" w:type="dxa"/>
            <w:vAlign w:val="bottom"/>
          </w:tcPr>
          <w:p>
            <w:pPr>
              <w:ind w:left="640"/>
              <w:spacing w:after="0"/>
              <w:rPr>
                <w:sz w:val="20"/>
                <w:szCs w:val="20"/>
                <w:color w:val="auto"/>
              </w:rPr>
            </w:pPr>
            <w:r>
              <w:rPr>
                <w:rFonts w:ascii="Arial" w:cs="Arial" w:eastAsia="Arial" w:hAnsi="Arial"/>
                <w:sz w:val="16"/>
                <w:szCs w:val="16"/>
                <w:color w:val="auto"/>
              </w:rPr>
              <w:t>Total purchases of property, plant and equipment</w:t>
            </w: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8,624</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r>
      <w:tr>
        <w:trPr>
          <w:trHeight w:val="164"/>
        </w:trPr>
        <w:tc>
          <w:tcPr>
            <w:tcW w:w="7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6,635</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7,572</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426</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678</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1,184</w:t>
            </w:r>
          </w:p>
        </w:tc>
      </w:tr>
      <w:tr>
        <w:trPr>
          <w:trHeight w:val="208"/>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6,304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5,547</w:t>
            </w:r>
          </w:p>
        </w:tc>
      </w:tr>
      <w:tr>
        <w:trPr>
          <w:trHeight w:val="202"/>
        </w:trPr>
        <w:tc>
          <w:tcPr>
            <w:tcW w:w="7680" w:type="dxa"/>
            <w:vAlign w:val="bottom"/>
          </w:tcPr>
          <w:p>
            <w:pPr>
              <w:ind w:left="640"/>
              <w:spacing w:after="0"/>
              <w:rPr>
                <w:sz w:val="20"/>
                <w:szCs w:val="20"/>
                <w:color w:val="auto"/>
              </w:rPr>
            </w:pPr>
            <w:r>
              <w:rPr>
                <w:rFonts w:ascii="Arial" w:cs="Arial" w:eastAsia="Arial" w:hAnsi="Arial"/>
                <w:sz w:val="16"/>
                <w:szCs w:val="16"/>
                <w:color w:val="auto"/>
              </w:rPr>
              <w:t>Total capitalization of software and website development costs</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15,330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15,639</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2022</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95,589</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71,901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72,394</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67,240</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57,730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58,498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48,262</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Jamaica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18,744</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17,751</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11,392</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90,677</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505,930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360" w:hanging="236"/>
        <w:spacing w:after="0" w:line="281"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goodwill of $748,055 and $766,600, intangible assets, net of $139,864 and $154,730, deferred tax assets of $114,020 and $113,088, and marketable securities, non-current of $22,449 and zero as of September 30, 2022 and June 30, 2022,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25" w:name="page26"/>
    <w:bookmarkEnd w:id="25"/>
    <w:p>
      <w:pPr>
        <w:ind w:right="8200" w:firstLine="4"/>
        <w:spacing w:after="0" w:line="425" w:lineRule="auto"/>
        <w:tabs>
          <w:tab w:leader="none" w:pos="28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Purchase Obligations</w:t>
      </w:r>
    </w:p>
    <w:p>
      <w:pPr>
        <w:spacing w:after="0" w:line="11"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At September 30, 2022, we had unrecorded commitments under contract of $251,011, including inventory, third-party fulfillment and digital service purchase commitments of $86,678; third-party cloud services of $80,997; software of $42,238; advertising of $15,181; production and computer equipment purchases of $5,952; professional and consulting fees of $5,019, and other unrecorded purchase commitments of $14,946.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Obligations</w:t>
      </w:r>
    </w:p>
    <w:p>
      <w:pPr>
        <w:spacing w:after="0" w:line="233"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We deferred payments for several of our acquisitions, resulting in the recognition of a liability of $8,463 as of September 30, 2022, which primarily relates to a deferred payment for our acquisition of Depositphotos that is payable in October 2022, subject to any outstanding indemnification claims.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07"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Restructuring Charges</w:t>
      </w:r>
    </w:p>
    <w:p>
      <w:pPr>
        <w:spacing w:after="0" w:line="248"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and other related costs including third-party professional and outplacement services. During the three months ended September 30, 2022, we recognized restructuring charges of $1,820</w:t>
      </w:r>
      <w:r>
        <w:rPr>
          <w:rFonts w:ascii="Arial" w:cs="Arial" w:eastAsia="Arial" w:hAnsi="Arial"/>
          <w:sz w:val="17"/>
          <w:szCs w:val="17"/>
          <w:color w:val="EE2724"/>
        </w:rPr>
        <w:t>.</w:t>
      </w:r>
      <w:r>
        <w:rPr>
          <w:rFonts w:ascii="Arial" w:cs="Arial" w:eastAsia="Arial" w:hAnsi="Arial"/>
          <w:sz w:val="17"/>
          <w:szCs w:val="17"/>
          <w:color w:val="auto"/>
        </w:rPr>
        <w:t xml:space="preserve"> We recognized restructuring expense related to prior quarter actions of $1,456 in our Vista business, $209 in our National Pen business and $155 in our Central and corporate costs.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restructuring activity during the three months ended September 30,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Severance and Related</w:t>
            </w:r>
          </w:p>
        </w:tc>
        <w:tc>
          <w:tcPr>
            <w:tcW w:w="166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Other Restructuring Costs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126"/>
              <w:spacing w:after="0"/>
              <w:rPr>
                <w:sz w:val="20"/>
                <w:szCs w:val="20"/>
                <w:color w:val="auto"/>
              </w:rPr>
            </w:pPr>
            <w:r>
              <w:rPr>
                <w:rFonts w:ascii="Arial" w:cs="Arial" w:eastAsia="Arial" w:hAnsi="Arial"/>
                <w:sz w:val="12"/>
                <w:szCs w:val="12"/>
                <w:b w:val="1"/>
                <w:bCs w:val="1"/>
                <w:color w:val="auto"/>
              </w:rPr>
              <w:t>Accrued restructuring</w:t>
            </w:r>
          </w:p>
        </w:tc>
        <w:tc>
          <w:tcPr>
            <w:tcW w:w="0" w:type="dxa"/>
            <w:vAlign w:val="bottom"/>
          </w:tcPr>
          <w:p>
            <w:pPr>
              <w:spacing w:after="0"/>
              <w:rPr>
                <w:sz w:val="1"/>
                <w:szCs w:val="1"/>
                <w:color w:val="auto"/>
              </w:rPr>
            </w:pPr>
          </w:p>
        </w:tc>
      </w:tr>
      <w:tr>
        <w:trPr>
          <w:trHeight w:val="178"/>
        </w:trPr>
        <w:tc>
          <w:tcPr>
            <w:tcW w:w="6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Benefits</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13,449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Non-cash charges (1)</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5,975</w:t>
            </w:r>
          </w:p>
        </w:tc>
        <w:tc>
          <w:tcPr>
            <w:tcW w:w="10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6" w:lineRule="exact"/>
        <w:rPr>
          <w:sz w:val="20"/>
          <w:szCs w:val="20"/>
          <w:color w:val="auto"/>
        </w:rPr>
      </w:pPr>
    </w:p>
    <w:p>
      <w:pPr>
        <w:ind w:left="240" w:right="140" w:hanging="236"/>
        <w:spacing w:after="0" w:line="266"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three months ended September 30, 2022, non-cash restructuring charges primarily include the Vista segment's write-off of inventory for the Japan market which has no alternative use, the write-off of equipment from National Pen's ongoing move of its European production operations from Ireland to the Czech Republic, and share-based compensation expense upon modification to accelerate the vesting of share-based compensation awards for the actions taken in the fourth quarter of fiscal year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firstLine="623"/>
        <w:spacing w:after="0" w:line="257"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persistence of higher costs and supply chain disruptions and the expected impacts of those costs and disruptions on our business; the planned divestiture of our business in China; the expected impacts of our mass customization platform; our competitive advantages; the expected effects of our advertising spend; sufficiency of our liquidity position;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inflation, and the ongoing COVID-19 pandemic; our inability to mitigate increases in our costs by increasing our prices and taking other measures; our inability to make the investments that we plan to make or the failure of those investments to achieve the results we expect; our failure to execute on the transformation of the Vista business; loss or unavailability of key personnel or our inability to recruit talented personnel to drive performance of our businesses; the failure of businesses we acquire or invest in to perform as expected; our failure to develop and deploy our mass customization platform or the failure of the platform to drive the efficiencies and competitive advantages we expect; the anticipated exercise of the PrintBrothers put options;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this Report and the documents that we periodically file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54" w:lineRule="exact"/>
        <w:rPr>
          <w:sz w:val="20"/>
          <w:szCs w:val="20"/>
          <w:color w:val="auto"/>
        </w:rPr>
      </w:pPr>
    </w:p>
    <w:p>
      <w:pPr>
        <w:ind w:right="380" w:firstLine="623"/>
        <w:spacing w:after="0" w:line="268" w:lineRule="auto"/>
        <w:rPr>
          <w:sz w:val="20"/>
          <w:szCs w:val="20"/>
          <w:color w:val="auto"/>
        </w:rPr>
      </w:pPr>
      <w:r>
        <w:rPr>
          <w:rFonts w:ascii="Arial" w:cs="Arial" w:eastAsia="Arial" w:hAnsi="Arial"/>
          <w:sz w:val="17"/>
          <w:szCs w:val="17"/>
          <w:color w:val="auto"/>
        </w:rPr>
        <w:t>As of September 30, 2022, we have numerous operating segments under our management reporting structure that are reported in the following five reportable segments: Vista, PrintBrothers, The Print Group, National Pen, and All Other Businesses. Refer to Note 11 in our accompanying consolidated financial statements for additional information relating to our reportable segments and our segment financial measures.</w:t>
      </w:r>
    </w:p>
    <w:p>
      <w:pPr>
        <w:spacing w:after="0" w:line="152" w:lineRule="exact"/>
        <w:rPr>
          <w:sz w:val="20"/>
          <w:szCs w:val="20"/>
          <w:color w:val="auto"/>
        </w:rPr>
      </w:pPr>
    </w:p>
    <w:p>
      <w:pPr>
        <w:ind w:right="80" w:firstLine="623"/>
        <w:spacing w:after="0" w:line="250" w:lineRule="auto"/>
        <w:rPr>
          <w:sz w:val="20"/>
          <w:szCs w:val="20"/>
          <w:color w:val="auto"/>
        </w:rPr>
      </w:pPr>
      <w:r>
        <w:rPr>
          <w:rFonts w:ascii="Arial" w:cs="Arial" w:eastAsia="Arial" w:hAnsi="Arial"/>
          <w:sz w:val="17"/>
          <w:szCs w:val="17"/>
          <w:color w:val="auto"/>
        </w:rPr>
        <w:t>Our businesses continue to experience supply chain challenges including rising input costs and some areas of disruption. Each of our reportable segments has seen material cost increases of product substrates like paper, production materials like aluminum plates, freight and shipping charges, energy costs and higher compensation costs due to inflationary pressures and a more competitive labor market. We believe our scale-based shared strategic capabilities and supplier relationships provide competitive advantages for our businesses to weather these challenges. Through data capabilities, our businesses are regularly testing new pricing approaches, and in all businesses there have been pricing increases that are partially offsetting the increased costs.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7" w:name="page28"/>
    <w:bookmarkEnd w:id="27"/>
    <w:p>
      <w:pPr>
        <w:ind w:right="160"/>
        <w:spacing w:after="0" w:line="275" w:lineRule="auto"/>
        <w:rPr>
          <w:sz w:val="20"/>
          <w:szCs w:val="20"/>
          <w:color w:val="auto"/>
        </w:rPr>
      </w:pPr>
      <w:r>
        <w:rPr>
          <w:rFonts w:ascii="Arial" w:cs="Arial" w:eastAsia="Arial" w:hAnsi="Arial"/>
          <w:sz w:val="17"/>
          <w:szCs w:val="17"/>
          <w:color w:val="auto"/>
        </w:rPr>
        <w:t>"Consolidated Results of Operations" and "Additional Non-GAAP Financial Measures" sections of Management's Discussion and Analysis. A summary of these key financial metrics for the three months ended September 30, 2022 as compared to the three months ended September 30, 2021 follows:</w:t>
      </w:r>
    </w:p>
    <w:p>
      <w:pPr>
        <w:spacing w:after="0" w:line="159" w:lineRule="exact"/>
        <w:rPr>
          <w:sz w:val="20"/>
          <w:szCs w:val="20"/>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increased by 7% to $703.4 million.</w:t>
      </w:r>
    </w:p>
    <w:p>
      <w:pPr>
        <w:spacing w:after="0" w:line="116" w:lineRule="exact"/>
        <w:rPr>
          <w:rFonts w:ascii="Arial" w:cs="Arial" w:eastAsia="Arial" w:hAnsi="Arial"/>
          <w:sz w:val="17"/>
          <w:szCs w:val="17"/>
          <w:color w:val="auto"/>
        </w:rPr>
      </w:pPr>
    </w:p>
    <w:p>
      <w:pPr>
        <w:ind w:left="940" w:right="380" w:hanging="313"/>
        <w:spacing w:after="0" w:line="295"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Constant-currency revenue increased by 15% and by 14% when excluding the revenue of acquired companies for the first twelve months after acquisition (both non-GAAP financial measures).</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income decreased by $34.9 million to an operating loss of $18.0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$22.0 million to $45.6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Diluted net loss per share attributable to Cimpress plc increased to $(0.97) from $(0.26) in the comparative period.</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$61.8 million to an outflow of $(25.3)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$64.6 million to a use of cash of $(52.3) million.</w:t>
      </w:r>
    </w:p>
    <w:p>
      <w:pPr>
        <w:spacing w:after="0" w:line="194" w:lineRule="exact"/>
        <w:rPr>
          <w:sz w:val="20"/>
          <w:szCs w:val="20"/>
          <w:color w:val="auto"/>
        </w:rPr>
      </w:pPr>
    </w:p>
    <w:p>
      <w:pPr>
        <w:ind w:right="200" w:firstLine="623"/>
        <w:spacing w:after="0" w:line="263" w:lineRule="auto"/>
        <w:rPr>
          <w:sz w:val="20"/>
          <w:szCs w:val="20"/>
          <w:color w:val="auto"/>
        </w:rPr>
      </w:pPr>
      <w:r>
        <w:rPr>
          <w:rFonts w:ascii="Arial" w:cs="Arial" w:eastAsia="Arial" w:hAnsi="Arial"/>
          <w:sz w:val="17"/>
          <w:szCs w:val="17"/>
          <w:color w:val="auto"/>
        </w:rPr>
        <w:t>For the first quarter of fiscal year 2023, the increase in reported revenue was primarily due to growth across all businesses and markets through increased pricing and customer demand. Reported revenue slightly benefited from our recent acquisitions, with the majority of the additional revenue attributable to Depositphotos, which was acquired on October 1, 2021 and is included in our Vista business. Pricing changes made during the past year improved our revenue on a year-over-year basis, as these actions were one tool we used to mitigate inflationary cost pressures that have arisen from ongoing supply chain challenges. Currency exchange fluctuations had a significant negative effect on revenue during the current quarter.</w:t>
      </w:r>
    </w:p>
    <w:p>
      <w:pPr>
        <w:spacing w:after="0" w:line="155"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For the three months ended September 30, 2022, the decrease in operating income was primarily due to increased investments in our Vista business. These investments include the impact of hiring in Vista throughout fiscal year 2022, as well as increased advertising spend driven by mid- and upper-funnel advertising. Inflationary pressures on input costs and wages were significantly offset by actions taken to pass these increases to customers in the form of increased pricing. We also recognized an increase in restructuring charges of $2.1 million, which were partially offset by savings from the related actions taken in our Vista business in the fourth quarter of fiscal year 2022.</w:t>
      </w:r>
    </w:p>
    <w:p>
      <w:pPr>
        <w:spacing w:after="0" w:line="154" w:lineRule="exact"/>
        <w:rPr>
          <w:sz w:val="20"/>
          <w:szCs w:val="20"/>
          <w:color w:val="auto"/>
        </w:rPr>
      </w:pPr>
    </w:p>
    <w:p>
      <w:pPr>
        <w:ind w:right="380" w:firstLine="623"/>
        <w:spacing w:after="0" w:line="268" w:lineRule="auto"/>
        <w:rPr>
          <w:sz w:val="20"/>
          <w:szCs w:val="20"/>
          <w:color w:val="auto"/>
        </w:rPr>
      </w:pPr>
      <w:r>
        <w:rPr>
          <w:rFonts w:ascii="Arial" w:cs="Arial" w:eastAsia="Arial" w:hAnsi="Arial"/>
          <w:sz w:val="17"/>
          <w:szCs w:val="17"/>
          <w:color w:val="auto"/>
        </w:rPr>
        <w:t>Adjusted EBITDA decreased year over year, primarily for the same reasons operating income decreased. Adjusted EBITDA excludes restructuring charges, share-based compensation expense, certain impairments, and non-cash gains on the sale of assets, and includes the realized gains or losses on our currency derivatives intended to hedge adjusted EBITDA. The net year-over-year impact of currency on consolidated adjusted EBITDA was a benefit of approximately $7.9 million.</w:t>
      </w:r>
    </w:p>
    <w:p>
      <w:pPr>
        <w:spacing w:after="0" w:line="139" w:lineRule="exact"/>
        <w:rPr>
          <w:sz w:val="20"/>
          <w:szCs w:val="20"/>
          <w:color w:val="auto"/>
        </w:rPr>
      </w:pPr>
    </w:p>
    <w:p>
      <w:pPr>
        <w:ind w:right="480" w:firstLine="623"/>
        <w:spacing w:after="0" w:line="295" w:lineRule="auto"/>
        <w:rPr>
          <w:sz w:val="20"/>
          <w:szCs w:val="20"/>
          <w:color w:val="auto"/>
        </w:rPr>
      </w:pPr>
      <w:r>
        <w:rPr>
          <w:rFonts w:ascii="Arial" w:cs="Arial" w:eastAsia="Arial" w:hAnsi="Arial"/>
          <w:sz w:val="17"/>
          <w:szCs w:val="17"/>
          <w:color w:val="auto"/>
        </w:rPr>
        <w:t>Diluted net loss per share attributable to Cimpress plc increased for three months ended September 30, 2022 primarily for the same reasons operating income decreased, partially offset by unrealized currency gains caused by exchange rate volatility.</w:t>
      </w:r>
    </w:p>
    <w:p>
      <w:pPr>
        <w:spacing w:after="0" w:line="130"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Cash from operations decreased $61.8 million year over year due to the decrease in operating income described above, as well as decreased working capital cash flows of $42.5 million, largely driven by higher inventory levels as our businesses increased raw materials on hand to minimize availability risk during our seasonally significant second quarter and thereafter.</w:t>
      </w:r>
    </w:p>
    <w:p>
      <w:pPr>
        <w:spacing w:after="0" w:line="146"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Adjusted free cash flow decreased by $64.6 million, due to the operating cash flow decrease described above, as well as a $3.1 million increase in capital expenditures.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2"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right="400" w:firstLine="623"/>
        <w:spacing w:after="0" w:line="295" w:lineRule="auto"/>
        <w:rPr>
          <w:sz w:val="20"/>
          <w:szCs w:val="20"/>
          <w:color w:val="auto"/>
        </w:rPr>
      </w:pPr>
      <w:r>
        <w:rPr>
          <w:rFonts w:ascii="Arial" w:cs="Arial" w:eastAsia="Arial" w:hAnsi="Arial"/>
          <w:sz w:val="17"/>
          <w:szCs w:val="17"/>
          <w:color w:val="auto"/>
        </w:rPr>
        <w:t>Total revenue and revenue growth by reportable segment for the three months ended September 30, 2022 and 2021 are shown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60" w:type="dxa"/>
            <w:vAlign w:val="bottom"/>
          </w:tcPr>
          <w:p>
            <w:pPr>
              <w:spacing w:after="0"/>
              <w:rPr>
                <w:sz w:val="12"/>
                <w:szCs w:val="12"/>
                <w:color w:val="auto"/>
              </w:rPr>
            </w:pPr>
          </w:p>
        </w:tc>
        <w:tc>
          <w:tcPr>
            <w:tcW w:w="2300" w:type="dxa"/>
            <w:vAlign w:val="bottom"/>
            <w:gridSpan w:val="4"/>
            <w:vMerge w:val="restart"/>
          </w:tcPr>
          <w:p>
            <w:pPr>
              <w:jc w:val="right"/>
              <w:ind w:right="124"/>
              <w:spacing w:after="0"/>
              <w:rPr>
                <w:sz w:val="20"/>
                <w:szCs w:val="20"/>
                <w:color w:val="auto"/>
              </w:rPr>
            </w:pPr>
            <w:r>
              <w:rPr>
                <w:rFonts w:ascii="Arial" w:cs="Arial" w:eastAsia="Arial" w:hAnsi="Arial"/>
                <w:sz w:val="12"/>
                <w:szCs w:val="12"/>
                <w:b w:val="1"/>
                <w:bCs w:val="1"/>
                <w:color w:val="auto"/>
              </w:rPr>
              <w:t>Three Months Ended September 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74"/>
        </w:trPr>
        <w:tc>
          <w:tcPr>
            <w:tcW w:w="20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2021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369,369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349,480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132,699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125,357</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76,823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72,820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24%</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81,666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69,264</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51,827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47,871</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Inter-segment eliminations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703,415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657,599</w:t>
            </w:r>
          </w:p>
        </w:tc>
        <w:tc>
          <w:tcPr>
            <w:tcW w:w="8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58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5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2021</w:t>
            </w:r>
          </w:p>
        </w:tc>
      </w:tr>
      <w:tr>
        <w:trPr>
          <w:trHeight w:val="20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377,735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338,989</w:t>
            </w: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53.7 %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51.5 %</w:t>
            </w:r>
          </w:p>
        </w:tc>
      </w:tr>
    </w:tbl>
    <w:p>
      <w:pPr>
        <w:spacing w:after="0" w:line="180"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For the three months ended September 30, 2022, cost of revenue increased by $38.7 million as compared to the prior period, primarily due to demand-dependent cost of goods sold, including third-party fulfillment, material and shipping costs. We've continued to experience impacts from global supply chain challenges that resulted in increased costs for product substrates like paper, production materials like aluminum plates, freight and shipping charges, and energy costs. Compensation costs are also higher due to the combination of a more competitive labor market and the inflationary environment in many jurisdictions where we operate. The overall impact of increased costs, net of pricing increases and manufacturing efficiencies, had varying impacts on our businesses during the three months ended September 30, 2022. We expect higher input costs and supply constraints to persist, although we are unable to predict for how long. We believe we are advantaged in this environment versus smaller competitors because our scale provides us with a stronger supplier negotiation position for both costs and availability of supply.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3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5"/>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b w:val="1"/>
                <w:bCs w:val="1"/>
                <w:color w:val="auto"/>
              </w:rPr>
              <w:t>2021</w:t>
            </w:r>
          </w:p>
        </w:tc>
      </w:tr>
      <w:tr>
        <w:trPr>
          <w:trHeight w:val="20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74,475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67,277</w:t>
            </w: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10.6 %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10.2 %</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200,930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174,697</w:t>
            </w: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28.6 %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54,072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46,548</w:t>
            </w: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7.7 %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7.1 %</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12,350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13,458</w:t>
            </w: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(309)</w:t>
            </w:r>
          </w:p>
        </w:tc>
      </w:tr>
      <w:tr>
        <w:trPr>
          <w:trHeight w:val="206"/>
        </w:trPr>
        <w:tc>
          <w:tcPr>
            <w:tcW w:w="73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0.3 %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13 in our accompanying consolidated financial statements for additional details relating to restructuring expense.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194"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2" w:lineRule="exact"/>
        <w:rPr>
          <w:sz w:val="20"/>
          <w:szCs w:val="20"/>
          <w:color w:val="auto"/>
        </w:rPr>
      </w:pPr>
    </w:p>
    <w:p>
      <w:pPr>
        <w:ind w:right="220" w:firstLine="623"/>
        <w:spacing w:after="0"/>
        <w:rPr>
          <w:sz w:val="20"/>
          <w:szCs w:val="20"/>
          <w:color w:val="auto"/>
        </w:rPr>
      </w:pPr>
      <w:r>
        <w:rPr>
          <w:rFonts w:ascii="Arial" w:cs="Arial" w:eastAsia="Arial" w:hAnsi="Arial"/>
          <w:sz w:val="17"/>
          <w:szCs w:val="17"/>
          <w:color w:val="auto"/>
        </w:rPr>
        <w:t>Technology and development expenses increased by $7.2 million for the three months ended September 30, 2022, as compared to the prior year. This increase is primarily driven by $4.4 million of higher compensation costs primarily due to increases from our inflation-adjusted</w:t>
      </w:r>
    </w:p>
    <w:p>
      <w:pPr>
        <w:spacing w:after="0" w:line="1"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annual merit cycle and market adjustments. Other operating costs increased due to higher customer demand, as well as increased travel and training costs. These increases were partially offset by cost savings resulting from restructuring actions that reduced headcount in the fourth quarter of fiscal year 2022.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207"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39"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For the three months ended September 30, 2022, marketing and selling expenses increased $26.2 million as compared to the prior year. The largest increase in marketing and selling expenses was in our Vista business, which had increased advertising costs of $20.0 million and increased internal marketing and customer service costs of $4.9 million. The increases to Vista spend were primarily driven by higher mid- and upper-funnel advertising and year-over-year growth in headcount for areas such as user experience, design, brand and data and analytics. Marketing and selling expense also increased across each of our other reportable segments for the three months ended September 30, 2022, primarily due to higher customer demand.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4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17"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For the three months ended September 30, 2022, general and administrative expenses increased by $7.5 million as compared to the prior year, partly due to $2.4 million of expense related to the termination of one of our</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30" w:name="page31"/>
    <w:bookmarkEnd w:id="30"/>
    <w:p>
      <w:pPr>
        <w:jc w:val="both"/>
        <w:ind w:right="100"/>
        <w:spacing w:after="0" w:line="275" w:lineRule="auto"/>
        <w:rPr>
          <w:sz w:val="20"/>
          <w:szCs w:val="20"/>
          <w:color w:val="auto"/>
        </w:rPr>
      </w:pPr>
      <w:r>
        <w:rPr>
          <w:rFonts w:ascii="Arial" w:cs="Arial" w:eastAsia="Arial" w:hAnsi="Arial"/>
          <w:sz w:val="17"/>
          <w:szCs w:val="17"/>
          <w:color w:val="auto"/>
        </w:rPr>
        <w:t>leased office locations as we continue to optimize our office footprint with many of our team members operating under a remote-first model. There were also increases of $1.7 million to compensation costs from the impacts of our inflation-adjusted annual merit cycle and higher headcount year over year. Other cost increases included higher travel and training costs.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207"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net:</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r>
      <w:tr>
        <w:trPr>
          <w:trHeight w:val="20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13,327</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Currency-related (losses) gains,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08"/>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losses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2"/>
        </w:trPr>
        <w:tc>
          <w:tcPr>
            <w:tcW w:w="780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13,170</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The increase in other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46"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We experienced currency-related gains due to currency exchange rate volatility on our non-functional currency intercompany relationships, which we may alter from time to time. The impact of certain cross-currency swap contracts designated as cash flow hedges is included in our currency-related (losses) gains, net, offsetting the impact of certain non-functional currency intercompany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94"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w:t>
      </w:r>
    </w:p>
    <w:p>
      <w:pPr>
        <w:spacing w:after="0" w:line="146"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Interest expense, net decreased by $0.9 million during the three months ended September 30, 2022, as compared to the prior year period, primarily due to an increase in interest income earned on our cash and marketable securities that more than offset the increase to interest expense that was driven by higher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2021</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9,365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9,381</w:t>
            </w:r>
          </w:p>
        </w:tc>
      </w:tr>
      <w:tr>
        <w:trPr>
          <w:trHeight w:val="206"/>
        </w:trPr>
        <w:tc>
          <w:tcPr>
            <w:tcW w:w="762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(60.9)%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6"/>
                <w:szCs w:val="16"/>
                <w:i w:val="1"/>
                <w:iCs w:val="1"/>
                <w:color w:val="auto"/>
                <w:w w:val="98"/>
              </w:rPr>
              <w:t>212.2 %</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Income tax expense for the three months ended September 30, 2022 decreased versus the prior comparative period due to decreased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profits.</w:t>
      </w:r>
    </w:p>
    <w:p>
      <w:pPr>
        <w:spacing w:after="0" w:line="230"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jc w:val="both"/>
        <w:ind w:right="100"/>
        <w:spacing w:after="0" w:line="275" w:lineRule="auto"/>
        <w:rPr>
          <w:sz w:val="20"/>
          <w:szCs w:val="20"/>
          <w:color w:val="auto"/>
        </w:rPr>
      </w:pPr>
      <w:r>
        <w:rPr>
          <w:rFonts w:ascii="Arial" w:cs="Arial" w:eastAsia="Arial" w:hAnsi="Arial"/>
          <w:sz w:val="17"/>
          <w:szCs w:val="17"/>
          <w:color w:val="auto"/>
        </w:rPr>
        <w:t>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60" w:firstLine="623"/>
        <w:spacing w:after="0" w:line="27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18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During the fourth quarter of fiscal year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all prior periods presented to reflect our updated segment reporting, which decreased both Vista segment EBITDA and Central and corporate costs by $1.1 million for the three months ended September 30,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4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369,369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349,480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6%</w:t>
            </w:r>
          </w:p>
        </w:tc>
      </w:tr>
      <w:tr>
        <w:trPr>
          <w:trHeight w:val="207"/>
        </w:trPr>
        <w:tc>
          <w:tcPr>
            <w:tcW w:w="6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30,737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66,920</w:t>
            </w:r>
          </w:p>
        </w:tc>
        <w:tc>
          <w:tcPr>
            <w:tcW w:w="8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Arial" w:cs="Arial" w:eastAsia="Arial" w:hAnsi="Arial"/>
                <w:sz w:val="16"/>
                <w:szCs w:val="16"/>
                <w:color w:val="auto"/>
              </w:rPr>
              <w:t>(54)%</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200" w:firstLine="623"/>
        <w:spacing w:after="0" w:line="263" w:lineRule="auto"/>
        <w:rPr>
          <w:sz w:val="20"/>
          <w:szCs w:val="20"/>
          <w:color w:val="auto"/>
        </w:rPr>
      </w:pPr>
      <w:r>
        <w:rPr>
          <w:rFonts w:ascii="Arial" w:cs="Arial" w:eastAsia="Arial" w:hAnsi="Arial"/>
          <w:sz w:val="17"/>
          <w:szCs w:val="17"/>
          <w:color w:val="auto"/>
        </w:rPr>
        <w:t>Vista's reported revenue growth for the three months ended September 30, 2022 was negatively affected by a currency impact of 4%. Vista's organic constant-currency revenue growth was 8% when excluding the benefit from the recent acquisition of Depositphotos. Constant-currency growth remained strong throughout the quarter in Europe, and in North America, revenue growth was soft in July but accelerated to double-digit growth in August and September, largely driven by the compounding benefits of our new platform and year-over-year pricing increases. From a product perspective, the strongest growth was in the categories of promotional products, apparel, and gifts (PPAG), marketing materials, signage and business cards. Revenue growth was negatively impacted by a decline in face mask sales of $5.0 million year over year.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280" w:firstLine="623"/>
        <w:spacing w:after="0" w:line="263" w:lineRule="auto"/>
        <w:rPr>
          <w:sz w:val="20"/>
          <w:szCs w:val="20"/>
          <w:color w:val="auto"/>
        </w:rPr>
      </w:pPr>
      <w:r>
        <w:rPr>
          <w:rFonts w:ascii="Arial" w:cs="Arial" w:eastAsia="Arial" w:hAnsi="Arial"/>
          <w:sz w:val="17"/>
          <w:szCs w:val="17"/>
          <w:color w:val="auto"/>
        </w:rPr>
        <w:t>For the three months ended September 30, 2022, segment EBITDA declined by $36.2 million. The decrease to segment EBITDA continues to be driven by the impact of higher investment levels. Gross profit declined slightly year-over-year as higher revenue, including from price increases, was more than offset by cost inflation and negative currency impacts; however, gross profit increased when excluding the year-over-year currency impact. Vista's advertising expense increased by $20.0 million, driven by higher mid- and upper-funnel advertising which we are testing in certain markets as we believe it may improve awareness and consideration with customers and prospects, as well as reduce our reliance on paid search advertising.</w:t>
      </w:r>
    </w:p>
    <w:p>
      <w:pPr>
        <w:spacing w:after="0" w:line="155"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There were also increased operating expenses of $13.2 million, driven mainly by $ 7.3 million of higher organic compensation costs related primarily to growth investments including the hiring of talent, especially in user experience, design, product management, and data and analytics, as well as the impacts of inflation-adjusted merit increases effective July 1, 2022, that were larger than recent years. These organic investments are in support of Vista's multi-year transformation journey to become the expert design and marketing partner to the world's small businesses. This year-over-year increase in compensation costs was smaller than for the fourth quarter of fiscal year 2022 as we significantly curtailed additional hiring in the current quarter. The increased expense from investment in headcount was partially offset by the benefit of recent restructuring actions.</w:t>
      </w:r>
    </w:p>
    <w:p>
      <w:pPr>
        <w:spacing w:after="0" w:line="155" w:lineRule="exact"/>
        <w:rPr>
          <w:sz w:val="20"/>
          <w:szCs w:val="20"/>
          <w:color w:val="auto"/>
        </w:rPr>
      </w:pPr>
    </w:p>
    <w:p>
      <w:pPr>
        <w:ind w:right="160" w:firstLine="623"/>
        <w:spacing w:after="0" w:line="295" w:lineRule="auto"/>
        <w:rPr>
          <w:sz w:val="20"/>
          <w:szCs w:val="20"/>
          <w:color w:val="auto"/>
        </w:rPr>
      </w:pPr>
      <w:r>
        <w:rPr>
          <w:rFonts w:ascii="Arial" w:cs="Arial" w:eastAsia="Arial" w:hAnsi="Arial"/>
          <w:sz w:val="17"/>
          <w:szCs w:val="17"/>
          <w:color w:val="auto"/>
        </w:rPr>
        <w:t>Increased investment in our acquired VistaCreate (Depositphotos) business also negatively impacted Vista's segment EBITDA results by approximately $2.1 million.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8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94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7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132,699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125,357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6%</w:t>
            </w:r>
          </w:p>
        </w:tc>
      </w:tr>
      <w:tr>
        <w:trPr>
          <w:trHeight w:val="207"/>
        </w:trPr>
        <w:tc>
          <w:tcPr>
            <w:tcW w:w="67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00" w:type="dxa"/>
            <w:vAlign w:val="bottom"/>
          </w:tcPr>
          <w:p>
            <w:pPr>
              <w:jc w:val="right"/>
              <w:ind w:right="129"/>
              <w:spacing w:after="0"/>
              <w:rPr>
                <w:sz w:val="20"/>
                <w:szCs w:val="20"/>
                <w:color w:val="auto"/>
              </w:rPr>
            </w:pPr>
            <w:r>
              <w:rPr>
                <w:rFonts w:ascii="Arial" w:cs="Arial" w:eastAsia="Arial" w:hAnsi="Arial"/>
                <w:sz w:val="16"/>
                <w:szCs w:val="16"/>
                <w:color w:val="auto"/>
              </w:rPr>
              <w:t>14,991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16,283</w:t>
            </w:r>
          </w:p>
        </w:tc>
        <w:tc>
          <w:tcPr>
            <w:tcW w:w="100" w:type="dxa"/>
            <w:vAlign w:val="bottom"/>
          </w:tcPr>
          <w:p>
            <w:pPr>
              <w:spacing w:after="0"/>
              <w:rPr>
                <w:sz w:val="17"/>
                <w:szCs w:val="17"/>
                <w:color w:val="auto"/>
              </w:rPr>
            </w:pPr>
          </w:p>
        </w:tc>
        <w:tc>
          <w:tcPr>
            <w:tcW w:w="1160" w:type="dxa"/>
            <w:vAlign w:val="bottom"/>
          </w:tcPr>
          <w:p>
            <w:pPr>
              <w:jc w:val="right"/>
              <w:ind w:right="348"/>
              <w:spacing w:after="0"/>
              <w:rPr>
                <w:sz w:val="20"/>
                <w:szCs w:val="20"/>
                <w:color w:val="auto"/>
              </w:rPr>
            </w:pPr>
            <w:r>
              <w:rPr>
                <w:rFonts w:ascii="Arial" w:cs="Arial" w:eastAsia="Arial" w:hAnsi="Arial"/>
                <w:sz w:val="16"/>
                <w:szCs w:val="16"/>
                <w:color w:val="auto"/>
              </w:rPr>
              <w:t>(8)%</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20" w:firstLine="623"/>
        <w:spacing w:after="0" w:line="275" w:lineRule="auto"/>
        <w:rPr>
          <w:sz w:val="20"/>
          <w:szCs w:val="20"/>
          <w:color w:val="auto"/>
        </w:rPr>
      </w:pPr>
      <w:r>
        <w:rPr>
          <w:rFonts w:ascii="Arial" w:cs="Arial" w:eastAsia="Arial" w:hAnsi="Arial"/>
          <w:sz w:val="17"/>
          <w:szCs w:val="17"/>
          <w:color w:val="auto"/>
        </w:rPr>
        <w:t>PrintBrothers' reported revenue growth for the three months ended September 30, 2022 was negatively affected by a currency impact of 17%, resulting in a constant-currency revenue growth of 23%. This strong growth was driven by the recent introduction of new products, growth in order volumes and price increases implemented to address inflationary cost increases.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jc w:val="both"/>
        <w:ind w:right="220" w:firstLine="623"/>
        <w:spacing w:after="0" w:line="261" w:lineRule="auto"/>
        <w:rPr>
          <w:sz w:val="20"/>
          <w:szCs w:val="20"/>
          <w:color w:val="auto"/>
        </w:rPr>
      </w:pPr>
      <w:r>
        <w:rPr>
          <w:rFonts w:ascii="Arial" w:cs="Arial" w:eastAsia="Arial" w:hAnsi="Arial"/>
          <w:sz w:val="17"/>
          <w:szCs w:val="17"/>
          <w:color w:val="auto"/>
        </w:rPr>
        <w:t>PrintBrothers' segment EBITDA during the three months ended September 30, 2022, as compared to the prior period, decreased due to year-over-year currency fluctuations that had a negative impact of $2.1 million. Despite a challenging supply chain and inflationary environment, segment EBITDA grew year-over-year when excluding the impact of currency, driven by the constant-currency revenue growth described above.</w:t>
      </w:r>
    </w:p>
    <w:p>
      <w:pPr>
        <w:spacing w:after="0" w:line="1"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We continue to invest in key areas within these businesses to exploit scale advantages and improve their cost competitiveness. These businesses also continue to adopt technologies that are part of our mass customization platform, which we believe will further improve customer value and the efficiency of each business over the long term.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7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76,823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72,820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6%</w:t>
            </w: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12,220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26"/>
              <w:spacing w:after="0"/>
              <w:rPr>
                <w:sz w:val="20"/>
                <w:szCs w:val="20"/>
                <w:color w:val="auto"/>
              </w:rPr>
            </w:pPr>
            <w:r>
              <w:rPr>
                <w:rFonts w:ascii="Arial" w:cs="Arial" w:eastAsia="Arial" w:hAnsi="Arial"/>
                <w:sz w:val="16"/>
                <w:szCs w:val="16"/>
                <w:color w:val="auto"/>
              </w:rPr>
              <w:t>14,389</w:t>
            </w:r>
          </w:p>
        </w:tc>
        <w:tc>
          <w:tcPr>
            <w:tcW w:w="12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Arial" w:cs="Arial" w:eastAsia="Arial" w:hAnsi="Arial"/>
                <w:sz w:val="16"/>
                <w:szCs w:val="16"/>
                <w:color w:val="auto"/>
              </w:rPr>
              <w:t>(15)%</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The Print Group's reported revenue for the three months ended September 30, 2022 was negatively affected by a currency impact of 18%, resulting in an increase to revenue on a constant-currency basis of 24%. Constant-currency revenue growth was driven by price increases that have been implemented over the past year to address inflationary cost increases, as well as volume growth from several core product categories and more recently introduced products.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jc w:val="both"/>
        <w:ind w:right="140" w:firstLine="623"/>
        <w:spacing w:after="0" w:line="268" w:lineRule="auto"/>
        <w:rPr>
          <w:sz w:val="20"/>
          <w:szCs w:val="20"/>
          <w:color w:val="auto"/>
        </w:rPr>
      </w:pPr>
      <w:r>
        <w:rPr>
          <w:rFonts w:ascii="Arial" w:cs="Arial" w:eastAsia="Arial" w:hAnsi="Arial"/>
          <w:sz w:val="17"/>
          <w:szCs w:val="17"/>
          <w:color w:val="auto"/>
        </w:rPr>
        <w:t>The decrease in The Print Group's segment EBITDA during the three months ended September 30, 2022, as compared to the prior year, was driven by negative impacts from year-over-year currency fluctuations of $2.1 million. Excluding the impact of currency, segment EBITDA was flat year-over-year as the benefits from the revenue growth described above were largely offset by cost increases that included higher input costs driven by ongoing supply chain disruptions and higher energy costs.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9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7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81,666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69,264</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18%</w:t>
            </w: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20" w:type="dxa"/>
            <w:vAlign w:val="bottom"/>
          </w:tcPr>
          <w:p>
            <w:pPr>
              <w:jc w:val="right"/>
              <w:ind w:right="89"/>
              <w:spacing w:after="0"/>
              <w:rPr>
                <w:sz w:val="20"/>
                <w:szCs w:val="20"/>
                <w:color w:val="auto"/>
              </w:rPr>
            </w:pPr>
            <w:r>
              <w:rPr>
                <w:rFonts w:ascii="Arial" w:cs="Arial" w:eastAsia="Arial" w:hAnsi="Arial"/>
                <w:sz w:val="16"/>
                <w:szCs w:val="16"/>
                <w:color w:val="auto"/>
              </w:rPr>
              <w:t>(1,297)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66"/>
              <w:spacing w:after="0"/>
              <w:rPr>
                <w:sz w:val="20"/>
                <w:szCs w:val="20"/>
                <w:color w:val="auto"/>
              </w:rPr>
            </w:pPr>
            <w:r>
              <w:rPr>
                <w:rFonts w:ascii="Arial" w:cs="Arial" w:eastAsia="Arial" w:hAnsi="Arial"/>
                <w:sz w:val="16"/>
                <w:szCs w:val="16"/>
                <w:color w:val="auto"/>
              </w:rPr>
              <w:t>(8,048)</w:t>
            </w:r>
          </w:p>
        </w:tc>
        <w:tc>
          <w:tcPr>
            <w:tcW w:w="12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Arial" w:cs="Arial" w:eastAsia="Arial" w:hAnsi="Arial"/>
                <w:sz w:val="16"/>
                <w:szCs w:val="16"/>
                <w:color w:val="auto"/>
              </w:rPr>
              <w:t>(84)%</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For the three months ended September 30, 2022, National Pen's revenue growth was negatively affected by currency impacts of 6%, resulting in constant-currency revenue growth of 24%. Direct marketing, e-commerce, and direct sales channels continued to collectively drive the revenue growth. Growth across these channels was driven by price increases that have been implemented over the past year to address inflationary cost increases, as well as volume growth in core writing instruments. The year-over-year decline in face mask sales impacted National Pen's revenue by approximately $4.0 million, which was partially offset by a change in customer terms that positively impacted the timing of revenue recognition by $2.2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Segment Profitability</w:t>
      </w:r>
    </w:p>
    <w:p>
      <w:pPr>
        <w:spacing w:after="0" w:line="207"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The increase in National Pen's segment EBITDA for the three months ended September 30, 2022 was driven by the combination of strong revenue growth, gross margin expansion, a timing-related decrease in advertising as a percent of revenue, limited operating expense growth, and savings from the recent decision to shut down its operations in Japan.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8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94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7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6"/>
                <w:szCs w:val="16"/>
                <w:color w:val="auto"/>
              </w:rPr>
              <w:t>51,827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47,871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8%</w:t>
            </w:r>
          </w:p>
        </w:tc>
      </w:tr>
      <w:tr>
        <w:trPr>
          <w:trHeight w:val="207"/>
        </w:trPr>
        <w:tc>
          <w:tcPr>
            <w:tcW w:w="67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Arial" w:cs="Arial" w:eastAsia="Arial" w:hAnsi="Arial"/>
                <w:sz w:val="16"/>
                <w:szCs w:val="16"/>
                <w:color w:val="auto"/>
              </w:rPr>
              <w:t>6,178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26"/>
              <w:spacing w:after="0"/>
              <w:rPr>
                <w:sz w:val="20"/>
                <w:szCs w:val="20"/>
                <w:color w:val="auto"/>
              </w:rPr>
            </w:pPr>
            <w:r>
              <w:rPr>
                <w:rFonts w:ascii="Arial" w:cs="Arial" w:eastAsia="Arial" w:hAnsi="Arial"/>
                <w:sz w:val="16"/>
                <w:szCs w:val="16"/>
                <w:color w:val="auto"/>
              </w:rPr>
              <w:t>4,891</w:t>
            </w:r>
          </w:p>
        </w:tc>
        <w:tc>
          <w:tcPr>
            <w:tcW w:w="100" w:type="dxa"/>
            <w:vAlign w:val="bottom"/>
          </w:tcPr>
          <w:p>
            <w:pPr>
              <w:spacing w:after="0"/>
              <w:rPr>
                <w:sz w:val="17"/>
                <w:szCs w:val="17"/>
                <w:color w:val="auto"/>
              </w:rPr>
            </w:pPr>
          </w:p>
        </w:tc>
        <w:tc>
          <w:tcPr>
            <w:tcW w:w="1160" w:type="dxa"/>
            <w:vAlign w:val="bottom"/>
          </w:tcPr>
          <w:p>
            <w:pPr>
              <w:jc w:val="right"/>
              <w:ind w:right="368"/>
              <w:spacing w:after="0"/>
              <w:rPr>
                <w:sz w:val="20"/>
                <w:szCs w:val="20"/>
                <w:color w:val="auto"/>
              </w:rPr>
            </w:pPr>
            <w:r>
              <w:rPr>
                <w:rFonts w:ascii="Arial" w:cs="Arial" w:eastAsia="Arial" w:hAnsi="Arial"/>
                <w:sz w:val="16"/>
                <w:szCs w:val="16"/>
                <w:color w:val="auto"/>
              </w:rPr>
              <w:t>26%</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This segment consists of BuildASign, which is a larger and profitable business, and Printi, an early-stage business that we have managed at a relatively modest operating loss as previously described and planned.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jc w:val="both"/>
        <w:ind w:right="500" w:firstLine="623"/>
        <w:spacing w:after="0" w:line="275" w:lineRule="auto"/>
        <w:rPr>
          <w:sz w:val="20"/>
          <w:szCs w:val="20"/>
          <w:color w:val="auto"/>
        </w:rPr>
      </w:pPr>
      <w:r>
        <w:rPr>
          <w:rFonts w:ascii="Arial" w:cs="Arial" w:eastAsia="Arial" w:hAnsi="Arial"/>
          <w:sz w:val="17"/>
          <w:szCs w:val="17"/>
          <w:color w:val="auto"/>
        </w:rPr>
        <w:t>All Other Businesses' constant-currency revenue growth was 8% during the three months ended September 30, 2022. BuildASign's signage products grew at double-digit rates, with a modest decline in home decor products. Printi delivered strong revenue growth in the first quarter of fiscal year 2023 across product lines and channels.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280" w:firstLine="623"/>
        <w:spacing w:after="0" w:line="275" w:lineRule="auto"/>
        <w:rPr>
          <w:sz w:val="20"/>
          <w:szCs w:val="20"/>
          <w:color w:val="auto"/>
        </w:rPr>
      </w:pPr>
      <w:r>
        <w:rPr>
          <w:rFonts w:ascii="Arial" w:cs="Arial" w:eastAsia="Arial" w:hAnsi="Arial"/>
          <w:sz w:val="17"/>
          <w:szCs w:val="17"/>
          <w:color w:val="auto"/>
        </w:rPr>
        <w:t>The increase in segment EBITDA for the three months ended September 30, 2022 was due to higher revenue and increased marketing efficiencies at both businesses. As Printi grows, it continues to increase gross margins and contribution margins, driving closer to delivering a positive contribution to segment EBITDA.</w:t>
      </w:r>
    </w:p>
    <w:p>
      <w:pPr>
        <w:spacing w:after="0" w:line="146"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During the fourth quarter of fiscal year 2022, we decided to divest our small, loss-making business in China (YSD), which is reported as part of this segment. We expect this divestiture to be completed during the second quarter of the current fiscal year. Our loss was lower this quarter due to the decreased operating expenses as we prepared to divest the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196"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54" w:lineRule="exact"/>
        <w:rPr>
          <w:sz w:val="20"/>
          <w:szCs w:val="20"/>
          <w:color w:val="auto"/>
        </w:rPr>
      </w:pPr>
    </w:p>
    <w:p>
      <w:pPr>
        <w:ind w:right="220" w:firstLine="623"/>
        <w:spacing w:after="0" w:line="295" w:lineRule="auto"/>
        <w:rPr>
          <w:sz w:val="20"/>
          <w:szCs w:val="20"/>
          <w:color w:val="auto"/>
        </w:rPr>
      </w:pPr>
      <w:r>
        <w:rPr>
          <w:rFonts w:ascii="Arial" w:cs="Arial" w:eastAsia="Arial" w:hAnsi="Arial"/>
          <w:sz w:val="17"/>
          <w:szCs w:val="17"/>
          <w:color w:val="auto"/>
        </w:rPr>
        <w:t>During the fourth quarter of fiscal year 2022, we revised our internal reporting to reallocate certain third-party technology costs that were previously held within our Central and corporate costs to our Vista business. We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4" w:name="page35"/>
    <w:bookmarkEnd w:id="34"/>
    <w:p>
      <w:pPr>
        <w:ind w:right="660"/>
        <w:spacing w:after="0" w:line="295" w:lineRule="auto"/>
        <w:rPr>
          <w:sz w:val="20"/>
          <w:szCs w:val="20"/>
          <w:color w:val="auto"/>
        </w:rPr>
      </w:pPr>
      <w:r>
        <w:rPr>
          <w:rFonts w:ascii="Arial" w:cs="Arial" w:eastAsia="Arial" w:hAnsi="Arial"/>
          <w:sz w:val="17"/>
          <w:szCs w:val="17"/>
          <w:color w:val="auto"/>
        </w:rPr>
        <w:t>have revised our presentation of all prior periods presented to reflect our revised segment reporting. Refer to Note 11 in our accompanying consolidated financial statements for additional details.</w:t>
      </w:r>
    </w:p>
    <w:p>
      <w:pPr>
        <w:spacing w:after="0" w:line="117" w:lineRule="exact"/>
        <w:rPr>
          <w:sz w:val="20"/>
          <w:szCs w:val="20"/>
          <w:color w:val="auto"/>
        </w:rPr>
      </w:pPr>
    </w:p>
    <w:p>
      <w:pPr>
        <w:ind w:right="180" w:firstLine="623"/>
        <w:spacing w:after="0" w:line="265" w:lineRule="auto"/>
        <w:rPr>
          <w:sz w:val="20"/>
          <w:szCs w:val="20"/>
          <w:color w:val="auto"/>
        </w:rPr>
      </w:pPr>
      <w:r>
        <w:rPr>
          <w:rFonts w:ascii="Arial" w:cs="Arial" w:eastAsia="Arial" w:hAnsi="Arial"/>
          <w:sz w:val="17"/>
          <w:szCs w:val="17"/>
          <w:color w:val="auto"/>
        </w:rPr>
        <w:t>Central and corporate costs increased by $0.4 million during the three months ended September 30, 2022, as compared to the prior period, due to compensation increases as a result of our inflation-adjusted annual merit cycle, hiring in our mass customization platform, and volume -related increases to central operating costs. Partially offsetting the compensation increases were savings from actions taken in the fourth quarter of fiscal 2022 to reduce headcount. In addition, unallocated share-based compensation was lower versus the prior year, due in part because we granted RSUs and share options instead of PSUs in the current quarter.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r>
      <w:tr>
        <w:trPr>
          <w:trHeight w:val="20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486"/>
              <w:spacing w:after="0"/>
              <w:rPr>
                <w:sz w:val="20"/>
                <w:szCs w:val="20"/>
                <w:color w:val="auto"/>
              </w:rPr>
            </w:pPr>
            <w:r>
              <w:rPr>
                <w:rFonts w:ascii="Arial" w:cs="Arial" w:eastAsia="Arial" w:hAnsi="Arial"/>
                <w:sz w:val="16"/>
                <w:szCs w:val="16"/>
                <w:color w:val="auto"/>
                <w:w w:val="98"/>
              </w:rPr>
              <w:t>36,567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(101,043)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left="466"/>
              <w:spacing w:after="0"/>
              <w:rPr>
                <w:sz w:val="20"/>
                <w:szCs w:val="20"/>
                <w:color w:val="auto"/>
              </w:rPr>
            </w:pPr>
            <w:r>
              <w:rPr>
                <w:rFonts w:ascii="Arial" w:cs="Arial" w:eastAsia="Arial" w:hAnsi="Arial"/>
                <w:sz w:val="16"/>
                <w:szCs w:val="16"/>
                <w:color w:val="auto"/>
                <w:w w:val="97"/>
              </w:rPr>
              <w:t>(13,181)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66"/>
              <w:spacing w:after="0"/>
              <w:rPr>
                <w:sz w:val="20"/>
                <w:szCs w:val="20"/>
                <w:color w:val="auto"/>
              </w:rPr>
            </w:pPr>
            <w:r>
              <w:rPr>
                <w:rFonts w:ascii="Arial" w:cs="Arial" w:eastAsia="Arial" w:hAnsi="Arial"/>
                <w:sz w:val="16"/>
                <w:szCs w:val="16"/>
                <w:color w:val="auto"/>
                <w:w w:val="97"/>
              </w:rPr>
              <w:t>(10,351)</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three months ended September 30, 2022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ind w:left="620" w:right="20" w:hanging="305"/>
        <w:spacing w:after="0" w:line="275"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Adjustments for non-cash items of $37.9 million primarily related to adjustments for depreciation and amortization of $40.9 million and share-based compensation costs of $10.6 million, which were partially offset by negative adjustments for unrealized currency-related gains of $14.8 million, and deferred taxes of $1.0 million</w:t>
      </w:r>
    </w:p>
    <w:p>
      <w:pPr>
        <w:spacing w:after="0" w:line="132"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color w:val="auto"/>
        </w:rPr>
        <w:t>Cash proceeds from derivative contracts of $14.6 million, which includes $7.8 million from the early termination of certain contracts</w:t>
      </w:r>
    </w:p>
    <w:p>
      <w:pPr>
        <w:spacing w:after="0" w:line="206" w:lineRule="exact"/>
        <w:rPr>
          <w:rFonts w:ascii="Arial" w:cs="Arial" w:eastAsia="Arial" w:hAnsi="Arial"/>
          <w:sz w:val="17"/>
          <w:szCs w:val="17"/>
          <w:b w:val="1"/>
          <w:bCs w:val="1"/>
          <w:i w:val="1"/>
          <w:iCs w:val="1"/>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$10.0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loss of $24.7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Purchase of held-to-maturity securities for $84.0 million</w:t>
      </w:r>
    </w:p>
    <w:p>
      <w:pPr>
        <w:spacing w:after="0" w:line="206" w:lineRule="exact"/>
        <w:rPr>
          <w:rFonts w:ascii="Arial" w:cs="Arial" w:eastAsia="Arial" w:hAnsi="Arial"/>
          <w:sz w:val="17"/>
          <w:szCs w:val="17"/>
          <w:color w:val="auto"/>
        </w:rPr>
      </w:pPr>
    </w:p>
    <w:p>
      <w:pPr>
        <w:ind w:left="620" w:right="420" w:hanging="305"/>
        <w:spacing w:after="0" w:line="29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net working capital impacts of $38.4 million were a use of cash. The majority of this change in net working capital is impacted by increases to inventory that is held to mitigate the risk of supply availability due to ongoing supply chain disruptions</w:t>
      </w:r>
    </w:p>
    <w:p>
      <w:pPr>
        <w:spacing w:after="0" w:line="116"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Internal and external costs of $15.3 million for software and website development that we have capitalized</w:t>
      </w:r>
    </w:p>
    <w:p>
      <w:pPr>
        <w:spacing w:after="0" w:line="206" w:lineRule="exact"/>
        <w:rPr>
          <w:rFonts w:ascii="Arial" w:cs="Arial" w:eastAsia="Arial" w:hAnsi="Arial"/>
          <w:sz w:val="17"/>
          <w:szCs w:val="17"/>
          <w:color w:val="auto"/>
        </w:rPr>
      </w:pPr>
    </w:p>
    <w:p>
      <w:pPr>
        <w:ind w:left="620" w:right="420" w:hanging="305"/>
        <w:spacing w:after="0" w:line="29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Capital expenditures of $11.8 million of which the majority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$3.7 million of distributions to noncontrolling interest holders</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Repayments of debt, net of proceeds from debt, for $3.3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Payments for finance lease arrangements of $2.4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$2.2 million</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September 30, 2022, we had $132.1 million of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$124.2 million of marketable securities and $1,683.0 million of debt, excluding debt issuance costs and debt premiums and discounts. During the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September 30, 2022, we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right="580"/>
        <w:spacing w:after="0" w:line="295" w:lineRule="auto"/>
        <w:rPr>
          <w:sz w:val="20"/>
          <w:szCs w:val="20"/>
          <w:color w:val="auto"/>
        </w:rPr>
      </w:pPr>
      <w:r>
        <w:rPr>
          <w:rFonts w:ascii="Arial" w:cs="Arial" w:eastAsia="Arial" w:hAnsi="Arial"/>
          <w:sz w:val="17"/>
          <w:szCs w:val="17"/>
          <w:color w:val="auto"/>
        </w:rPr>
        <w:t>financed our operations and strategic investments through internally generated cash flows from operations and cash on hand. We expect to finance our future operations through our cash, investments, operating cash flow and borrowings under our debt arrangements.</w:t>
      </w:r>
    </w:p>
    <w:p>
      <w:pPr>
        <w:spacing w:after="0" w:line="11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i w:val="1"/>
          <w:iCs w:val="1"/>
          <w:color w:val="auto"/>
        </w:rPr>
        <w:t xml:space="preserve">Noncontrolling Interests. </w:t>
      </w:r>
      <w:r>
        <w:rPr>
          <w:rFonts w:ascii="Arial" w:cs="Arial" w:eastAsia="Arial" w:hAnsi="Arial"/>
          <w:sz w:val="17"/>
          <w:szCs w:val="17"/>
          <w:color w:val="auto"/>
        </w:rPr>
        <w:t>The put options for several of our noncontrolling interests are exercisable during the first half of fiscal year 2023.</w:t>
      </w:r>
      <w:r>
        <w:rPr>
          <w:rFonts w:ascii="Arial" w:cs="Arial" w:eastAsia="Arial" w:hAnsi="Arial"/>
          <w:sz w:val="17"/>
          <w:szCs w:val="17"/>
          <w:i w:val="1"/>
          <w:iCs w:val="1"/>
          <w:color w:val="auto"/>
        </w:rPr>
        <w:t xml:space="preserve"> </w:t>
      </w:r>
      <w:r>
        <w:rPr>
          <w:rFonts w:ascii="Arial" w:cs="Arial" w:eastAsia="Arial" w:hAnsi="Arial"/>
          <w:sz w:val="17"/>
          <w:szCs w:val="17"/>
          <w:color w:val="auto"/>
        </w:rPr>
        <w:t>Exercising a put option is at the discretion of each noncontrolling interest holder, which creates uncertainty around the timing of our cash outflow should an option be exercised. The total estimated redemption value for these noncontrolling interests' put options as of September 30, 2022 is $89.0 million, of which $4.7 million has already been exercised in the second quarter of fiscal 2023. Refer to Note 10 in our accompanying consolidated financial statements for additional details.</w:t>
      </w:r>
    </w:p>
    <w:p>
      <w:pPr>
        <w:spacing w:after="0" w:line="15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September 30, 2022,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$49.7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September 30, 2022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rPr>
              <w:t>1-3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More</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w w:val="96"/>
              </w:rPr>
              <w:t>than 5</w:t>
            </w:r>
          </w:p>
        </w:tc>
        <w:tc>
          <w:tcPr>
            <w:tcW w:w="0" w:type="dxa"/>
            <w:vAlign w:val="bottom"/>
          </w:tcPr>
          <w:p>
            <w:pPr>
              <w:spacing w:after="0"/>
              <w:rPr>
                <w:sz w:val="1"/>
                <w:szCs w:val="1"/>
                <w:color w:val="auto"/>
              </w:rPr>
            </w:pPr>
          </w:p>
        </w:tc>
      </w:tr>
      <w:tr>
        <w:trPr>
          <w:trHeight w:val="178"/>
        </w:trPr>
        <w:tc>
          <w:tcPr>
            <w:tcW w:w="4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w w:val="95"/>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5"/>
              </w:rPr>
              <w:t>years</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67,132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23,189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27,070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8,142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251,010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137,201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99,476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notes and interest payments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768,000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84,000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1,410,602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71,425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144,679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137,085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1,057,413</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3,867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15,070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7,321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8,463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2,526,975</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290,267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366,413</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804,060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1,066,235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2" w:lineRule="exact"/>
        <w:rPr>
          <w:rFonts w:ascii="Arial" w:cs="Arial" w:eastAsia="Arial" w:hAnsi="Arial"/>
          <w:sz w:val="14"/>
          <w:szCs w:val="14"/>
          <w:color w:val="auto"/>
        </w:rPr>
      </w:pPr>
    </w:p>
    <w:p>
      <w:pPr>
        <w:ind w:left="220" w:hanging="216"/>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85"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$9.1 million as of September 30, 2022 have been excluded from the contractual obligations table above. See Note 9 in our accompanying consolidated financial statements for further information on uncertain tax positions.</w:t>
      </w:r>
    </w:p>
    <w:p>
      <w:pPr>
        <w:spacing w:after="0" w:line="163" w:lineRule="exact"/>
        <w:rPr>
          <w:sz w:val="20"/>
          <w:szCs w:val="20"/>
          <w:color w:val="auto"/>
        </w:rPr>
      </w:pPr>
    </w:p>
    <w:p>
      <w:pPr>
        <w:ind w:right="50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office space under operating leases expiring on various dates through 2037. The terms of certain lease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require security deposits in the form of bank guarantees and letters of credit, with $1.7 million in the aggregate outstanding as of September 30, 2022.</w:t>
      </w:r>
    </w:p>
    <w:p>
      <w:pPr>
        <w:spacing w:after="0" w:line="146"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September 30, 2022, we had unrecorded commitments under contract of $251.0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inventory, third-party fulfillment and digital service purchase commitments of $86.7 million; third-party cloud services of $81.0 million; advertising of $15.2 million; software of $42.2 million; commitments for professional and consulting fees of $5.0 million; production and computer equipment purchases of $6.0 million; and other unrecorded purchase commitments of $14.9 million.</w:t>
      </w:r>
    </w:p>
    <w:p>
      <w:pPr>
        <w:spacing w:after="0" w:line="139"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As of September 30, 2022, we have borrowings under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$1,076.3 million consisting of the Term Loan B, which amortizes over the loan period, with a final maturity date of May 17, 2028. Our $250.0 million revolver under our Restated Credit</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line="265" w:lineRule="auto"/>
        <w:rPr>
          <w:sz w:val="20"/>
          <w:szCs w:val="20"/>
          <w:color w:val="auto"/>
        </w:rPr>
      </w:pPr>
      <w:r>
        <w:rPr>
          <w:rFonts w:ascii="Arial" w:cs="Arial" w:eastAsia="Arial" w:hAnsi="Arial"/>
          <w:sz w:val="17"/>
          <w:szCs w:val="17"/>
          <w:color w:val="auto"/>
        </w:rPr>
        <w:t>Agreement has $243.8 million unused as of September 30, 2022. There are no drawn amounts on the revolver, but our outstanding letters of credit reduce our unused balance. Our unused balance can be drawn at any time so long as we are in compliance with our debt covenants, and any amounts drawn under the revolver will be due on May 17, 2026. Interest payable included in the above table is based on the interest rate as of June 30, 2022 and assumes all LIBOR-based revolving loan amounts outstanding will not be paid until maturity but that the term loan amortization payments will be made according to our defined schedule.</w:t>
      </w:r>
    </w:p>
    <w:p>
      <w:pPr>
        <w:spacing w:after="0" w:line="141" w:lineRule="exact"/>
        <w:rPr>
          <w:sz w:val="20"/>
          <w:szCs w:val="20"/>
          <w:color w:val="auto"/>
        </w:rPr>
      </w:pPr>
    </w:p>
    <w:p>
      <w:pPr>
        <w:jc w:val="both"/>
        <w:ind w:right="160" w:firstLine="623"/>
        <w:spacing w:after="0" w:line="275" w:lineRule="auto"/>
        <w:rPr>
          <w:sz w:val="20"/>
          <w:szCs w:val="20"/>
          <w:color w:val="auto"/>
        </w:rPr>
      </w:pPr>
      <w:r>
        <w:rPr>
          <w:rFonts w:ascii="Arial" w:cs="Arial" w:eastAsia="Arial" w:hAnsi="Arial"/>
          <w:sz w:val="17"/>
          <w:szCs w:val="17"/>
          <w:i w:val="1"/>
          <w:iCs w:val="1"/>
          <w:color w:val="auto"/>
        </w:rPr>
        <w:t xml:space="preserve">Senior Unsecured Notes and Interest Payments. </w:t>
      </w:r>
      <w:r>
        <w:rPr>
          <w:rFonts w:ascii="Arial" w:cs="Arial" w:eastAsia="Arial" w:hAnsi="Arial"/>
          <w:sz w:val="17"/>
          <w:szCs w:val="17"/>
          <w:color w:val="auto"/>
        </w:rPr>
        <w:t>Our $600.0 million of 2026 Notes bear interest at a rate of 7.0% per annum and mature</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15, 2026. Interest on the notes is payable semi-annually on June 15 and December 15 of each year and has been included in the table above.</w:t>
      </w:r>
    </w:p>
    <w:p>
      <w:pPr>
        <w:spacing w:after="0" w:line="146"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7.0% Senior Notes due 2026 contain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 or limit certain activities and transactions by Cimpress and our subsidiaries. As of September 30, 2022, we were in compliance with all covenants under our Restated Credit Agreement and the indenture governing our 2026 Notes. Refer to Note 8 in our accompanying consolidated financial statements for additional information.</w:t>
      </w:r>
    </w:p>
    <w:p>
      <w:pPr>
        <w:spacing w:after="0" w:line="152" w:lineRule="exact"/>
        <w:rPr>
          <w:sz w:val="20"/>
          <w:szCs w:val="20"/>
          <w:color w:val="auto"/>
        </w:rPr>
      </w:pPr>
    </w:p>
    <w:p>
      <w:pPr>
        <w:jc w:val="both"/>
        <w:ind w:right="26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September 30, 2022, we had $6.7 million outstanding for those obligations that have repayments due on various dates through March 2027.</w:t>
      </w:r>
    </w:p>
    <w:p>
      <w:pPr>
        <w:spacing w:after="0" w:line="133"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machinery and plant equipment under finance lease agreements that expire at various dates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2028. The aggregate carrying value of the leased equipment under finance leases included in property, plant and equipment, net in our consolidated balance sheet at September 30, 2022 is $19.3 million, net of accumulated depreciation of $38.2 million. The present value of lease installments not yet due included in other current liabilities and other liabilities in our consolidated balance sheet at September 30, 2022 amounts to $21.1 million.</w:t>
      </w:r>
    </w:p>
    <w:p>
      <w:pPr>
        <w:spacing w:after="0" w:line="154"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i w:val="1"/>
          <w:iCs w:val="1"/>
          <w:color w:val="auto"/>
        </w:rPr>
        <w:t xml:space="preserve">Other Obligations. </w:t>
      </w:r>
      <w:r>
        <w:rPr>
          <w:rFonts w:ascii="Arial" w:cs="Arial" w:eastAsia="Arial" w:hAnsi="Arial"/>
          <w:sz w:val="17"/>
          <w:szCs w:val="17"/>
          <w:color w:val="auto"/>
        </w:rPr>
        <w:t>Other obligations consist of deferred payments relating to previous acquisitions, including the deferred payment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our Depositphotos acquisition that is payable in October 2022, subject to any outstanding indemnification claims.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196"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plus earn-out related charges plus certain impairments plus restructuring related charges plus realized gains or losses on currency derivatives less gain on purchase or sale of subsidiaries.</w:t>
      </w:r>
    </w:p>
    <w:p>
      <w:pPr>
        <w:spacing w:after="0" w:line="154" w:lineRule="exact"/>
        <w:rPr>
          <w:sz w:val="20"/>
          <w:szCs w:val="20"/>
          <w:color w:val="auto"/>
        </w:rPr>
      </w:pPr>
    </w:p>
    <w:p>
      <w:pPr>
        <w:ind w:right="40" w:firstLine="623"/>
        <w:spacing w:after="0" w:line="260"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58" w:lineRule="exact"/>
        <w:rPr>
          <w:sz w:val="20"/>
          <w:szCs w:val="20"/>
          <w:color w:val="auto"/>
        </w:rPr>
      </w:pPr>
    </w:p>
    <w:p>
      <w:pPr>
        <w:jc w:val="both"/>
        <w:ind w:right="240" w:firstLine="623"/>
        <w:spacing w:after="0" w:line="268"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7" w:name="page38"/>
    <w:bookmarkEnd w:id="37"/>
    <w:p>
      <w:pPr>
        <w:ind w:right="20"/>
        <w:spacing w:after="0" w:line="268" w:lineRule="auto"/>
        <w:rPr>
          <w:sz w:val="20"/>
          <w:szCs w:val="20"/>
          <w:color w:val="auto"/>
        </w:rPr>
      </w:pPr>
      <w:r>
        <w:rPr>
          <w:rFonts w:ascii="Arial" w:cs="Arial" w:eastAsia="Arial" w:hAnsi="Arial"/>
          <w:sz w:val="17"/>
          <w:szCs w:val="17"/>
          <w:color w:val="auto"/>
        </w:rPr>
        <w:t>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39"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operating income and adjusted EBITDA for the three months ended September 30, 2022 and 2021:</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8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2021</w:t>
            </w:r>
          </w:p>
        </w:tc>
      </w:tr>
      <w:tr>
        <w:trPr>
          <w:trHeight w:val="20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(loss) income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16,939</w:t>
            </w:r>
          </w:p>
        </w:tc>
      </w:tr>
      <w:tr>
        <w:trPr>
          <w:trHeight w:val="207"/>
        </w:trPr>
        <w:tc>
          <w:tcPr>
            <w:tcW w:w="7800" w:type="dxa"/>
            <w:vAlign w:val="bottom"/>
          </w:tcPr>
          <w:p>
            <w:pPr>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40,942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44,432</w:t>
            </w:r>
          </w:p>
        </w:tc>
      </w:tr>
      <w:tr>
        <w:trPr>
          <w:trHeight w:val="207"/>
        </w:trPr>
        <w:tc>
          <w:tcPr>
            <w:tcW w:w="780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10,475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11,006</w:t>
            </w:r>
          </w:p>
        </w:tc>
      </w:tr>
      <w:tr>
        <w:trPr>
          <w:trHeight w:val="209"/>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3,456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07"/>
        </w:trPr>
        <w:tc>
          <w:tcPr>
            <w:tcW w:w="7800" w:type="dxa"/>
            <w:vAlign w:val="bottom"/>
          </w:tcPr>
          <w:p>
            <w:pPr>
              <w:ind w:left="12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08"/>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Realized gains (losses) on currency derivatives not included in operating (loss) income (1)</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w:t>
            </w:r>
          </w:p>
        </w:tc>
      </w:tr>
      <w:tr>
        <w:trPr>
          <w:trHeight w:val="202"/>
        </w:trPr>
        <w:tc>
          <w:tcPr>
            <w:tcW w:w="7800" w:type="dxa"/>
            <w:vAlign w:val="bottom"/>
          </w:tcPr>
          <w:p>
            <w:pPr>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45,595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67,616</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0" w:lineRule="exact"/>
        <w:rPr>
          <w:sz w:val="20"/>
          <w:szCs w:val="20"/>
          <w:color w:val="auto"/>
        </w:rPr>
      </w:pPr>
    </w:p>
    <w:p>
      <w:pPr>
        <w:ind w:left="240" w:right="280" w:hanging="236"/>
        <w:spacing w:after="0" w:line="281" w:lineRule="auto"/>
        <w:tabs>
          <w:tab w:leader="none" w:pos="21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exposure to foreign currencies for which we do not apply hedge accounting. See Note 4 in our accompanying consolidated financial statements for further information.</w:t>
      </w:r>
    </w:p>
    <w:p>
      <w:pPr>
        <w:spacing w:after="0" w:line="289" w:lineRule="exact"/>
        <w:rPr>
          <w:sz w:val="20"/>
          <w:szCs w:val="20"/>
          <w:color w:val="auto"/>
        </w:rPr>
      </w:pPr>
    </w:p>
    <w:p>
      <w:pPr>
        <w:ind w:right="4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three months ended September 30, 2022 and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 (1)</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36,567</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(8,624)</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intangible assets not related to acquisitions</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(15,639)</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0" w:lineRule="exact"/>
        <w:rPr>
          <w:sz w:val="20"/>
          <w:szCs w:val="20"/>
          <w:color w:val="auto"/>
        </w:rPr>
      </w:pPr>
    </w:p>
    <w:p>
      <w:pPr>
        <w:ind w:left="240" w:right="280" w:hanging="236"/>
        <w:spacing w:after="0" w:line="281"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decrease of net cash provided by operating activities was driven by the decrease in operating income as described earlier in this section, as well as unfavorable changes in working capital due largely to increased inventory levels intended to mitigate supply chain risks during our seasonally significant second quarter.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jc w:val="both"/>
        <w:ind w:right="280" w:firstLine="623"/>
        <w:spacing w:after="0" w:line="275" w:lineRule="auto"/>
        <w:rPr>
          <w:sz w:val="20"/>
          <w:szCs w:val="20"/>
          <w:color w:val="auto"/>
        </w:rPr>
      </w:pPr>
      <w:r>
        <w:rPr>
          <w:rFonts w:ascii="Arial" w:cs="Arial" w:eastAsia="Arial" w:hAnsi="Arial"/>
          <w:sz w:val="17"/>
          <w:szCs w:val="17"/>
          <w:color w:val="auto"/>
        </w:rPr>
        <w:t>As of September 30, 2022,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3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As of September 30, 2022, we had $ 1,076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September 30, 2022, a hypothetical 100 basis point increase in rates, inclusive of our outstanding interest rate swaps that are accruing interest as of September 30, 2022, would result in a $7.0 million impact to interest expense over the next 12 months.</w:t>
      </w:r>
    </w:p>
    <w:p>
      <w:pPr>
        <w:spacing w:after="0" w:line="154"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4" w:lineRule="exact"/>
        <w:rPr>
          <w:sz w:val="20"/>
          <w:szCs w:val="20"/>
          <w:color w:val="auto"/>
        </w:rPr>
      </w:pP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p>
    <w:p>
      <w:pPr>
        <w:spacing w:after="0" w:line="28" w:lineRule="exact"/>
        <w:rPr>
          <w:rFonts w:ascii="Arial" w:cs="Arial" w:eastAsia="Arial" w:hAnsi="Arial"/>
          <w:sz w:val="17"/>
          <w:szCs w:val="17"/>
          <w:color w:val="auto"/>
        </w:rPr>
      </w:pPr>
    </w:p>
    <w:p>
      <w:pPr>
        <w:ind w:left="620" w:right="120"/>
        <w:spacing w:after="0" w:line="265" w:lineRule="auto"/>
        <w:rPr>
          <w:rFonts w:ascii="Arial" w:cs="Arial" w:eastAsia="Arial" w:hAnsi="Arial"/>
          <w:sz w:val="17"/>
          <w:szCs w:val="17"/>
          <w:color w:val="auto"/>
        </w:rPr>
      </w:pPr>
      <w:r>
        <w:rPr>
          <w:rFonts w:ascii="Arial" w:cs="Arial" w:eastAsia="Arial" w:hAnsi="Arial"/>
          <w:sz w:val="17"/>
          <w:szCs w:val="17"/>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41" w:lineRule="exact"/>
        <w:rPr>
          <w:rFonts w:ascii="Arial" w:cs="Arial" w:eastAsia="Arial" w:hAnsi="Arial"/>
          <w:sz w:val="17"/>
          <w:szCs w:val="17"/>
          <w:color w:val="auto"/>
        </w:rPr>
      </w:pPr>
    </w:p>
    <w:p>
      <w:pPr>
        <w:ind w:left="620" w:right="16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52" w:lineRule="exact"/>
        <w:rPr>
          <w:rFonts w:ascii="Arial" w:cs="Arial" w:eastAsia="Arial" w:hAnsi="Arial"/>
          <w:sz w:val="17"/>
          <w:szCs w:val="17"/>
          <w:color w:val="auto"/>
        </w:rPr>
      </w:pPr>
    </w:p>
    <w:p>
      <w:pPr>
        <w:ind w:left="620" w:right="6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w:t>
      </w:r>
    </w:p>
    <w:p>
      <w:pPr>
        <w:spacing w:after="0" w:line="152" w:lineRule="exact"/>
        <w:rPr>
          <w:rFonts w:ascii="Arial" w:cs="Arial" w:eastAsia="Arial" w:hAnsi="Arial"/>
          <w:sz w:val="17"/>
          <w:szCs w:val="17"/>
          <w:color w:val="auto"/>
        </w:rPr>
      </w:pPr>
    </w:p>
    <w:p>
      <w:pPr>
        <w:ind w:left="620" w:right="40" w:hanging="305"/>
        <w:spacing w:after="0" w:line="268"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1" w:lineRule="exact"/>
        <w:rPr>
          <w:rFonts w:ascii="Arial" w:cs="Arial" w:eastAsia="Arial" w:hAnsi="Arial"/>
          <w:sz w:val="17"/>
          <w:szCs w:val="17"/>
          <w:color w:val="auto"/>
        </w:rPr>
      </w:pPr>
    </w:p>
    <w:p>
      <w:pPr>
        <w:ind w:left="620" w:right="500"/>
        <w:spacing w:after="0" w:line="295" w:lineRule="auto"/>
        <w:rPr>
          <w:rFonts w:ascii="Arial" w:cs="Arial" w:eastAsia="Arial" w:hAnsi="Arial"/>
          <w:sz w:val="17"/>
          <w:szCs w:val="17"/>
          <w:color w:val="auto"/>
        </w:rPr>
      </w:pPr>
      <w:r>
        <w:rPr>
          <w:rFonts w:ascii="Arial" w:cs="Arial" w:eastAsia="Arial" w:hAnsi="Arial"/>
          <w:sz w:val="17"/>
          <w:szCs w:val="17"/>
          <w:color w:val="auto"/>
        </w:rPr>
        <w:t>We have currency exposure arising from our net investments in foreign operations. We enter into currency derivatives to mitigate the impact of currency rate changes on certain net investments.</w:t>
      </w:r>
    </w:p>
    <w:p>
      <w:pPr>
        <w:spacing w:after="0" w:line="116" w:lineRule="exact"/>
        <w:rPr>
          <w:rFonts w:ascii="Arial" w:cs="Arial" w:eastAsia="Arial" w:hAnsi="Arial"/>
          <w:sz w:val="17"/>
          <w:szCs w:val="17"/>
          <w:color w:val="auto"/>
        </w:rPr>
      </w:pPr>
    </w:p>
    <w:p>
      <w:pPr>
        <w:ind w:left="620" w:right="140" w:hanging="305"/>
        <w:spacing w:after="0" w:line="263" w:lineRule="auto"/>
        <w:tabs>
          <w:tab w:leader="none" w:pos="616"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9" w:name="page40"/>
    <w:bookmarkEnd w:id="39"/>
    <w:p>
      <w:pPr>
        <w:ind w:left="620" w:right="140"/>
        <w:spacing w:after="0" w:line="263" w:lineRule="auto"/>
        <w:rPr>
          <w:sz w:val="20"/>
          <w:szCs w:val="20"/>
          <w:color w:val="auto"/>
        </w:rPr>
      </w:pPr>
      <w:r>
        <w:rPr>
          <w:rFonts w:ascii="Arial" w:cs="Arial" w:eastAsia="Arial" w:hAnsi="Arial"/>
          <w:sz w:val="17"/>
          <w:szCs w:val="17"/>
          <w:color w:val="auto"/>
        </w:rPr>
        <w:t>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 change of $6.6 million on our loss before income taxes for the three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5"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2022.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5"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center"/>
        <w:ind w:right="-199"/>
        <w:spacing w:after="0"/>
        <w:rPr>
          <w:sz w:val="20"/>
          <w:szCs w:val="20"/>
          <w:color w:val="auto"/>
        </w:rPr>
      </w:pPr>
      <w:r>
        <w:rPr>
          <w:rFonts w:ascii="Arial" w:cs="Arial" w:eastAsia="Arial" w:hAnsi="Arial"/>
          <w:sz w:val="21"/>
          <w:szCs w:val="21"/>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have been no material changes with respect to the risk factors we disclosed in our Form 10-K for the fiscal year ended June 30,</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0000FF"/>
            </w:tcBorders>
          </w:tcPr>
          <w:p>
            <w:pPr>
              <w:spacing w:after="0" w:line="168"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360" w:type="dxa"/>
            <w:vAlign w:val="bottom"/>
          </w:tcPr>
          <w:p>
            <w:pPr>
              <w:spacing w:after="0"/>
              <w:rPr>
                <w:sz w:val="14"/>
                <w:szCs w:val="14"/>
                <w:color w:val="auto"/>
              </w:rPr>
            </w:pPr>
          </w:p>
        </w:tc>
        <w:tc>
          <w:tcPr>
            <w:tcW w:w="10360" w:type="dxa"/>
            <w:vAlign w:val="bottom"/>
          </w:tcPr>
          <w:p>
            <w:pPr>
              <w:ind w:left="200"/>
              <w:spacing w:after="0" w:line="168" w:lineRule="exact"/>
              <w:rPr>
                <w:sz w:val="20"/>
                <w:szCs w:val="20"/>
                <w:color w:val="auto"/>
              </w:rPr>
            </w:pPr>
            <w:r>
              <w:rPr>
                <w:rFonts w:ascii="Arial" w:cs="Arial" w:eastAsia="Arial" w:hAnsi="Arial"/>
                <w:sz w:val="16"/>
                <w:szCs w:val="16"/>
                <w:color w:val="auto"/>
              </w:rPr>
              <w:t>Form of Non-Qualified Share Option Agreement under our 2020 Equity Incentive Plan</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970" w:right="539"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October 27, 2022</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80"/>
          </w:cols>
          <w:pgMar w:left="320" w:top="1068" w:right="49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w:t>
      </w:r>
    </w:p>
    <w:p>
      <w:pPr>
        <w:jc w:val="center"/>
        <w:ind w:right="-19"/>
        <w:spacing w:after="0" w:line="213" w:lineRule="auto"/>
        <w:rPr>
          <w:sz w:val="20"/>
          <w:szCs w:val="20"/>
          <w:color w:val="auto"/>
        </w:rPr>
      </w:pPr>
      <w:r>
        <w:rPr>
          <w:rFonts w:ascii="Times New Roman" w:cs="Times New Roman" w:eastAsia="Times New Roman" w:hAnsi="Times New Roman"/>
          <w:sz w:val="19"/>
          <w:szCs w:val="19"/>
          <w:b w:val="1"/>
          <w:bCs w:val="1"/>
          <w:color w:val="auto"/>
        </w:rPr>
        <w:t>2020 Equity Incentive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Non-Qualified Share Option Agreement</w:t>
      </w:r>
    </w:p>
    <w:p>
      <w:pPr>
        <w:spacing w:after="0" w:line="188" w:lineRule="exact"/>
        <w:rPr>
          <w:sz w:val="20"/>
          <w:szCs w:val="20"/>
          <w:color w:val="auto"/>
        </w:rPr>
      </w:pPr>
    </w:p>
    <w:p>
      <w:pPr>
        <w:ind w:right="100" w:firstLine="4"/>
        <w:spacing w:after="0" w:line="223" w:lineRule="auto"/>
        <w:tabs>
          <w:tab w:leader="none" w:pos="333"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Option</w:t>
      </w:r>
      <w:r>
        <w:rPr>
          <w:rFonts w:ascii="Times New Roman" w:cs="Times New Roman" w:eastAsia="Times New Roman" w:hAnsi="Times New Roman"/>
          <w:sz w:val="19"/>
          <w:szCs w:val="19"/>
          <w:color w:val="auto"/>
        </w:rPr>
        <w:t xml:space="preserve">. This Agreement, including any country-specific addendum to this Agreement, evidences the grant by Cimpress plc, an Irish public limited company (the “Company”), on </w:t>
      </w:r>
      <w:r>
        <w:rPr>
          <w:rFonts w:ascii="Times New Roman" w:cs="Times New Roman" w:eastAsia="Times New Roman" w:hAnsi="Times New Roman"/>
          <w:sz w:val="19"/>
          <w:szCs w:val="19"/>
          <w:b w:val="1"/>
          <w:bCs w:val="1"/>
          <w:color w:val="auto"/>
        </w:rPr>
        <w:t>«GrantDate»</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xml:space="preserve"> (the “Participant”) of an option to purchase, in whole or in part, a total of </w:t>
      </w:r>
      <w:r>
        <w:rPr>
          <w:rFonts w:ascii="Times New Roman" w:cs="Times New Roman" w:eastAsia="Times New Roman" w:hAnsi="Times New Roman"/>
          <w:sz w:val="19"/>
          <w:szCs w:val="19"/>
          <w:b w:val="1"/>
          <w:bCs w:val="1"/>
          <w:color w:val="auto"/>
        </w:rPr>
        <w:t xml:space="preserve">«Numbershares» </w:t>
      </w:r>
      <w:r>
        <w:rPr>
          <w:rFonts w:ascii="Times New Roman" w:cs="Times New Roman" w:eastAsia="Times New Roman" w:hAnsi="Times New Roman"/>
          <w:sz w:val="19"/>
          <w:szCs w:val="19"/>
          <w:color w:val="auto"/>
        </w:rPr>
        <w:t>ordinary shares of the Company, €0.01 nominal value per share (the “Shares”), at an exercise price of</w:t>
      </w:r>
      <w:r>
        <w:rPr>
          <w:rFonts w:ascii="Times New Roman" w:cs="Times New Roman" w:eastAsia="Times New Roman" w:hAnsi="Times New Roman"/>
          <w:sz w:val="19"/>
          <w:szCs w:val="19"/>
          <w:b w:val="1"/>
          <w:bCs w:val="1"/>
          <w:color w:val="auto"/>
        </w:rPr>
        <w:t xml:space="preserve"> «Price» </w:t>
      </w:r>
      <w:r>
        <w:rPr>
          <w:rFonts w:ascii="Times New Roman" w:cs="Times New Roman" w:eastAsia="Times New Roman" w:hAnsi="Times New Roman"/>
          <w:sz w:val="19"/>
          <w:szCs w:val="19"/>
          <w:color w:val="auto"/>
        </w:rPr>
        <w:t>per Share,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terms of this Agreement and the Company’s 2020 Equity Incentive Plan (the “Plan”). Unless earlier terminated, this option expires on </w:t>
      </w:r>
      <w:r>
        <w:rPr>
          <w:rFonts w:ascii="Times New Roman" w:cs="Times New Roman" w:eastAsia="Times New Roman" w:hAnsi="Times New Roman"/>
          <w:sz w:val="19"/>
          <w:szCs w:val="19"/>
          <w:b w:val="1"/>
          <w:bCs w:val="1"/>
          <w:color w:val="auto"/>
        </w:rPr>
        <w:t xml:space="preserve">«Finalexercisedate» </w:t>
      </w:r>
      <w:r>
        <w:rPr>
          <w:rFonts w:ascii="Times New Roman" w:cs="Times New Roman" w:eastAsia="Times New Roman" w:hAnsi="Times New Roman"/>
          <w:sz w:val="19"/>
          <w:szCs w:val="19"/>
          <w:color w:val="auto"/>
        </w:rPr>
        <w:t>(the “Expiration Date”).</w:t>
      </w:r>
    </w:p>
    <w:p>
      <w:pPr>
        <w:spacing w:after="0" w:line="140" w:lineRule="exact"/>
        <w:rPr>
          <w:sz w:val="20"/>
          <w:szCs w:val="20"/>
          <w:color w:val="auto"/>
        </w:rPr>
      </w:pPr>
    </w:p>
    <w:p>
      <w:pPr>
        <w:ind w:right="240" w:firstLine="187"/>
        <w:spacing w:after="0" w:line="248" w:lineRule="auto"/>
        <w:rPr>
          <w:sz w:val="20"/>
          <w:szCs w:val="20"/>
          <w:color w:val="auto"/>
        </w:rPr>
      </w:pPr>
      <w:r>
        <w:rPr>
          <w:rFonts w:ascii="Times New Roman" w:cs="Times New Roman" w:eastAsia="Times New Roman" w:hAnsi="Times New Roman"/>
          <w:sz w:val="19"/>
          <w:szCs w:val="19"/>
          <w:color w:val="auto"/>
        </w:rPr>
        <w:t>The option evidenced by this Agreement is not intended to be an incentive stock option as defined in Section 422 of the United States Internal Revenue Code of 1986, as amended, and any regulations promulgated thereunder (the “Code”).</w:t>
      </w:r>
    </w:p>
    <w:p>
      <w:pPr>
        <w:spacing w:after="0" w:line="146" w:lineRule="exact"/>
        <w:rPr>
          <w:sz w:val="20"/>
          <w:szCs w:val="20"/>
          <w:color w:val="auto"/>
        </w:rPr>
      </w:pPr>
    </w:p>
    <w:p>
      <w:pPr>
        <w:ind w:right="180" w:firstLine="190"/>
        <w:spacing w:after="0" w:line="218" w:lineRule="auto"/>
        <w:rPr>
          <w:sz w:val="20"/>
          <w:szCs w:val="20"/>
          <w:color w:val="auto"/>
        </w:rPr>
      </w:pPr>
      <w:r>
        <w:rPr>
          <w:rFonts w:ascii="Times New Roman" w:cs="Times New Roman" w:eastAsia="Times New Roman" w:hAnsi="Times New Roman"/>
          <w:sz w:val="19"/>
          <w:szCs w:val="19"/>
          <w:color w:val="auto"/>
        </w:rPr>
        <w:t>Except as otherwise indicated by the context, the term “Participant,” as used in this option, is deemed to include any person who acquires the right to exercise this option validly under its terms. Capitalized terms that are used but not defined in this Agreement have the meanings assigned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such terms in the Plan.</w:t>
      </w:r>
    </w:p>
    <w:p>
      <w:pPr>
        <w:spacing w:after="0" w:line="162" w:lineRule="exact"/>
        <w:rPr>
          <w:sz w:val="20"/>
          <w:szCs w:val="20"/>
          <w:color w:val="auto"/>
        </w:rPr>
      </w:pPr>
    </w:p>
    <w:p>
      <w:pPr>
        <w:ind w:firstLine="4"/>
        <w:spacing w:after="0" w:line="218" w:lineRule="auto"/>
        <w:tabs>
          <w:tab w:leader="none" w:pos="333"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Schedule</w:t>
      </w:r>
      <w:r>
        <w:rPr>
          <w:rFonts w:ascii="Times New Roman" w:cs="Times New Roman" w:eastAsia="Times New Roman" w:hAnsi="Times New Roman"/>
          <w:sz w:val="19"/>
          <w:szCs w:val="19"/>
          <w:color w:val="auto"/>
        </w:rPr>
        <w:t>. No portion of this option may be exercised until such portion has become exercisable (“vests”). Subject to the terms and conditions of this Agreement, this option vests in accordance with the following schedule, so long as the Participant is, and has been at all times since the date in Section 1 above on which this option was granted, an employee, officer or director of, or consultant or advisor to, the Company or any parent or subsidiary of the Company (an “Eligible Participant”), as “parent” and “subsidiary” are defined in Section 424(e) or (f) of the Code. The right of exercise is cumulative so that, to the extent the option is not exercised in any period to the maximum extent permissible, it continues to be exercisable, in whole or in part, with respect to all unexercised Shares for which it is vested until the earlier of the Expiration Date or the termination of this option under this Agreement or the Plan. This option vests as to:</w:t>
      </w:r>
    </w:p>
    <w:p>
      <w:pPr>
        <w:spacing w:after="0" w:line="140" w:lineRule="exact"/>
        <w:rPr>
          <w:rFonts w:ascii="Times New Roman" w:cs="Times New Roman" w:eastAsia="Times New Roman" w:hAnsi="Times New Roman"/>
          <w:sz w:val="19"/>
          <w:szCs w:val="19"/>
          <w:color w:val="auto"/>
        </w:rPr>
      </w:pPr>
    </w:p>
    <w:p>
      <w:pPr>
        <w:ind w:left="620" w:hanging="305"/>
        <w:spacing w:after="0"/>
        <w:tabs>
          <w:tab w:leader="none" w:pos="620"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25% of the original number of Shares on </w:t>
      </w:r>
      <w:r>
        <w:rPr>
          <w:rFonts w:ascii="Times New Roman" w:cs="Times New Roman" w:eastAsia="Times New Roman" w:hAnsi="Times New Roman"/>
          <w:sz w:val="19"/>
          <w:szCs w:val="19"/>
          <w:b w:val="1"/>
          <w:bCs w:val="1"/>
          <w:color w:val="auto"/>
        </w:rPr>
        <w:t>«Vestdate»</w:t>
      </w:r>
      <w:r>
        <w:rPr>
          <w:rFonts w:ascii="Times New Roman" w:cs="Times New Roman" w:eastAsia="Times New Roman" w:hAnsi="Times New Roman"/>
          <w:sz w:val="19"/>
          <w:szCs w:val="19"/>
          <w:color w:val="auto"/>
        </w:rPr>
        <w:t>, and</w:t>
      </w:r>
    </w:p>
    <w:p>
      <w:pPr>
        <w:ind w:left="620" w:right="200" w:hanging="305"/>
        <w:spacing w:after="0" w:line="231" w:lineRule="auto"/>
        <w:tabs>
          <w:tab w:leader="none" w:pos="609"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additional 6.25% of the original number of Shares at the end of each successive three-month period following such date until the third anniversary of such date.</w:t>
      </w:r>
    </w:p>
    <w:p>
      <w:pPr>
        <w:spacing w:after="0" w:line="141"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Option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right="240" w:firstLine="194"/>
        <w:spacing w:after="0" w:line="229" w:lineRule="auto"/>
        <w:tabs>
          <w:tab w:leader="none" w:pos="59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of Exercise</w:t>
      </w:r>
      <w:r>
        <w:rPr>
          <w:rFonts w:ascii="Times New Roman" w:cs="Times New Roman" w:eastAsia="Times New Roman" w:hAnsi="Times New Roman"/>
          <w:sz w:val="19"/>
          <w:szCs w:val="19"/>
          <w:color w:val="auto"/>
        </w:rPr>
        <w:t>. Each election to exercise this option must be in writing in such form as the Company may accept and accompanied by payment in full using any of the following methods (unless determined otherwise by the Company’s Board of Directors or Compensation Committee in its sole discretion):</w:t>
      </w:r>
    </w:p>
    <w:p>
      <w:pPr>
        <w:spacing w:after="0" w:line="153" w:lineRule="exact"/>
        <w:rPr>
          <w:rFonts w:ascii="Times New Roman" w:cs="Times New Roman" w:eastAsia="Times New Roman" w:hAnsi="Times New Roman"/>
          <w:sz w:val="19"/>
          <w:szCs w:val="19"/>
          <w:color w:val="auto"/>
        </w:rPr>
      </w:pPr>
    </w:p>
    <w:p>
      <w:pPr>
        <w:ind w:left="1660" w:hanging="410"/>
        <w:spacing w:after="0"/>
        <w:tabs>
          <w:tab w:leader="none" w:pos="166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cash or by check, payable to the order of the Company;</w:t>
      </w:r>
    </w:p>
    <w:p>
      <w:pPr>
        <w:spacing w:after="0" w:line="170" w:lineRule="exact"/>
        <w:rPr>
          <w:rFonts w:ascii="Times New Roman" w:cs="Times New Roman" w:eastAsia="Times New Roman" w:hAnsi="Times New Roman"/>
          <w:sz w:val="19"/>
          <w:szCs w:val="19"/>
          <w:color w:val="auto"/>
        </w:rPr>
      </w:pPr>
    </w:p>
    <w:p>
      <w:pPr>
        <w:ind w:left="620" w:right="620" w:firstLine="630"/>
        <w:spacing w:after="0" w:line="247" w:lineRule="auto"/>
        <w:tabs>
          <w:tab w:leader="none" w:pos="1713"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an arrangement that is acceptable to the Company with a creditworthy broker to deliver promptly to the Company sufficient funds to pay the exercise price and any required tax withholding;</w:t>
      </w:r>
    </w:p>
    <w:p>
      <w:pPr>
        <w:spacing w:after="0" w:line="147" w:lineRule="exact"/>
        <w:rPr>
          <w:rFonts w:ascii="Times New Roman" w:cs="Times New Roman" w:eastAsia="Times New Roman" w:hAnsi="Times New Roman"/>
          <w:sz w:val="19"/>
          <w:szCs w:val="19"/>
          <w:color w:val="auto"/>
        </w:rPr>
      </w:pPr>
    </w:p>
    <w:p>
      <w:pPr>
        <w:ind w:left="620" w:right="240" w:firstLine="630"/>
        <w:spacing w:after="0" w:line="229" w:lineRule="auto"/>
        <w:tabs>
          <w:tab w:leader="none" w:pos="176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 “net exercise,” as a result of which the Participant would receive (A) the number of Shares underlying the portion of this option being exercised, less (B) such number of Shares as is equal to (x) the aggregate exercise price for the portion of this option being exercised divided by (y) the per share Fair Market Value of the Company’s ordinary shares on the date of exercise;</w:t>
      </w:r>
    </w:p>
    <w:p>
      <w:pPr>
        <w:spacing w:after="0" w:line="179" w:lineRule="exact"/>
        <w:rPr>
          <w:rFonts w:ascii="Times New Roman" w:cs="Times New Roman" w:eastAsia="Times New Roman" w:hAnsi="Times New Roman"/>
          <w:sz w:val="19"/>
          <w:szCs w:val="19"/>
          <w:color w:val="auto"/>
        </w:rPr>
      </w:pPr>
    </w:p>
    <w:p>
      <w:pPr>
        <w:ind w:left="620" w:right="140" w:firstLine="630"/>
        <w:spacing w:after="0" w:line="229" w:lineRule="auto"/>
        <w:tabs>
          <w:tab w:leader="none" w:pos="175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delivery of ordinary shares of the Company owned by the Participant valued at their Fair Market Value, so long as (A) such method of payment is then permitted under applicable law and (B) such ordinary shares are not subject to any repurchase, forfeiture, unfulfilled vesting or other similar requirements; or</w:t>
      </w:r>
    </w:p>
    <w:p>
      <w:pPr>
        <w:spacing w:after="0" w:line="153" w:lineRule="exact"/>
        <w:rPr>
          <w:rFonts w:ascii="Times New Roman" w:cs="Times New Roman" w:eastAsia="Times New Roman" w:hAnsi="Times New Roman"/>
          <w:sz w:val="19"/>
          <w:szCs w:val="19"/>
          <w:color w:val="auto"/>
        </w:rPr>
      </w:pPr>
    </w:p>
    <w:p>
      <w:pPr>
        <w:ind w:left="1700" w:hanging="450"/>
        <w:spacing w:after="0"/>
        <w:tabs>
          <w:tab w:leader="none" w:pos="170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any combination of the above permitted forms of payment.</w:t>
      </w:r>
    </w:p>
    <w:p>
      <w:pPr>
        <w:sectPr>
          <w:pgSz w:w="11900" w:h="16838" w:orient="portrait"/>
          <w:cols w:equalWidth="0" w:num="1">
            <w:col w:w="11240"/>
          </w:cols>
          <w:pgMar w:left="320" w:top="1088" w:right="339" w:bottom="1440" w:gutter="0" w:footer="0" w:header="0"/>
        </w:sectPr>
      </w:pPr>
    </w:p>
    <w:bookmarkStart w:id="43" w:name="page44"/>
    <w:bookmarkEnd w:id="43"/>
    <w:p>
      <w:pPr>
        <w:ind w:right="440"/>
        <w:spacing w:after="0" w:line="236" w:lineRule="auto"/>
        <w:rPr>
          <w:sz w:val="20"/>
          <w:szCs w:val="20"/>
          <w:color w:val="auto"/>
        </w:rPr>
      </w:pPr>
      <w:r>
        <w:rPr>
          <w:rFonts w:ascii="Times New Roman" w:cs="Times New Roman" w:eastAsia="Times New Roman" w:hAnsi="Times New Roman"/>
          <w:sz w:val="19"/>
          <w:szCs w:val="19"/>
          <w:color w:val="auto"/>
        </w:rPr>
        <w:t>The Participant may purchase fewer than the number of Shares covered hereby, but no partial exercise of this option may be for any fractional share.</w:t>
      </w:r>
    </w:p>
    <w:p>
      <w:pPr>
        <w:spacing w:after="0" w:line="180" w:lineRule="exact"/>
        <w:rPr>
          <w:sz w:val="20"/>
          <w:szCs w:val="20"/>
          <w:color w:val="auto"/>
        </w:rPr>
      </w:pPr>
    </w:p>
    <w:p>
      <w:pPr>
        <w:ind w:firstLine="194"/>
        <w:spacing w:after="0" w:line="217" w:lineRule="auto"/>
        <w:tabs>
          <w:tab w:leader="none" w:pos="602"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Continuous Relationship with the Company Required</w:t>
      </w:r>
      <w:r>
        <w:rPr>
          <w:rFonts w:ascii="Times New Roman" w:cs="Times New Roman" w:eastAsia="Times New Roman" w:hAnsi="Times New Roman"/>
          <w:sz w:val="19"/>
          <w:szCs w:val="19"/>
          <w:color w:val="auto"/>
        </w:rPr>
        <w:t>. Except as otherwise provided in this Section 3, this option may not be exercised unless at the time of exercise the Participant is, and has been at all times since the date in Section 1 above on which the option was granted, an Eligible Participant. The Company has the exclusive discretion to determine when the Participant is no longer an Eligible Participant for purposes of this Agreement and the Plan, including but not limited to the exclusive discretion to determine whether the Participant remains an Eligible Participant during an unpaid leave of absence and when the Participant ceases to be an Eligible Participant during any such leave (regardless of whether the Participant’s employment or other relationship with the Company is considered terminated in the Company’s human resources systems or for other purposes). If the Participant is employed by a parent or subsidiary of the Company, any references in this Agreement to employment by or with the Company or termination of employment by or with the Company are instead deemed to refer to such parent or subsidiary.</w:t>
      </w:r>
    </w:p>
    <w:p>
      <w:pPr>
        <w:spacing w:after="0" w:line="145" w:lineRule="exact"/>
        <w:rPr>
          <w:rFonts w:ascii="Times New Roman" w:cs="Times New Roman" w:eastAsia="Times New Roman" w:hAnsi="Times New Roman"/>
          <w:sz w:val="19"/>
          <w:szCs w:val="19"/>
          <w:color w:val="auto"/>
        </w:rPr>
      </w:pPr>
    </w:p>
    <w:p>
      <w:pPr>
        <w:ind w:firstLine="194"/>
        <w:spacing w:after="0" w:line="221" w:lineRule="auto"/>
        <w:tabs>
          <w:tab w:leader="none" w:pos="592"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Relationship with the Company</w:t>
      </w:r>
      <w:r>
        <w:rPr>
          <w:rFonts w:ascii="Times New Roman" w:cs="Times New Roman" w:eastAsia="Times New Roman" w:hAnsi="Times New Roman"/>
          <w:sz w:val="19"/>
          <w:szCs w:val="19"/>
          <w:color w:val="auto"/>
        </w:rPr>
        <w:t>. If the Participant ceases to be an Eligible Participant for any reason, except as provided in paragraphs (d) and (e) below, then the right to exercise this option terminates three months after such cessation (but in no event after the Expiration Date). This option is exercisable only to the extent that the Participant was entitled to exercise this option on the date of such cessation. However, if the Participant violates the non-competition or confidentiality provisions of any employment contract, confidentiality agreement or other agreement between the Participant and the Company or a parent or subsidiary of the Company, then the right to exercise this option terminates immediately upon such violation.</w:t>
      </w:r>
    </w:p>
    <w:p>
      <w:pPr>
        <w:spacing w:after="0" w:line="142" w:lineRule="exact"/>
        <w:rPr>
          <w:rFonts w:ascii="Times New Roman" w:cs="Times New Roman" w:eastAsia="Times New Roman" w:hAnsi="Times New Roman"/>
          <w:sz w:val="19"/>
          <w:szCs w:val="19"/>
          <w:color w:val="auto"/>
        </w:rPr>
      </w:pPr>
    </w:p>
    <w:p>
      <w:pPr>
        <w:jc w:val="both"/>
        <w:ind w:firstLine="194"/>
        <w:spacing w:after="0" w:line="225" w:lineRule="auto"/>
        <w:tabs>
          <w:tab w:leader="none" w:pos="602"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Period Upon Death or Disability</w:t>
      </w:r>
      <w:r>
        <w:rPr>
          <w:rFonts w:ascii="Times New Roman" w:cs="Times New Roman" w:eastAsia="Times New Roman" w:hAnsi="Times New Roman"/>
          <w:sz w:val="19"/>
          <w:szCs w:val="19"/>
          <w:color w:val="auto"/>
        </w:rPr>
        <w:t>. If the Participant dies or becomes disabled (within the meaning of Section 22(e)(3) of the Code) while they are an Eligible Participant, then the Participant (or in the case of death an authorized transferee) may exercise this option until the earlier of one year after (i) the date of the Participant’s death or disability and (ii) the Expiration Date, except that this option is exercisable only to the extent that it was exercisable by the Participant on the date of their death or disability.</w:t>
      </w:r>
    </w:p>
    <w:p>
      <w:pPr>
        <w:spacing w:after="0" w:line="154" w:lineRule="exact"/>
        <w:rPr>
          <w:rFonts w:ascii="Times New Roman" w:cs="Times New Roman" w:eastAsia="Times New Roman" w:hAnsi="Times New Roman"/>
          <w:sz w:val="19"/>
          <w:szCs w:val="19"/>
          <w:color w:val="auto"/>
        </w:rPr>
      </w:pPr>
    </w:p>
    <w:p>
      <w:pPr>
        <w:ind w:right="220" w:firstLine="194"/>
        <w:spacing w:after="0" w:line="248" w:lineRule="auto"/>
        <w:tabs>
          <w:tab w:leader="none" w:pos="592"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Discharge for Cause</w:t>
      </w:r>
      <w:r>
        <w:rPr>
          <w:rFonts w:ascii="Times New Roman" w:cs="Times New Roman" w:eastAsia="Times New Roman" w:hAnsi="Times New Roman"/>
          <w:sz w:val="19"/>
          <w:szCs w:val="19"/>
          <w:color w:val="auto"/>
        </w:rPr>
        <w:t>. If the Company discharges the Participant for Cause (as defined in Section 12 below), then the right to exercise this option immediately terminates upon the effective date of such discharge.</w:t>
      </w:r>
    </w:p>
    <w:p>
      <w:pPr>
        <w:spacing w:after="0" w:line="132"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right="20" w:firstLine="627"/>
        <w:spacing w:after="0" w:line="215" w:lineRule="auto"/>
        <w:tabs>
          <w:tab w:leader="none" w:pos="1021"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acknowledges that, regardless of any action taken by the Company or, if different, the Participant’s employer (the “Employer”), the ultimate liability for all income tax, social insurance, payroll tax, fringe benefits tax, payment on account or other tax-related items related to the Participant’s participation in the Plan and legally applicable or deemed legally applicable to Participant (“Tax-Related Items”)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this option; and (ii) do not commit to and are under no obligation to structure the terms of the grant or any aspect of this option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9" w:lineRule="exact"/>
        <w:rPr>
          <w:rFonts w:ascii="Times New Roman" w:cs="Times New Roman" w:eastAsia="Times New Roman" w:hAnsi="Times New Roman"/>
          <w:sz w:val="19"/>
          <w:szCs w:val="19"/>
          <w:color w:val="auto"/>
        </w:rPr>
      </w:pPr>
    </w:p>
    <w:p>
      <w:pPr>
        <w:ind w:right="40" w:firstLine="627"/>
        <w:spacing w:after="0" w:line="225" w:lineRule="auto"/>
        <w:tabs>
          <w:tab w:leader="none" w:pos="1035"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relevant taxable or tax withholding event, as applicable, the Participant will make adequate arrangements satisfactory to the Company and/or the Employer to satisfy all Tax-Related Items. In this regard, the Participant authorizes the Company and/or the Employer, or their respective agents, at their discretion, to satisfy their obligations (if any) with regard to all Tax-Related Items by one or a combination of the following:</w:t>
      </w:r>
    </w:p>
    <w:p>
      <w:pPr>
        <w:spacing w:after="0" w:line="141" w:lineRule="exact"/>
        <w:rPr>
          <w:rFonts w:ascii="Times New Roman" w:cs="Times New Roman" w:eastAsia="Times New Roman" w:hAnsi="Times New Roman"/>
          <w:sz w:val="19"/>
          <w:szCs w:val="19"/>
          <w:color w:val="auto"/>
        </w:rPr>
      </w:pPr>
    </w:p>
    <w:p>
      <w:pPr>
        <w:ind w:left="620" w:right="740" w:firstLine="630"/>
        <w:spacing w:after="0" w:line="247" w:lineRule="auto"/>
        <w:tabs>
          <w:tab w:leader="none" w:pos="1613" w:val="left"/>
        </w:tabs>
        <w:numPr>
          <w:ilvl w:val="3"/>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the Participant’s wages or other cash compensation payable to the Participant by the Company, the Employer, or any parent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103" w:right="339" w:bottom="1440" w:gutter="0" w:footer="0" w:header="0"/>
        </w:sectPr>
      </w:pPr>
    </w:p>
    <w:bookmarkStart w:id="44" w:name="page45"/>
    <w:bookmarkEnd w:id="44"/>
    <w:p>
      <w:pPr>
        <w:ind w:left="620" w:right="360" w:firstLine="630"/>
        <w:spacing w:after="0" w:line="236" w:lineRule="auto"/>
        <w:tabs>
          <w:tab w:leader="none" w:pos="1666"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exercise of this option either through a voluntary sale or through a mandatory sale arranged by the Company (on the Participant’s behalf pursuant to this authorization without further consent);</w:t>
      </w:r>
    </w:p>
    <w:p>
      <w:pPr>
        <w:spacing w:after="0" w:line="154" w:lineRule="exact"/>
        <w:rPr>
          <w:rFonts w:ascii="Times New Roman" w:cs="Times New Roman" w:eastAsia="Times New Roman" w:hAnsi="Times New Roman"/>
          <w:sz w:val="19"/>
          <w:szCs w:val="19"/>
          <w:color w:val="auto"/>
        </w:rPr>
      </w:pPr>
    </w:p>
    <w:p>
      <w:pPr>
        <w:ind w:left="620" w:right="400" w:firstLine="630"/>
        <w:spacing w:after="0" w:line="248" w:lineRule="auto"/>
        <w:tabs>
          <w:tab w:leader="none" w:pos="1719"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the Participant to tender a cash payment to the Company or any parent or subsidiary in the amount of the Tax-Related Items;</w:t>
      </w:r>
    </w:p>
    <w:p>
      <w:pPr>
        <w:spacing w:after="0" w:line="132" w:lineRule="exact"/>
        <w:rPr>
          <w:rFonts w:ascii="Times New Roman" w:cs="Times New Roman" w:eastAsia="Times New Roman" w:hAnsi="Times New Roman"/>
          <w:sz w:val="19"/>
          <w:szCs w:val="19"/>
          <w:color w:val="auto"/>
        </w:rPr>
      </w:pPr>
    </w:p>
    <w:p>
      <w:pPr>
        <w:ind w:left="1720" w:hanging="470"/>
        <w:spacing w:after="0"/>
        <w:tabs>
          <w:tab w:leader="none" w:pos="1720"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in Shares to be issued upon exercise of this option; and/or</w:t>
      </w:r>
    </w:p>
    <w:p>
      <w:pPr>
        <w:spacing w:after="0" w:line="183" w:lineRule="exact"/>
        <w:rPr>
          <w:rFonts w:ascii="Times New Roman" w:cs="Times New Roman" w:eastAsia="Times New Roman" w:hAnsi="Times New Roman"/>
          <w:sz w:val="19"/>
          <w:szCs w:val="19"/>
          <w:color w:val="auto"/>
        </w:rPr>
      </w:pPr>
    </w:p>
    <w:p>
      <w:pPr>
        <w:ind w:left="620" w:right="240" w:firstLine="630"/>
        <w:spacing w:after="0" w:line="247" w:lineRule="auto"/>
        <w:tabs>
          <w:tab w:leader="none" w:pos="1655"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method of withholding determined by the Company to be permitted under the Plan and, to the extent required by applicable law or the Plan, approved by the Board.</w:t>
      </w:r>
    </w:p>
    <w:p>
      <w:pPr>
        <w:spacing w:after="0" w:line="134" w:lineRule="exact"/>
        <w:rPr>
          <w:rFonts w:ascii="Times New Roman" w:cs="Times New Roman" w:eastAsia="Times New Roman" w:hAnsi="Times New Roman"/>
          <w:sz w:val="19"/>
          <w:szCs w:val="19"/>
          <w:color w:val="auto"/>
        </w:rPr>
      </w:pPr>
    </w:p>
    <w:p>
      <w:pPr>
        <w:ind w:right="40" w:firstLine="627"/>
        <w:spacing w:after="0" w:line="217" w:lineRule="auto"/>
        <w:tabs>
          <w:tab w:leader="none" w:pos="1021"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withhold for Tax-Related Items by considering statutory or other withholding rates, including maximum withholding rates applicable in the Participant’s jurisdiction(s). In the event of over-withholding, the Participant may receive a refund of any over-withheld amount in cash (with no entitlement to the equivalent amount in Shares) from the Company or the Employer; otherwise, the Participant may be able to seek a refund from the local tax authority. In the event of under-withholding, the Participant may be required to pay any additional Tax-Related Items directly to the applicable tax authority. If the obligation for Tax-Related Items is satisfied by withholding Shares, for tax purposes, the Participant is deemed to have been issued the full number of Shares subject to the exercised option, notwithstanding that a number of the Shares are held back solely for the purpose of paying the Tax-Related Items. The Company may refuse to honor the exercise of this option or refuse to issue or deliver the Shares or the proceeds of the sale of Shares, if the Participant fails to comply with their obligations in connection with the Tax-Related Items.</w:t>
      </w:r>
    </w:p>
    <w:p>
      <w:pPr>
        <w:spacing w:after="0" w:line="143" w:lineRule="exact"/>
        <w:rPr>
          <w:rFonts w:ascii="Times New Roman" w:cs="Times New Roman" w:eastAsia="Times New Roman" w:hAnsi="Times New Roman"/>
          <w:sz w:val="19"/>
          <w:szCs w:val="19"/>
          <w:color w:val="auto"/>
        </w:rPr>
      </w:pPr>
    </w:p>
    <w:p>
      <w:pPr>
        <w:ind w:right="120" w:firstLine="4"/>
        <w:spacing w:after="0" w:line="218" w:lineRule="auto"/>
        <w:tabs>
          <w:tab w:leader="none" w:pos="33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Nontransferability of Option</w:t>
      </w:r>
      <w:r>
        <w:rPr>
          <w:rFonts w:ascii="Times New Roman" w:cs="Times New Roman" w:eastAsia="Times New Roman" w:hAnsi="Times New Roman"/>
          <w:sz w:val="19"/>
          <w:szCs w:val="19"/>
          <w:color w:val="auto"/>
        </w:rPr>
        <w:t>. The Participant shall not sell, assign, transfer, pledge or otherwise encumber this option, either voluntarily or by operation of law, except (a) by will or the laws of descent and distribution, (b) pursuant to a qualified domestic relations order, or (c) if the Company consents, to or for the benefit of any immediate family member, family trust, family partnership or family limited liability company established solely for the benefit of the holder and/or an immediate family member of the holder. However, the Participant shall not transfer this option to any proposed transferee if, with respect to such proposed transferee, the Company would not be eligible to use a Form S-8 for the registration of the issuance and sale of the Shares subject to this option under the United States Securities Act of 1933, as amended. Unless this option is transferred in accordance with Sections 5(b) or (c) above, only the Participant may exercise this option during their lifetime.</w:t>
      </w:r>
    </w:p>
    <w:p>
      <w:pPr>
        <w:spacing w:after="0" w:line="155" w:lineRule="exact"/>
        <w:rPr>
          <w:rFonts w:ascii="Times New Roman" w:cs="Times New Roman" w:eastAsia="Times New Roman" w:hAnsi="Times New Roman"/>
          <w:sz w:val="19"/>
          <w:szCs w:val="19"/>
          <w:color w:val="auto"/>
        </w:rPr>
      </w:pPr>
    </w:p>
    <w:p>
      <w:pPr>
        <w:ind w:firstLine="4"/>
        <w:spacing w:after="0" w:line="225" w:lineRule="auto"/>
        <w:tabs>
          <w:tab w:leader="none" w:pos="33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Employment or Other Status</w:t>
      </w:r>
      <w:r>
        <w:rPr>
          <w:rFonts w:ascii="Times New Roman" w:cs="Times New Roman" w:eastAsia="Times New Roman" w:hAnsi="Times New Roman"/>
          <w:sz w:val="19"/>
          <w:szCs w:val="19"/>
          <w:color w:val="auto"/>
        </w:rPr>
        <w:t>. This option shall not be construed as giving the Participant the right to continued employment or any other relationship with the Company or a parent or subsidiary of the Company. The Company and any parent or subsidiary of the Company expressly reserves the right to dismiss or otherwise terminate its relationship with the Participant free from any liability or claim under the Plan or this option, except as expressly provided in this option.</w:t>
      </w:r>
    </w:p>
    <w:p>
      <w:pPr>
        <w:spacing w:after="0" w:line="154" w:lineRule="exact"/>
        <w:rPr>
          <w:rFonts w:ascii="Times New Roman" w:cs="Times New Roman" w:eastAsia="Times New Roman" w:hAnsi="Times New Roman"/>
          <w:sz w:val="19"/>
          <w:szCs w:val="19"/>
          <w:color w:val="auto"/>
        </w:rPr>
      </w:pPr>
    </w:p>
    <w:p>
      <w:pPr>
        <w:ind w:firstLine="4"/>
        <w:spacing w:after="0" w:line="236" w:lineRule="auto"/>
        <w:tabs>
          <w:tab w:leader="none" w:pos="33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Shareholder</w:t>
      </w:r>
      <w:r>
        <w:rPr>
          <w:rFonts w:ascii="Times New Roman" w:cs="Times New Roman" w:eastAsia="Times New Roman" w:hAnsi="Times New Roman"/>
          <w:sz w:val="19"/>
          <w:szCs w:val="19"/>
          <w:color w:val="auto"/>
        </w:rPr>
        <w:t>. The Participant has no rights as a shareholder with respect to any Shares issuable under this option until such Shares are issued to the Participant.</w:t>
      </w:r>
    </w:p>
    <w:p>
      <w:pPr>
        <w:spacing w:after="0" w:line="154"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of the Plan</w:t>
      </w:r>
      <w:r>
        <w:rPr>
          <w:rFonts w:ascii="Times New Roman" w:cs="Times New Roman" w:eastAsia="Times New Roman" w:hAnsi="Times New Roman"/>
          <w:sz w:val="19"/>
          <w:szCs w:val="19"/>
          <w:color w:val="auto"/>
        </w:rPr>
        <w:t>. This option is subject to the provisions of the Plan, a copy of which is furnished to the Participant with this Agreement.</w:t>
      </w:r>
    </w:p>
    <w:p>
      <w:pPr>
        <w:spacing w:after="0" w:line="170"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the Grant</w:t>
      </w:r>
      <w:r>
        <w:rPr>
          <w:rFonts w:ascii="Times New Roman" w:cs="Times New Roman" w:eastAsia="Times New Roman" w:hAnsi="Times New Roman"/>
          <w:sz w:val="19"/>
          <w:szCs w:val="19"/>
          <w:color w:val="auto"/>
        </w:rPr>
        <w:t>. By accepting this Agreement, the Participant acknowledges as follows:</w:t>
      </w:r>
    </w:p>
    <w:p>
      <w:pPr>
        <w:spacing w:after="0" w:line="209" w:lineRule="exact"/>
        <w:rPr>
          <w:rFonts w:ascii="Times New Roman" w:cs="Times New Roman" w:eastAsia="Times New Roman" w:hAnsi="Times New Roman"/>
          <w:sz w:val="19"/>
          <w:szCs w:val="19"/>
          <w:color w:val="auto"/>
        </w:rPr>
      </w:pPr>
    </w:p>
    <w:p>
      <w:pPr>
        <w:ind w:right="780" w:firstLine="627"/>
        <w:spacing w:after="0" w:line="247" w:lineRule="auto"/>
        <w:tabs>
          <w:tab w:leader="none" w:pos="1021"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established voluntarily by the Company, is discretionary in nature and may be modified, amended, suspended or terminated by the Company at any time, to the extent permitted by the Plan.</w:t>
      </w:r>
    </w:p>
    <w:p>
      <w:pPr>
        <w:spacing w:after="0" w:line="160" w:lineRule="exact"/>
        <w:rPr>
          <w:rFonts w:ascii="Times New Roman" w:cs="Times New Roman" w:eastAsia="Times New Roman" w:hAnsi="Times New Roman"/>
          <w:sz w:val="19"/>
          <w:szCs w:val="19"/>
          <w:color w:val="auto"/>
        </w:rPr>
      </w:pPr>
    </w:p>
    <w:p>
      <w:pPr>
        <w:ind w:left="1040" w:hanging="413"/>
        <w:spacing w:after="0"/>
        <w:tabs>
          <w:tab w:leader="none" w:pos="104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voluntarily participating in the Plan.</w:t>
      </w:r>
    </w:p>
    <w:p>
      <w:pPr>
        <w:spacing w:after="0" w:line="209" w:lineRule="exact"/>
        <w:rPr>
          <w:rFonts w:ascii="Times New Roman" w:cs="Times New Roman" w:eastAsia="Times New Roman" w:hAnsi="Times New Roman"/>
          <w:sz w:val="19"/>
          <w:szCs w:val="19"/>
          <w:color w:val="auto"/>
        </w:rPr>
      </w:pPr>
    </w:p>
    <w:p>
      <w:pPr>
        <w:ind w:right="260" w:firstLine="627"/>
        <w:spacing w:after="0" w:line="229" w:lineRule="auto"/>
        <w:tabs>
          <w:tab w:leader="none" w:pos="1024"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ceases to be an Eligible Participant for any reason whatsoever (including without limitation unfair or objective dismissal, permanent disability, resignation or desistance) and whether or not in breach of applicable labor laws or the Participant’s employment agreement, if any, the Participant’s right to vesting or exercise of this option under this Agreement 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103" w:right="339" w:bottom="1440" w:gutter="0" w:footer="0" w:header="0"/>
        </w:sectPr>
      </w:pPr>
    </w:p>
    <w:bookmarkStart w:id="45" w:name="page46"/>
    <w:bookmarkEnd w:id="45"/>
    <w:p>
      <w:pPr>
        <w:ind w:right="580"/>
        <w:spacing w:after="0" w:line="236" w:lineRule="auto"/>
        <w:rPr>
          <w:sz w:val="20"/>
          <w:szCs w:val="20"/>
          <w:color w:val="auto"/>
        </w:rPr>
      </w:pPr>
      <w:r>
        <w:rPr>
          <w:rFonts w:ascii="Times New Roman" w:cs="Times New Roman" w:eastAsia="Times New Roman" w:hAnsi="Times New Roman"/>
          <w:sz w:val="19"/>
          <w:szCs w:val="19"/>
          <w:color w:val="auto"/>
        </w:rPr>
        <w:t>the Plan, if any, terminates as set forth in this Agreement and will not be extended by any notice period mandated under applicable law. The Participant acknowledges and accepts that this is an essential condition of this Agreement and expressly agrees to this condition.</w:t>
      </w:r>
    </w:p>
    <w:p>
      <w:pPr>
        <w:spacing w:after="0" w:line="180" w:lineRule="exact"/>
        <w:rPr>
          <w:sz w:val="20"/>
          <w:szCs w:val="20"/>
          <w:color w:val="auto"/>
        </w:rPr>
      </w:pPr>
    </w:p>
    <w:p>
      <w:pPr>
        <w:ind w:firstLine="627"/>
        <w:spacing w:after="0" w:line="219" w:lineRule="auto"/>
        <w:tabs>
          <w:tab w:leader="none" w:pos="1035"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the grant of this option, no claim or entitlement to compensation or damages arises from termination of the option,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their entitlement to pursue such claim.</w:t>
      </w:r>
    </w:p>
    <w:p>
      <w:pPr>
        <w:spacing w:after="0" w:line="179" w:lineRule="exact"/>
        <w:rPr>
          <w:rFonts w:ascii="Times New Roman" w:cs="Times New Roman" w:eastAsia="Times New Roman" w:hAnsi="Times New Roman"/>
          <w:sz w:val="19"/>
          <w:szCs w:val="19"/>
          <w:color w:val="auto"/>
        </w:rPr>
      </w:pPr>
    </w:p>
    <w:p>
      <w:pPr>
        <w:ind w:right="40" w:firstLine="627"/>
        <w:spacing w:after="0" w:line="229" w:lineRule="auto"/>
        <w:tabs>
          <w:tab w:leader="none" w:pos="1021"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this option is exceptional, voluntary and occasional and does not create any contractual or other right to receive future awards of options or benefits in lieu of options even if options have been awarded repeatedly in the past. All decisions with respect to future grants of options, if any, are at the Company’s sole discretion.</w:t>
      </w:r>
    </w:p>
    <w:p>
      <w:pPr>
        <w:spacing w:after="0" w:line="179" w:lineRule="exact"/>
        <w:rPr>
          <w:rFonts w:ascii="Times New Roman" w:cs="Times New Roman" w:eastAsia="Times New Roman" w:hAnsi="Times New Roman"/>
          <w:sz w:val="19"/>
          <w:szCs w:val="19"/>
          <w:color w:val="auto"/>
        </w:rPr>
      </w:pPr>
    </w:p>
    <w:p>
      <w:pPr>
        <w:ind w:firstLine="627"/>
        <w:spacing w:after="0" w:line="219" w:lineRule="auto"/>
        <w:tabs>
          <w:tab w:leader="none" w:pos="1000"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option and the underlying Shares are extraordinary items that do not constitute compensation of any kind for services of any kind rendered to the Company, and the option is outside the scope of the Participant’s employment or services contract, if any. The option, the Shares, and the income and value of the option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 payments) and in no event should be considered as compensation for, or relating in any way to, past services for the Company.</w:t>
      </w:r>
    </w:p>
    <w:p>
      <w:pPr>
        <w:spacing w:after="0" w:line="179" w:lineRule="exact"/>
        <w:rPr>
          <w:rFonts w:ascii="Times New Roman" w:cs="Times New Roman" w:eastAsia="Times New Roman" w:hAnsi="Times New Roman"/>
          <w:sz w:val="19"/>
          <w:szCs w:val="19"/>
          <w:color w:val="auto"/>
        </w:rPr>
      </w:pPr>
    </w:p>
    <w:p>
      <w:pPr>
        <w:ind w:right="820" w:firstLine="627"/>
        <w:spacing w:after="0" w:line="248" w:lineRule="auto"/>
        <w:tabs>
          <w:tab w:leader="none" w:pos="1032"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the Shares, and the income and value of the option and Shares are not intended to replace any pension rights or compensation.</w:t>
      </w:r>
    </w:p>
    <w:p>
      <w:pPr>
        <w:spacing w:after="0" w:line="158" w:lineRule="exact"/>
        <w:rPr>
          <w:rFonts w:ascii="Times New Roman" w:cs="Times New Roman" w:eastAsia="Times New Roman" w:hAnsi="Times New Roman"/>
          <w:sz w:val="19"/>
          <w:szCs w:val="19"/>
          <w:color w:val="auto"/>
        </w:rPr>
      </w:pPr>
    </w:p>
    <w:p>
      <w:pPr>
        <w:ind w:right="100" w:firstLine="627"/>
        <w:spacing w:after="0" w:line="248" w:lineRule="auto"/>
        <w:tabs>
          <w:tab w:leader="none" w:pos="1035"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parties otherwise agree, the option, the Shares, and the income and value of the same are not consideration for, or granted in connection with, any service the Participant may provide as a director of a subsidiary of the Company.</w:t>
      </w:r>
    </w:p>
    <w:p>
      <w:pPr>
        <w:spacing w:after="0" w:line="171" w:lineRule="exact"/>
        <w:rPr>
          <w:rFonts w:ascii="Times New Roman" w:cs="Times New Roman" w:eastAsia="Times New Roman" w:hAnsi="Times New Roman"/>
          <w:sz w:val="19"/>
          <w:szCs w:val="19"/>
          <w:color w:val="auto"/>
        </w:rPr>
      </w:pPr>
    </w:p>
    <w:p>
      <w:pPr>
        <w:ind w:firstLine="627"/>
        <w:spacing w:after="0" w:line="229" w:lineRule="auto"/>
        <w:tabs>
          <w:tab w:leader="none" w:pos="989"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future value of the Shares underlying this option is unknown and cannot be predicted with certainty. If the Participant exercises the option and receives Shares, the value of such Shares may increase or decrease in value, including below the exercise price. If the Shares subject to this option do not increase in value after the date on which this option was granted, this option will have no value.</w:t>
      </w:r>
    </w:p>
    <w:p>
      <w:pPr>
        <w:spacing w:after="0" w:line="179" w:lineRule="exact"/>
        <w:rPr>
          <w:rFonts w:ascii="Times New Roman" w:cs="Times New Roman" w:eastAsia="Times New Roman" w:hAnsi="Times New Roman"/>
          <w:sz w:val="19"/>
          <w:szCs w:val="19"/>
          <w:color w:val="auto"/>
        </w:rPr>
      </w:pPr>
    </w:p>
    <w:p>
      <w:pPr>
        <w:ind w:right="100" w:firstLine="194"/>
        <w:spacing w:after="0" w:line="229" w:lineRule="auto"/>
        <w:tabs>
          <w:tab w:leader="none" w:pos="55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acknowledges and agrees that neither the Company nor any of its affiliates or agents is liable for any foreign exchange rate fluctuation between the Participant’s local currency and the United States Dollar that may affect the value of the option or Shares or of any amounts due to the Participant pursuant to the exercise of the option or the subsequent sale of any Shares acquired upon vesting.</w:t>
      </w:r>
    </w:p>
    <w:p>
      <w:pPr>
        <w:spacing w:after="0" w:line="179" w:lineRule="exact"/>
        <w:rPr>
          <w:rFonts w:ascii="Times New Roman" w:cs="Times New Roman" w:eastAsia="Times New Roman" w:hAnsi="Times New Roman"/>
          <w:sz w:val="19"/>
          <w:szCs w:val="19"/>
          <w:color w:val="auto"/>
        </w:rPr>
      </w:pPr>
    </w:p>
    <w:p>
      <w:pPr>
        <w:ind w:right="140" w:firstLine="4"/>
        <w:spacing w:after="0" w:line="220" w:lineRule="auto"/>
        <w:tabs>
          <w:tab w:leader="none" w:pos="42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 Participant’s participation in the Plan, on this option and on any Shares acquired under the Plan to the extent the Company determines it is necessary or advisable for legal or administrative reasons, except that with respect to awards that are subject to Section 409A of the Code, to the extent so permitted under Section 409A. Furthermore, the parties hereto agree to execute such further instruments and to take such further action as may reasonably be necessary to carry out the intent of this Agreement and the Plan.</w:t>
      </w:r>
    </w:p>
    <w:p>
      <w:pPr>
        <w:spacing w:after="0" w:line="153" w:lineRule="exact"/>
        <w:rPr>
          <w:rFonts w:ascii="Times New Roman" w:cs="Times New Roman" w:eastAsia="Times New Roman" w:hAnsi="Times New Roman"/>
          <w:sz w:val="19"/>
          <w:szCs w:val="19"/>
          <w:color w:val="auto"/>
        </w:rPr>
      </w:pPr>
    </w:p>
    <w:p>
      <w:pPr>
        <w:ind w:left="420" w:hanging="416"/>
        <w:spacing w:after="0"/>
        <w:tabs>
          <w:tab w:leader="none" w:pos="4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right="60" w:firstLine="627"/>
        <w:spacing w:after="0" w:line="223" w:lineRule="auto"/>
        <w:tabs>
          <w:tab w:leader="none" w:pos="1021" w:val="left"/>
        </w:tabs>
        <w:numPr>
          <w:ilvl w:val="2"/>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that Cimpress plc will collect from the Participant through their employer (if not employed by Cimpress plc) certain personal information about the Participant, including the Participant’s personal data, such as their name, home address and telephone number, email address, date of birth, social security/insurance number, passport or other identification number, salary, nationality, job title, any ordinary shares or directorships held in the Company, details of all options or any other entitlement to ordinary shares awarded, canceled, exercised, vested, unvested or outstanding in the Participant’s favor (“Data”).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20"/>
          </w:cols>
          <w:pgMar w:left="320" w:top="1103" w:right="359" w:bottom="1440" w:gutter="0" w:footer="0" w:header="0"/>
        </w:sectPr>
      </w:pPr>
    </w:p>
    <w:bookmarkStart w:id="46" w:name="page47"/>
    <w:bookmarkEnd w:id="46"/>
    <w:p>
      <w:pPr>
        <w:ind w:right="20" w:firstLine="627"/>
        <w:spacing w:after="0" w:line="219" w:lineRule="auto"/>
        <w:tabs>
          <w:tab w:leader="none" w:pos="103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11 for the term of this Agreement and after its termination for a period as required by the Plan, by law or as necessary for the protection of the Company’s legitimate interests.</w:t>
      </w:r>
    </w:p>
    <w:p>
      <w:pPr>
        <w:spacing w:after="0" w:line="179" w:lineRule="exact"/>
        <w:rPr>
          <w:rFonts w:ascii="Times New Roman" w:cs="Times New Roman" w:eastAsia="Times New Roman" w:hAnsi="Times New Roman"/>
          <w:sz w:val="19"/>
          <w:szCs w:val="19"/>
          <w:color w:val="auto"/>
        </w:rPr>
      </w:pPr>
    </w:p>
    <w:p>
      <w:pPr>
        <w:ind w:right="80" w:firstLine="627"/>
        <w:spacing w:after="0" w:line="213" w:lineRule="auto"/>
        <w:tabs>
          <w:tab w:leader="none" w:pos="102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will, in connection with the option and the acquisition, holding and/or transfer of ordinary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or such other stock plan service provider as the Company may select in the future (the “Service Provider”). As such, the Participant is hereby informed and aware that Cimpress plc will use and transfer (with assistance of its subsidiary Cimpress USA Incorporated as described below under</w:t>
      </w:r>
    </w:p>
    <w:p>
      <w:pPr>
        <w:jc w:val="both"/>
        <w:spacing w:after="0" w:line="2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11(e)), in electronic or other form, the Participant’s Data to the Service Provider insofar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spacing w:after="0" w:line="179" w:lineRule="exact"/>
        <w:rPr>
          <w:rFonts w:ascii="Times New Roman" w:cs="Times New Roman" w:eastAsia="Times New Roman" w:hAnsi="Times New Roman"/>
          <w:sz w:val="19"/>
          <w:szCs w:val="19"/>
          <w:color w:val="auto"/>
        </w:rPr>
      </w:pPr>
    </w:p>
    <w:p>
      <w:pPr>
        <w:ind w:right="80" w:firstLine="627"/>
        <w:spacing w:after="0" w:line="215" w:lineRule="auto"/>
        <w:tabs>
          <w:tab w:leader="none" w:pos="103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is, with regard to the implementation, administration and management of the Plan, assisted within the Cimpress group of companies by its subsidiary Cimpress USA Incorporated. The Participant is hereby informed and aware that their Data, including their personal data, can therefore be transferred by Cimpress plc/Company to Cimpress USA Incorporated (or any other affiliated company in the Cimpress-group providing global-equity related services to Cimpress plc/Company) if the transfer of the Participant’s Data is necessary because the legitimate interests of Cimpress plc/Company require that the Data be handled by a US-entity for purposes including but not limited to the global administration and management of the Plan and related Cimpress equity strategy, as well as for global human resources, finance and/or reporting purposes. Besides the foregoing processing purposes of its legitimate interests, any transfer by Cimpress plc/Company to Cimpress USA Incorporated (and/or any other involved affiliated company in the Cimpress-group) or any employee with responsibilities relating to securities, compliance or legal may also be necessary in order to ensure Cimpress plc’s compliance with applicable legal obligations (including, without limitation, disclosures required to be made to courts or governmental authorities and agencies, with respect to tax requirements and in response to subpoenas and other legal process or orders).</w:t>
      </w:r>
    </w:p>
    <w:p>
      <w:pPr>
        <w:spacing w:after="0" w:line="170" w:lineRule="exact"/>
        <w:rPr>
          <w:rFonts w:ascii="Times New Roman" w:cs="Times New Roman" w:eastAsia="Times New Roman" w:hAnsi="Times New Roman"/>
          <w:sz w:val="19"/>
          <w:szCs w:val="19"/>
          <w:color w:val="auto"/>
        </w:rPr>
      </w:pPr>
    </w:p>
    <w:p>
      <w:pPr>
        <w:ind w:right="20" w:firstLine="627"/>
        <w:spacing w:after="0" w:line="217" w:lineRule="auto"/>
        <w:tabs>
          <w:tab w:leader="none" w:pos="107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in accordance with Article 46 of the Regulation 2016/679 of the European Parliament and of the Council on the protection of natural persons with regard to the processing of personal data and on the free movement of such data, and repealing Directive 95/46/EC (“GDPR”), that any transfer of personal data from Participants employed by an employer with a corporate seat in the European Economic Area (“EEA”) or United Kingdom or Switzerland to data controllers or data processors – such as the Service Provider or Cimpress USA Incorporated – located outside the borders of the EEA, United Kingdom or Switzerland in a country that is viewed as not having an adequate level of protection (e.g., the United States) is subject to a prior agreement of those recipients with the EU standard contractual clauses for the transfer of personal data as included in the Commission Decisions of 27 December 2004 (2004/915/EC),5 February 2010 (2010/87/EC) or 4 June 2021 (2016/679/EC), in each case as updated, amended, replaced or superseded from time to time by the European Commission.</w:t>
      </w:r>
    </w:p>
    <w:p>
      <w:pPr>
        <w:spacing w:after="0" w:line="171" w:lineRule="exact"/>
        <w:rPr>
          <w:rFonts w:ascii="Times New Roman" w:cs="Times New Roman" w:eastAsia="Times New Roman" w:hAnsi="Times New Roman"/>
          <w:sz w:val="19"/>
          <w:szCs w:val="19"/>
          <w:color w:val="auto"/>
        </w:rPr>
      </w:pPr>
    </w:p>
    <w:p>
      <w:pPr>
        <w:ind w:right="40" w:firstLine="627"/>
        <w:spacing w:after="0" w:line="233" w:lineRule="auto"/>
        <w:tabs>
          <w:tab w:leader="none" w:pos="100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in accordance with Article 9 of the GDPR that any sensitive data of the Participant (e.g., a passport or social security number) employed by an employer with a corporate seat in the EEA, United Kingdom or Switzerland will only be collected and further processed in accordance with the purposes as set out in this Agreement and the Plan, after obtaining the Participant’s prior explicit consent.</w:t>
      </w:r>
    </w:p>
    <w:p>
      <w:pPr>
        <w:spacing w:after="0" w:line="168" w:lineRule="exact"/>
        <w:rPr>
          <w:rFonts w:ascii="Times New Roman" w:cs="Times New Roman" w:eastAsia="Times New Roman" w:hAnsi="Times New Roman"/>
          <w:sz w:val="19"/>
          <w:szCs w:val="19"/>
          <w:color w:val="auto"/>
        </w:rPr>
      </w:pPr>
    </w:p>
    <w:p>
      <w:pPr>
        <w:ind w:right="140" w:firstLine="627"/>
        <w:spacing w:after="0" w:line="233" w:lineRule="auto"/>
        <w:tabs>
          <w:tab w:leader="none" w:pos="103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may, when entitled thereto under the GDPR, exercise their data subject rights by requesting the Company for access to their personal data (including a copy of the personal data that the Company holds about the Participant) or exercise their right to rectification, erasure, restriction, data portability and objection. The Participant can exercise most of the foregoing data subject rights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20"/>
          </w:cols>
          <w:pgMar w:left="320" w:top="1337" w:right="359" w:bottom="1440" w:gutter="0" w:footer="0" w:header="0"/>
        </w:sectPr>
      </w:pPr>
    </w:p>
    <w:bookmarkStart w:id="47" w:name="page48"/>
    <w:bookmarkEnd w:id="47"/>
    <w:p>
      <w:pPr>
        <w:ind w:right="20"/>
        <w:spacing w:after="0" w:line="230" w:lineRule="auto"/>
        <w:rPr>
          <w:sz w:val="20"/>
          <w:szCs w:val="20"/>
          <w:color w:val="auto"/>
        </w:rPr>
      </w:pPr>
      <w:r>
        <w:rPr>
          <w:rFonts w:ascii="Times New Roman" w:cs="Times New Roman" w:eastAsia="Times New Roman" w:hAnsi="Times New Roman"/>
          <w:sz w:val="18"/>
          <w:szCs w:val="18"/>
          <w:color w:val="auto"/>
        </w:rPr>
        <w:t>himself or herself by using the related functionalities in their local human resources system or by accessing their brokerage account with the Service Provider. Alternatively, the Participant can submit such a ‘data subject right’ request to their local HR representative or Cimpress’ LTI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w:t>
      </w:r>
    </w:p>
    <w:p>
      <w:pPr>
        <w:spacing w:after="0" w:line="188" w:lineRule="exact"/>
        <w:rPr>
          <w:sz w:val="20"/>
          <w:szCs w:val="20"/>
          <w:color w:val="auto"/>
        </w:rPr>
      </w:pPr>
    </w:p>
    <w:p>
      <w:pPr>
        <w:ind w:left="440" w:hanging="436"/>
        <w:spacing w:after="0"/>
        <w:tabs>
          <w:tab w:leader="none" w:pos="44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Events</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ind w:right="20" w:firstLine="627"/>
        <w:spacing w:after="0" w:line="221" w:lineRule="auto"/>
        <w:tabs>
          <w:tab w:leader="none" w:pos="1024"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 Change in Control Event (as defined below), regardless of whether such event also constitutes a Reorganization Event (as defined in the Plan), except to the extent specifically otherwise provided in another agreement between the Company and the Participant, this option becomes vested and exercisable with respect to one-half of the number of Shares subject to the then unvested portion of this option if, on or before the first anniversary of the date of the consummation of the Change in Control Event, the Participant’s employment with the Company or the acquiring or succeeding entity is terminated for Good Reason (as defined below) by the Participant or is terminated without Cause (as defined below) by the Company or the acquiring or succeeding entity.</w:t>
      </w:r>
    </w:p>
    <w:p>
      <w:pPr>
        <w:spacing w:after="0" w:line="142" w:lineRule="exact"/>
        <w:rPr>
          <w:rFonts w:ascii="Times New Roman" w:cs="Times New Roman" w:eastAsia="Times New Roman" w:hAnsi="Times New Roman"/>
          <w:sz w:val="19"/>
          <w:szCs w:val="19"/>
          <w:color w:val="auto"/>
        </w:rPr>
      </w:pPr>
    </w:p>
    <w:p>
      <w:pPr>
        <w:ind w:left="1040" w:hanging="413"/>
        <w:spacing w:after="0"/>
        <w:tabs>
          <w:tab w:leader="none" w:pos="104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“Change in Control Event” means:</w:t>
      </w:r>
    </w:p>
    <w:p>
      <w:pPr>
        <w:spacing w:after="0" w:line="183" w:lineRule="exact"/>
        <w:rPr>
          <w:rFonts w:ascii="Times New Roman" w:cs="Times New Roman" w:eastAsia="Times New Roman" w:hAnsi="Times New Roman"/>
          <w:sz w:val="19"/>
          <w:szCs w:val="19"/>
          <w:color w:val="auto"/>
        </w:rPr>
      </w:pPr>
    </w:p>
    <w:p>
      <w:pPr>
        <w:ind w:left="1240" w:firstLine="10"/>
        <w:spacing w:after="0" w:line="211" w:lineRule="auto"/>
        <w:tabs>
          <w:tab w:leader="none" w:pos="1593"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(1) the then-outstanding ordinary shares of the Company (the “Outstanding Company Ordinary Shares”) or (2) the combined voting power of the then-outstanding securities of the Company entitled to vote generally in the election of the members of the Board of Directors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entity controlled by the Company, or (C) any acquisition by any entity pursuant to a Business Combination (as defined below) that complies with clauses</w:t>
      </w:r>
    </w:p>
    <w:p>
      <w:pPr>
        <w:spacing w:after="0" w:line="1" w:lineRule="exact"/>
        <w:rPr>
          <w:rFonts w:ascii="Times New Roman" w:cs="Times New Roman" w:eastAsia="Times New Roman" w:hAnsi="Times New Roman"/>
          <w:sz w:val="19"/>
          <w:szCs w:val="19"/>
          <w:color w:val="auto"/>
        </w:rPr>
      </w:pPr>
    </w:p>
    <w:p>
      <w:pPr>
        <w:ind w:left="1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and (B) of subsection (ii) of this definition; or</w:t>
      </w:r>
    </w:p>
    <w:p>
      <w:pPr>
        <w:spacing w:after="0" w:line="161" w:lineRule="exact"/>
        <w:rPr>
          <w:rFonts w:ascii="Times New Roman" w:cs="Times New Roman" w:eastAsia="Times New Roman" w:hAnsi="Times New Roman"/>
          <w:sz w:val="19"/>
          <w:szCs w:val="19"/>
          <w:color w:val="auto"/>
        </w:rPr>
      </w:pPr>
    </w:p>
    <w:p>
      <w:pPr>
        <w:ind w:left="1240" w:firstLine="10"/>
        <w:spacing w:after="0" w:line="212" w:lineRule="auto"/>
        <w:tabs>
          <w:tab w:leader="none" w:pos="1693"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(A)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common equity interests and the combined voting power of the then-outstanding securities entitled to vote generally in the election of the members of the Board of Directors (or equivalent) of the resulting or acquiring entity in such Business Combination (which includes, without limitation, an entity that as a result of such transaction owns the Company or substantially all of the Company’s assets either directly or through one or more subsidiaries) (such resulting or acquiring entity is referred to as the “Acquiring Entity”) in substantially the same proportions as their ownership of the Outstanding Company Ordinary Shares and Outstanding Company Voting Securities immediately before such Business Combination and (B) no Person (excluding the Acquiring Entity or any employee benefit plan or related trust maintained or sponsored by the Company or by the Acquiring Entity) beneficially owns, directly or indirectly, 30% or more of the then-outstanding common equity interests of the Acquiring Entity, or of the combined voting power of the then-outstanding securities of such entity entitled to vote generally in the election of the members of the Board of Directors (or equivalent) (except to the extent that such ownership existed before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103" w:right="339" w:bottom="1440" w:gutter="0" w:footer="0" w:header="0"/>
        </w:sectPr>
      </w:pPr>
    </w:p>
    <w:bookmarkStart w:id="48" w:name="page49"/>
    <w:bookmarkEnd w:id="48"/>
    <w:p>
      <w:pPr>
        <w:ind w:right="180" w:firstLine="627"/>
        <w:spacing w:after="0" w:line="225" w:lineRule="auto"/>
        <w:tabs>
          <w:tab w:leader="none" w:pos="1024"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“Cause” means any (i) willful failure by the Participant to perform their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spacing w:after="0" w:line="141" w:lineRule="exact"/>
        <w:rPr>
          <w:rFonts w:ascii="Times New Roman" w:cs="Times New Roman" w:eastAsia="Times New Roman" w:hAnsi="Times New Roman"/>
          <w:sz w:val="19"/>
          <w:szCs w:val="19"/>
          <w:color w:val="auto"/>
        </w:rPr>
      </w:pPr>
    </w:p>
    <w:p>
      <w:pPr>
        <w:ind w:right="140" w:firstLine="627"/>
        <w:spacing w:after="0" w:line="216" w:lineRule="auto"/>
        <w:tabs>
          <w:tab w:leader="none" w:pos="103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“Good Reason” means (i) any significant diminution in the Participant’s duties, authority or responsibilities from and after the Change in Control Event, (ii) any material reduction in base compensation payable to the Participant from and after the Change in Control Event, or (iii) the relocation of the place of business at which the Participant is principally located to a location that is greater than 50 miles from the current site without the Participant’s consent. However, no such event or condition constitutes Good Reason unless</w:t>
      </w:r>
    </w:p>
    <w:p>
      <w:pPr>
        <w:spacing w:after="0" w:line="1" w:lineRule="exact"/>
        <w:rPr>
          <w:rFonts w:ascii="Times New Roman" w:cs="Times New Roman" w:eastAsia="Times New Roman" w:hAnsi="Times New Roman"/>
          <w:sz w:val="19"/>
          <w:szCs w:val="19"/>
          <w:color w:val="auto"/>
        </w:rPr>
      </w:pPr>
    </w:p>
    <w:p>
      <w:pPr>
        <w:jc w:val="both"/>
        <w:ind w:right="440" w:firstLine="4"/>
        <w:spacing w:after="0" w:line="221" w:lineRule="auto"/>
        <w:tabs>
          <w:tab w:leader="none" w:pos="31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gives the Company a written notice of termination for Good Reason not more than 90 days after the initial existence of the condition, (B) the grounds for termination (if susceptible to correction) are not corrected by the Company within 30 days of its receipt of such notice, and (C) the Participant’s termination of employment occurs within six months after the Company’s receipt of such notice.</w:t>
      </w:r>
    </w:p>
    <w:p>
      <w:pPr>
        <w:spacing w:after="0" w:line="166" w:lineRule="exact"/>
        <w:rPr>
          <w:sz w:val="20"/>
          <w:szCs w:val="20"/>
          <w:color w:val="auto"/>
        </w:rPr>
      </w:pPr>
    </w:p>
    <w:p>
      <w:pPr>
        <w:ind w:right="120" w:firstLine="4"/>
        <w:spacing w:after="0" w:line="262" w:lineRule="auto"/>
        <w:tabs>
          <w:tab w:leader="none" w:pos="42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Language</w:t>
      </w:r>
      <w:r>
        <w:rPr>
          <w:rFonts w:ascii="Times New Roman" w:cs="Times New Roman" w:eastAsia="Times New Roman" w:hAnsi="Times New Roman"/>
          <w:sz w:val="19"/>
          <w:szCs w:val="19"/>
          <w:color w:val="auto"/>
        </w:rPr>
        <w:t>. If the Participant receives this Agreement or any other document related to the Plan translated into a language other than English, the English version controls.</w:t>
      </w:r>
    </w:p>
    <w:p>
      <w:pPr>
        <w:spacing w:after="0" w:line="146" w:lineRule="exact"/>
        <w:rPr>
          <w:rFonts w:ascii="Times New Roman" w:cs="Times New Roman" w:eastAsia="Times New Roman" w:hAnsi="Times New Roman"/>
          <w:sz w:val="19"/>
          <w:szCs w:val="19"/>
          <w:color w:val="auto"/>
        </w:rPr>
      </w:pPr>
    </w:p>
    <w:p>
      <w:pPr>
        <w:ind w:firstLine="4"/>
        <w:spacing w:after="0" w:line="245" w:lineRule="auto"/>
        <w:tabs>
          <w:tab w:leader="none" w:pos="42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w:t>
      </w:r>
      <w:r>
        <w:rPr>
          <w:rFonts w:ascii="Times New Roman" w:cs="Times New Roman" w:eastAsia="Times New Roman" w:hAnsi="Times New Roman"/>
          <w:sz w:val="19"/>
          <w:szCs w:val="19"/>
          <w:color w:val="auto"/>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spacing w:after="0" w:line="161" w:lineRule="exact"/>
        <w:rPr>
          <w:rFonts w:ascii="Times New Roman" w:cs="Times New Roman" w:eastAsia="Times New Roman" w:hAnsi="Times New Roman"/>
          <w:sz w:val="19"/>
          <w:szCs w:val="19"/>
          <w:color w:val="auto"/>
        </w:rPr>
      </w:pPr>
    </w:p>
    <w:p>
      <w:pPr>
        <w:ind w:left="440" w:hanging="436"/>
        <w:spacing w:after="0"/>
        <w:tabs>
          <w:tab w:leader="none" w:pos="4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Addendum</w:t>
      </w:r>
      <w:r>
        <w:rPr>
          <w:rFonts w:ascii="Times New Roman" w:cs="Times New Roman" w:eastAsia="Times New Roman" w:hAnsi="Times New Roman"/>
          <w:sz w:val="19"/>
          <w:szCs w:val="19"/>
          <w:color w:val="auto"/>
        </w:rPr>
        <w:t>. This option and the Shares acquired under the Plan are subject to any country-specific terms and conditions set forth in any</w:t>
      </w:r>
    </w:p>
    <w:p>
      <w:pPr>
        <w:spacing w:after="0" w:line="11" w:lineRule="exact"/>
        <w:rPr>
          <w:rFonts w:ascii="Times New Roman" w:cs="Times New Roman" w:eastAsia="Times New Roman" w:hAnsi="Times New Roman"/>
          <w:sz w:val="19"/>
          <w:szCs w:val="19"/>
          <w:color w:val="auto"/>
        </w:rPr>
      </w:pPr>
    </w:p>
    <w:p>
      <w:pPr>
        <w:ind w:right="20"/>
        <w:spacing w:after="0" w:line="23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addendum to this Agreement or the Plan, and in the event of a conflict between this Agreement and any such addendum, the addendum governs. If the Participant relocates their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spacing w:after="0" w:line="167" w:lineRule="exact"/>
        <w:rPr>
          <w:rFonts w:ascii="Times New Roman" w:cs="Times New Roman" w:eastAsia="Times New Roman" w:hAnsi="Times New Roman"/>
          <w:sz w:val="19"/>
          <w:szCs w:val="19"/>
          <w:color w:val="auto"/>
        </w:rPr>
      </w:pPr>
    </w:p>
    <w:p>
      <w:pPr>
        <w:ind w:right="20" w:firstLine="4"/>
        <w:spacing w:after="0" w:line="235" w:lineRule="auto"/>
        <w:tabs>
          <w:tab w:leader="none" w:pos="42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and Waiver</w:t>
      </w:r>
      <w:r>
        <w:rPr>
          <w:rFonts w:ascii="Times New Roman" w:cs="Times New Roman" w:eastAsia="Times New Roman" w:hAnsi="Times New Roman"/>
          <w:sz w:val="19"/>
          <w:szCs w:val="19"/>
          <w:color w:val="auto"/>
        </w:rPr>
        <w:t>.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Without limiting the foregoing, the terms of any executive retention agreement or employment agreement do not apply to this option. 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PARTICIPANT’S ACCEPTANCE</w:t>
      </w:r>
    </w:p>
    <w:p>
      <w:pPr>
        <w:spacing w:after="0" w:line="171" w:lineRule="exact"/>
        <w:rPr>
          <w:sz w:val="20"/>
          <w:szCs w:val="20"/>
          <w:color w:val="auto"/>
        </w:rPr>
      </w:pPr>
    </w:p>
    <w:p>
      <w:pPr>
        <w:ind w:right="300" w:firstLine="623"/>
        <w:spacing w:after="0" w:line="247" w:lineRule="auto"/>
        <w:rPr>
          <w:sz w:val="20"/>
          <w:szCs w:val="20"/>
          <w:color w:val="auto"/>
        </w:rPr>
      </w:pPr>
      <w:r>
        <w:rPr>
          <w:rFonts w:ascii="Times New Roman" w:cs="Times New Roman" w:eastAsia="Times New Roman" w:hAnsi="Times New Roman"/>
          <w:sz w:val="19"/>
          <w:szCs w:val="19"/>
          <w:color w:val="auto"/>
        </w:rPr>
        <w:t>By signing or electronically accepting this Agreement, the Participant agrees to the terms and conditions hereof. The Participant hereby acknowledges receipt of a copy of the Cimpress plc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10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October 27, 2022</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October 27, 2022</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18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September 30, 2022 as filed with the Securities and Exchange Commission on the date hereof (the “Report”), the undersigned, Robert S. Keane, Chief Executive Officer,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and 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October 27, 2022</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October 27, 2022</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lvl w:ilvl="1">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lvl w:ilvl="1">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2"/>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2"/>
    </w:lvl>
    <w:lvl w:ilvl="1">
      <w:lvlJc w:val="left"/>
      <w:lvlText w:val="•"/>
      <w:numFmt w:val="bullet"/>
      <w:start w:val="1"/>
    </w:lvl>
  </w:abstractNum>
  <w:abstractNum w:abstractNumId="25">
    <w:nsid w:val="614FD4A1"/>
    <w:multiLevelType w:val="hybridMultilevel"/>
    <w:lvl w:ilvl="0">
      <w:lvlJc w:val="left"/>
      <w:lvlText w:val="(%1)"/>
      <w:numFmt w:val="lowerLetter"/>
      <w:start w:val="1"/>
    </w:lvl>
    <w:lvl w:ilvl="1">
      <w:lvlJc w:val="left"/>
      <w:lvlText w:val="(%2)"/>
      <w:numFmt w:val="lowerRoman"/>
      <w:start w:val="1"/>
    </w:lvl>
  </w:abstractNum>
  <w:abstractNum w:abstractNumId="26">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27">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28">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9">
    <w:nsid w:val="507236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
    <w:nsid w:val="380482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2">
    <w:nsid w:val="7724C67E"/>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33">
    <w:nsid w:val="5C482A9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6">
    <w:nsid w:val="51EAD36B"/>
    <w:multiLevelType w:val="hybridMultilevel"/>
    <w:lvl w:ilvl="0">
      <w:lvlJc w:val="left"/>
      <w:lvlText w:val="%1"/>
      <w:numFmt w:val="upperLetter"/>
      <w:start w:val="1"/>
    </w:lvl>
    <w:lvl w:ilvl="1">
      <w:lvlJc w:val="left"/>
      <w:lvlText w:val="(%2)"/>
      <w:numFmt w:val="lowerLetter"/>
      <w:start w:val="3"/>
    </w:lvl>
  </w:abstractNum>
  <w:abstractNum w:abstractNumId="37">
    <w:nsid w:val="2D517796"/>
    <w:multiLevelType w:val="hybridMultilevel"/>
    <w:lvl w:ilvl="0">
      <w:lvlJc w:val="left"/>
      <w:lvlText w:val="(%1)"/>
      <w:numFmt w:val="upperLetter"/>
      <w:start w:val="1"/>
    </w:lvl>
    <w:lvl w:ilvl="1">
      <w:lvlJc w:val="left"/>
      <w:lvlText w:val="%2"/>
      <w:numFmt w:val="lowerLetter"/>
      <w:start w:val="1"/>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2022-10-27T16:38:12Z</dcterms:created>
  <dcterms:modified xsi:type="dcterms:W3CDTF">2022-10-27T16:38:12Z</dcterms:modified>
</cp:coreProperties>
</file>