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Cimpress plc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Ordinary Shares, nominal value of (euro)0.01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Attention: Keith Cozza</w:t>
              <w:br/>
              <w:t>Spruce House Investment Management LLC,, 435 Hudson Street, Suite 804</w:t>
              <w:br/>
              <w:t>New York, NY, 10014</w:t>
              <w:br/>
              <w:t>(646) 661-1774</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08/18/2026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68"/>
        <w:gridCol w:w="7937"/>
      </w:tblGrid>
      <w:tr>
        <w:trPr/>
        <w:tc>
          <w:tcPr>
            <w:tcW w:w="2268" w:type="dxa"/>
            <w:tcBorders/>
            <w:vAlign w:val="center"/>
          </w:tcPr>
          <w:p>
            <w:pPr>
              <w:pStyle w:val="TableContents"/>
              <w:bidi w:val="0"/>
              <w:spacing w:before="0" w:after="283"/>
              <w:jc w:val="left"/>
              <w:rPr/>
            </w:pPr>
            <w:r>
              <w:rPr/>
              <w:t>1</w:t>
            </w:r>
          </w:p>
        </w:tc>
        <w:tc>
          <w:tcPr>
            <w:tcW w:w="7937"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SPRUCE HOUSE INVESTMENT MANAGEMENT LLC</w:t>
            </w:r>
          </w:p>
        </w:tc>
      </w:tr>
      <w:tr>
        <w:trPr/>
        <w:tc>
          <w:tcPr>
            <w:tcW w:w="2268" w:type="dxa"/>
            <w:tcBorders/>
            <w:vAlign w:val="center"/>
          </w:tcPr>
          <w:p>
            <w:pPr>
              <w:pStyle w:val="TableContents"/>
              <w:bidi w:val="0"/>
              <w:spacing w:before="0" w:after="283"/>
              <w:jc w:val="left"/>
              <w:rPr/>
            </w:pPr>
            <w:r>
              <w:rPr/>
              <w:t>2</w:t>
            </w:r>
          </w:p>
        </w:tc>
        <w:tc>
          <w:tcPr>
            <w:tcW w:w="793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68" w:type="dxa"/>
            <w:tcBorders/>
            <w:vAlign w:val="center"/>
          </w:tcPr>
          <w:p>
            <w:pPr>
              <w:pStyle w:val="TableContents"/>
              <w:bidi w:val="0"/>
              <w:spacing w:before="0" w:after="283"/>
              <w:jc w:val="left"/>
              <w:rPr/>
            </w:pPr>
            <w:r>
              <w:rPr/>
              <w:t>3</w:t>
            </w:r>
          </w:p>
        </w:tc>
        <w:tc>
          <w:tcPr>
            <w:tcW w:w="7937" w:type="dxa"/>
            <w:tcBorders/>
            <w:vAlign w:val="center"/>
          </w:tcPr>
          <w:p>
            <w:pPr>
              <w:pStyle w:val="TableContents"/>
              <w:bidi w:val="0"/>
              <w:spacing w:before="0" w:after="283"/>
              <w:jc w:val="left"/>
              <w:rPr/>
            </w:pPr>
            <w:r>
              <w:rPr/>
              <w:t>SEC use only</w:t>
            </w:r>
          </w:p>
        </w:tc>
      </w:tr>
      <w:tr>
        <w:trPr/>
        <w:tc>
          <w:tcPr>
            <w:tcW w:w="2268" w:type="dxa"/>
            <w:tcBorders/>
            <w:vAlign w:val="center"/>
          </w:tcPr>
          <w:p>
            <w:pPr>
              <w:pStyle w:val="TableContents"/>
              <w:bidi w:val="0"/>
              <w:spacing w:before="0" w:after="283"/>
              <w:jc w:val="left"/>
              <w:rPr/>
            </w:pPr>
            <w:r>
              <w:rPr/>
              <w:t>4</w:t>
            </w:r>
          </w:p>
        </w:tc>
        <w:tc>
          <w:tcPr>
            <w:tcW w:w="7937"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68" w:type="dxa"/>
            <w:tcBorders/>
            <w:vAlign w:val="center"/>
          </w:tcPr>
          <w:p>
            <w:pPr>
              <w:pStyle w:val="TableContents"/>
              <w:bidi w:val="0"/>
              <w:spacing w:before="0" w:after="283"/>
              <w:jc w:val="left"/>
              <w:rPr/>
            </w:pPr>
            <w:r>
              <w:rPr/>
              <w:t>5</w:t>
            </w:r>
          </w:p>
        </w:tc>
        <w:tc>
          <w:tcPr>
            <w:tcW w:w="7937"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68" w:type="dxa"/>
            <w:tcBorders/>
            <w:vAlign w:val="center"/>
          </w:tcPr>
          <w:p>
            <w:pPr>
              <w:pStyle w:val="TableContents"/>
              <w:bidi w:val="0"/>
              <w:spacing w:before="0" w:after="283"/>
              <w:jc w:val="left"/>
              <w:rPr/>
            </w:pPr>
            <w:r>
              <w:rPr/>
              <w:t>6</w:t>
            </w:r>
          </w:p>
        </w:tc>
        <w:tc>
          <w:tcPr>
            <w:tcW w:w="793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68"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1,022,633.00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1,022,633.00</w:t>
                  </w:r>
                </w:p>
              </w:tc>
            </w:tr>
          </w:tbl>
          <w:p>
            <w:pPr>
              <w:pStyle w:val="TableContents"/>
              <w:bidi w:val="0"/>
              <w:spacing w:before="0" w:after="283"/>
              <w:jc w:val="left"/>
              <w:rPr/>
            </w:pPr>
            <w:r>
              <w:rPr/>
            </w:r>
          </w:p>
        </w:tc>
        <w:tc>
          <w:tcPr>
            <w:tcW w:w="7937" w:type="dxa"/>
            <w:tcBorders/>
            <w:vAlign w:val="center"/>
          </w:tcPr>
          <w:p>
            <w:pPr>
              <w:pStyle w:val="TableContents"/>
              <w:bidi w:val="0"/>
              <w:spacing w:before="0" w:after="283"/>
              <w:jc w:val="left"/>
              <w:rPr>
                <w:sz w:val="4"/>
                <w:szCs w:val="4"/>
              </w:rPr>
            </w:pPr>
            <w:r>
              <w:rPr>
                <w:sz w:val="4"/>
                <w:szCs w:val="4"/>
              </w:rPr>
            </w:r>
          </w:p>
        </w:tc>
      </w:tr>
      <w:tr>
        <w:trPr/>
        <w:tc>
          <w:tcPr>
            <w:tcW w:w="2268" w:type="dxa"/>
            <w:tcBorders/>
            <w:vAlign w:val="center"/>
          </w:tcPr>
          <w:p>
            <w:pPr>
              <w:pStyle w:val="TableContents"/>
              <w:bidi w:val="0"/>
              <w:spacing w:before="0" w:after="283"/>
              <w:jc w:val="left"/>
              <w:rPr/>
            </w:pPr>
            <w:r>
              <w:rPr/>
              <w:t>11</w:t>
            </w:r>
          </w:p>
        </w:tc>
        <w:tc>
          <w:tcPr>
            <w:tcW w:w="793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1,022,633.00</w:t>
            </w:r>
          </w:p>
        </w:tc>
      </w:tr>
      <w:tr>
        <w:trPr/>
        <w:tc>
          <w:tcPr>
            <w:tcW w:w="2268" w:type="dxa"/>
            <w:tcBorders/>
            <w:vAlign w:val="center"/>
          </w:tcPr>
          <w:p>
            <w:pPr>
              <w:pStyle w:val="TableContents"/>
              <w:bidi w:val="0"/>
              <w:spacing w:before="0" w:after="283"/>
              <w:jc w:val="left"/>
              <w:rPr/>
            </w:pPr>
            <w:r>
              <w:rPr/>
              <w:t>12</w:t>
            </w:r>
          </w:p>
        </w:tc>
        <w:tc>
          <w:tcPr>
            <w:tcW w:w="7937"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68" w:type="dxa"/>
            <w:tcBorders/>
            <w:vAlign w:val="center"/>
          </w:tcPr>
          <w:p>
            <w:pPr>
              <w:pStyle w:val="TableContents"/>
              <w:bidi w:val="0"/>
              <w:spacing w:before="0" w:after="283"/>
              <w:jc w:val="left"/>
              <w:rPr/>
            </w:pPr>
            <w:r>
              <w:rPr/>
              <w:t>13</w:t>
            </w:r>
          </w:p>
        </w:tc>
        <w:tc>
          <w:tcPr>
            <w:tcW w:w="7937"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4.2 % </w:t>
            </w:r>
          </w:p>
        </w:tc>
      </w:tr>
      <w:tr>
        <w:trPr/>
        <w:tc>
          <w:tcPr>
            <w:tcW w:w="2268" w:type="dxa"/>
            <w:tcBorders/>
            <w:vAlign w:val="center"/>
          </w:tcPr>
          <w:p>
            <w:pPr>
              <w:pStyle w:val="TableContents"/>
              <w:bidi w:val="0"/>
              <w:spacing w:before="0" w:after="283"/>
              <w:jc w:val="left"/>
              <w:rPr/>
            </w:pPr>
            <w:r>
              <w:rPr/>
              <w:t>14</w:t>
            </w:r>
          </w:p>
        </w:tc>
        <w:tc>
          <w:tcPr>
            <w:tcW w:w="793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SPRUCE HOUSE CAPITAL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1,022,633.00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1,022,633.00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1,022,633.00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4.2 %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75"/>
        <w:gridCol w:w="7930"/>
      </w:tblGrid>
      <w:tr>
        <w:trPr/>
        <w:tc>
          <w:tcPr>
            <w:tcW w:w="2275" w:type="dxa"/>
            <w:tcBorders/>
            <w:vAlign w:val="center"/>
          </w:tcPr>
          <w:p>
            <w:pPr>
              <w:pStyle w:val="TableContents"/>
              <w:bidi w:val="0"/>
              <w:spacing w:before="0" w:after="283"/>
              <w:jc w:val="left"/>
              <w:rPr/>
            </w:pPr>
            <w:r>
              <w:rPr/>
              <w:t>1</w:t>
            </w:r>
          </w:p>
        </w:tc>
        <w:tc>
          <w:tcPr>
            <w:tcW w:w="793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THE SPRUCE HOUSE PARTNERSHIP LLC</w:t>
            </w:r>
          </w:p>
        </w:tc>
      </w:tr>
      <w:tr>
        <w:trPr/>
        <w:tc>
          <w:tcPr>
            <w:tcW w:w="2275" w:type="dxa"/>
            <w:tcBorders/>
            <w:vAlign w:val="center"/>
          </w:tcPr>
          <w:p>
            <w:pPr>
              <w:pStyle w:val="TableContents"/>
              <w:bidi w:val="0"/>
              <w:spacing w:before="0" w:after="283"/>
              <w:jc w:val="left"/>
              <w:rPr/>
            </w:pPr>
            <w:r>
              <w:rPr/>
              <w:t>2</w:t>
            </w:r>
          </w:p>
        </w:tc>
        <w:tc>
          <w:tcPr>
            <w:tcW w:w="793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75" w:type="dxa"/>
            <w:tcBorders/>
            <w:vAlign w:val="center"/>
          </w:tcPr>
          <w:p>
            <w:pPr>
              <w:pStyle w:val="TableContents"/>
              <w:bidi w:val="0"/>
              <w:spacing w:before="0" w:after="283"/>
              <w:jc w:val="left"/>
              <w:rPr/>
            </w:pPr>
            <w:r>
              <w:rPr/>
              <w:t>3</w:t>
            </w:r>
          </w:p>
        </w:tc>
        <w:tc>
          <w:tcPr>
            <w:tcW w:w="7930" w:type="dxa"/>
            <w:tcBorders/>
            <w:vAlign w:val="center"/>
          </w:tcPr>
          <w:p>
            <w:pPr>
              <w:pStyle w:val="TableContents"/>
              <w:bidi w:val="0"/>
              <w:spacing w:before="0" w:after="283"/>
              <w:jc w:val="left"/>
              <w:rPr/>
            </w:pPr>
            <w:r>
              <w:rPr/>
              <w:t>SEC use only</w:t>
            </w:r>
          </w:p>
        </w:tc>
      </w:tr>
      <w:tr>
        <w:trPr/>
        <w:tc>
          <w:tcPr>
            <w:tcW w:w="2275" w:type="dxa"/>
            <w:tcBorders/>
            <w:vAlign w:val="center"/>
          </w:tcPr>
          <w:p>
            <w:pPr>
              <w:pStyle w:val="TableContents"/>
              <w:bidi w:val="0"/>
              <w:spacing w:before="0" w:after="283"/>
              <w:jc w:val="left"/>
              <w:rPr/>
            </w:pPr>
            <w:r>
              <w:rPr/>
              <w:t>4</w:t>
            </w:r>
          </w:p>
        </w:tc>
        <w:tc>
          <w:tcPr>
            <w:tcW w:w="793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75" w:type="dxa"/>
            <w:tcBorders/>
            <w:vAlign w:val="center"/>
          </w:tcPr>
          <w:p>
            <w:pPr>
              <w:pStyle w:val="TableContents"/>
              <w:bidi w:val="0"/>
              <w:spacing w:before="0" w:after="283"/>
              <w:jc w:val="left"/>
              <w:rPr/>
            </w:pPr>
            <w:r>
              <w:rPr/>
              <w:t>5</w:t>
            </w:r>
          </w:p>
        </w:tc>
        <w:tc>
          <w:tcPr>
            <w:tcW w:w="793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75" w:type="dxa"/>
            <w:tcBorders/>
            <w:vAlign w:val="center"/>
          </w:tcPr>
          <w:p>
            <w:pPr>
              <w:pStyle w:val="TableContents"/>
              <w:bidi w:val="0"/>
              <w:spacing w:before="0" w:after="283"/>
              <w:jc w:val="left"/>
              <w:rPr/>
            </w:pPr>
            <w:r>
              <w:rPr/>
              <w:t>6</w:t>
            </w:r>
          </w:p>
        </w:tc>
        <w:tc>
          <w:tcPr>
            <w:tcW w:w="793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7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1,022,633.00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1,022,633.00</w:t>
                  </w:r>
                </w:p>
              </w:tc>
            </w:tr>
          </w:tbl>
          <w:p>
            <w:pPr>
              <w:pStyle w:val="TableContents"/>
              <w:bidi w:val="0"/>
              <w:spacing w:before="0" w:after="283"/>
              <w:jc w:val="left"/>
              <w:rPr/>
            </w:pPr>
            <w:r>
              <w:rPr/>
            </w:r>
          </w:p>
        </w:tc>
        <w:tc>
          <w:tcPr>
            <w:tcW w:w="7930" w:type="dxa"/>
            <w:tcBorders/>
            <w:vAlign w:val="center"/>
          </w:tcPr>
          <w:p>
            <w:pPr>
              <w:pStyle w:val="TableContents"/>
              <w:bidi w:val="0"/>
              <w:spacing w:before="0" w:after="283"/>
              <w:jc w:val="left"/>
              <w:rPr>
                <w:sz w:val="4"/>
                <w:szCs w:val="4"/>
              </w:rPr>
            </w:pPr>
            <w:r>
              <w:rPr>
                <w:sz w:val="4"/>
                <w:szCs w:val="4"/>
              </w:rPr>
            </w:r>
          </w:p>
        </w:tc>
      </w:tr>
      <w:tr>
        <w:trPr/>
        <w:tc>
          <w:tcPr>
            <w:tcW w:w="2275" w:type="dxa"/>
            <w:tcBorders/>
            <w:vAlign w:val="center"/>
          </w:tcPr>
          <w:p>
            <w:pPr>
              <w:pStyle w:val="TableContents"/>
              <w:bidi w:val="0"/>
              <w:spacing w:before="0" w:after="283"/>
              <w:jc w:val="left"/>
              <w:rPr/>
            </w:pPr>
            <w:r>
              <w:rPr/>
              <w:t>11</w:t>
            </w:r>
          </w:p>
        </w:tc>
        <w:tc>
          <w:tcPr>
            <w:tcW w:w="793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1,022,633.00</w:t>
            </w:r>
          </w:p>
        </w:tc>
      </w:tr>
      <w:tr>
        <w:trPr/>
        <w:tc>
          <w:tcPr>
            <w:tcW w:w="2275" w:type="dxa"/>
            <w:tcBorders/>
            <w:vAlign w:val="center"/>
          </w:tcPr>
          <w:p>
            <w:pPr>
              <w:pStyle w:val="TableContents"/>
              <w:bidi w:val="0"/>
              <w:spacing w:before="0" w:after="283"/>
              <w:jc w:val="left"/>
              <w:rPr/>
            </w:pPr>
            <w:r>
              <w:rPr/>
              <w:t>12</w:t>
            </w:r>
          </w:p>
        </w:tc>
        <w:tc>
          <w:tcPr>
            <w:tcW w:w="793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275" w:type="dxa"/>
            <w:tcBorders/>
            <w:vAlign w:val="center"/>
          </w:tcPr>
          <w:p>
            <w:pPr>
              <w:pStyle w:val="TableContents"/>
              <w:bidi w:val="0"/>
              <w:spacing w:before="0" w:after="283"/>
              <w:jc w:val="left"/>
              <w:rPr/>
            </w:pPr>
            <w:r>
              <w:rPr/>
              <w:t>13</w:t>
            </w:r>
          </w:p>
        </w:tc>
        <w:tc>
          <w:tcPr>
            <w:tcW w:w="793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4.2 % </w:t>
            </w:r>
          </w:p>
        </w:tc>
      </w:tr>
      <w:tr>
        <w:trPr/>
        <w:tc>
          <w:tcPr>
            <w:tcW w:w="2275" w:type="dxa"/>
            <w:tcBorders/>
            <w:vAlign w:val="center"/>
          </w:tcPr>
          <w:p>
            <w:pPr>
              <w:pStyle w:val="TableContents"/>
              <w:bidi w:val="0"/>
              <w:spacing w:before="0" w:after="283"/>
              <w:jc w:val="left"/>
              <w:rPr/>
            </w:pPr>
            <w:r>
              <w:rPr/>
              <w:t>14</w:t>
            </w:r>
          </w:p>
        </w:tc>
        <w:tc>
          <w:tcPr>
            <w:tcW w:w="793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87"/>
        <w:gridCol w:w="7918"/>
      </w:tblGrid>
      <w:tr>
        <w:trPr/>
        <w:tc>
          <w:tcPr>
            <w:tcW w:w="2287" w:type="dxa"/>
            <w:tcBorders/>
            <w:vAlign w:val="center"/>
          </w:tcPr>
          <w:p>
            <w:pPr>
              <w:pStyle w:val="TableContents"/>
              <w:bidi w:val="0"/>
              <w:spacing w:before="0" w:after="283"/>
              <w:jc w:val="left"/>
              <w:rPr/>
            </w:pPr>
            <w:r>
              <w:rPr/>
              <w:t>1</w:t>
            </w:r>
          </w:p>
        </w:tc>
        <w:tc>
          <w:tcPr>
            <w:tcW w:w="791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ZACHARY STERNBERG</w:t>
            </w:r>
          </w:p>
        </w:tc>
      </w:tr>
      <w:tr>
        <w:trPr/>
        <w:tc>
          <w:tcPr>
            <w:tcW w:w="2287" w:type="dxa"/>
            <w:tcBorders/>
            <w:vAlign w:val="center"/>
          </w:tcPr>
          <w:p>
            <w:pPr>
              <w:pStyle w:val="TableContents"/>
              <w:bidi w:val="0"/>
              <w:spacing w:before="0" w:after="283"/>
              <w:jc w:val="left"/>
              <w:rPr/>
            </w:pPr>
            <w:r>
              <w:rPr/>
              <w:t>2</w:t>
            </w:r>
          </w:p>
        </w:tc>
        <w:tc>
          <w:tcPr>
            <w:tcW w:w="791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287" w:type="dxa"/>
            <w:tcBorders/>
            <w:vAlign w:val="center"/>
          </w:tcPr>
          <w:p>
            <w:pPr>
              <w:pStyle w:val="TableContents"/>
              <w:bidi w:val="0"/>
              <w:spacing w:before="0" w:after="283"/>
              <w:jc w:val="left"/>
              <w:rPr/>
            </w:pPr>
            <w:r>
              <w:rPr/>
              <w:t>3</w:t>
            </w:r>
          </w:p>
        </w:tc>
        <w:tc>
          <w:tcPr>
            <w:tcW w:w="7918" w:type="dxa"/>
            <w:tcBorders/>
            <w:vAlign w:val="center"/>
          </w:tcPr>
          <w:p>
            <w:pPr>
              <w:pStyle w:val="TableContents"/>
              <w:bidi w:val="0"/>
              <w:spacing w:before="0" w:after="283"/>
              <w:jc w:val="left"/>
              <w:rPr/>
            </w:pPr>
            <w:r>
              <w:rPr/>
              <w:t>SEC use only</w:t>
            </w:r>
          </w:p>
        </w:tc>
      </w:tr>
      <w:tr>
        <w:trPr/>
        <w:tc>
          <w:tcPr>
            <w:tcW w:w="2287" w:type="dxa"/>
            <w:tcBorders/>
            <w:vAlign w:val="center"/>
          </w:tcPr>
          <w:p>
            <w:pPr>
              <w:pStyle w:val="TableContents"/>
              <w:bidi w:val="0"/>
              <w:spacing w:before="0" w:after="283"/>
              <w:jc w:val="left"/>
              <w:rPr/>
            </w:pPr>
            <w:r>
              <w:rPr/>
              <w:t>4</w:t>
            </w:r>
          </w:p>
        </w:tc>
        <w:tc>
          <w:tcPr>
            <w:tcW w:w="791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 PF</w:t>
            </w:r>
          </w:p>
        </w:tc>
      </w:tr>
      <w:tr>
        <w:trPr/>
        <w:tc>
          <w:tcPr>
            <w:tcW w:w="2287" w:type="dxa"/>
            <w:tcBorders/>
            <w:vAlign w:val="center"/>
          </w:tcPr>
          <w:p>
            <w:pPr>
              <w:pStyle w:val="TableContents"/>
              <w:bidi w:val="0"/>
              <w:spacing w:before="0" w:after="283"/>
              <w:jc w:val="left"/>
              <w:rPr/>
            </w:pPr>
            <w:r>
              <w:rPr/>
              <w:t>5</w:t>
            </w:r>
          </w:p>
        </w:tc>
        <w:tc>
          <w:tcPr>
            <w:tcW w:w="791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287" w:type="dxa"/>
            <w:tcBorders/>
            <w:vAlign w:val="center"/>
          </w:tcPr>
          <w:p>
            <w:pPr>
              <w:pStyle w:val="TableContents"/>
              <w:bidi w:val="0"/>
              <w:spacing w:before="0" w:after="283"/>
              <w:jc w:val="left"/>
              <w:rPr/>
            </w:pPr>
            <w:r>
              <w:rPr/>
              <w:t>6</w:t>
            </w:r>
          </w:p>
        </w:tc>
        <w:tc>
          <w:tcPr>
            <w:tcW w:w="791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8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17,873.00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1,022,633.00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17,873.00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1,022,633.00</w:t>
                  </w:r>
                </w:p>
              </w:tc>
            </w:tr>
          </w:tbl>
          <w:p>
            <w:pPr>
              <w:pStyle w:val="TableContents"/>
              <w:bidi w:val="0"/>
              <w:spacing w:before="0" w:after="283"/>
              <w:jc w:val="left"/>
              <w:rPr/>
            </w:pPr>
            <w:r>
              <w:rPr/>
            </w:r>
          </w:p>
        </w:tc>
        <w:tc>
          <w:tcPr>
            <w:tcW w:w="7918" w:type="dxa"/>
            <w:tcBorders/>
            <w:vAlign w:val="center"/>
          </w:tcPr>
          <w:p>
            <w:pPr>
              <w:pStyle w:val="TableContents"/>
              <w:bidi w:val="0"/>
              <w:spacing w:before="0" w:after="283"/>
              <w:jc w:val="left"/>
              <w:rPr>
                <w:sz w:val="4"/>
                <w:szCs w:val="4"/>
              </w:rPr>
            </w:pPr>
            <w:r>
              <w:rPr>
                <w:sz w:val="4"/>
                <w:szCs w:val="4"/>
              </w:rPr>
            </w:r>
          </w:p>
        </w:tc>
      </w:tr>
      <w:tr>
        <w:trPr/>
        <w:tc>
          <w:tcPr>
            <w:tcW w:w="2287" w:type="dxa"/>
            <w:tcBorders/>
            <w:vAlign w:val="center"/>
          </w:tcPr>
          <w:p>
            <w:pPr>
              <w:pStyle w:val="TableContents"/>
              <w:bidi w:val="0"/>
              <w:spacing w:before="0" w:after="283"/>
              <w:jc w:val="left"/>
              <w:rPr/>
            </w:pPr>
            <w:r>
              <w:rPr/>
              <w:t>11</w:t>
            </w:r>
          </w:p>
        </w:tc>
        <w:tc>
          <w:tcPr>
            <w:tcW w:w="791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1,040,506.00</w:t>
            </w:r>
          </w:p>
        </w:tc>
      </w:tr>
      <w:tr>
        <w:trPr/>
        <w:tc>
          <w:tcPr>
            <w:tcW w:w="2287" w:type="dxa"/>
            <w:tcBorders/>
            <w:vAlign w:val="center"/>
          </w:tcPr>
          <w:p>
            <w:pPr>
              <w:pStyle w:val="TableContents"/>
              <w:bidi w:val="0"/>
              <w:spacing w:before="0" w:after="283"/>
              <w:jc w:val="left"/>
              <w:rPr/>
            </w:pPr>
            <w:r>
              <w:rPr/>
              <w:t>12</w:t>
            </w:r>
          </w:p>
        </w:tc>
        <w:tc>
          <w:tcPr>
            <w:tcW w:w="791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287" w:type="dxa"/>
            <w:tcBorders/>
            <w:vAlign w:val="center"/>
          </w:tcPr>
          <w:p>
            <w:pPr>
              <w:pStyle w:val="TableContents"/>
              <w:bidi w:val="0"/>
              <w:spacing w:before="0" w:after="283"/>
              <w:jc w:val="left"/>
              <w:rPr/>
            </w:pPr>
            <w:r>
              <w:rPr/>
              <w:t>13</w:t>
            </w:r>
          </w:p>
        </w:tc>
        <w:tc>
          <w:tcPr>
            <w:tcW w:w="791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4.3 % </w:t>
            </w:r>
          </w:p>
        </w:tc>
      </w:tr>
      <w:tr>
        <w:trPr/>
        <w:tc>
          <w:tcPr>
            <w:tcW w:w="2287" w:type="dxa"/>
            <w:tcBorders/>
            <w:vAlign w:val="center"/>
          </w:tcPr>
          <w:p>
            <w:pPr>
              <w:pStyle w:val="TableContents"/>
              <w:bidi w:val="0"/>
              <w:spacing w:before="0" w:after="283"/>
              <w:jc w:val="left"/>
              <w:rPr/>
            </w:pPr>
            <w:r>
              <w:rPr/>
              <w:t>14</w:t>
            </w:r>
          </w:p>
        </w:tc>
        <w:tc>
          <w:tcPr>
            <w:tcW w:w="791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 HC</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BENJAMIN STEIN</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 PF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16,805.00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1,022,633.00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16,805.00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1,022,633.00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1,039,438.00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4.3 %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 HC</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item1to7"/>
      <w:bookmarkStart w:id="27" w:name="item1to7"/>
      <w:bookmarkEnd w:id="27"/>
    </w:p>
    <w:tbl>
      <w:tblPr>
        <w:tblW w:w="10205" w:type="dxa"/>
        <w:jc w:val="left"/>
        <w:tblInd w:w="0" w:type="dxa"/>
        <w:tblLayout w:type="fixed"/>
        <w:tblCellMar>
          <w:top w:w="28" w:type="dxa"/>
          <w:left w:w="28" w:type="dxa"/>
          <w:bottom w:w="28" w:type="dxa"/>
          <w:right w:w="28" w:type="dxa"/>
        </w:tblCellMar>
      </w:tblPr>
      <w:tblGrid>
        <w:gridCol w:w="1174"/>
        <w:gridCol w:w="8876"/>
        <w:gridCol w:w="155"/>
      </w:tblGrid>
      <w:tr>
        <w:trPr/>
        <w:tc>
          <w:tcPr>
            <w:tcW w:w="1174" w:type="dxa"/>
            <w:tcBorders/>
            <w:vAlign w:val="center"/>
          </w:tcPr>
          <w:p>
            <w:pPr>
              <w:pStyle w:val="TableContents"/>
              <w:bidi w:val="0"/>
              <w:spacing w:before="0" w:after="283"/>
              <w:jc w:val="left"/>
              <w:rPr/>
            </w:pPr>
            <w:r>
              <w:rPr/>
              <w:t>Item 1.</w:t>
            </w:r>
          </w:p>
        </w:tc>
        <w:tc>
          <w:tcPr>
            <w:tcW w:w="8876"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74" w:type="dxa"/>
            <w:tcBorders/>
            <w:vAlign w:val="center"/>
          </w:tcPr>
          <w:p>
            <w:pPr>
              <w:pStyle w:val="TableContents"/>
              <w:bidi w:val="0"/>
              <w:spacing w:before="0" w:after="283"/>
              <w:jc w:val="left"/>
              <w:rPr/>
            </w:pPr>
            <w:r>
              <w:rPr/>
              <w:t>(a)</w:t>
            </w:r>
          </w:p>
        </w:tc>
        <w:tc>
          <w:tcPr>
            <w:tcW w:w="887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 nominal value of (euro)0.01 per share</w:t>
            </w:r>
          </w:p>
        </w:tc>
        <w:tc>
          <w:tcPr>
            <w:tcW w:w="155" w:type="dxa"/>
            <w:tcBorders/>
          </w:tcPr>
          <w:p>
            <w:pPr>
              <w:pStyle w:val="TableContents"/>
              <w:bidi w:val="0"/>
              <w:spacing w:before="0" w:after="283"/>
              <w:jc w:val="left"/>
              <w:rPr>
                <w:sz w:val="4"/>
                <w:szCs w:val="4"/>
              </w:rPr>
            </w:pPr>
            <w:r>
              <w:rPr>
                <w:sz w:val="4"/>
                <w:szCs w:val="4"/>
              </w:rPr>
            </w:r>
          </w:p>
        </w:tc>
      </w:tr>
      <w:tr>
        <w:trPr/>
        <w:tc>
          <w:tcPr>
            <w:tcW w:w="1174" w:type="dxa"/>
            <w:tcBorders/>
            <w:vAlign w:val="center"/>
          </w:tcPr>
          <w:p>
            <w:pPr>
              <w:pStyle w:val="TableContents"/>
              <w:bidi w:val="0"/>
              <w:spacing w:before="0" w:after="283"/>
              <w:jc w:val="left"/>
              <w:rPr/>
            </w:pPr>
            <w:r>
              <w:rPr/>
              <w:t>(b)</w:t>
            </w:r>
          </w:p>
        </w:tc>
        <w:tc>
          <w:tcPr>
            <w:tcW w:w="8876" w:type="dxa"/>
            <w:tcBorders/>
            <w:vAlign w:val="center"/>
          </w:tcPr>
          <w:p>
            <w:pPr>
              <w:pStyle w:val="TableContents"/>
              <w:bidi w:val="0"/>
              <w:jc w:val="left"/>
              <w:rPr/>
            </w:pPr>
            <w:r>
              <w:rPr/>
              <w:t xml:space="preserve">Name of Issuer: </w:t>
            </w:r>
          </w:p>
          <w:p>
            <w:pPr>
              <w:pStyle w:val="TableContents"/>
              <w:bidi w:val="0"/>
              <w:spacing w:before="0" w:after="0"/>
              <w:jc w:val="left"/>
              <w:rPr/>
            </w:pPr>
            <w:r>
              <w:rPr/>
              <w:t>Cimpress plc</w:t>
            </w:r>
          </w:p>
        </w:tc>
        <w:tc>
          <w:tcPr>
            <w:tcW w:w="155" w:type="dxa"/>
            <w:tcBorders/>
          </w:tcPr>
          <w:p>
            <w:pPr>
              <w:pStyle w:val="TableContents"/>
              <w:bidi w:val="0"/>
              <w:spacing w:before="0" w:after="283"/>
              <w:jc w:val="left"/>
              <w:rPr>
                <w:sz w:val="4"/>
                <w:szCs w:val="4"/>
              </w:rPr>
            </w:pPr>
            <w:r>
              <w:rPr>
                <w:sz w:val="4"/>
                <w:szCs w:val="4"/>
              </w:rPr>
            </w:r>
          </w:p>
        </w:tc>
      </w:tr>
      <w:tr>
        <w:trPr/>
        <w:tc>
          <w:tcPr>
            <w:tcW w:w="1174" w:type="dxa"/>
            <w:tcBorders/>
            <w:vAlign w:val="center"/>
          </w:tcPr>
          <w:p>
            <w:pPr>
              <w:pStyle w:val="TableContents"/>
              <w:bidi w:val="0"/>
              <w:spacing w:before="0" w:after="283"/>
              <w:jc w:val="left"/>
              <w:rPr/>
            </w:pPr>
            <w:r>
              <w:rPr/>
              <w:t>(c)</w:t>
            </w:r>
          </w:p>
        </w:tc>
        <w:tc>
          <w:tcPr>
            <w:tcW w:w="887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First Floor Building 3, Finnabair Business and Technology Park, Dundalk, Co. Louth, IRELAND , A91 XR61.</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4 to Schedule 13D ("Amendment No. 4") relates to the Ordinary Shares, nominal value of (euro)0.01 per share (the "Shares"), of Cimpress plc, a public limited company organized under the laws of Ireland (the "Issuer"), and amends the initial statement on Schedule 13D filed with the Securities and Exchange Commission (the "SEC") on July 3, 2025 (the "Original 13D"), as amended by Amendment No. 1, filed on December 1, 2025 ("Amendment No. 1"), as amended by Amendment No. 2, filed on February 2, 2026 ("Amendment No. 2"), as amended by Amendment No. 3, filed on May 5, 2026 ("Amendment No. 3", and together with the Original 13D, Amendment No. 1 and Amendment No. 2, the "Schedule 13D"). All capitalized terms contained herein but not otherwise defined shall have the meanings ascribed to such terms in the Schedule 13D. The Schedule 13D is hereby amended as set forth in this Amendment No. 4. Except as set forth herein, the Schedule 13D is unmodified.</w:t>
            </w:r>
          </w:p>
        </w:tc>
      </w:tr>
      <w:tr>
        <w:trPr/>
        <w:tc>
          <w:tcPr>
            <w:tcW w:w="1174" w:type="dxa"/>
            <w:tcBorders/>
            <w:vAlign w:val="center"/>
          </w:tcPr>
          <w:p>
            <w:pPr>
              <w:pStyle w:val="TableContents"/>
              <w:bidi w:val="0"/>
              <w:spacing w:before="0" w:after="283"/>
              <w:jc w:val="left"/>
              <w:rPr/>
            </w:pPr>
            <w:r>
              <w:rPr/>
              <w:t>Item 5.</w:t>
            </w:r>
          </w:p>
        </w:tc>
        <w:tc>
          <w:tcPr>
            <w:tcW w:w="8876"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74" w:type="dxa"/>
            <w:tcBorders/>
            <w:vAlign w:val="center"/>
          </w:tcPr>
          <w:p>
            <w:pPr>
              <w:pStyle w:val="TableContents"/>
              <w:bidi w:val="0"/>
              <w:spacing w:before="0" w:after="283"/>
              <w:jc w:val="left"/>
              <w:rPr/>
            </w:pPr>
            <w:r>
              <w:rPr/>
              <w:t>(a)</w:t>
            </w:r>
          </w:p>
        </w:tc>
        <w:tc>
          <w:tcPr>
            <w:tcW w:w="8876" w:type="dxa"/>
            <w:tcBorders/>
            <w:vAlign w:val="center"/>
          </w:tcPr>
          <w:p>
            <w:pPr>
              <w:pStyle w:val="TableContents"/>
              <w:bidi w:val="0"/>
              <w:spacing w:before="0" w:after="0"/>
              <w:jc w:val="left"/>
              <w:rPr/>
            </w:pPr>
            <w:r>
              <w:rPr/>
              <w:t>Item 5(a) of the Schedule 13D is hereby amended and supplemented to reflect the following: The aggregate percentage of Shares beneficially owned by each Reporting Person is based upon 24,349,476 Shares outstanding as of August 3, 2026, which is the total number of Shares outstanding as reported in the Issuer's Annual Report on Form 10-K filed with the SEC on August 7, 2026. As of the date hereof, Spruce Investment, as the investment adviser of Spruce AI and Spruce QP, which are each members of Spruce Partnership, may be deemed the beneficial owner of the 1,022,633 Shares owned by Spruce Partnership, representing approximately 4.2% of the outstanding Shares. As of the date hereof, Spruce Capital, as the general partner of Spruce AI and Spruce QP, which are each members of Spruce Partnership, may be deemed the beneficial owner of the 1,022,633 Shares owned by Spruce Partnership, representing approximately 4.2% of the outstanding Shares. As of the date hereof, 1,022,633 Shares are held in the account of Spruce Partnership, representing approximately 4.2% of the outstanding Shares. As of the date hereof, Mr. Sternberg directly beneficially owns 17,873 Shares. Mr. Sternberg, as the manager of each of Spruce Investment and Spruce Capital, may be deemed the beneficial owner of the 1,022,633 Shares owned by Spruce Partnership, representing (together with the Shares directly beneficially owned by Mr. Sternberg) approximately 4.3% of the outstanding Shares. Mr. Sternberg also holds unvested performance stock units representing 5,128 Shares, which were issued to him in his capacity as a former director of the Issuer and were not included in the calculations set forth herein as they are subject to performance conditions that have not been met. Mr. Sternberg did not stand for re-election at the 2024 annual meeting of the Issuer and is no longer a director of the Issuer. As of the date hereof, Mr. Stein directly beneficially owns 16,805 Shares. Mr. Stein, as the manager of each of Spruce Investment and Spruce Capital, may be deemed the beneficial owner of the 1,022,633 Shares owned by Spruce Partnership, representing (together with the Shares directly beneficially owned by Mr. Stein) approximately 4.3% of the outstanding Shares. The Reporting Persons may be deemed to constitute a "person" or "group" within the meaning of Section 13(d)(3) of the Exchange Act. Each Reporting Person disclaims beneficial ownership of the securities reported herein except to the extent of its or his pecuniary interest therein, and the filing of this statement shall not be construed as an admission of such beneficial ownership or that the Reporting Persons constitute a person or group</w:t>
            </w:r>
          </w:p>
        </w:tc>
        <w:tc>
          <w:tcPr>
            <w:tcW w:w="155" w:type="dxa"/>
            <w:tcBorders/>
          </w:tcPr>
          <w:p>
            <w:pPr>
              <w:pStyle w:val="TableContents"/>
              <w:bidi w:val="0"/>
              <w:spacing w:before="0" w:after="283"/>
              <w:jc w:val="left"/>
              <w:rPr>
                <w:sz w:val="4"/>
                <w:szCs w:val="4"/>
              </w:rPr>
            </w:pPr>
            <w:r>
              <w:rPr>
                <w:sz w:val="4"/>
                <w:szCs w:val="4"/>
              </w:rPr>
            </w:r>
          </w:p>
        </w:tc>
      </w:tr>
      <w:tr>
        <w:trPr/>
        <w:tc>
          <w:tcPr>
            <w:tcW w:w="1174" w:type="dxa"/>
            <w:tcBorders/>
            <w:vAlign w:val="center"/>
          </w:tcPr>
          <w:p>
            <w:pPr>
              <w:pStyle w:val="TableContents"/>
              <w:bidi w:val="0"/>
              <w:spacing w:before="0" w:after="283"/>
              <w:jc w:val="left"/>
              <w:rPr/>
            </w:pPr>
            <w:r>
              <w:rPr/>
              <w:t>(b)</w:t>
            </w:r>
          </w:p>
        </w:tc>
        <w:tc>
          <w:tcPr>
            <w:tcW w:w="8876" w:type="dxa"/>
            <w:tcBorders/>
            <w:vAlign w:val="center"/>
          </w:tcPr>
          <w:p>
            <w:pPr>
              <w:pStyle w:val="TableContents"/>
              <w:bidi w:val="0"/>
              <w:spacing w:before="0" w:after="0"/>
              <w:jc w:val="left"/>
              <w:rPr/>
            </w:pPr>
            <w:r>
              <w:rPr/>
              <w:t>Item 5(b) of the Schedule 13D is hereby amended and supplemented to reflect the following: See rows (7) through (10) of the cover pages to this Amendment No. 4 for the number of Shares as to which each Reporting Person has the sole or shared power to vote or direct the vote and the sole or shared power to dispose or to direct the disposition.</w:t>
            </w:r>
          </w:p>
        </w:tc>
        <w:tc>
          <w:tcPr>
            <w:tcW w:w="155" w:type="dxa"/>
            <w:tcBorders/>
          </w:tcPr>
          <w:p>
            <w:pPr>
              <w:pStyle w:val="TableContents"/>
              <w:bidi w:val="0"/>
              <w:spacing w:before="0" w:after="283"/>
              <w:jc w:val="left"/>
              <w:rPr>
                <w:sz w:val="4"/>
                <w:szCs w:val="4"/>
              </w:rPr>
            </w:pPr>
            <w:r>
              <w:rPr>
                <w:sz w:val="4"/>
                <w:szCs w:val="4"/>
              </w:rPr>
            </w:r>
          </w:p>
        </w:tc>
      </w:tr>
      <w:tr>
        <w:trPr/>
        <w:tc>
          <w:tcPr>
            <w:tcW w:w="1174" w:type="dxa"/>
            <w:tcBorders/>
            <w:vAlign w:val="center"/>
          </w:tcPr>
          <w:p>
            <w:pPr>
              <w:pStyle w:val="TableContents"/>
              <w:bidi w:val="0"/>
              <w:spacing w:before="0" w:after="283"/>
              <w:jc w:val="left"/>
              <w:rPr/>
            </w:pPr>
            <w:r>
              <w:rPr/>
              <w:t>(c)</w:t>
            </w:r>
          </w:p>
        </w:tc>
        <w:tc>
          <w:tcPr>
            <w:tcW w:w="8876" w:type="dxa"/>
            <w:tcBorders/>
            <w:vAlign w:val="center"/>
          </w:tcPr>
          <w:p>
            <w:pPr>
              <w:pStyle w:val="TableContents"/>
              <w:bidi w:val="0"/>
              <w:spacing w:before="0" w:after="0"/>
              <w:jc w:val="left"/>
              <w:rPr/>
            </w:pPr>
            <w:r>
              <w:rPr/>
              <w:t>Item 5(c) of the Schedule 13D is hereby amended and supplemented to reflect the following: Schedule I annexed hereto and incorporated herein by reference lists all transactions in the Shares that were effected during the past sixty days by the Reporting Persons, inclusive of any transactions effected through 4:00 p.m., New York City time, on August 19, 2026.</w:t>
            </w:r>
          </w:p>
        </w:tc>
        <w:tc>
          <w:tcPr>
            <w:tcW w:w="155" w:type="dxa"/>
            <w:tcBorders/>
          </w:tcPr>
          <w:p>
            <w:pPr>
              <w:pStyle w:val="TableContents"/>
              <w:bidi w:val="0"/>
              <w:spacing w:before="0" w:after="283"/>
              <w:jc w:val="left"/>
              <w:rPr>
                <w:sz w:val="4"/>
                <w:szCs w:val="4"/>
              </w:rPr>
            </w:pPr>
            <w:r>
              <w:rPr>
                <w:sz w:val="4"/>
                <w:szCs w:val="4"/>
              </w:rPr>
            </w:r>
          </w:p>
        </w:tc>
      </w:tr>
      <w:tr>
        <w:trPr/>
        <w:tc>
          <w:tcPr>
            <w:tcW w:w="1174" w:type="dxa"/>
            <w:tcBorders/>
            <w:vAlign w:val="center"/>
          </w:tcPr>
          <w:p>
            <w:pPr>
              <w:pStyle w:val="TableContents"/>
              <w:bidi w:val="0"/>
              <w:spacing w:before="0" w:after="283"/>
              <w:jc w:val="left"/>
              <w:rPr/>
            </w:pPr>
            <w:r>
              <w:rPr/>
              <w:t>(d)</w:t>
            </w:r>
          </w:p>
        </w:tc>
        <w:tc>
          <w:tcPr>
            <w:tcW w:w="8876" w:type="dxa"/>
            <w:tcBorders/>
            <w:vAlign w:val="center"/>
          </w:tcPr>
          <w:p>
            <w:pPr>
              <w:pStyle w:val="TableContents"/>
              <w:bidi w:val="0"/>
              <w:spacing w:before="0" w:after="0"/>
              <w:jc w:val="left"/>
              <w:rPr/>
            </w:pPr>
            <w:r>
              <w:rPr/>
              <w:t>Item 5(d) of the Schedule 13D is hereby amended and supplemented to reflect the following: No person other than the Reporting Persons is known to have the right to receive, or the power to direct the receipt of dividends from, or proceeds from the sale of, the Shares beneficially owned by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74" w:type="dxa"/>
            <w:tcBorders/>
            <w:vAlign w:val="center"/>
          </w:tcPr>
          <w:p>
            <w:pPr>
              <w:pStyle w:val="TableContents"/>
              <w:bidi w:val="0"/>
              <w:spacing w:before="0" w:after="283"/>
              <w:jc w:val="left"/>
              <w:rPr/>
            </w:pPr>
            <w:r>
              <w:rPr/>
              <w:t>(e)</w:t>
            </w:r>
          </w:p>
        </w:tc>
        <w:tc>
          <w:tcPr>
            <w:tcW w:w="8876" w:type="dxa"/>
            <w:tcBorders/>
            <w:vAlign w:val="center"/>
          </w:tcPr>
          <w:p>
            <w:pPr>
              <w:pStyle w:val="TableContents"/>
              <w:bidi w:val="0"/>
              <w:spacing w:before="0" w:after="0"/>
              <w:jc w:val="left"/>
              <w:rPr/>
            </w:pPr>
            <w:r>
              <w:rPr/>
              <w:t>Item 5(e) of the Schedule 13D is hereby amended and supplemented to reflect the following: As a result of the transactions described herein, the Reporting Persons ceased to be the beneficial owners of more than five percent of the Shares on August 18, 2026.</w:t>
            </w:r>
          </w:p>
        </w:tc>
        <w:tc>
          <w:tcPr>
            <w:tcW w:w="155" w:type="dxa"/>
            <w:tcBorders/>
          </w:tcPr>
          <w:p>
            <w:pPr>
              <w:pStyle w:val="TableContents"/>
              <w:bidi w:val="0"/>
              <w:spacing w:before="0" w:after="283"/>
              <w:jc w:val="left"/>
              <w:rPr>
                <w:sz w:val="4"/>
                <w:szCs w:val="4"/>
              </w:rPr>
            </w:pPr>
            <w:r>
              <w:rPr>
                <w:sz w:val="4"/>
                <w:szCs w:val="4"/>
              </w:rPr>
            </w:r>
          </w:p>
        </w:tc>
      </w:tr>
      <w:tr>
        <w:trPr/>
        <w:tc>
          <w:tcPr>
            <w:tcW w:w="1174" w:type="dxa"/>
            <w:tcBorders/>
            <w:vAlign w:val="center"/>
          </w:tcPr>
          <w:p>
            <w:pPr>
              <w:pStyle w:val="TableContents"/>
              <w:bidi w:val="0"/>
              <w:spacing w:before="0" w:after="283"/>
              <w:jc w:val="left"/>
              <w:rPr/>
            </w:pPr>
            <w:r>
              <w:rPr/>
              <w:t>Item 7.</w:t>
            </w:r>
          </w:p>
        </w:tc>
        <w:tc>
          <w:tcPr>
            <w:tcW w:w="8876"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74" w:type="dxa"/>
            <w:tcBorders/>
            <w:vAlign w:val="center"/>
          </w:tcPr>
          <w:p>
            <w:pPr>
              <w:pStyle w:val="TableContents"/>
              <w:bidi w:val="0"/>
              <w:spacing w:before="0" w:after="283"/>
              <w:jc w:val="left"/>
              <w:rPr/>
            </w:pPr>
            <w:r>
              <w:rPr/>
              <w:t> </w:t>
            </w:r>
          </w:p>
        </w:tc>
        <w:tc>
          <w:tcPr>
            <w:tcW w:w="8876" w:type="dxa"/>
            <w:tcBorders/>
            <w:vAlign w:val="center"/>
          </w:tcPr>
          <w:p>
            <w:pPr>
              <w:pStyle w:val="TableContents"/>
              <w:bidi w:val="0"/>
              <w:spacing w:before="0" w:after="0"/>
              <w:jc w:val="left"/>
              <w:rPr/>
            </w:pPr>
            <w:r>
              <w:rPr/>
              <w:t>Item 7 of the Schedule 13D is hereby amended and supplemented to reflect the following: Schedule I - Transactions in Securities of the Issuer During the Past Sixty Days</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signatureInfo"/>
      <w:bookmarkStart w:id="29" w:name="signatureInfo"/>
      <w:bookmarkEnd w:id="2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10205" w:type="dxa"/>
        <w:jc w:val="left"/>
        <w:tblInd w:w="0" w:type="dxa"/>
        <w:tblLayout w:type="fixed"/>
        <w:tblCellMar>
          <w:top w:w="28" w:type="dxa"/>
          <w:left w:w="28" w:type="dxa"/>
          <w:bottom w:w="28" w:type="dxa"/>
          <w:right w:w="28" w:type="dxa"/>
        </w:tblCellMar>
      </w:tblPr>
      <w:tblGrid>
        <w:gridCol w:w="5288"/>
        <w:gridCol w:w="4917"/>
      </w:tblGrid>
      <w:tr>
        <w:trPr/>
        <w:tc>
          <w:tcPr>
            <w:tcW w:w="5288" w:type="dxa"/>
            <w:tcBorders/>
            <w:vAlign w:val="center"/>
          </w:tcPr>
          <w:p>
            <w:pPr>
              <w:pStyle w:val="TableContents"/>
              <w:bidi w:val="0"/>
              <w:spacing w:before="0" w:after="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0"/>
                    <w:jc w:val="left"/>
                    <w:rPr/>
                  </w:pPr>
                  <w:r>
                    <w:rPr/>
                    <w:t>SPRUCE HOUSE INVESTMENT MANAGEMENT LLC</w:t>
                  </w:r>
                </w:p>
              </w:tc>
            </w:tr>
          </w:tbl>
          <w:p>
            <w:pPr>
              <w:pStyle w:val="TableContents"/>
              <w:bidi w:val="0"/>
              <w:spacing w:before="0" w:after="283"/>
              <w:jc w:val="left"/>
              <w:rPr/>
            </w:pPr>
            <w:r>
              <w:rPr/>
            </w:r>
          </w:p>
        </w:tc>
        <w:tc>
          <w:tcPr>
            <w:tcW w:w="49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6"/>
        <w:gridCol w:w="4339"/>
      </w:tblGrid>
      <w:tr>
        <w:trPr/>
        <w:tc>
          <w:tcPr>
            <w:tcW w:w="586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Zachary Sternberg</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Zachary Sternberg Managing Member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08/20/2026</w:t>
                  </w:r>
                </w:p>
              </w:tc>
            </w:tr>
          </w:tbl>
          <w:p>
            <w:pPr>
              <w:pStyle w:val="TableContents"/>
              <w:bidi w:val="0"/>
              <w:spacing w:before="0" w:after="283"/>
              <w:jc w:val="left"/>
              <w:rPr/>
            </w:pPr>
            <w:r>
              <w:rPr/>
            </w:r>
          </w:p>
        </w:tc>
        <w:tc>
          <w:tcPr>
            <w:tcW w:w="4339" w:type="dxa"/>
            <w:tcBorders/>
            <w:vAlign w:val="center"/>
          </w:tcPr>
          <w:p>
            <w:pPr>
              <w:pStyle w:val="TableContents"/>
              <w:bidi w:val="0"/>
              <w:spacing w:before="0" w:after="283"/>
              <w:jc w:val="left"/>
              <w:rPr>
                <w:sz w:val="4"/>
                <w:szCs w:val="4"/>
              </w:rPr>
            </w:pPr>
            <w:r>
              <w:rPr>
                <w:sz w:val="4"/>
                <w:szCs w:val="4"/>
              </w:rPr>
            </w:r>
          </w:p>
        </w:tc>
      </w:tr>
    </w:tbl>
    <w:tbl>
      <w:tblPr>
        <w:tblW w:w="7414" w:type="dxa"/>
        <w:jc w:val="left"/>
        <w:tblInd w:w="0" w:type="dxa"/>
        <w:tblLayout w:type="fixed"/>
        <w:tblCellMar>
          <w:top w:w="28" w:type="dxa"/>
          <w:left w:w="28" w:type="dxa"/>
          <w:bottom w:w="28" w:type="dxa"/>
          <w:right w:w="28" w:type="dxa"/>
        </w:tblCellMar>
      </w:tblPr>
      <w:tblGrid>
        <w:gridCol w:w="3707"/>
        <w:gridCol w:w="3707"/>
      </w:tblGrid>
      <w:tr>
        <w:trPr/>
        <w:tc>
          <w:tcPr>
            <w:tcW w:w="3707" w:type="dxa"/>
            <w:tcBorders/>
            <w:vAlign w:val="center"/>
          </w:tcPr>
          <w:p>
            <w:pPr>
              <w:pStyle w:val="TableContents"/>
              <w:bidi w:val="0"/>
              <w:spacing w:before="0" w:after="0"/>
              <w:jc w:val="left"/>
              <w:rPr/>
            </w:pPr>
            <w:r>
              <w:rPr/>
              <w:t> </w:t>
            </w:r>
          </w:p>
          <w:tbl>
            <w:tblPr>
              <w:tblW w:w="3601" w:type="dxa"/>
              <w:jc w:val="left"/>
              <w:tblInd w:w="0" w:type="dxa"/>
              <w:tblLayout w:type="fixed"/>
              <w:tblCellMar>
                <w:top w:w="28" w:type="dxa"/>
                <w:left w:w="28" w:type="dxa"/>
                <w:bottom w:w="28" w:type="dxa"/>
                <w:right w:w="28" w:type="dxa"/>
              </w:tblCellMar>
            </w:tblPr>
            <w:tblGrid>
              <w:gridCol w:w="3601"/>
            </w:tblGrid>
            <w:tr>
              <w:trPr/>
              <w:tc>
                <w:tcPr>
                  <w:tcW w:w="3601" w:type="dxa"/>
                  <w:tcBorders/>
                  <w:vAlign w:val="center"/>
                </w:tcPr>
                <w:p>
                  <w:pPr>
                    <w:pStyle w:val="TableContents"/>
                    <w:bidi w:val="0"/>
                    <w:spacing w:before="0" w:after="0"/>
                    <w:jc w:val="left"/>
                    <w:rPr/>
                  </w:pPr>
                  <w:r>
                    <w:rPr/>
                    <w:t>SPRUCE HOUSE CAPITAL LLC</w:t>
                  </w:r>
                </w:p>
              </w:tc>
            </w:tr>
          </w:tbl>
          <w:p>
            <w:pPr>
              <w:pStyle w:val="TableContents"/>
              <w:bidi w:val="0"/>
              <w:spacing w:before="0" w:after="283"/>
              <w:jc w:val="left"/>
              <w:rPr/>
            </w:pPr>
            <w:r>
              <w:rPr/>
            </w:r>
          </w:p>
        </w:tc>
        <w:tc>
          <w:tcPr>
            <w:tcW w:w="370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6"/>
        <w:gridCol w:w="4339"/>
      </w:tblGrid>
      <w:tr>
        <w:trPr/>
        <w:tc>
          <w:tcPr>
            <w:tcW w:w="586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Zachary Sternberg</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Zachary Sternberg Managing Member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08/20/2026</w:t>
                  </w:r>
                </w:p>
              </w:tc>
            </w:tr>
          </w:tbl>
          <w:p>
            <w:pPr>
              <w:pStyle w:val="TableContents"/>
              <w:bidi w:val="0"/>
              <w:spacing w:before="0" w:after="283"/>
              <w:jc w:val="left"/>
              <w:rPr/>
            </w:pPr>
            <w:r>
              <w:rPr/>
            </w:r>
          </w:p>
        </w:tc>
        <w:tc>
          <w:tcPr>
            <w:tcW w:w="4339" w:type="dxa"/>
            <w:tcBorders/>
            <w:vAlign w:val="center"/>
          </w:tcPr>
          <w:p>
            <w:pPr>
              <w:pStyle w:val="TableContents"/>
              <w:bidi w:val="0"/>
              <w:spacing w:before="0" w:after="283"/>
              <w:jc w:val="left"/>
              <w:rPr>
                <w:sz w:val="4"/>
                <w:szCs w:val="4"/>
              </w:rPr>
            </w:pPr>
            <w:r>
              <w:rPr>
                <w:sz w:val="4"/>
                <w:szCs w:val="4"/>
              </w:rPr>
            </w:r>
          </w:p>
        </w:tc>
      </w:tr>
    </w:tbl>
    <w:tbl>
      <w:tblPr>
        <w:tblW w:w="9824" w:type="dxa"/>
        <w:jc w:val="left"/>
        <w:tblInd w:w="0" w:type="dxa"/>
        <w:tblLayout w:type="fixed"/>
        <w:tblCellMar>
          <w:top w:w="28" w:type="dxa"/>
          <w:left w:w="28" w:type="dxa"/>
          <w:bottom w:w="28" w:type="dxa"/>
          <w:right w:w="28" w:type="dxa"/>
        </w:tblCellMar>
      </w:tblPr>
      <w:tblGrid>
        <w:gridCol w:w="4912"/>
        <w:gridCol w:w="4912"/>
      </w:tblGrid>
      <w:tr>
        <w:trPr/>
        <w:tc>
          <w:tcPr>
            <w:tcW w:w="4912" w:type="dxa"/>
            <w:tcBorders/>
            <w:vAlign w:val="center"/>
          </w:tcPr>
          <w:p>
            <w:pPr>
              <w:pStyle w:val="TableContents"/>
              <w:bidi w:val="0"/>
              <w:spacing w:before="0" w:after="0"/>
              <w:jc w:val="left"/>
              <w:rPr/>
            </w:pPr>
            <w:r>
              <w:rPr/>
              <w:t> </w:t>
            </w:r>
          </w:p>
          <w:tbl>
            <w:tblPr>
              <w:tblW w:w="4756" w:type="dxa"/>
              <w:jc w:val="left"/>
              <w:tblInd w:w="0" w:type="dxa"/>
              <w:tblLayout w:type="fixed"/>
              <w:tblCellMar>
                <w:top w:w="28" w:type="dxa"/>
                <w:left w:w="28" w:type="dxa"/>
                <w:bottom w:w="28" w:type="dxa"/>
                <w:right w:w="28" w:type="dxa"/>
              </w:tblCellMar>
            </w:tblPr>
            <w:tblGrid>
              <w:gridCol w:w="4756"/>
            </w:tblGrid>
            <w:tr>
              <w:trPr/>
              <w:tc>
                <w:tcPr>
                  <w:tcW w:w="4756" w:type="dxa"/>
                  <w:tcBorders/>
                  <w:vAlign w:val="center"/>
                </w:tcPr>
                <w:p>
                  <w:pPr>
                    <w:pStyle w:val="TableContents"/>
                    <w:bidi w:val="0"/>
                    <w:spacing w:before="0" w:after="0"/>
                    <w:jc w:val="left"/>
                    <w:rPr/>
                  </w:pPr>
                  <w:r>
                    <w:rPr/>
                    <w:t>THE SPRUCE HOUSE PARTNERSHIP LLC</w:t>
                  </w:r>
                </w:p>
              </w:tc>
            </w:tr>
          </w:tbl>
          <w:p>
            <w:pPr>
              <w:pStyle w:val="TableContents"/>
              <w:bidi w:val="0"/>
              <w:spacing w:before="0" w:after="283"/>
              <w:jc w:val="left"/>
              <w:rPr/>
            </w:pPr>
            <w:r>
              <w:rPr/>
            </w:r>
          </w:p>
        </w:tc>
        <w:tc>
          <w:tcPr>
            <w:tcW w:w="491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6"/>
        <w:gridCol w:w="4359"/>
      </w:tblGrid>
      <w:tr>
        <w:trPr/>
        <w:tc>
          <w:tcPr>
            <w:tcW w:w="584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Zachary Sternberg</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Zachary Sternberg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08/20/2026</w:t>
                  </w:r>
                </w:p>
              </w:tc>
            </w:tr>
          </w:tbl>
          <w:p>
            <w:pPr>
              <w:pStyle w:val="TableContents"/>
              <w:bidi w:val="0"/>
              <w:spacing w:before="0" w:after="283"/>
              <w:jc w:val="left"/>
              <w:rPr/>
            </w:pPr>
            <w:r>
              <w:rPr/>
            </w:r>
          </w:p>
        </w:tc>
        <w:tc>
          <w:tcPr>
            <w:tcW w:w="4359" w:type="dxa"/>
            <w:tcBorders/>
            <w:vAlign w:val="center"/>
          </w:tcPr>
          <w:p>
            <w:pPr>
              <w:pStyle w:val="TableContents"/>
              <w:bidi w:val="0"/>
              <w:spacing w:before="0" w:after="283"/>
              <w:jc w:val="left"/>
              <w:rPr>
                <w:sz w:val="4"/>
                <w:szCs w:val="4"/>
              </w:rPr>
            </w:pPr>
            <w:r>
              <w:rPr>
                <w:sz w:val="4"/>
                <w:szCs w:val="4"/>
              </w:rPr>
            </w:r>
          </w:p>
        </w:tc>
      </w:tr>
    </w:tbl>
    <w:tbl>
      <w:tblPr>
        <w:tblW w:w="6000" w:type="dxa"/>
        <w:jc w:val="left"/>
        <w:tblInd w:w="0" w:type="dxa"/>
        <w:tblLayout w:type="fixed"/>
        <w:tblCellMar>
          <w:top w:w="28" w:type="dxa"/>
          <w:left w:w="28" w:type="dxa"/>
          <w:bottom w:w="28" w:type="dxa"/>
          <w:right w:w="28" w:type="dxa"/>
        </w:tblCellMar>
      </w:tblPr>
      <w:tblGrid>
        <w:gridCol w:w="3000"/>
        <w:gridCol w:w="3000"/>
      </w:tblGrid>
      <w:tr>
        <w:trPr/>
        <w:tc>
          <w:tcPr>
            <w:tcW w:w="3000" w:type="dxa"/>
            <w:tcBorders/>
            <w:vAlign w:val="center"/>
          </w:tcPr>
          <w:p>
            <w:pPr>
              <w:pStyle w:val="TableContents"/>
              <w:bidi w:val="0"/>
              <w:spacing w:before="0" w:after="0"/>
              <w:jc w:val="left"/>
              <w:rPr/>
            </w:pPr>
            <w:r>
              <w:rPr/>
              <w:t> </w:t>
            </w:r>
          </w:p>
          <w:tbl>
            <w:tblPr>
              <w:tblW w:w="2866" w:type="dxa"/>
              <w:jc w:val="left"/>
              <w:tblInd w:w="0" w:type="dxa"/>
              <w:tblLayout w:type="fixed"/>
              <w:tblCellMar>
                <w:top w:w="28" w:type="dxa"/>
                <w:left w:w="28" w:type="dxa"/>
                <w:bottom w:w="28" w:type="dxa"/>
                <w:right w:w="28" w:type="dxa"/>
              </w:tblCellMar>
            </w:tblPr>
            <w:tblGrid>
              <w:gridCol w:w="2866"/>
            </w:tblGrid>
            <w:tr>
              <w:trPr/>
              <w:tc>
                <w:tcPr>
                  <w:tcW w:w="2866" w:type="dxa"/>
                  <w:tcBorders/>
                  <w:vAlign w:val="center"/>
                </w:tcPr>
                <w:p>
                  <w:pPr>
                    <w:pStyle w:val="TableContents"/>
                    <w:bidi w:val="0"/>
                    <w:spacing w:before="0" w:after="0"/>
                    <w:jc w:val="left"/>
                    <w:rPr/>
                  </w:pPr>
                  <w:r>
                    <w:rPr/>
                    <w:t>ZACHARY STERNBERG</w:t>
                  </w:r>
                </w:p>
              </w:tc>
            </w:tr>
          </w:tbl>
          <w:p>
            <w:pPr>
              <w:pStyle w:val="TableContents"/>
              <w:bidi w:val="0"/>
              <w:spacing w:before="0" w:after="283"/>
              <w:jc w:val="left"/>
              <w:rPr/>
            </w:pPr>
            <w:r>
              <w:rPr/>
            </w:r>
          </w:p>
        </w:tc>
        <w:tc>
          <w:tcPr>
            <w:tcW w:w="30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9"/>
        <w:gridCol w:w="4346"/>
      </w:tblGrid>
      <w:tr>
        <w:trPr/>
        <w:tc>
          <w:tcPr>
            <w:tcW w:w="585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2"/>
              <w:gridCol w:w="9023"/>
            </w:tblGrid>
            <w:tr>
              <w:trPr/>
              <w:tc>
                <w:tcPr>
                  <w:tcW w:w="1182" w:type="dxa"/>
                  <w:tcBorders/>
                  <w:vAlign w:val="center"/>
                </w:tcPr>
                <w:p>
                  <w:pPr>
                    <w:pStyle w:val="TableContents"/>
                    <w:bidi w:val="0"/>
                    <w:spacing w:before="0" w:after="283"/>
                    <w:jc w:val="left"/>
                    <w:rPr/>
                  </w:pPr>
                  <w:r>
                    <w:rPr/>
                    <w:t>Signature:</w:t>
                  </w:r>
                </w:p>
              </w:tc>
              <w:tc>
                <w:tcPr>
                  <w:tcW w:w="9023" w:type="dxa"/>
                  <w:tcBorders/>
                  <w:vAlign w:val="center"/>
                </w:tcPr>
                <w:p>
                  <w:pPr>
                    <w:pStyle w:val="TableContents"/>
                    <w:bidi w:val="0"/>
                    <w:spacing w:before="0" w:after="283"/>
                    <w:jc w:val="left"/>
                    <w:rPr/>
                  </w:pPr>
                  <w:r>
                    <w:rPr/>
                    <w:t>/s/ Zachary Sternberg</w:t>
                  </w:r>
                </w:p>
              </w:tc>
            </w:tr>
            <w:tr>
              <w:trPr/>
              <w:tc>
                <w:tcPr>
                  <w:tcW w:w="1182" w:type="dxa"/>
                  <w:tcBorders/>
                  <w:vAlign w:val="center"/>
                </w:tcPr>
                <w:p>
                  <w:pPr>
                    <w:pStyle w:val="TableContents"/>
                    <w:bidi w:val="0"/>
                    <w:spacing w:before="0" w:after="283"/>
                    <w:jc w:val="left"/>
                    <w:rPr/>
                  </w:pPr>
                  <w:r>
                    <w:rPr/>
                    <w:t>Name/Title:</w:t>
                  </w:r>
                </w:p>
              </w:tc>
              <w:tc>
                <w:tcPr>
                  <w:tcW w:w="9023" w:type="dxa"/>
                  <w:tcBorders/>
                  <w:vAlign w:val="center"/>
                </w:tcPr>
                <w:p>
                  <w:pPr>
                    <w:pStyle w:val="TableContents"/>
                    <w:bidi w:val="0"/>
                    <w:spacing w:before="0" w:after="283"/>
                    <w:jc w:val="left"/>
                    <w:rPr/>
                  </w:pPr>
                  <w:r>
                    <w:rPr/>
                    <w:t>Zachary Sternberg</w:t>
                  </w:r>
                </w:p>
              </w:tc>
            </w:tr>
            <w:tr>
              <w:trPr/>
              <w:tc>
                <w:tcPr>
                  <w:tcW w:w="1182" w:type="dxa"/>
                  <w:tcBorders/>
                  <w:vAlign w:val="center"/>
                </w:tcPr>
                <w:p>
                  <w:pPr>
                    <w:pStyle w:val="TableContents"/>
                    <w:bidi w:val="0"/>
                    <w:spacing w:before="0" w:after="283"/>
                    <w:jc w:val="left"/>
                    <w:rPr/>
                  </w:pPr>
                  <w:r>
                    <w:rPr/>
                    <w:t>Date:</w:t>
                  </w:r>
                </w:p>
              </w:tc>
              <w:tc>
                <w:tcPr>
                  <w:tcW w:w="9023" w:type="dxa"/>
                  <w:tcBorders/>
                  <w:vAlign w:val="center"/>
                </w:tcPr>
                <w:p>
                  <w:pPr>
                    <w:pStyle w:val="TableContents"/>
                    <w:bidi w:val="0"/>
                    <w:spacing w:before="0" w:after="283"/>
                    <w:jc w:val="left"/>
                    <w:rPr/>
                  </w:pPr>
                  <w:r>
                    <w:rPr/>
                    <w:t>08/20/2026</w:t>
                  </w:r>
                </w:p>
              </w:tc>
            </w:tr>
          </w:tbl>
          <w:p>
            <w:pPr>
              <w:pStyle w:val="TableContents"/>
              <w:bidi w:val="0"/>
              <w:spacing w:before="0" w:after="283"/>
              <w:jc w:val="left"/>
              <w:rPr/>
            </w:pPr>
            <w:r>
              <w:rPr/>
            </w:r>
          </w:p>
        </w:tc>
        <w:tc>
          <w:tcPr>
            <w:tcW w:w="4346" w:type="dxa"/>
            <w:tcBorders/>
            <w:vAlign w:val="center"/>
          </w:tcPr>
          <w:p>
            <w:pPr>
              <w:pStyle w:val="TableContents"/>
              <w:bidi w:val="0"/>
              <w:spacing w:before="0" w:after="283"/>
              <w:jc w:val="left"/>
              <w:rPr>
                <w:sz w:val="4"/>
                <w:szCs w:val="4"/>
              </w:rPr>
            </w:pPr>
            <w:r>
              <w:rPr>
                <w:sz w:val="4"/>
                <w:szCs w:val="4"/>
              </w:rPr>
            </w:r>
          </w:p>
        </w:tc>
      </w:tr>
    </w:tbl>
    <w:tbl>
      <w:tblPr>
        <w:tblW w:w="4530" w:type="dxa"/>
        <w:jc w:val="left"/>
        <w:tblInd w:w="0" w:type="dxa"/>
        <w:tblLayout w:type="fixed"/>
        <w:tblCellMar>
          <w:top w:w="28" w:type="dxa"/>
          <w:left w:w="28" w:type="dxa"/>
          <w:bottom w:w="28" w:type="dxa"/>
          <w:right w:w="28" w:type="dxa"/>
        </w:tblCellMar>
      </w:tblPr>
      <w:tblGrid>
        <w:gridCol w:w="2265"/>
        <w:gridCol w:w="2265"/>
      </w:tblGrid>
      <w:tr>
        <w:trPr/>
        <w:tc>
          <w:tcPr>
            <w:tcW w:w="2265" w:type="dxa"/>
            <w:tcBorders/>
            <w:vAlign w:val="center"/>
          </w:tcPr>
          <w:p>
            <w:pPr>
              <w:pStyle w:val="TableContents"/>
              <w:bidi w:val="0"/>
              <w:spacing w:before="0" w:after="0"/>
              <w:jc w:val="left"/>
              <w:rPr/>
            </w:pPr>
            <w:r>
              <w:rPr/>
              <w:t> </w:t>
            </w:r>
          </w:p>
          <w:tbl>
            <w:tblPr>
              <w:tblW w:w="2146" w:type="dxa"/>
              <w:jc w:val="left"/>
              <w:tblInd w:w="0" w:type="dxa"/>
              <w:tblLayout w:type="fixed"/>
              <w:tblCellMar>
                <w:top w:w="28" w:type="dxa"/>
                <w:left w:w="28" w:type="dxa"/>
                <w:bottom w:w="28" w:type="dxa"/>
                <w:right w:w="28" w:type="dxa"/>
              </w:tblCellMar>
            </w:tblPr>
            <w:tblGrid>
              <w:gridCol w:w="2146"/>
            </w:tblGrid>
            <w:tr>
              <w:trPr/>
              <w:tc>
                <w:tcPr>
                  <w:tcW w:w="2146" w:type="dxa"/>
                  <w:tcBorders/>
                  <w:vAlign w:val="center"/>
                </w:tcPr>
                <w:p>
                  <w:pPr>
                    <w:pStyle w:val="TableContents"/>
                    <w:bidi w:val="0"/>
                    <w:spacing w:before="0" w:after="0"/>
                    <w:jc w:val="left"/>
                    <w:rPr/>
                  </w:pPr>
                  <w:r>
                    <w:rPr/>
                    <w:t>BENJAMIN STEIN</w:t>
                  </w:r>
                </w:p>
              </w:tc>
            </w:tr>
          </w:tbl>
          <w:p>
            <w:pPr>
              <w:pStyle w:val="TableContents"/>
              <w:bidi w:val="0"/>
              <w:spacing w:before="0" w:after="283"/>
              <w:jc w:val="left"/>
              <w:rPr/>
            </w:pPr>
            <w:r>
              <w:rPr/>
            </w:r>
          </w:p>
        </w:tc>
        <w:tc>
          <w:tcPr>
            <w:tcW w:w="22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7"/>
        <w:gridCol w:w="4358"/>
      </w:tblGrid>
      <w:tr>
        <w:trPr/>
        <w:tc>
          <w:tcPr>
            <w:tcW w:w="584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Benjamin Stein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Benjamin Stein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08/20/2026</w:t>
                  </w:r>
                </w:p>
              </w:tc>
            </w:tr>
          </w:tbl>
          <w:p>
            <w:pPr>
              <w:pStyle w:val="TableContents"/>
              <w:bidi w:val="0"/>
              <w:spacing w:before="0" w:after="283"/>
              <w:jc w:val="left"/>
              <w:rPr/>
            </w:pPr>
            <w:r>
              <w:rPr/>
            </w:r>
          </w:p>
        </w:tc>
        <w:tc>
          <w:tcPr>
            <w:tcW w:w="43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center"/>
        <w:rPr>
          <w:caps w:val="false"/>
          <w:smallCaps w:val="false"/>
        </w:rPr>
      </w:pPr>
      <w:bookmarkStart w:id="30" w:name="ex1.htm"/>
      <w:bookmarkStart w:id="31" w:name="ksex1"/>
      <w:bookmarkEnd w:id="30"/>
      <w:bookmarkEnd w:id="31"/>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Transactions in Securities of the Issuer During the Past Sixty Days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Spruce House Partnership LLC</w:t>
      </w:r>
    </w:p>
    <w:p>
      <w:pPr>
        <w:pStyle w:val="TextBody"/>
        <w:bidi w:val="0"/>
        <w:spacing w:before="0" w:after="0"/>
        <w:ind w:left="0" w:right="0" w:hanging="0"/>
        <w:jc w:val="left"/>
        <w:rPr>
          <w:caps w:val="false"/>
          <w:smallCaps w:val="false"/>
        </w:rPr>
      </w:pPr>
      <w:r>
        <w:rPr>
          <w:caps w:val="false"/>
          <w:smallCaps w:val="false"/>
        </w:rPr>
        <w:t> </w:t>
      </w:r>
    </w:p>
    <w:tbl>
      <w:tblPr>
        <w:tblW w:w="6979" w:type="dxa"/>
        <w:jc w:val="left"/>
        <w:tblInd w:w="0" w:type="dxa"/>
        <w:tblLayout w:type="fixed"/>
        <w:tblCellMar>
          <w:top w:w="0" w:type="dxa"/>
          <w:left w:w="0" w:type="dxa"/>
          <w:bottom w:w="28" w:type="dxa"/>
          <w:right w:w="0" w:type="dxa"/>
        </w:tblCellMar>
      </w:tblPr>
      <w:tblGrid>
        <w:gridCol w:w="1805"/>
        <w:gridCol w:w="60"/>
        <w:gridCol w:w="149"/>
        <w:gridCol w:w="2000"/>
        <w:gridCol w:w="60"/>
        <w:gridCol w:w="60"/>
        <w:gridCol w:w="175"/>
        <w:gridCol w:w="700"/>
        <w:gridCol w:w="60"/>
        <w:gridCol w:w="60"/>
        <w:gridCol w:w="1850"/>
      </w:tblGrid>
      <w:tr>
        <w:trPr/>
        <w:tc>
          <w:tcPr>
            <w:tcW w:w="1805" w:type="dxa"/>
            <w:tcBorders>
              <w:bottom w:val="single" w:sz="8" w:space="0" w:color="000000"/>
            </w:tcBorders>
            <w:vAlign w:val="center"/>
          </w:tcPr>
          <w:p>
            <w:pPr>
              <w:pStyle w:val="TableContents"/>
              <w:bidi w:val="0"/>
              <w:spacing w:before="0" w:after="283"/>
              <w:jc w:val="left"/>
              <w:rPr>
                <w:b/>
              </w:rPr>
            </w:pPr>
            <w:r>
              <w:rPr>
                <w:b/>
              </w:rPr>
              <w:t>Transaction Date</w:t>
            </w:r>
          </w:p>
        </w:tc>
        <w:tc>
          <w:tcPr>
            <w:tcW w:w="60" w:type="dxa"/>
            <w:tcBorders/>
            <w:tcMar>
              <w:bottom w:w="0" w:type="dxa"/>
            </w:tcMar>
            <w:vAlign w:val="center"/>
          </w:tcPr>
          <w:p>
            <w:pPr>
              <w:pStyle w:val="TableContents"/>
              <w:bidi w:val="0"/>
              <w:spacing w:before="0" w:after="283"/>
              <w:jc w:val="left"/>
              <w:rPr/>
            </w:pPr>
            <w:r>
              <w:rPr/>
              <w:t> </w:t>
            </w:r>
          </w:p>
        </w:tc>
        <w:tc>
          <w:tcPr>
            <w:tcW w:w="2149" w:type="dxa"/>
            <w:gridSpan w:val="2"/>
            <w:tcBorders>
              <w:bottom w:val="single" w:sz="8" w:space="0" w:color="000000"/>
            </w:tcBorders>
            <w:vAlign w:val="center"/>
          </w:tcPr>
          <w:p>
            <w:pPr>
              <w:pStyle w:val="TableContents"/>
              <w:bidi w:val="0"/>
              <w:spacing w:before="0" w:after="283"/>
              <w:jc w:val="center"/>
              <w:rPr>
                <w:b/>
              </w:rPr>
            </w:pPr>
            <w:r>
              <w:rPr>
                <w:b/>
              </w:rPr>
              <w:t>Amount of Securities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75" w:type="dxa"/>
            <w:gridSpan w:val="2"/>
            <w:tcBorders>
              <w:bottom w:val="single" w:sz="8" w:space="0" w:color="000000"/>
            </w:tcBorders>
            <w:vAlign w:val="center"/>
          </w:tcPr>
          <w:p>
            <w:pPr>
              <w:pStyle w:val="TableContents"/>
              <w:bidi w:val="0"/>
              <w:spacing w:before="0" w:after="283"/>
              <w:jc w:val="center"/>
              <w:rPr>
                <w:b/>
              </w:rPr>
            </w:pPr>
            <w:r>
              <w:rPr>
                <w:b/>
              </w:rPr>
              <w:t>Price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50" w:type="dxa"/>
            <w:tcBorders>
              <w:bottom w:val="single" w:sz="8" w:space="0" w:color="000000"/>
            </w:tcBorders>
            <w:vAlign w:val="center"/>
          </w:tcPr>
          <w:p>
            <w:pPr>
              <w:pStyle w:val="TableContents"/>
              <w:bidi w:val="0"/>
              <w:spacing w:before="0" w:after="283"/>
              <w:jc w:val="center"/>
              <w:rPr>
                <w:b/>
              </w:rPr>
            </w:pPr>
            <w:r>
              <w:rPr>
                <w:b/>
              </w:rPr>
              <w:t>Transaction Type</w:t>
            </w:r>
          </w:p>
        </w:tc>
      </w:tr>
      <w:tr>
        <w:trPr/>
        <w:tc>
          <w:tcPr>
            <w:tcW w:w="1805" w:type="dxa"/>
            <w:tcBorders/>
            <w:shd w:fill="CCEEFF" w:val="clear"/>
            <w:tcMar>
              <w:bottom w:w="0" w:type="dxa"/>
            </w:tcMar>
            <w:vAlign w:val="center"/>
          </w:tcPr>
          <w:p>
            <w:pPr>
              <w:pStyle w:val="TableContents"/>
              <w:bidi w:val="0"/>
              <w:spacing w:before="0" w:after="283"/>
              <w:jc w:val="left"/>
              <w:rPr/>
            </w:pPr>
            <w:r>
              <w:rPr/>
              <w:t>8/18/2026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9" w:type="dxa"/>
            <w:tcBorders/>
            <w:shd w:fill="CCEEFF" w:val="clear"/>
            <w:tcMar>
              <w:bottom w:w="0" w:type="dxa"/>
            </w:tcMar>
            <w:vAlign w:val="center"/>
          </w:tcPr>
          <w:p>
            <w:pPr>
              <w:pStyle w:val="TableContents"/>
              <w:bidi w:val="0"/>
              <w:spacing w:before="0" w:after="283"/>
              <w:jc w:val="left"/>
              <w:rPr/>
            </w:pPr>
            <w:r>
              <w:rPr/>
              <w:t> </w:t>
            </w:r>
          </w:p>
        </w:tc>
        <w:tc>
          <w:tcPr>
            <w:tcW w:w="2000" w:type="dxa"/>
            <w:tcBorders/>
            <w:shd w:fill="CCEEFF" w:val="clear"/>
            <w:tcMar>
              <w:bottom w:w="0" w:type="dxa"/>
            </w:tcMar>
            <w:vAlign w:val="center"/>
          </w:tcPr>
          <w:p>
            <w:pPr>
              <w:pStyle w:val="TableContents"/>
              <w:bidi w:val="0"/>
              <w:spacing w:before="0" w:after="283"/>
              <w:jc w:val="right"/>
              <w:rPr/>
            </w:pPr>
            <w:r>
              <w:rPr/>
              <w:t>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 w:type="dxa"/>
            <w:tcBorders/>
            <w:shd w:fill="CCEEFF" w:val="clear"/>
            <w:tcMar>
              <w:bottom w:w="0" w:type="dxa"/>
            </w:tcMar>
            <w:vAlign w:val="center"/>
          </w:tcPr>
          <w:p>
            <w:pPr>
              <w:pStyle w:val="TableContents"/>
              <w:bidi w:val="0"/>
              <w:spacing w:before="0" w:after="283"/>
              <w:jc w:val="left"/>
              <w:rPr/>
            </w:pPr>
            <w:r>
              <w:rPr/>
              <w:t>$</w:t>
            </w:r>
          </w:p>
        </w:tc>
        <w:tc>
          <w:tcPr>
            <w:tcW w:w="700" w:type="dxa"/>
            <w:tcBorders/>
            <w:shd w:fill="CCEEFF" w:val="clear"/>
            <w:tcMar>
              <w:bottom w:w="0" w:type="dxa"/>
            </w:tcMar>
            <w:vAlign w:val="center"/>
          </w:tcPr>
          <w:p>
            <w:pPr>
              <w:pStyle w:val="TableContents"/>
              <w:bidi w:val="0"/>
              <w:spacing w:before="0" w:after="283"/>
              <w:jc w:val="right"/>
              <w:rPr/>
            </w:pPr>
            <w:r>
              <w:rPr/>
              <w:t>90.32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50" w:type="dxa"/>
            <w:tcBorders/>
            <w:shd w:fill="CCEEFF" w:val="clear"/>
            <w:tcMar>
              <w:bottom w:w="0" w:type="dxa"/>
            </w:tcMar>
            <w:vAlign w:val="center"/>
          </w:tcPr>
          <w:p>
            <w:pPr>
              <w:pStyle w:val="TableContents"/>
              <w:bidi w:val="0"/>
              <w:spacing w:before="0" w:after="283"/>
              <w:jc w:val="center"/>
              <w:rPr/>
            </w:pPr>
            <w:r>
              <w:rPr/>
              <w:t>Open Market Sale</w:t>
            </w:r>
          </w:p>
        </w:tc>
      </w:tr>
      <w:tr>
        <w:trPr/>
        <w:tc>
          <w:tcPr>
            <w:tcW w:w="1805" w:type="dxa"/>
            <w:tcBorders/>
            <w:shd w:fill="FFFFFF" w:val="clear"/>
            <w:tcMar>
              <w:bottom w:w="0" w:type="dxa"/>
            </w:tcMar>
            <w:vAlign w:val="center"/>
          </w:tcPr>
          <w:p>
            <w:pPr>
              <w:pStyle w:val="TableContents"/>
              <w:bidi w:val="0"/>
              <w:spacing w:before="0" w:after="283"/>
              <w:jc w:val="left"/>
              <w:rPr/>
            </w:pPr>
            <w:r>
              <w:rPr/>
              <w:t>8/19/2026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9" w:type="dxa"/>
            <w:tcBorders/>
            <w:shd w:fill="FFFFFF" w:val="clear"/>
            <w:tcMar>
              <w:bottom w:w="0" w:type="dxa"/>
            </w:tcMar>
            <w:vAlign w:val="center"/>
          </w:tcPr>
          <w:p>
            <w:pPr>
              <w:pStyle w:val="TableContents"/>
              <w:bidi w:val="0"/>
              <w:spacing w:before="0" w:after="283"/>
              <w:jc w:val="left"/>
              <w:rPr/>
            </w:pPr>
            <w:r>
              <w:rPr/>
              <w:t> </w:t>
            </w:r>
          </w:p>
        </w:tc>
        <w:tc>
          <w:tcPr>
            <w:tcW w:w="2000" w:type="dxa"/>
            <w:tcBorders/>
            <w:shd w:fill="FFFFFF" w:val="clear"/>
            <w:tcMar>
              <w:bottom w:w="0" w:type="dxa"/>
            </w:tcMar>
            <w:vAlign w:val="center"/>
          </w:tcPr>
          <w:p>
            <w:pPr>
              <w:pStyle w:val="TableContents"/>
              <w:bidi w:val="0"/>
              <w:spacing w:before="0" w:after="283"/>
              <w:jc w:val="right"/>
              <w:rPr/>
            </w:pPr>
            <w:r>
              <w:rPr/>
              <w:t>150,000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5" w:type="dxa"/>
            <w:tcBorders/>
            <w:shd w:fill="FFFFFF" w:val="clear"/>
            <w:tcMar>
              <w:bottom w:w="0" w:type="dxa"/>
            </w:tcMar>
            <w:vAlign w:val="center"/>
          </w:tcPr>
          <w:p>
            <w:pPr>
              <w:pStyle w:val="TableContents"/>
              <w:bidi w:val="0"/>
              <w:spacing w:before="0" w:after="283"/>
              <w:jc w:val="left"/>
              <w:rPr/>
            </w:pPr>
            <w:r>
              <w:rPr/>
              <w:t>$</w:t>
            </w:r>
          </w:p>
        </w:tc>
        <w:tc>
          <w:tcPr>
            <w:tcW w:w="700" w:type="dxa"/>
            <w:tcBorders/>
            <w:shd w:fill="FFFFFF" w:val="clear"/>
            <w:tcMar>
              <w:bottom w:w="0" w:type="dxa"/>
            </w:tcMar>
            <w:vAlign w:val="center"/>
          </w:tcPr>
          <w:p>
            <w:pPr>
              <w:pStyle w:val="TableContents"/>
              <w:bidi w:val="0"/>
              <w:spacing w:before="0" w:after="283"/>
              <w:jc w:val="right"/>
              <w:rPr/>
            </w:pPr>
            <w:r>
              <w:rPr/>
              <w:t>90.13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50" w:type="dxa"/>
            <w:tcBorders/>
            <w:shd w:fill="FFFFFF" w:val="clear"/>
            <w:tcMar>
              <w:bottom w:w="0" w:type="dxa"/>
            </w:tcMar>
            <w:vAlign w:val="center"/>
          </w:tcPr>
          <w:p>
            <w:pPr>
              <w:pStyle w:val="TableContents"/>
              <w:bidi w:val="0"/>
              <w:spacing w:before="0" w:after="283"/>
              <w:jc w:val="center"/>
              <w:rPr/>
            </w:pPr>
            <w:r>
              <w:rPr/>
              <w:t>Open Market Sale</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1917</Words>
  <Characters>9913</Characters>
  <CharactersWithSpaces>11706</CharactersWithSpaces>
  <Paragraphs>348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