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22.jpeg" ContentType="image/jpeg"/>
  <Override PartName="/word/media/image12.jpeg" ContentType="image/jpeg"/>
  <Override PartName="/word/media/image10.jpeg" ContentType="image/jpeg"/>
  <Override PartName="/word/media/image8.jpeg" ContentType="image/jpeg"/>
  <Override PartName="/word/media/image29.jpeg" ContentType="image/jpeg"/>
  <Override PartName="/word/media/image13.jpeg" ContentType="image/jpeg"/>
  <Override PartName="/word/media/image11.jpeg" ContentType="image/jpeg"/>
  <Override PartName="/word/media/image9.jpeg" ContentType="image/jpeg"/>
  <Override PartName="/word/media/image30.jpeg" ContentType="image/jpeg"/>
  <Override PartName="/word/media/image37.jpeg" ContentType="image/jpeg"/>
  <Override PartName="/word/media/image3.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33.jpeg" ContentType="image/jpeg"/>
  <Override PartName="/word/media/image6.jpeg" ContentType="image/jpeg"/>
  <Override PartName="/word/media/image27.jpeg" ContentType="image/jpeg"/>
  <Override PartName="/word/media/image34.jpeg" ContentType="image/jpeg"/>
  <Override PartName="/word/media/image38.jpeg" ContentType="image/jpeg"/>
  <Override PartName="/word/media/image7.jpeg" ContentType="image/jpeg"/>
  <Override PartName="/word/media/image28.jpeg" ContentType="image/jpeg"/>
  <Override PartName="/word/media/image36.jpeg" ContentType="image/jpeg"/>
  <Override PartName="/word/media/image2.jpeg" ContentType="image/jpeg"/>
  <Override PartName="/word/media/image23.jpeg" ContentType="image/jpeg"/>
  <Override PartName="/word/media/image35.jpeg" ContentType="image/jpeg"/>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Arial;sans-serif" w:hAnsi="Arial;sans-serif"/>
          <w:b/>
          <w:color w:val="000000"/>
          <w:sz w:val="24"/>
        </w:rPr>
      </w:pPr>
      <w:r>
        <w:rPr>
          <w:rFonts w:ascii="Arial;sans-serif" w:hAnsi="Arial;sans-serif"/>
          <w:b/>
          <w:color w:val="000000"/>
          <w:sz w:val="24"/>
        </w:rPr>
        <w:t>UNITED STATES</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SECURITIES AND EXCHANGE COMMISSION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Washington, D.C. 20549</w:t>
      </w:r>
    </w:p>
    <w:p>
      <w:pPr>
        <w:pStyle w:val="TextBody"/>
        <w:bidi w:val="0"/>
        <w:spacing w:lineRule="auto" w:line="288" w:before="0" w:after="0"/>
        <w:jc w:val="center"/>
        <w:rPr>
          <w:rFonts w:ascii="Arial;sans-serif" w:hAnsi="Arial;sans-serif"/>
          <w:b w:val="false"/>
          <w:color w:val="000000"/>
          <w:sz w:val="14"/>
        </w:rPr>
      </w:pPr>
      <w:r>
        <w:rPr>
          <w:rFonts w:ascii="Arial;sans-serif" w:hAnsi="Arial;sans-serif"/>
          <w:b w:val="false"/>
          <w:color w:val="000000"/>
          <w:sz w:val="14"/>
        </w:rPr>
        <w:t>__________________________________________</w:t>
      </w:r>
    </w:p>
    <w:p>
      <w:pPr>
        <w:pStyle w:val="TextBody"/>
        <w:bidi w:val="0"/>
        <w:spacing w:lineRule="auto" w:line="288" w:before="120" w:after="283"/>
        <w:jc w:val="center"/>
        <w:rPr>
          <w:rFonts w:ascii="Arial;sans-serif" w:hAnsi="Arial;sans-serif"/>
          <w:b/>
          <w:color w:val="000000"/>
          <w:sz w:val="28"/>
        </w:rPr>
      </w:pPr>
      <w:r>
        <w:rPr>
          <w:rFonts w:ascii="Arial;sans-serif" w:hAnsi="Arial;sans-serif"/>
          <w:b/>
          <w:color w:val="000000"/>
          <w:sz w:val="28"/>
        </w:rPr>
        <w:t xml:space="preserve">Form 8-K </w:t>
      </w:r>
    </w:p>
    <w:tbl>
      <w:tblPr>
        <w:tblW w:w="7420" w:type="dxa"/>
        <w:jc w:val="center"/>
        <w:tblInd w:w="0" w:type="dxa"/>
        <w:tblLayout w:type="fixed"/>
        <w:tblCellMar>
          <w:top w:w="28" w:type="dxa"/>
          <w:left w:w="28" w:type="dxa"/>
          <w:bottom w:w="28" w:type="dxa"/>
          <w:right w:w="28" w:type="dxa"/>
        </w:tblCellMar>
      </w:tblPr>
      <w:tblGrid>
        <w:gridCol w:w="1526"/>
        <w:gridCol w:w="1337"/>
        <w:gridCol w:w="1337"/>
        <w:gridCol w:w="936"/>
        <w:gridCol w:w="936"/>
        <w:gridCol w:w="1348"/>
      </w:tblGrid>
      <w:tr>
        <w:trPr/>
        <w:tc>
          <w:tcPr>
            <w:tcW w:w="1526"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r>
      <w:tr>
        <w:trPr/>
        <w:tc>
          <w:tcPr>
            <w:tcW w:w="742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CURRENT REPORT</w:t>
            </w:r>
          </w:p>
        </w:tc>
      </w:tr>
      <w:tr>
        <w:trPr/>
        <w:tc>
          <w:tcPr>
            <w:tcW w:w="742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Pursuant to Section 13 or 15(d) of the Securities Exchange Act of 1934</w:t>
            </w:r>
          </w:p>
        </w:tc>
      </w:tr>
      <w:tr>
        <w:trPr/>
        <w:tc>
          <w:tcPr>
            <w:tcW w:w="742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Date of Report (Date of earliest event reported):</w:t>
            </w:r>
          </w:p>
        </w:tc>
        <w:tc>
          <w:tcPr>
            <w:tcW w:w="32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July 29, 2026</w:t>
            </w:r>
          </w:p>
        </w:tc>
      </w:tr>
    </w:tbl>
    <w:p>
      <w:pPr>
        <w:pStyle w:val="TextBody"/>
        <w:bidi w:val="0"/>
        <w:spacing w:lineRule="auto" w:line="288" w:before="0" w:after="0"/>
        <w:jc w:val="center"/>
        <w:rPr>
          <w:rFonts w:ascii="Arial;sans-serif" w:hAnsi="Arial;sans-serif"/>
          <w:b w:val="false"/>
          <w:color w:val="000000"/>
          <w:sz w:val="14"/>
        </w:rPr>
      </w:pPr>
      <w:r>
        <w:rPr>
          <w:rFonts w:ascii="Arial;sans-serif" w:hAnsi="Arial;sans-serif"/>
          <w:b w:val="false"/>
          <w:color w:val="000000"/>
          <w:sz w:val="14"/>
        </w:rPr>
        <w:t>__________________________________________</w:t>
      </w:r>
    </w:p>
    <w:p>
      <w:pPr>
        <w:pStyle w:val="TextBody"/>
        <w:bidi w:val="0"/>
        <w:spacing w:lineRule="auto" w:line="288" w:before="0" w:after="0"/>
        <w:jc w:val="center"/>
        <w:rPr>
          <w:rFonts w:ascii="Arial;sans-serif" w:hAnsi="Arial;sans-serif"/>
          <w:b/>
          <w:color w:val="000000"/>
          <w:sz w:val="40"/>
        </w:rPr>
      </w:pPr>
      <w:r>
        <w:rPr>
          <w:rFonts w:ascii="Arial;sans-serif" w:hAnsi="Arial;sans-serif"/>
          <w:b/>
          <w:color w:val="000000"/>
          <w:sz w:val="40"/>
        </w:rPr>
        <w:t xml:space="preserve">Cimpress plc </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(Exact Name of Registrant as Specified in Its Charter)</w:t>
      </w:r>
    </w:p>
    <w:p>
      <w:pPr>
        <w:pStyle w:val="TextBody"/>
        <w:bidi w:val="0"/>
        <w:spacing w:lineRule="auto" w:line="288" w:before="0" w:after="0"/>
        <w:jc w:val="center"/>
        <w:rPr>
          <w:rFonts w:ascii="Arial;sans-serif" w:hAnsi="Arial;sans-serif"/>
          <w:b w:val="false"/>
          <w:color w:val="000000"/>
          <w:sz w:val="14"/>
        </w:rPr>
      </w:pPr>
      <w:r>
        <w:rPr>
          <w:rFonts w:ascii="Arial;sans-serif" w:hAnsi="Arial;sans-serif"/>
          <w:b w:val="false"/>
          <w:color w:val="000000"/>
          <w:sz w:val="14"/>
        </w:rPr>
        <w:t>__________________________________________</w:t>
      </w:r>
    </w:p>
    <w:tbl>
      <w:tblPr>
        <w:tblW w:w="9410" w:type="dxa"/>
        <w:jc w:val="center"/>
        <w:tblInd w:w="0" w:type="dxa"/>
        <w:tblLayout w:type="fixed"/>
        <w:tblCellMar>
          <w:top w:w="28" w:type="dxa"/>
          <w:left w:w="28" w:type="dxa"/>
          <w:bottom w:w="28" w:type="dxa"/>
          <w:right w:w="28" w:type="dxa"/>
        </w:tblCellMar>
      </w:tblPr>
      <w:tblGrid>
        <w:gridCol w:w="414"/>
        <w:gridCol w:w="362"/>
        <w:gridCol w:w="362"/>
        <w:gridCol w:w="835"/>
        <w:gridCol w:w="835"/>
        <w:gridCol w:w="850"/>
        <w:gridCol w:w="109"/>
        <w:gridCol w:w="109"/>
        <w:gridCol w:w="109"/>
        <w:gridCol w:w="762"/>
        <w:gridCol w:w="762"/>
        <w:gridCol w:w="770"/>
        <w:gridCol w:w="109"/>
        <w:gridCol w:w="109"/>
        <w:gridCol w:w="109"/>
        <w:gridCol w:w="818"/>
        <w:gridCol w:w="818"/>
        <w:gridCol w:w="1168"/>
      </w:tblGrid>
      <w:tr>
        <w:trPr/>
        <w:tc>
          <w:tcPr>
            <w:tcW w:w="414"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r>
      <w:tr>
        <w:trPr/>
        <w:tc>
          <w:tcPr>
            <w:tcW w:w="1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Ireland</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000-51539</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98-0417483</w:t>
            </w:r>
          </w:p>
        </w:tc>
      </w:tr>
      <w:tr>
        <w:trPr/>
        <w:tc>
          <w:tcPr>
            <w:tcW w:w="365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(State or Other Jurisdiction of Incorporation)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(Commission File 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(IRS Employer Identification No.)</w:t>
            </w:r>
          </w:p>
        </w:tc>
      </w:tr>
    </w:tbl>
    <w:tbl>
      <w:tblPr>
        <w:tblW w:w="7155" w:type="dxa"/>
        <w:jc w:val="center"/>
        <w:tblInd w:w="0" w:type="dxa"/>
        <w:tblLayout w:type="fixed"/>
        <w:tblCellMar>
          <w:top w:w="28" w:type="dxa"/>
          <w:left w:w="28" w:type="dxa"/>
          <w:bottom w:w="28" w:type="dxa"/>
          <w:right w:w="28" w:type="dxa"/>
        </w:tblCellMar>
      </w:tblPr>
      <w:tblGrid>
        <w:gridCol w:w="788"/>
        <w:gridCol w:w="691"/>
        <w:gridCol w:w="696"/>
        <w:gridCol w:w="1314"/>
        <w:gridCol w:w="1314"/>
        <w:gridCol w:w="1317"/>
        <w:gridCol w:w="302"/>
        <w:gridCol w:w="302"/>
        <w:gridCol w:w="431"/>
      </w:tblGrid>
      <w:tr>
        <w:trPr/>
        <w:tc>
          <w:tcPr>
            <w:tcW w:w="788"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First Floor Building 3,</w:t>
            </w:r>
          </w:p>
        </w:tc>
        <w:tc>
          <w:tcPr>
            <w:tcW w:w="39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Finnabair Business and Technology Park</w:t>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A91 XR61</w:t>
            </w:r>
          </w:p>
        </w:tc>
      </w:tr>
      <w:tr>
        <w:trPr/>
        <w:tc>
          <w:tcPr>
            <w:tcW w:w="612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Dundalk, Co. Louth</w:t>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Ireland</w:t>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(Address of Principal Executive Offices)</w:t>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 xml:space="preserve">Registrant’s telephone number, including area code: +353 42 938 8500 </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 applicable</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(Former Name or Former Address, if Changed Since Last Report)</w:t>
      </w:r>
    </w:p>
    <w:p>
      <w:pPr>
        <w:pStyle w:val="TextBody"/>
        <w:bidi w:val="0"/>
        <w:spacing w:lineRule="auto" w:line="288" w:before="0" w:after="0"/>
        <w:jc w:val="center"/>
        <w:rPr>
          <w:rFonts w:ascii="Arial;sans-serif" w:hAnsi="Arial;sans-serif"/>
          <w:b w:val="false"/>
          <w:color w:val="000000"/>
          <w:sz w:val="14"/>
        </w:rPr>
      </w:pPr>
      <w:r>
        <w:rPr>
          <w:rFonts w:ascii="Arial;sans-serif" w:hAnsi="Arial;sans-serif"/>
          <w:b w:val="false"/>
          <w:color w:val="000000"/>
          <w:sz w:val="14"/>
        </w:rPr>
        <w:t>__________________________________________</w:t>
      </w:r>
    </w:p>
    <w:tbl>
      <w:tblPr>
        <w:tblW w:w="10205" w:type="dxa"/>
        <w:jc w:val="center"/>
        <w:tblInd w:w="0" w:type="dxa"/>
        <w:tblLayout w:type="fixed"/>
        <w:tblCellMar>
          <w:top w:w="28" w:type="dxa"/>
          <w:left w:w="28" w:type="dxa"/>
          <w:bottom w:w="28" w:type="dxa"/>
          <w:right w:w="28" w:type="dxa"/>
        </w:tblCellMar>
      </w:tblPr>
      <w:tblGrid>
        <w:gridCol w:w="732"/>
        <w:gridCol w:w="643"/>
        <w:gridCol w:w="643"/>
        <w:gridCol w:w="838"/>
        <w:gridCol w:w="643"/>
        <w:gridCol w:w="643"/>
        <w:gridCol w:w="643"/>
        <w:gridCol w:w="643"/>
        <w:gridCol w:w="643"/>
        <w:gridCol w:w="643"/>
        <w:gridCol w:w="643"/>
        <w:gridCol w:w="643"/>
        <w:gridCol w:w="643"/>
        <w:gridCol w:w="643"/>
        <w:gridCol w:w="919"/>
      </w:tblGrid>
      <w:tr>
        <w:trPr/>
        <w:tc>
          <w:tcPr>
            <w:tcW w:w="732"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Check the appropriate box below if the Form 8-K filing is intended to simultaneously satisfy the filing obligation of the registrant under any of the following provisions (see General Instruction A.2. below):</w:t>
            </w:r>
          </w:p>
        </w:tc>
      </w:tr>
      <w:tr>
        <w:trPr/>
        <w:tc>
          <w:tcPr>
            <w:tcW w:w="2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7"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187"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Written communications pursuant to Rule 425 under the Securities Act (17 CFR 230.425)</w:t>
            </w:r>
          </w:p>
        </w:tc>
      </w:tr>
      <w:tr>
        <w:trPr/>
        <w:tc>
          <w:tcPr>
            <w:tcW w:w="2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7"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187"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Soliciting material pursuant to Rule 14a-12 under the Exchange Act (17 CFR 240.14a-12)</w:t>
            </w:r>
          </w:p>
        </w:tc>
      </w:tr>
      <w:tr>
        <w:trPr/>
        <w:tc>
          <w:tcPr>
            <w:tcW w:w="2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7"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187"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Pre-commencement communications pursuant to Rule 14d-2(b) under the Exchange Act (17 CFR 240.14d-2(b))</w:t>
            </w:r>
          </w:p>
        </w:tc>
      </w:tr>
      <w:tr>
        <w:trPr/>
        <w:tc>
          <w:tcPr>
            <w:tcW w:w="2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7"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187"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Pre-commencement communications pursuant to Rule 13e-4(c) under the Exchange Act (17 CFR 240.13e-4(c))</w:t>
            </w:r>
          </w:p>
        </w:tc>
      </w:tr>
    </w:tbl>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Indicate by check mark whether the registrant is an emerging growth company, as defined in Rule 405 of the Securities Act of 1933 (§230.405 of this chapter) or Rule 12b-2 of the Securities Exchange Act of 1934 (§240.12b-2 of this chapter).</w:t>
      </w:r>
    </w:p>
    <w:tbl>
      <w:tblPr>
        <w:tblW w:w="2682" w:type="dxa"/>
        <w:jc w:val="left"/>
        <w:tblInd w:w="0" w:type="dxa"/>
        <w:tblLayout w:type="fixed"/>
        <w:tblCellMar>
          <w:top w:w="28" w:type="dxa"/>
          <w:left w:w="28" w:type="dxa"/>
          <w:bottom w:w="28" w:type="dxa"/>
          <w:right w:w="28" w:type="dxa"/>
        </w:tblCellMar>
      </w:tblPr>
      <w:tblGrid>
        <w:gridCol w:w="837"/>
        <w:gridCol w:w="734"/>
        <w:gridCol w:w="739"/>
        <w:gridCol w:w="109"/>
        <w:gridCol w:w="109"/>
        <w:gridCol w:w="154"/>
      </w:tblGrid>
      <w:tr>
        <w:trPr/>
        <w:tc>
          <w:tcPr>
            <w:tcW w:w="837"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140" w:after="283"/>
        <w:jc w:val="left"/>
        <w:rPr/>
      </w:pPr>
      <w:r>
        <w:rPr>
          <w:rFonts w:ascii="Arial;sans-serif" w:hAnsi="Arial;sans-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w:t>
      </w:r>
    </w:p>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 xml:space="preserve">Securities registered pursuant to Section 12(b) of the Act: </w:t>
      </w:r>
    </w:p>
    <w:tbl>
      <w:tblPr>
        <w:tblW w:w="9261" w:type="dxa"/>
        <w:jc w:val="left"/>
        <w:tblInd w:w="0" w:type="dxa"/>
        <w:tblLayout w:type="fixed"/>
        <w:tblCellMar>
          <w:top w:w="28" w:type="dxa"/>
          <w:left w:w="28" w:type="dxa"/>
          <w:bottom w:w="28" w:type="dxa"/>
          <w:right w:w="28" w:type="dxa"/>
        </w:tblCellMar>
      </w:tblPr>
      <w:tblGrid>
        <w:gridCol w:w="1531"/>
        <w:gridCol w:w="1344"/>
        <w:gridCol w:w="1354"/>
        <w:gridCol w:w="109"/>
        <w:gridCol w:w="109"/>
        <w:gridCol w:w="109"/>
        <w:gridCol w:w="424"/>
        <w:gridCol w:w="424"/>
        <w:gridCol w:w="426"/>
        <w:gridCol w:w="109"/>
        <w:gridCol w:w="109"/>
        <w:gridCol w:w="109"/>
        <w:gridCol w:w="420"/>
        <w:gridCol w:w="420"/>
        <w:gridCol w:w="420"/>
        <w:gridCol w:w="539"/>
        <w:gridCol w:w="539"/>
        <w:gridCol w:w="766"/>
      </w:tblGrid>
      <w:tr>
        <w:trPr/>
        <w:tc>
          <w:tcPr>
            <w:tcW w:w="1531"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r>
      <w:tr>
        <w:trPr/>
        <w:tc>
          <w:tcPr>
            <w:tcW w:w="4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Trading Symbol(s)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10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Name of Exchange on Which Registered</w:t>
            </w:r>
          </w:p>
        </w:tc>
      </w:tr>
      <w:tr>
        <w:trPr/>
        <w:tc>
          <w:tcPr>
            <w:tcW w:w="4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Ordinary Shares, nominal value per share of €0.01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CMPR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NASDAQ</w:t>
            </w:r>
          </w:p>
        </w:tc>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Global Select Market</w:t>
            </w:r>
          </w:p>
        </w:tc>
      </w:tr>
    </w:tbl>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20"/>
        </w:rPr>
        <w:t>Item 2.02.    Results of Operations and Financial Condition</w:t>
      </w:r>
      <w:r>
        <w:rPr>
          <w:color w:val="000000"/>
        </w:rPr>
        <w:t xml:space="preserve"> </w:t>
      </w:r>
    </w:p>
    <w:p>
      <w:pPr>
        <w:pStyle w:val="TextBody"/>
        <w:bidi w:val="0"/>
        <w:spacing w:lineRule="auto" w:line="288" w:before="0" w:after="0"/>
        <w:jc w:val="left"/>
        <w:rPr>
          <w:color w:val="000000"/>
        </w:rPr>
      </w:pPr>
      <w:r>
        <w:rPr>
          <w:color w:val="000000"/>
        </w:rPr>
        <w:t xml:space="preserve">  </w:t>
      </w:r>
    </w:p>
    <w:p>
      <w:pPr>
        <w:pStyle w:val="TextBody"/>
        <w:bidi w:val="0"/>
        <w:spacing w:lineRule="auto" w:line="288" w:before="0" w:after="0"/>
        <w:ind w:left="0" w:right="0" w:firstLine="495"/>
        <w:jc w:val="left"/>
        <w:rPr>
          <w:rFonts w:ascii="Arial;sans-serif" w:hAnsi="Arial;sans-serif"/>
          <w:b w:val="false"/>
          <w:color w:val="000000"/>
          <w:sz w:val="20"/>
        </w:rPr>
      </w:pPr>
      <w:r>
        <w:rPr>
          <w:rFonts w:ascii="Arial;sans-serif" w:hAnsi="Arial;sans-serif"/>
          <w:b w:val="false"/>
          <w:color w:val="000000"/>
          <w:sz w:val="20"/>
        </w:rPr>
        <w:t xml:space="preserve">On July 29, 2026, Cimpress plc posted on its web site its Q4 &amp; Fiscal Year 2026 Quarterly Earnings Document announcing and discussing its financial results for the fiscal quarter and year ended June 30, 2026. The full text of the earnings document is furnished as Exhibit 99.1 to this report. </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Arial;sans-serif" w:hAnsi="Arial;sans-serif"/>
          <w:b w:val="false"/>
          <w:color w:val="000000"/>
          <w:sz w:val="20"/>
        </w:rPr>
      </w:pPr>
      <w:r>
        <w:rPr>
          <w:rFonts w:ascii="Arial;sans-serif" w:hAnsi="Arial;sans-serif"/>
          <w:b w:val="false"/>
          <w:color w:val="000000"/>
          <w:sz w:val="20"/>
        </w:rPr>
        <w:t xml:space="preserve">The information in this Item 2.02 and the exhibit to this report are not "filed" for purposes of Section 18 of the Securities Exchange Act of 1934 or otherwise subject to the liabilities of that section, nor are they incorporated by reference in any filing under the Securities Act of 1933 or the Securities Exchange Act of 1934, except as expressly set forth by specific reference in such a filing.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20"/>
        </w:rPr>
        <w:t>Item 9.01.    Financial Statements and Exhibits</w:t>
      </w:r>
      <w:r>
        <w:rPr>
          <w:color w:val="000000"/>
        </w:rPr>
        <w:t xml:space="preserve">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20"/>
        </w:rPr>
        <w:t>(d)</w:t>
      </w:r>
      <w:r>
        <w:rPr>
          <w:color w:val="000000"/>
        </w:rPr>
        <w:t>    </w:t>
      </w:r>
      <w:r>
        <w:rPr>
          <w:rFonts w:ascii="Arial;sans-serif" w:hAnsi="Arial;sans-serif"/>
          <w:b/>
          <w:color w:val="000000"/>
          <w:sz w:val="20"/>
        </w:rPr>
        <w:t>Exhibits</w:t>
      </w:r>
    </w:p>
    <w:tbl>
      <w:tblPr>
        <w:tblW w:w="7513" w:type="dxa"/>
        <w:jc w:val="left"/>
        <w:tblInd w:w="0" w:type="dxa"/>
        <w:tblLayout w:type="fixed"/>
        <w:tblCellMar>
          <w:top w:w="28" w:type="dxa"/>
          <w:left w:w="28" w:type="dxa"/>
          <w:bottom w:w="28" w:type="dxa"/>
          <w:right w:w="28" w:type="dxa"/>
        </w:tblCellMar>
      </w:tblPr>
      <w:tblGrid>
        <w:gridCol w:w="239"/>
        <w:gridCol w:w="210"/>
        <w:gridCol w:w="212"/>
        <w:gridCol w:w="109"/>
        <w:gridCol w:w="109"/>
        <w:gridCol w:w="109"/>
        <w:gridCol w:w="1902"/>
        <w:gridCol w:w="1902"/>
        <w:gridCol w:w="2721"/>
      </w:tblGrid>
      <w:tr>
        <w:trPr/>
        <w:tc>
          <w:tcPr>
            <w:tcW w:w="23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2" w:type="dxa"/>
            <w:tcBorders/>
            <w:vAlign w:val="center"/>
          </w:tcPr>
          <w:p>
            <w:pPr>
              <w:pStyle w:val="TableContents"/>
              <w:bidi w:val="0"/>
              <w:spacing w:before="0" w:after="283"/>
              <w:jc w:val="left"/>
              <w:rPr>
                <w:sz w:val="4"/>
                <w:szCs w:val="4"/>
              </w:rPr>
            </w:pPr>
            <w:r>
              <w:rPr>
                <w:sz w:val="4"/>
                <w:szCs w:val="4"/>
              </w:rPr>
            </w:r>
          </w:p>
        </w:tc>
        <w:tc>
          <w:tcPr>
            <w:tcW w:w="1902" w:type="dxa"/>
            <w:tcBorders/>
            <w:vAlign w:val="center"/>
          </w:tcPr>
          <w:p>
            <w:pPr>
              <w:pStyle w:val="TableContents"/>
              <w:bidi w:val="0"/>
              <w:spacing w:before="0" w:after="283"/>
              <w:jc w:val="left"/>
              <w:rPr>
                <w:sz w:val="4"/>
                <w:szCs w:val="4"/>
              </w:rPr>
            </w:pPr>
            <w:r>
              <w:rPr>
                <w:sz w:val="4"/>
                <w:szCs w:val="4"/>
              </w:rPr>
            </w:r>
          </w:p>
        </w:tc>
        <w:tc>
          <w:tcPr>
            <w:tcW w:w="2721" w:type="dxa"/>
            <w:tcBorders/>
            <w:vAlign w:val="center"/>
          </w:tcPr>
          <w:p>
            <w:pPr>
              <w:pStyle w:val="TableContents"/>
              <w:bidi w:val="0"/>
              <w:spacing w:before="0" w:after="283"/>
              <w:jc w:val="left"/>
              <w:rPr>
                <w:sz w:val="4"/>
                <w:szCs w:val="4"/>
              </w:rPr>
            </w:pPr>
            <w:r>
              <w:rPr>
                <w:sz w:val="4"/>
                <w:szCs w:val="4"/>
              </w:rPr>
            </w:r>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Exhibit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Description</w:t>
            </w:r>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4_fy26quarterlyearnings.htm">
              <w:r>
                <w:rPr>
                  <w:rStyle w:val="InternetLink"/>
                  <w:rFonts w:ascii="Arial;sans-serif" w:hAnsi="Arial;sans-serif"/>
                  <w:b w:val="false"/>
                  <w:color w:val="0000FF"/>
                  <w:sz w:val="20"/>
                  <w:u w:val="single"/>
                </w:rPr>
                <w:t>Q4 &amp; Fiscal Year 2026 Quarterly Earnings Document dated July 29, 2026</w:t>
              </w:r>
            </w:hyperlink>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Cover Page Interactive Data File, formatted in iXBRL</w:t>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SIGNATURE</w:t>
      </w:r>
    </w:p>
    <w:p>
      <w:pPr>
        <w:pStyle w:val="TextBody"/>
        <w:bidi w:val="0"/>
        <w:spacing w:before="0" w:after="0"/>
        <w:jc w:val="center"/>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hereunto duly authorized.</w:t>
      </w:r>
    </w:p>
    <w:tbl>
      <w:tblPr>
        <w:tblW w:w="3179" w:type="dxa"/>
        <w:jc w:val="center"/>
        <w:tblInd w:w="0" w:type="dxa"/>
        <w:tblLayout w:type="fixed"/>
        <w:tblCellMar>
          <w:top w:w="28" w:type="dxa"/>
          <w:left w:w="28" w:type="dxa"/>
          <w:bottom w:w="28" w:type="dxa"/>
          <w:right w:w="28" w:type="dxa"/>
        </w:tblCellMar>
      </w:tblPr>
      <w:tblGrid>
        <w:gridCol w:w="467"/>
        <w:gridCol w:w="410"/>
        <w:gridCol w:w="413"/>
        <w:gridCol w:w="552"/>
        <w:gridCol w:w="552"/>
        <w:gridCol w:w="785"/>
      </w:tblGrid>
      <w:tr>
        <w:trPr/>
        <w:tc>
          <w:tcPr>
            <w:tcW w:w="467"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r>
      <w:tr>
        <w:trPr/>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July 29, 2026</w:t>
            </w:r>
          </w:p>
        </w:tc>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Cimpress plc          </w:t>
            </w:r>
          </w:p>
        </w:tc>
      </w:tr>
    </w:tbl>
    <w:tbl>
      <w:tblPr>
        <w:tblW w:w="5396" w:type="dxa"/>
        <w:jc w:val="left"/>
        <w:tblInd w:w="0" w:type="dxa"/>
        <w:tblLayout w:type="fixed"/>
        <w:tblCellMar>
          <w:top w:w="28" w:type="dxa"/>
          <w:left w:w="28" w:type="dxa"/>
          <w:bottom w:w="28" w:type="dxa"/>
          <w:right w:w="28" w:type="dxa"/>
        </w:tblCellMar>
      </w:tblPr>
      <w:tblGrid>
        <w:gridCol w:w="124"/>
        <w:gridCol w:w="109"/>
        <w:gridCol w:w="109"/>
        <w:gridCol w:w="154"/>
        <w:gridCol w:w="154"/>
        <w:gridCol w:w="156"/>
        <w:gridCol w:w="1340"/>
        <w:gridCol w:w="1340"/>
        <w:gridCol w:w="19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19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 </w:t>
            </w:r>
          </w:p>
        </w:tc>
        <w:tc>
          <w:tcPr>
            <w:tcW w:w="4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 Sean E. Quinn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Sean E. Quinn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Executive Vice President and Chief Financial Officer</w:t>
            </w:r>
          </w:p>
        </w:tc>
      </w:tr>
    </w:tbl>
    <w:p>
      <w:pPr>
        <w:pStyle w:val="TextBody"/>
        <w:bidi w:val="0"/>
        <w:jc w:val="center"/>
        <w:rPr/>
      </w:pPr>
      <w:r>
        <w:rPr/>
      </w:r>
    </w:p>
    <w:p>
      <w:pPr>
        <w:pStyle w:val="TextBody"/>
        <w:bidi w:val="0"/>
        <w:jc w:val="center"/>
        <w:rPr/>
      </w:pPr>
      <w:bookmarkStart w:id="0" w:name="q4_fy26quarterlyearnings.htm"/>
      <w:bookmarkStart w:id="1" w:name="ksq4_fy26quarterlyearnings"/>
      <w:bookmarkEnd w:id="0"/>
      <w:bookmarkEnd w:id="1"/>
      <w:r>
        <w:rPr/>
        <w:drawing>
          <wp:inline distT="0" distB="0" distL="0" distR="0">
            <wp:extent cx="10048875" cy="13001625"/>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 descr=""/>
                    <pic:cNvPicPr>
                      <a:picLocks noChangeAspect="1" noChangeArrowheads="1"/>
                    </pic:cNvPicPr>
                  </pic:nvPicPr>
                  <pic:blipFill>
                    <a:blip r:embed="rId4"/>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4" descr=""/>
                    <pic:cNvPicPr>
                      <a:picLocks noChangeAspect="1" noChangeArrowheads="1"/>
                    </pic:cNvPicPr>
                  </pic:nvPicPr>
                  <pic:blipFill>
                    <a:blip r:embed="rId5"/>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8"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5"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9"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6" descr=""/>
                    <pic:cNvPicPr>
                      <a:picLocks noChangeAspect="1" noChangeArrowheads="1"/>
                    </pic:cNvPicPr>
                  </pic:nvPicPr>
                  <pic:blipFill>
                    <a:blip r:embed="rId7"/>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0"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7"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1"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8" descr=""/>
                    <pic:cNvPicPr>
                      <a:picLocks noChangeAspect="1" noChangeArrowheads="1"/>
                    </pic:cNvPicPr>
                  </pic:nvPicPr>
                  <pic:blipFill>
                    <a:blip r:embed="rId9"/>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2"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9" descr=""/>
                    <pic:cNvPicPr>
                      <a:picLocks noChangeAspect="1" noChangeArrowheads="1"/>
                    </pic:cNvPicPr>
                  </pic:nvPicPr>
                  <pic:blipFill>
                    <a:blip r:embed="rId10"/>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3"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0" descr=""/>
                    <pic:cNvPicPr>
                      <a:picLocks noChangeAspect="1" noChangeArrowheads="1"/>
                    </pic:cNvPicPr>
                  </pic:nvPicPr>
                  <pic:blipFill>
                    <a:blip r:embed="rId11"/>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4"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1" descr=""/>
                    <pic:cNvPicPr>
                      <a:picLocks noChangeAspect="1" noChangeArrowheads="1"/>
                    </pic:cNvPicPr>
                  </pic:nvPicPr>
                  <pic:blipFill>
                    <a:blip r:embed="rId12"/>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5"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2" descr=""/>
                    <pic:cNvPicPr>
                      <a:picLocks noChangeAspect="1" noChangeArrowheads="1"/>
                    </pic:cNvPicPr>
                  </pic:nvPicPr>
                  <pic:blipFill>
                    <a:blip r:embed="rId13"/>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6"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3" descr=""/>
                    <pic:cNvPicPr>
                      <a:picLocks noChangeAspect="1" noChangeArrowheads="1"/>
                    </pic:cNvPicPr>
                  </pic:nvPicPr>
                  <pic:blipFill>
                    <a:blip r:embed="rId14"/>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7"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4" descr=""/>
                    <pic:cNvPicPr>
                      <a:picLocks noChangeAspect="1" noChangeArrowheads="1"/>
                    </pic:cNvPicPr>
                  </pic:nvPicPr>
                  <pic:blipFill>
                    <a:blip r:embed="rId15"/>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8"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5" descr=""/>
                    <pic:cNvPicPr>
                      <a:picLocks noChangeAspect="1" noChangeArrowheads="1"/>
                    </pic:cNvPicPr>
                  </pic:nvPicPr>
                  <pic:blipFill>
                    <a:blip r:embed="rId16"/>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9"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6" descr=""/>
                    <pic:cNvPicPr>
                      <a:picLocks noChangeAspect="1" noChangeArrowheads="1"/>
                    </pic:cNvPicPr>
                  </pic:nvPicPr>
                  <pic:blipFill>
                    <a:blip r:embed="rId17"/>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20"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7" descr=""/>
                    <pic:cNvPicPr>
                      <a:picLocks noChangeAspect="1" noChangeArrowheads="1"/>
                    </pic:cNvPicPr>
                  </pic:nvPicPr>
                  <pic:blipFill>
                    <a:blip r:embed="rId18"/>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21"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8" descr=""/>
                    <pic:cNvPicPr>
                      <a:picLocks noChangeAspect="1" noChangeArrowheads="1"/>
                    </pic:cNvPicPr>
                  </pic:nvPicPr>
                  <pic:blipFill>
                    <a:blip r:embed="rId19"/>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22"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9" descr=""/>
                    <pic:cNvPicPr>
                      <a:picLocks noChangeAspect="1" noChangeArrowheads="1"/>
                    </pic:cNvPicPr>
                  </pic:nvPicPr>
                  <pic:blipFill>
                    <a:blip r:embed="rId20"/>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23"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0" descr=""/>
                    <pic:cNvPicPr>
                      <a:picLocks noChangeAspect="1" noChangeArrowheads="1"/>
                    </pic:cNvPicPr>
                  </pic:nvPicPr>
                  <pic:blipFill>
                    <a:blip r:embed="rId21"/>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24"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1" descr=""/>
                    <pic:cNvPicPr>
                      <a:picLocks noChangeAspect="1" noChangeArrowheads="1"/>
                    </pic:cNvPicPr>
                  </pic:nvPicPr>
                  <pic:blipFill>
                    <a:blip r:embed="rId22"/>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25"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2" descr=""/>
                    <pic:cNvPicPr>
                      <a:picLocks noChangeAspect="1" noChangeArrowheads="1"/>
                    </pic:cNvPicPr>
                  </pic:nvPicPr>
                  <pic:blipFill>
                    <a:blip r:embed="rId23"/>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26"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3" descr=""/>
                    <pic:cNvPicPr>
                      <a:picLocks noChangeAspect="1" noChangeArrowheads="1"/>
                    </pic:cNvPicPr>
                  </pic:nvPicPr>
                  <pic:blipFill>
                    <a:blip r:embed="rId24"/>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27"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4" descr=""/>
                    <pic:cNvPicPr>
                      <a:picLocks noChangeAspect="1" noChangeArrowheads="1"/>
                    </pic:cNvPicPr>
                  </pic:nvPicPr>
                  <pic:blipFill>
                    <a:blip r:embed="rId25"/>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28"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5" descr=""/>
                    <pic:cNvPicPr>
                      <a:picLocks noChangeAspect="1" noChangeArrowheads="1"/>
                    </pic:cNvPicPr>
                  </pic:nvPicPr>
                  <pic:blipFill>
                    <a:blip r:embed="rId26"/>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29"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6" descr=""/>
                    <pic:cNvPicPr>
                      <a:picLocks noChangeAspect="1" noChangeArrowheads="1"/>
                    </pic:cNvPicPr>
                  </pic:nvPicPr>
                  <pic:blipFill>
                    <a:blip r:embed="rId27"/>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30"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7" descr=""/>
                    <pic:cNvPicPr>
                      <a:picLocks noChangeAspect="1" noChangeArrowheads="1"/>
                    </pic:cNvPicPr>
                  </pic:nvPicPr>
                  <pic:blipFill>
                    <a:blip r:embed="rId28"/>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31"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8" descr=""/>
                    <pic:cNvPicPr>
                      <a:picLocks noChangeAspect="1" noChangeArrowheads="1"/>
                    </pic:cNvPicPr>
                  </pic:nvPicPr>
                  <pic:blipFill>
                    <a:blip r:embed="rId29"/>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32"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9" descr=""/>
                    <pic:cNvPicPr>
                      <a:picLocks noChangeAspect="1" noChangeArrowheads="1"/>
                    </pic:cNvPicPr>
                  </pic:nvPicPr>
                  <pic:blipFill>
                    <a:blip r:embed="rId30"/>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33"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0" descr=""/>
                    <pic:cNvPicPr>
                      <a:picLocks noChangeAspect="1" noChangeArrowheads="1"/>
                    </pic:cNvPicPr>
                  </pic:nvPicPr>
                  <pic:blipFill>
                    <a:blip r:embed="rId31"/>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34"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1" descr=""/>
                    <pic:cNvPicPr>
                      <a:picLocks noChangeAspect="1" noChangeArrowheads="1"/>
                    </pic:cNvPicPr>
                  </pic:nvPicPr>
                  <pic:blipFill>
                    <a:blip r:embed="rId32"/>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35"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2" descr=""/>
                    <pic:cNvPicPr>
                      <a:picLocks noChangeAspect="1" noChangeArrowheads="1"/>
                    </pic:cNvPicPr>
                  </pic:nvPicPr>
                  <pic:blipFill>
                    <a:blip r:embed="rId33"/>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36"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3" descr=""/>
                    <pic:cNvPicPr>
                      <a:picLocks noChangeAspect="1" noChangeArrowheads="1"/>
                    </pic:cNvPicPr>
                  </pic:nvPicPr>
                  <pic:blipFill>
                    <a:blip r:embed="rId34"/>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37"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4" descr=""/>
                    <pic:cNvPicPr>
                      <a:picLocks noChangeAspect="1" noChangeArrowheads="1"/>
                    </pic:cNvPicPr>
                  </pic:nvPicPr>
                  <pic:blipFill>
                    <a:blip r:embed="rId35"/>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38"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5" descr=""/>
                    <pic:cNvPicPr>
                      <a:picLocks noChangeAspect="1" noChangeArrowheads="1"/>
                    </pic:cNvPicPr>
                  </pic:nvPicPr>
                  <pic:blipFill>
                    <a:blip r:embed="rId36"/>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39"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6" descr=""/>
                    <pic:cNvPicPr>
                      <a:picLocks noChangeAspect="1" noChangeArrowheads="1"/>
                    </pic:cNvPicPr>
                  </pic:nvPicPr>
                  <pic:blipFill>
                    <a:blip r:embed="rId37"/>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40"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37" descr=""/>
                    <pic:cNvPicPr>
                      <a:picLocks noChangeAspect="1" noChangeArrowheads="1"/>
                    </pic:cNvPicPr>
                  </pic:nvPicPr>
                  <pic:blipFill>
                    <a:blip r:embed="rId38"/>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41"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38" descr=""/>
                    <pic:cNvPicPr>
                      <a:picLocks noChangeAspect="1" noChangeArrowheads="1"/>
                    </pic:cNvPicPr>
                  </pic:nvPicPr>
                  <pic:blipFill>
                    <a:blip r:embed="rId39"/>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fontTable" Target="fontTable.xml"/><Relationship Id="rId4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531</Words>
  <Characters>2968</Characters>
  <CharactersWithSpaces>3549</CharactersWithSpaces>
  <Paragraphs>155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q4_fy26quarterlyearnings</dc:title>
</cp:coreProperties>
</file>