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593725</wp:posOffset>
            </wp:positionH>
            <wp:positionV relativeFrom="page">
              <wp:posOffset>543560</wp:posOffset>
            </wp:positionV>
            <wp:extent cx="6369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page">
              <wp:posOffset>593725</wp:posOffset>
            </wp:positionH>
            <wp:positionV relativeFrom="page">
              <wp:posOffset>509270</wp:posOffset>
            </wp:positionV>
            <wp:extent cx="6369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8255"/>
                    </a:xfrm>
                    <a:prstGeom prst="rect">
                      <a:avLst/>
                    </a:prstGeom>
                    <a:noFill/>
                  </pic:spPr>
                </pic:pic>
              </a:graphicData>
            </a:graphic>
          </wp:anchor>
        </w:drawing>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color w:val="auto"/>
        </w:rPr>
        <w:t>_________________________________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5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38"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38"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5"/>
          <w:szCs w:val="15"/>
          <w:b w:val="1"/>
          <w:bCs w:val="1"/>
          <w:color w:val="auto"/>
        </w:rPr>
        <w:t>June 30, 2025</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380" w:hanging="264"/>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180" w:type="dxa"/>
        <w:tblCellMar>
          <w:top w:w="0" w:type="dxa"/>
          <w:left w:w="0" w:type="dxa"/>
          <w:bottom w:w="0" w:type="dxa"/>
          <w:right w:w="0" w:type="dxa"/>
        </w:tblCellMar>
      </w:tblPr>
      <w:tr>
        <w:trPr>
          <w:trHeight w:val="210"/>
        </w:trPr>
        <w:tc>
          <w:tcPr>
            <w:tcW w:w="2340" w:type="dxa"/>
            <w:vAlign w:val="bottom"/>
          </w:tcPr>
          <w:p>
            <w:pPr>
              <w:ind w:left="200"/>
              <w:spacing w:after="0"/>
              <w:rPr>
                <w:sz w:val="20"/>
                <w:szCs w:val="20"/>
                <w:color w:val="auto"/>
              </w:rPr>
            </w:pPr>
            <w:r>
              <w:rPr>
                <w:rFonts w:ascii="Arial" w:cs="Arial" w:eastAsia="Arial" w:hAnsi="Arial"/>
                <w:sz w:val="15"/>
                <w:szCs w:val="15"/>
                <w:b w:val="1"/>
                <w:bCs w:val="1"/>
                <w:color w:val="auto"/>
              </w:rPr>
              <w:t>For the transition period from</w:t>
            </w:r>
          </w:p>
        </w:tc>
        <w:tc>
          <w:tcPr>
            <w:tcW w:w="5200" w:type="dxa"/>
            <w:vAlign w:val="bottom"/>
          </w:tcPr>
          <w:p>
            <w:pPr>
              <w:ind w:left="640"/>
              <w:spacing w:after="0"/>
              <w:rPr>
                <w:sz w:val="20"/>
                <w:szCs w:val="20"/>
                <w:color w:val="auto"/>
              </w:rPr>
            </w:pPr>
            <w:r>
              <w:rPr>
                <w:rFonts w:ascii="Arial" w:cs="Arial" w:eastAsia="Arial" w:hAnsi="Arial"/>
                <w:sz w:val="15"/>
                <w:szCs w:val="15"/>
                <w:b w:val="1"/>
                <w:bCs w:val="1"/>
                <w:color w:val="auto"/>
              </w:rPr>
              <w:t>to</w:t>
            </w: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340" w:type="dxa"/>
            <w:vAlign w:val="bottom"/>
          </w:tcPr>
          <w:p>
            <w:pPr>
              <w:spacing w:after="0"/>
              <w:rPr>
                <w:sz w:val="24"/>
                <w:szCs w:val="24"/>
                <w:color w:val="auto"/>
              </w:rPr>
            </w:pPr>
          </w:p>
        </w:tc>
        <w:tc>
          <w:tcPr>
            <w:tcW w:w="5200" w:type="dxa"/>
            <w:vAlign w:val="bottom"/>
          </w:tcPr>
          <w:p>
            <w:pPr>
              <w:jc w:val="center"/>
              <w:ind w:left="922"/>
              <w:spacing w:after="0"/>
              <w:rPr>
                <w:sz w:val="20"/>
                <w:szCs w:val="20"/>
                <w:color w:val="auto"/>
              </w:rPr>
            </w:pPr>
            <w:r>
              <w:rPr>
                <w:rFonts w:ascii="Arial" w:cs="Arial" w:eastAsia="Arial" w:hAnsi="Arial"/>
                <w:sz w:val="15"/>
                <w:szCs w:val="15"/>
                <w:b w:val="1"/>
                <w:bCs w:val="1"/>
                <w:color w:val="auto"/>
              </w:rPr>
              <w:t>Commission file number 000-51539</w:t>
            </w: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_________________________________</w:t>
            </w:r>
          </w:p>
        </w:tc>
        <w:tc>
          <w:tcPr>
            <w:tcW w:w="9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2340" w:type="dxa"/>
            <w:vAlign w:val="bottom"/>
          </w:tcPr>
          <w:p>
            <w:pPr>
              <w:spacing w:after="0"/>
              <w:rPr>
                <w:sz w:val="24"/>
                <w:szCs w:val="24"/>
                <w:color w:val="auto"/>
              </w:rPr>
            </w:pPr>
          </w:p>
        </w:tc>
        <w:tc>
          <w:tcPr>
            <w:tcW w:w="5200" w:type="dxa"/>
            <w:vAlign w:val="bottom"/>
          </w:tcPr>
          <w:p>
            <w:pPr>
              <w:jc w:val="center"/>
              <w:ind w:left="942"/>
              <w:spacing w:after="0"/>
              <w:rPr>
                <w:sz w:val="20"/>
                <w:szCs w:val="20"/>
                <w:color w:val="auto"/>
              </w:rPr>
            </w:pPr>
            <w:r>
              <w:rPr>
                <w:rFonts w:ascii="Arial" w:cs="Arial" w:eastAsia="Arial" w:hAnsi="Arial"/>
                <w:sz w:val="36"/>
                <w:szCs w:val="36"/>
                <w:b w:val="1"/>
                <w:bCs w:val="1"/>
                <w:color w:val="auto"/>
                <w:w w:val="99"/>
              </w:rPr>
              <w:t>Cimpress plc</w:t>
            </w: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340" w:type="dxa"/>
            <w:vAlign w:val="bottom"/>
          </w:tcPr>
          <w:p>
            <w:pPr>
              <w:spacing w:after="0"/>
              <w:rPr>
                <w:sz w:val="24"/>
                <w:szCs w:val="24"/>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14"/>
                <w:szCs w:val="14"/>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_________________________________</w:t>
            </w:r>
          </w:p>
        </w:tc>
        <w:tc>
          <w:tcPr>
            <w:tcW w:w="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340" w:type="dxa"/>
            <w:vAlign w:val="bottom"/>
          </w:tcPr>
          <w:p>
            <w:pPr>
              <w:spacing w:after="0"/>
              <w:rPr>
                <w:sz w:val="24"/>
                <w:szCs w:val="24"/>
                <w:color w:val="auto"/>
              </w:rPr>
            </w:pPr>
          </w:p>
        </w:tc>
        <w:tc>
          <w:tcPr>
            <w:tcW w:w="5200" w:type="dxa"/>
            <w:vAlign w:val="bottom"/>
          </w:tcPr>
          <w:p>
            <w:pPr>
              <w:jc w:val="center"/>
              <w:ind w:right="4582"/>
              <w:spacing w:after="0"/>
              <w:rPr>
                <w:sz w:val="20"/>
                <w:szCs w:val="20"/>
                <w:color w:val="auto"/>
              </w:rPr>
            </w:pPr>
            <w:r>
              <w:rPr>
                <w:rFonts w:ascii="Arial" w:cs="Arial" w:eastAsia="Arial" w:hAnsi="Arial"/>
                <w:sz w:val="15"/>
                <w:szCs w:val="15"/>
                <w:b w:val="1"/>
                <w:bCs w:val="1"/>
                <w:color w:val="auto"/>
              </w:rPr>
              <w:t>Ireland</w:t>
            </w:r>
          </w:p>
        </w:tc>
        <w:tc>
          <w:tcPr>
            <w:tcW w:w="2880" w:type="dxa"/>
            <w:vAlign w:val="bottom"/>
            <w:gridSpan w:val="2"/>
          </w:tcPr>
          <w:p>
            <w:pPr>
              <w:jc w:val="center"/>
              <w:ind w:right="1384"/>
              <w:spacing w:after="0"/>
              <w:rPr>
                <w:sz w:val="20"/>
                <w:szCs w:val="20"/>
                <w:color w:val="auto"/>
              </w:rPr>
            </w:pPr>
            <w:r>
              <w:rPr>
                <w:rFonts w:ascii="Arial" w:cs="Arial" w:eastAsia="Arial" w:hAnsi="Arial"/>
                <w:sz w:val="15"/>
                <w:szCs w:val="15"/>
                <w:b w:val="1"/>
                <w:bCs w:val="1"/>
                <w:color w:val="auto"/>
              </w:rPr>
              <w:t>98-0417483</w:t>
            </w:r>
          </w:p>
        </w:tc>
        <w:tc>
          <w:tcPr>
            <w:tcW w:w="0" w:type="dxa"/>
            <w:vAlign w:val="bottom"/>
          </w:tcPr>
          <w:p>
            <w:pPr>
              <w:spacing w:after="0"/>
              <w:rPr>
                <w:sz w:val="1"/>
                <w:szCs w:val="1"/>
                <w:color w:val="auto"/>
              </w:rPr>
            </w:pPr>
          </w:p>
        </w:tc>
      </w:tr>
      <w:tr>
        <w:trPr>
          <w:trHeight w:val="147"/>
        </w:trPr>
        <w:tc>
          <w:tcPr>
            <w:tcW w:w="754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rPr>
              <w:t>(State or Other Jurisdiction of</w:t>
            </w:r>
          </w:p>
        </w:tc>
        <w:tc>
          <w:tcPr>
            <w:tcW w:w="2880" w:type="dxa"/>
            <w:vAlign w:val="bottom"/>
            <w:gridSpan w:val="2"/>
          </w:tcPr>
          <w:p>
            <w:pPr>
              <w:jc w:val="center"/>
              <w:ind w:right="1384"/>
              <w:spacing w:after="0" w:line="147"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754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Incorporation or Organization)</w:t>
            </w:r>
          </w:p>
        </w:tc>
        <w:tc>
          <w:tcPr>
            <w:tcW w:w="2880" w:type="dxa"/>
            <w:vAlign w:val="bottom"/>
            <w:gridSpan w:val="2"/>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6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First Floor Building 3, Finnabair Business and Technology Park A91 XR61,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Dundalk, Co. Louth</w:t>
            </w: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Ireland</w:t>
            </w: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5200" w:type="dxa"/>
            <w:vAlign w:val="bottom"/>
          </w:tcPr>
          <w:p>
            <w:pPr>
              <w:jc w:val="center"/>
              <w:ind w:left="942"/>
              <w:spacing w:after="0"/>
              <w:rPr>
                <w:sz w:val="20"/>
                <w:szCs w:val="20"/>
                <w:color w:val="auto"/>
              </w:rPr>
            </w:pPr>
            <w:r>
              <w:rPr>
                <w:rFonts w:ascii="Arial" w:cs="Arial" w:eastAsia="Arial" w:hAnsi="Arial"/>
                <w:sz w:val="14"/>
                <w:szCs w:val="14"/>
                <w:b w:val="1"/>
                <w:bCs w:val="1"/>
                <w:color w:val="auto"/>
              </w:rPr>
              <w:t>(Address of Principal Executive Offices)</w:t>
            </w: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6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 353 42 938 8500</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340" w:type="dxa"/>
            <w:vAlign w:val="bottom"/>
          </w:tcPr>
          <w:p>
            <w:pPr>
              <w:jc w:val="center"/>
              <w:ind w:left="945"/>
              <w:spacing w:after="0"/>
              <w:rPr>
                <w:sz w:val="20"/>
                <w:szCs w:val="20"/>
                <w:color w:val="auto"/>
              </w:rPr>
            </w:pPr>
            <w:r>
              <w:rPr>
                <w:rFonts w:ascii="Arial" w:cs="Arial" w:eastAsia="Arial" w:hAnsi="Arial"/>
                <w:sz w:val="13"/>
                <w:szCs w:val="13"/>
                <w:b w:val="1"/>
                <w:bCs w:val="1"/>
                <w:color w:val="auto"/>
                <w:w w:val="96"/>
              </w:rPr>
              <w:t>Title of Each Class</w:t>
            </w:r>
          </w:p>
        </w:tc>
        <w:tc>
          <w:tcPr>
            <w:tcW w:w="5200" w:type="dxa"/>
            <w:vAlign w:val="bottom"/>
          </w:tcPr>
          <w:p>
            <w:pPr>
              <w:jc w:val="center"/>
              <w:ind w:left="902"/>
              <w:spacing w:after="0"/>
              <w:rPr>
                <w:sz w:val="20"/>
                <w:szCs w:val="20"/>
                <w:color w:val="auto"/>
              </w:rPr>
            </w:pPr>
            <w:r>
              <w:rPr>
                <w:rFonts w:ascii="Arial" w:cs="Arial" w:eastAsia="Arial" w:hAnsi="Arial"/>
                <w:sz w:val="13"/>
                <w:szCs w:val="13"/>
                <w:b w:val="1"/>
                <w:bCs w:val="1"/>
                <w:color w:val="auto"/>
                <w:w w:val="96"/>
              </w:rPr>
              <w:t>Trading Symbol(s)</w:t>
            </w:r>
          </w:p>
        </w:tc>
        <w:tc>
          <w:tcPr>
            <w:tcW w:w="2880" w:type="dxa"/>
            <w:vAlign w:val="bottom"/>
            <w:gridSpan w:val="2"/>
          </w:tcPr>
          <w:p>
            <w:pPr>
              <w:jc w:val="center"/>
              <w:ind w:left="387"/>
              <w:spacing w:after="0"/>
              <w:rPr>
                <w:sz w:val="20"/>
                <w:szCs w:val="20"/>
                <w:color w:val="auto"/>
              </w:rPr>
            </w:pPr>
            <w:r>
              <w:rPr>
                <w:rFonts w:ascii="Arial" w:cs="Arial" w:eastAsia="Arial" w:hAnsi="Arial"/>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170"/>
        </w:trPr>
        <w:tc>
          <w:tcPr>
            <w:tcW w:w="7540" w:type="dxa"/>
            <w:vAlign w:val="bottom"/>
            <w:gridSpan w:val="2"/>
          </w:tcPr>
          <w:p>
            <w:pPr>
              <w:jc w:val="center"/>
              <w:ind w:right="4122"/>
              <w:spacing w:after="0" w:line="170" w:lineRule="exact"/>
              <w:rPr>
                <w:sz w:val="20"/>
                <w:szCs w:val="20"/>
                <w:color w:val="auto"/>
              </w:rPr>
            </w:pPr>
            <w:r>
              <w:rPr>
                <w:rFonts w:ascii="Arial" w:cs="Arial" w:eastAsia="Arial" w:hAnsi="Arial"/>
                <w:sz w:val="16"/>
                <w:szCs w:val="16"/>
                <w:color w:val="auto"/>
              </w:rPr>
              <w:t>Ordinary Shares, nominal value of €0.01 per</w:t>
            </w:r>
          </w:p>
        </w:tc>
        <w:tc>
          <w:tcPr>
            <w:tcW w:w="2880" w:type="dxa"/>
            <w:vAlign w:val="bottom"/>
            <w:gridSpan w:val="2"/>
            <w:vMerge w:val="restart"/>
          </w:tcPr>
          <w:p>
            <w:pPr>
              <w:jc w:val="center"/>
              <w:ind w:left="387"/>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r>
        <w:trPr>
          <w:trHeight w:val="215"/>
        </w:trPr>
        <w:tc>
          <w:tcPr>
            <w:tcW w:w="2340" w:type="dxa"/>
            <w:vAlign w:val="bottom"/>
          </w:tcPr>
          <w:p>
            <w:pPr>
              <w:jc w:val="center"/>
              <w:ind w:left="945"/>
              <w:spacing w:after="0"/>
              <w:rPr>
                <w:sz w:val="20"/>
                <w:szCs w:val="20"/>
                <w:color w:val="auto"/>
              </w:rPr>
            </w:pPr>
            <w:r>
              <w:rPr>
                <w:rFonts w:ascii="Arial" w:cs="Arial" w:eastAsia="Arial" w:hAnsi="Arial"/>
                <w:sz w:val="16"/>
                <w:szCs w:val="16"/>
                <w:color w:val="auto"/>
                <w:w w:val="99"/>
              </w:rPr>
              <w:t>share</w:t>
            </w:r>
          </w:p>
        </w:tc>
        <w:tc>
          <w:tcPr>
            <w:tcW w:w="5200" w:type="dxa"/>
            <w:vAlign w:val="bottom"/>
          </w:tcPr>
          <w:p>
            <w:pPr>
              <w:jc w:val="center"/>
              <w:ind w:left="922"/>
              <w:spacing w:after="0"/>
              <w:rPr>
                <w:sz w:val="20"/>
                <w:szCs w:val="20"/>
                <w:color w:val="auto"/>
              </w:rPr>
            </w:pPr>
            <w:r>
              <w:rPr>
                <w:rFonts w:ascii="Arial" w:cs="Arial" w:eastAsia="Arial" w:hAnsi="Arial"/>
                <w:sz w:val="16"/>
                <w:szCs w:val="16"/>
                <w:color w:val="auto"/>
              </w:rPr>
              <w:t>CMPR</w:t>
            </w: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w:t>
            </w: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540" w:type="dxa"/>
            <w:vAlign w:val="bottom"/>
            <w:gridSpan w:val="2"/>
          </w:tcPr>
          <w:p>
            <w:pPr>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20" w:type="dxa"/>
            <w:vAlign w:val="bottom"/>
            <w:gridSpan w:val="4"/>
          </w:tcPr>
          <w:p>
            <w:pPr>
              <w:ind w:left="48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p>
        </w:tc>
        <w:tc>
          <w:tcPr>
            <w:tcW w:w="0" w:type="dxa"/>
            <w:vAlign w:val="bottom"/>
          </w:tcPr>
          <w:p>
            <w:pPr>
              <w:spacing w:after="0"/>
              <w:rPr>
                <w:sz w:val="1"/>
                <w:szCs w:val="1"/>
                <w:color w:val="auto"/>
              </w:rPr>
            </w:pPr>
          </w:p>
        </w:tc>
      </w:tr>
      <w:tr>
        <w:trPr>
          <w:trHeight w:val="252"/>
        </w:trPr>
        <w:tc>
          <w:tcPr>
            <w:tcW w:w="8520" w:type="dxa"/>
            <w:vAlign w:val="bottom"/>
            <w:gridSpan w:val="3"/>
          </w:tcPr>
          <w:p>
            <w:pPr>
              <w:ind w:left="480"/>
              <w:spacing w:after="0"/>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Wingdings" w:cs="Wingdings" w:eastAsia="Wingdings" w:hAnsi="Wingdings"/>
                <w:sz w:val="15"/>
                <w:szCs w:val="15"/>
                <w:b w:val="1"/>
                <w:bCs w:val="1"/>
                <w:color w:val="auto"/>
              </w:rPr>
              <w:t>o</w:t>
            </w:r>
          </w:p>
        </w:tc>
        <w:tc>
          <w:tcPr>
            <w:tcW w:w="190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jc w:val="both"/>
        <w:ind w:right="160" w:firstLine="648"/>
        <w:spacing w:after="0" w:line="18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p>
    <w:p>
      <w:pPr>
        <w:spacing w:after="0" w:line="2" w:lineRule="exact"/>
        <w:rPr>
          <w:sz w:val="24"/>
          <w:szCs w:val="24"/>
          <w:color w:val="auto"/>
        </w:rPr>
      </w:pPr>
    </w:p>
    <w:p>
      <w:pPr>
        <w:ind w:right="420" w:firstLine="648"/>
        <w:spacing w:after="0" w:line="25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60" w:firstLine="648"/>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929" w:right="359" w:bottom="1440" w:gutter="0" w:footer="0" w:header="0"/>
        </w:sectPr>
      </w:pPr>
    </w:p>
    <w:p>
      <w:pPr>
        <w:spacing w:after="0" w:line="32" w:lineRule="exact"/>
        <w:rPr>
          <w:sz w:val="24"/>
          <w:szCs w:val="24"/>
          <w:color w:val="auto"/>
        </w:rPr>
      </w:pPr>
    </w:p>
    <w:p>
      <w:pPr>
        <w:ind w:left="16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680"/>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highlight w:val="black"/>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highlight w:val="black"/>
        </w:rPr>
        <w:t>☐</w:t>
      </w:r>
    </w:p>
    <w:p>
      <w:pPr>
        <w:spacing w:after="0" w:line="605" w:lineRule="exact"/>
        <w:rPr>
          <w:sz w:val="24"/>
          <w:szCs w:val="24"/>
          <w:color w:val="auto"/>
        </w:rPr>
      </w:pPr>
    </w:p>
    <w:p>
      <w:pPr>
        <w:sectPr>
          <w:pgSz w:w="11900" w:h="16838" w:orient="portrait"/>
          <w:cols w:equalWidth="0" w:num="6">
            <w:col w:w="3080" w:space="180"/>
            <w:col w:w="840" w:space="720"/>
            <w:col w:w="1720" w:space="180"/>
            <w:col w:w="1340" w:space="720"/>
            <w:col w:w="1320" w:space="200"/>
            <w:col w:w="920"/>
          </w:cols>
          <w:pgMar w:left="320" w:top="929" w:right="359" w:bottom="1440" w:gutter="0" w:footer="0" w:header="0"/>
          <w:type w:val="continuous"/>
        </w:sectPr>
      </w:pPr>
    </w:p>
    <w:p>
      <w:pPr>
        <w:ind w:right="80" w:firstLine="648"/>
        <w:spacing w:after="0" w:line="26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40" w:firstLine="648"/>
        <w:spacing w:after="0" w:line="272" w:lineRule="auto"/>
        <w:rPr>
          <w:sz w:val="20"/>
          <w:szCs w:val="20"/>
          <w:color w:val="auto"/>
        </w:rPr>
      </w:pPr>
      <w:r>
        <w:rPr>
          <w:rFonts w:ascii="Arial" w:cs="Arial" w:eastAsia="Arial" w:hAnsi="Arial"/>
          <w:sz w:val="15"/>
          <w:szCs w:val="15"/>
          <w:color w:val="auto"/>
        </w:rPr>
        <w:t xml:space="preserve">If securities are registered pursuant to Section 12(b) of the Exchange Act, indicate by check mark whether the financial statements of the registrant included in this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40" w:firstLine="648"/>
        <w:spacing w:after="0" w:line="261" w:lineRule="auto"/>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60"/>
        <w:spacing w:after="0" w:line="196" w:lineRule="exact"/>
        <w:tabs>
          <w:tab w:leader="none" w:pos="86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4" w:lineRule="exact"/>
        <w:rPr>
          <w:sz w:val="24"/>
          <w:szCs w:val="24"/>
          <w:color w:val="auto"/>
        </w:rPr>
      </w:pPr>
    </w:p>
    <w:p>
      <w:pPr>
        <w:ind w:firstLine="648"/>
        <w:spacing w:after="0" w:line="189"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ind w:right="40" w:firstLine="648"/>
        <w:spacing w:after="0" w:line="256"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$1.35 billion on December 31, 2024 (the last business day of the registrant's most recently completed second fiscal quarter) based on the last reported sale price of the registrant's ordinary shares on the Nasdaq Global Select Market.</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As of August 4, 2025, there were 24,481,085 Cimpress plc ordinary shares outstanding.</w:t>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DOCUMENTS INCORPORATED BY REFERENCE</w:t>
      </w:r>
    </w:p>
    <w:p>
      <w:pPr>
        <w:spacing w:after="0" w:line="38" w:lineRule="exact"/>
        <w:rPr>
          <w:sz w:val="24"/>
          <w:szCs w:val="24"/>
          <w:color w:val="auto"/>
        </w:rPr>
      </w:pPr>
    </w:p>
    <w:p>
      <w:pPr>
        <w:ind w:right="80" w:firstLine="167"/>
        <w:spacing w:after="0" w:line="293" w:lineRule="auto"/>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2025. 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57150</wp:posOffset>
            </wp:positionV>
            <wp:extent cx="6369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22860</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0" w:type="dxa"/>
            <w:vAlign w:val="bottom"/>
          </w:tcPr>
          <w:p>
            <w:pPr>
              <w:jc w:val="center"/>
              <w:ind w:right="190"/>
              <w:spacing w:after="0"/>
              <w:rPr>
                <w:sz w:val="20"/>
                <w:szCs w:val="20"/>
                <w:color w:val="auto"/>
              </w:rPr>
            </w:pPr>
            <w:r>
              <w:rPr>
                <w:rFonts w:ascii="Arial" w:cs="Arial" w:eastAsia="Arial" w:hAnsi="Arial"/>
                <w:sz w:val="18"/>
                <w:szCs w:val="18"/>
                <w:b w:val="1"/>
                <w:bCs w:val="1"/>
                <w:color w:val="auto"/>
              </w:rPr>
              <w:t>CIMPRESS PLC</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For the Year Ended June 30, 2025</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60" w:type="dxa"/>
            <w:vAlign w:val="bottom"/>
          </w:tcPr>
          <w:p>
            <w:pPr>
              <w:spacing w:after="0"/>
              <w:rPr>
                <w:sz w:val="24"/>
                <w:szCs w:val="24"/>
                <w:color w:val="auto"/>
              </w:rPr>
            </w:pPr>
          </w:p>
        </w:tc>
        <w:tc>
          <w:tcPr>
            <w:tcW w:w="9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96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600" w:type="dxa"/>
            <w:vAlign w:val="bottom"/>
          </w:tcPr>
          <w:p>
            <w:pPr>
              <w:ind w:left="100"/>
              <w:spacing w:after="0"/>
              <w:rPr>
                <w:sz w:val="20"/>
                <w:szCs w:val="20"/>
                <w:color w:val="auto"/>
              </w:rPr>
            </w:pPr>
            <w:r>
              <w:rPr>
                <w:rFonts w:ascii="Arial" w:cs="Arial" w:eastAsia="Arial" w:hAnsi="Arial"/>
                <w:sz w:val="18"/>
                <w:szCs w:val="18"/>
                <w:color w:val="auto"/>
              </w:rPr>
              <w:t>Business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60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60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1C.</w:t>
            </w:r>
          </w:p>
        </w:tc>
        <w:tc>
          <w:tcPr>
            <w:tcW w:w="9600" w:type="dxa"/>
            <w:vAlign w:val="bottom"/>
          </w:tcPr>
          <w:p>
            <w:pPr>
              <w:ind w:left="100"/>
              <w:spacing w:after="0"/>
              <w:rPr>
                <w:sz w:val="20"/>
                <w:szCs w:val="20"/>
                <w:color w:val="auto"/>
              </w:rPr>
            </w:pPr>
            <w:r>
              <w:rPr>
                <w:rFonts w:ascii="Arial" w:cs="Arial" w:eastAsia="Arial" w:hAnsi="Arial"/>
                <w:sz w:val="18"/>
                <w:szCs w:val="18"/>
                <w:color w:val="auto"/>
              </w:rPr>
              <w:t>Cybersecurity</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60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60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600" w:type="dxa"/>
            <w:vAlign w:val="bottom"/>
          </w:tcPr>
          <w:p>
            <w:pPr>
              <w:ind w:left="100"/>
              <w:spacing w:after="0"/>
              <w:rPr>
                <w:sz w:val="20"/>
                <w:szCs w:val="20"/>
                <w:color w:val="auto"/>
              </w:rPr>
            </w:pPr>
            <w:r>
              <w:rPr>
                <w:rFonts w:ascii="Arial" w:cs="Arial" w:eastAsia="Arial" w:hAnsi="Arial"/>
                <w:sz w:val="18"/>
                <w:szCs w:val="18"/>
                <w:color w:val="auto"/>
              </w:rPr>
              <w:t>Mine Safety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400" w:type="dxa"/>
            <w:vAlign w:val="bottom"/>
            <w:gridSpan w:val="3"/>
          </w:tcPr>
          <w:p>
            <w:pPr>
              <w:spacing w:after="0"/>
              <w:rPr>
                <w:sz w:val="24"/>
                <w:szCs w:val="24"/>
                <w:color w:val="auto"/>
              </w:rPr>
            </w:pP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60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6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60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60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60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60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and Financial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60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60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600" w:type="dxa"/>
            <w:vAlign w:val="bottom"/>
          </w:tcPr>
          <w:p>
            <w:pPr>
              <w:ind w:left="10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60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60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60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60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60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60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600" w:type="dxa"/>
            <w:vAlign w:val="bottom"/>
          </w:tcPr>
          <w:p>
            <w:pPr>
              <w:ind w:left="100"/>
              <w:spacing w:after="0"/>
              <w:rPr>
                <w:sz w:val="20"/>
                <w:szCs w:val="20"/>
                <w:color w:val="auto"/>
              </w:rPr>
            </w:pPr>
            <w:r>
              <w:rPr>
                <w:rFonts w:ascii="Arial" w:cs="Arial" w:eastAsia="Arial" w:hAnsi="Arial"/>
                <w:sz w:val="18"/>
                <w:szCs w:val="18"/>
                <w:color w:val="auto"/>
              </w:rPr>
              <w:t>Form 10-K Summary</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Signatures</w:t>
            </w:r>
          </w:p>
        </w:tc>
        <w:tc>
          <w:tcPr>
            <w:tcW w:w="9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3"/>
        </w:trPr>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 We discuss mass customization in more detail further below.</w:t>
      </w:r>
    </w:p>
    <w:p>
      <w:pPr>
        <w:spacing w:after="0" w:line="12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have grown substantially over our history, from $0 in 1995 to $ 0.2 billion of revenue in fiscal year 2006, the year when we became a publicly traded company, then to $3.4 billion of revenue in fiscal year 2025. As we have grown we have achieved important benefits of scale. Our strategy is to invest in and build customer-focused, entrepreneurial print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28"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We believe this decentralized structure is beneficial in many ways as it enables our businesses to be more customer focused, to make better decisions faster, to manage a holistic cross-functional value chain required to serve customers well, to be more agile, to be held more accountable for driving investment returns, and to better understand where we are successful and where we are not. This structure delegates responsibility, authority and resources to the CEOs and managing directors of our various businesses. We believe this approach has provided great value, enabling our businesses to respond quickly to changes in customer needs and adapt to changing market conditions, while also providing our leaders an environment to share best practices and insights across the group.</w:t>
      </w:r>
    </w:p>
    <w:p>
      <w:pPr>
        <w:spacing w:after="0" w:line="1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(4) peer-to-peer knowledge sharing among our businesses. We encourage each of our businesses to leverage these capabilities, but each business is free to choose the extent to which they use these services. This optionality creates healthy pressure on the central teams who provide such services to deliver compelling value to our businesses.</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combination of decentralization for most aspects of how we run Cimpress with a select few shared strategic capabilities in which we invest centrally is intended to engender customer-centric, entrepreneurial and owner mindsets across a wide set of geographies, products and customer types while also enabling significant synergies and knowledge-sharing across Cimpress.</w:t>
      </w:r>
    </w:p>
    <w:p>
      <w:pPr>
        <w:spacing w:after="0" w:line="13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limit all other central activities to only those that must be performed centrally. Out of more than 15,000 employees, we have approximately 100 who work in central activities that fall into this category, which includes tax, treasury, internal audit, legal, sustainability, corporate communications, consolidated reporting and compliance, investor relations, capital allocation, and the functions of our CEO and CFO. We have developed guardrails and accountability mechanisms in key areas of governance including cultural aspects such as a focus on customers and being socially responsible, as well as operational aspects such as the processes by which we set strategy and financial budgets and review performance, and the policies by which we ensure compliance with applicable laws.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uppermost financial objective is to maximize our intrinsic value per share (“IVPS”). We define IVPS as</w:t>
      </w:r>
    </w:p>
    <w:p>
      <w:pPr>
        <w:spacing w:after="0" w:line="27" w:lineRule="exact"/>
        <w:rPr>
          <w:sz w:val="20"/>
          <w:szCs w:val="20"/>
          <w:color w:val="auto"/>
        </w:rPr>
      </w:pPr>
    </w:p>
    <w:p>
      <w:pPr>
        <w:jc w:val="both"/>
        <w:ind w:right="160" w:firstLine="8"/>
        <w:spacing w:after="0" w:line="25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unlevered free cash flow per diluted share that, in our best judgment, will occur between now and the long-term future, appropriately discounted to reflect our cost of capital, minus (b) net debt per diluted share. We define unlevered free cash flow as adjusted free cash flow plus cash interest expense related to borrowing.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 w:name="page4"/>
    <w:bookmarkEnd w:id="3"/>
    <w:p>
      <w:pPr>
        <w:ind w:right="40" w:firstLine="648"/>
        <w:spacing w:after="0" w:line="268" w:lineRule="auto"/>
        <w:rPr>
          <w:sz w:val="20"/>
          <w:szCs w:val="20"/>
          <w:color w:val="auto"/>
        </w:rPr>
      </w:pPr>
      <w:r>
        <w:rPr>
          <w:rFonts w:ascii="Arial" w:cs="Arial" w:eastAsia="Arial" w:hAnsi="Arial"/>
          <w:sz w:val="18"/>
          <w:szCs w:val="18"/>
          <w:color w:val="auto"/>
        </w:rPr>
        <w:t>We endeavor to make all financial decisions in service of this priority. As such, we often make decisions that could be considered non-optimal were they to be evaluated based on other criteria such as (but not limited to) near- and mid-term revenue, operating income, net income, EPS, adjusted EBITDA, and cash flow.</w:t>
      </w:r>
    </w:p>
    <w:p>
      <w:pPr>
        <w:spacing w:after="0" w:line="198"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IVPS is inherently long term in nature. Thus an explicit outcome of this is that we accept fluctuations in our financial metrics as we make investments that we believe will deliver attractive long-term returns on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excel at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66040</wp:posOffset>
            </wp:positionV>
            <wp:extent cx="2820035" cy="2228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0035" cy="2228850"/>
                    </a:xfrm>
                    <a:prstGeom prst="rect">
                      <a:avLst/>
                    </a:prstGeom>
                    <a:noFill/>
                  </pic:spPr>
                </pic:pic>
              </a:graphicData>
            </a:graphic>
          </wp:anchor>
        </w:drawing>
      </w:r>
    </w:p>
    <w:p>
      <w:pPr>
        <w:spacing w:after="0" w:line="200" w:lineRule="exact"/>
        <w:rPr>
          <w:sz w:val="20"/>
          <w:szCs w:val="20"/>
          <w:color w:val="auto"/>
        </w:rPr>
      </w:pPr>
    </w:p>
    <w:p>
      <w:pPr>
        <w:ind w:left="5680" w:right="200" w:firstLine="497"/>
        <w:spacing w:after="0" w:line="228" w:lineRule="auto"/>
        <w:rPr>
          <w:sz w:val="20"/>
          <w:szCs w:val="20"/>
          <w:color w:val="auto"/>
        </w:rPr>
      </w:pPr>
      <w:r>
        <w:rPr>
          <w:rFonts w:ascii="Arial" w:cs="Arial" w:eastAsia="Arial" w:hAnsi="Arial"/>
          <w:sz w:val="17"/>
          <w:szCs w:val="17"/>
          <w:color w:val="auto"/>
        </w:rPr>
        <w:t>The chart illustrates this concept. The horizontal axis represents the volume of production of a given product; the vertical axis represents the cost of producing one unit of that product.</w:t>
      </w:r>
    </w:p>
    <w:p>
      <w:pPr>
        <w:spacing w:after="0" w:line="1" w:lineRule="exact"/>
        <w:rPr>
          <w:sz w:val="20"/>
          <w:szCs w:val="20"/>
          <w:color w:val="auto"/>
        </w:rPr>
      </w:pPr>
    </w:p>
    <w:p>
      <w:pPr>
        <w:ind w:left="5680" w:right="80"/>
        <w:spacing w:after="0" w:line="221" w:lineRule="auto"/>
        <w:rPr>
          <w:sz w:val="20"/>
          <w:szCs w:val="20"/>
          <w:color w:val="auto"/>
        </w:rPr>
      </w:pPr>
      <w:r>
        <w:rPr>
          <w:rFonts w:ascii="Arial" w:cs="Arial" w:eastAsia="Arial" w:hAnsi="Arial"/>
          <w:sz w:val="17"/>
          <w:szCs w:val="17"/>
          <w:color w:val="auto"/>
        </w:rPr>
        <w:t>Traditionally, the only way to manufacture at a low unit cost was to produce a large volume of that product: mass-produced products fall in the lower right-hand corner of the chart. Custom-made products</w:t>
      </w:r>
    </w:p>
    <w:p>
      <w:pPr>
        <w:jc w:val="both"/>
        <w:ind w:left="5680" w:right="280"/>
        <w:spacing w:after="0" w:line="221" w:lineRule="auto"/>
        <w:rPr>
          <w:sz w:val="20"/>
          <w:szCs w:val="20"/>
          <w:color w:val="auto"/>
        </w:rPr>
      </w:pPr>
      <w:r>
        <w:rPr>
          <w:rFonts w:ascii="Arial" w:cs="Arial" w:eastAsia="Arial" w:hAnsi="Arial"/>
          <w:sz w:val="18"/>
          <w:szCs w:val="18"/>
          <w:color w:val="auto"/>
        </w:rPr>
        <w:t>(i.e., those produced in small volumes for a very specific purpose) historically incurred very high unit costs: they fall in the upper left-hand side of the chart.</w:t>
      </w:r>
    </w:p>
    <w:p>
      <w:pPr>
        <w:spacing w:after="0" w:line="193" w:lineRule="exact"/>
        <w:rPr>
          <w:sz w:val="20"/>
          <w:szCs w:val="20"/>
          <w:color w:val="auto"/>
        </w:rPr>
      </w:pPr>
    </w:p>
    <w:p>
      <w:pPr>
        <w:ind w:left="5680" w:right="340" w:firstLine="550"/>
        <w:spacing w:after="0" w:line="228" w:lineRule="auto"/>
        <w:rPr>
          <w:sz w:val="20"/>
          <w:szCs w:val="20"/>
          <w:color w:val="auto"/>
        </w:rPr>
      </w:pPr>
      <w:r>
        <w:rPr>
          <w:rFonts w:ascii="Arial" w:cs="Arial" w:eastAsia="Arial" w:hAnsi="Arial"/>
          <w:sz w:val="17"/>
          <w:szCs w:val="17"/>
          <w:color w:val="auto"/>
        </w:rPr>
        <w:t>Mass customization breaks this trade off, enabling low-volume, low-cost production of individually unique products. Very importantly, relative to traditional alternatives mass customization</w:t>
      </w:r>
    </w:p>
    <w:p>
      <w:pPr>
        <w:spacing w:after="0" w:line="1" w:lineRule="exact"/>
        <w:rPr>
          <w:sz w:val="20"/>
          <w:szCs w:val="20"/>
          <w:color w:val="auto"/>
        </w:rPr>
      </w:pPr>
    </w:p>
    <w:p>
      <w:pPr>
        <w:ind w:left="5680" w:right="60"/>
        <w:spacing w:after="0" w:line="221" w:lineRule="auto"/>
        <w:rPr>
          <w:sz w:val="20"/>
          <w:szCs w:val="20"/>
          <w:color w:val="auto"/>
        </w:rPr>
      </w:pPr>
      <w:r>
        <w:rPr>
          <w:rFonts w:ascii="Arial" w:cs="Arial" w:eastAsia="Arial" w:hAnsi="Arial"/>
          <w:sz w:val="17"/>
          <w:szCs w:val="17"/>
          <w:color w:val="auto"/>
        </w:rPr>
        <w:t>creates value in many ways, not just lower cost. Other advantages can include faster production, greater personal relevance, avoidance of obsolete stock and material finished goods inventory, better</w:t>
      </w:r>
    </w:p>
    <w:p>
      <w:pPr>
        <w:ind w:left="5680" w:right="300"/>
        <w:spacing w:after="0" w:line="229" w:lineRule="auto"/>
        <w:rPr>
          <w:sz w:val="20"/>
          <w:szCs w:val="20"/>
          <w:color w:val="auto"/>
        </w:rPr>
      </w:pPr>
      <w:r>
        <w:rPr>
          <w:rFonts w:ascii="Arial" w:cs="Arial" w:eastAsia="Arial" w:hAnsi="Arial"/>
          <w:sz w:val="18"/>
          <w:szCs w:val="18"/>
          <w:color w:val="auto"/>
        </w:rPr>
        <w:t>design, flexible shipping options, more product choice, and higher quality.</w:t>
      </w:r>
    </w:p>
    <w:p>
      <w:pPr>
        <w:spacing w:after="0" w:line="200" w:lineRule="exact"/>
        <w:rPr>
          <w:sz w:val="20"/>
          <w:szCs w:val="20"/>
          <w:color w:val="auto"/>
        </w:rPr>
      </w:pP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Mass customization in print-related markets delivers a breakthrough in customer value, particularly in markets in which the worth of a physical product is inherently tied to a specific, unique use or application. For instance, there is limited value to a sign that is the same as is used by many other companies: the business owner needs to describe what is unique about their business. Likewise, customized packaging is a way for a business to add their brand identity to what is oftentimes the first physical touchpoint with a customer for online purchases. Before mass customization, producing a high-quality custom product required high per-order setup costs, so it simply was not economical to produce a customized product in low quantities.</w:t>
      </w:r>
    </w:p>
    <w:p>
      <w:pPr>
        <w:spacing w:after="0" w:line="209" w:lineRule="exact"/>
        <w:rPr>
          <w:sz w:val="20"/>
          <w:szCs w:val="20"/>
          <w:color w:val="auto"/>
        </w:rPr>
      </w:pPr>
    </w:p>
    <w:p>
      <w:pPr>
        <w:ind w:right="160" w:firstLine="648"/>
        <w:spacing w:after="0" w:line="260" w:lineRule="auto"/>
        <w:rPr>
          <w:sz w:val="20"/>
          <w:szCs w:val="20"/>
          <w:color w:val="auto"/>
        </w:rPr>
      </w:pPr>
      <w:r>
        <w:rPr>
          <w:rFonts w:ascii="Arial" w:cs="Arial" w:eastAsia="Arial" w:hAnsi="Arial"/>
          <w:sz w:val="18"/>
          <w:szCs w:val="18"/>
          <w:color w:val="auto"/>
        </w:rPr>
        <w:t>There are three ingredients to mass customization applied to print applications: (1) web-to-print or e-commerce stores that offer a wide variety of customizable products, a replacement of more expensive and harder-to-scale physical stores with limited geographic reach;</w:t>
      </w:r>
    </w:p>
    <w:p>
      <w:pPr>
        <w:spacing w:after="0" w:line="2" w:lineRule="exact"/>
        <w:rPr>
          <w:sz w:val="20"/>
          <w:szCs w:val="20"/>
          <w:color w:val="auto"/>
        </w:rPr>
      </w:pPr>
    </w:p>
    <w:p>
      <w:pPr>
        <w:jc w:val="both"/>
        <w:ind w:right="320" w:firstLine="8"/>
        <w:spacing w:after="0" w:line="258"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software-driven order aggregation, which enables significantly reduced costs on low-volume orders; and (3) democratized design that combines intuitive design software, AI-assisted design capabilities and human designers that are typically located in low-cost locations to deliver high-quality, lower-cost, highly scalable alternatives to traditional graphic design services.</w:t>
      </w:r>
    </w:p>
    <w:p>
      <w:pPr>
        <w:spacing w:after="0" w:line="20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believe that the business cards sold by our Vista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 to design and procure aesthetically pleasing, high-quality, quickly delivered, and low-priced business cards. The Vista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 w:name="page5"/>
    <w:bookmarkEnd w:id="4"/>
    <w:p>
      <w:pPr>
        <w:ind w:right="80"/>
        <w:spacing w:after="0" w:line="254" w:lineRule="auto"/>
        <w:rPr>
          <w:sz w:val="20"/>
          <w:szCs w:val="20"/>
          <w:color w:val="auto"/>
        </w:rPr>
      </w:pPr>
      <w:r>
        <w:rPr>
          <w:rFonts w:ascii="Arial" w:cs="Arial" w:eastAsia="Arial" w:hAnsi="Arial"/>
          <w:sz w:val="18"/>
          <w:szCs w:val="18"/>
          <w:color w:val="auto"/>
        </w:rPr>
        <w:t>business cards at a fraction of the cost of typical traditional printers with consistent quality and delivery reliability. Customers have extensive, easily configurable, customization options such as rounded corners, 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This is a mature but strongly profitable product for us and no longer requires significant capital to maintain our leadership position. Our businesses have a history of launching new products that have expanded our revenue and profit opportunity as we have scaled them, as we did in our more mature product categories. The capabilities and customer trust we initially built via more mature products like business cards have proven to be extensible to newer product categories and we have been investing for more than a decade to serve customer needs in these newer growth categories. While these newer products currently have a lower gross margin than many of our mature products, they also typically attract customers with higher lifetime value. Each product is well along the spectrum of mass customization relative to traditional suppliers, with more production optimization opportunity ahead.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Print's Mass Customization Opportunity</w:t>
      </w:r>
    </w:p>
    <w:p>
      <w:pPr>
        <w:spacing w:after="0" w:line="183" w:lineRule="exact"/>
        <w:rPr>
          <w:sz w:val="20"/>
          <w:szCs w:val="20"/>
          <w:color w:val="auto"/>
        </w:rPr>
      </w:pPr>
    </w:p>
    <w:p>
      <w:pPr>
        <w:jc w:val="both"/>
        <w:ind w:right="180" w:firstLine="648"/>
        <w:spacing w:after="0" w:line="268" w:lineRule="auto"/>
        <w:rPr>
          <w:sz w:val="20"/>
          <w:szCs w:val="20"/>
          <w:color w:val="auto"/>
        </w:rPr>
      </w:pPr>
      <w:r>
        <w:rPr>
          <w:rFonts w:ascii="Arial" w:cs="Arial" w:eastAsia="Arial" w:hAnsi="Arial"/>
          <w:sz w:val="18"/>
          <w:szCs w:val="18"/>
          <w:color w:val="auto"/>
        </w:rPr>
        <w:t>Mass customization of print and promotional products is not a market itself, but rather a business model that can be applied across global geographic markets, to customers from varying businesses (micro, small, medium, and large), graphic designers, resellers, printers, teams, associations, groups, consumers, and families, to which we offer products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102870</wp:posOffset>
            </wp:positionV>
            <wp:extent cx="4663440" cy="209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Print and Promotional Products Markets Undergoing Disruptive Innovation</w:t>
      </w:r>
    </w:p>
    <w:p>
      <w:pPr>
        <w:spacing w:after="0" w:line="19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products and customer applications listed above constitute a large market opportunity that is highly fragmented. We believe that the vast majority of the print-related markets to which mass customization could apply are still served by traditional business models that force customers either to produce in large quantities per order or to pay a high price per unit.</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relatively early in the process of what will be a multi-decade shift from job-shop business models to mass customization, as innovation continues to bring new product categories into this model.</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Cimpress’ current revenue represents a very small fraction of this market opportunity. We believe that Cimpress and competitors who have built their businesses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the free business cards for the most price sensitive of micro-businesses or basic white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ind w:right="220"/>
        <w:spacing w:after="0" w:line="287" w:lineRule="auto"/>
        <w:rPr>
          <w:sz w:val="20"/>
          <w:szCs w:val="20"/>
          <w:color w:val="auto"/>
        </w:rPr>
      </w:pPr>
      <w:r>
        <w:rPr>
          <w:rFonts w:ascii="Arial" w:cs="Arial" w:eastAsia="Arial" w:hAnsi="Arial"/>
          <w:sz w:val="18"/>
          <w:szCs w:val="18"/>
          <w:color w:val="auto"/>
        </w:rPr>
        <w:t>t-shirts that VistaPrint started with) and then moves up market, eventually displacing established competitors (such as those in the markets mentioned above).</w:t>
      </w:r>
    </w:p>
    <w:p>
      <w:pPr>
        <w:spacing w:after="0" w:line="126"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3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believe this opportunity to deliver substantially better customer value and, therefore, disrupt large traditional industries can translate into tremendous future opportunity for Cimpress. Earlier in our history, we focused primarily on a narrow set of customers (highly price-sensitive and discount-driven micro businesses and consumers) with a limited offering of relatively simple-to-produce products. Through acquisitions and via significant investments in our Vista business, we have expanded the breadth and depth of our product offerings, extended our ability to serve our traditional customers and gained a capability to serve a vast range of customer types with ever-more-complex product formats (what we call "elevated products"). This has been a key part of our growth over the last two decades, and we expect to continue to focus on capturing growth via innovation and new product introduction in the coming decades.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and Promotional Products Market Opportunity</w:t>
      </w:r>
    </w:p>
    <w:p>
      <w:pPr>
        <w:spacing w:after="0" w:line="19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businesses conduct market research on an ongoing basis, and through those studies we remain confident in the overall market opportunity; however, our estimates are only approximate. Despite the imprecise nature of our estimates, we believe that our understanding is directionally correct and that we operate in a vast aggregate market with significant opportunity for Cimpress to grow as we continue delivering a differentiated and attractive value proposition to customers. Today, we believe that the revenue opportunity for low-to-medium order quantities (i.e., still within our focus of small-sized individual orders) in the four product categories below is over $100 billion annually in North America, Europe and Australia, and significantly higher if you include other geographies and custom consumer products. These product categories are listed in order of current market penetration by mass customization models.</w:t>
      </w:r>
    </w:p>
    <w:p>
      <w:pPr>
        <w:spacing w:after="0" w:line="210" w:lineRule="exact"/>
        <w:rPr>
          <w:sz w:val="20"/>
          <w:szCs w:val="20"/>
          <w:color w:val="auto"/>
        </w:rPr>
      </w:pPr>
    </w:p>
    <w:p>
      <w:pPr>
        <w:ind w:left="660" w:right="14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 This opportunity is estimated to be more than $25 billion per year.</w:t>
      </w:r>
    </w:p>
    <w:p>
      <w:pPr>
        <w:spacing w:after="0" w:line="197"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 This opportunity is estimated to be more than $35 billion per year.</w:t>
      </w:r>
    </w:p>
    <w:p>
      <w:pPr>
        <w:spacing w:after="0" w:line="197"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and drinkware. The end users of short-and-medium runs of these products range from businesses to teams, associations and groups, as well as individual consumers. This opportunity is estimated to be more than $25 billion per year.</w:t>
      </w:r>
    </w:p>
    <w:p>
      <w:pPr>
        <w:spacing w:after="0" w:line="197"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Packaging products, such as corrugated board packaging, flexible packaging, printed paper bags, and labels. Businesses of all sizes are the primary end users for short-and-medium runs (below 10,000 units). This opportunity is estimated to be more than $15 billion per year.</w:t>
      </w:r>
    </w:p>
    <w:p>
      <w:pPr>
        <w:spacing w:after="0" w:line="13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market for small format marketing materials is the most mature in this penetration, though there is still a significant portion served by thousands of small traditional suppliers. The market for packaging products is the least mature in terms of penetration by mass customization models, but this transition has begun. The estimates of annual market opportunity in each of the four product categories above are based on research conducted for Cimpress by third-party research firm Keypoint Intelligence in August 2022 to estimate the value of print shipments to small and medium businesses in Australia, France, Germany, Italy, the U.K. and the U.S. Cimpress extrapolated the findings of the study to estimate the market size of the remaining countries in North America and Europe in which we sell products based on the relative number of small and medium businesses in those other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Market Opportunity</w:t>
      </w:r>
    </w:p>
    <w:p>
      <w:pPr>
        <w:spacing w:after="0" w:line="237"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color w:val="auto"/>
        </w:rPr>
        <w:t>Vista was an early pioneer of the concept of web-based do-it-yourself design as a fundamental part of its original customer value proposition for designs for relatively simple 2D product formats. We believe that there is an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ind w:right="180"/>
        <w:spacing w:after="0" w:line="238" w:lineRule="auto"/>
        <w:rPr>
          <w:sz w:val="20"/>
          <w:szCs w:val="20"/>
          <w:color w:val="auto"/>
        </w:rPr>
      </w:pPr>
      <w:r>
        <w:rPr>
          <w:rFonts w:ascii="Arial" w:cs="Arial" w:eastAsia="Arial" w:hAnsi="Arial"/>
          <w:sz w:val="18"/>
          <w:szCs w:val="18"/>
          <w:color w:val="auto"/>
        </w:rPr>
        <w:t>ongoing revolution in graphic design for small business marketing, one in which a combination of technology tools, artificial intelligence and machine learning, and convenient access via two-sided marketplace platforms to professional freelance design talent (including from low-cost countries) will continue a multi-decade democratization of design that has been central to print mass customization, and is likely to continue to be a key enabler to bringing elevated products and marketing channels into the mass customization paradigm (for example, packaging, large format signage, and catalogs). Across Cimpress our businesses are improving their customer design experiences. They very often build these business-level experiences on top of design capabilities that our MCP provides as software services, and individual</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businesses also develop design enablement capabilities that are specific to their customer and product needs. We are advancing design capabilities via user experience improvements, workflow automation and a large pool of talented in-house and freelance designers and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graphic professionals who are located in low-cost labor markets. We have begun to adopt machine learning and generative AI capabilities for design and personalization to facilitate content creation and matching across a wide variety of products, personalized merchandising and more, showing promising uplift in key customer metrics and financial outcomes. Our businesses use data insights to drive efficiency gains and resource prioritization.</w:t>
      </w:r>
    </w:p>
    <w:p>
      <w:pPr>
        <w:spacing w:after="0" w:line="207"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Vista has continued to invest in its design capabilities, both organically and through acquisition, to be a leader in this market shift. For example, Vista previously acquired a network of 150,000 freelance designers who work with customer-specific design projects and a business with more than 100,000 freelance contributors of photos, videos, music, and other content. Vista is building a design system that combines graphic templates created by thousands of freelancers with algorithmically generated variations of customers' adaptation of those templates across many different print and digital products.</w:t>
      </w:r>
    </w:p>
    <w:p>
      <w:pPr>
        <w:spacing w:after="0" w:line="203"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Our research has found that small businesses in the markets we serve that purchase design services represent the majority of the addressable market for print and digital marketing materials. We believe that a broader complement of design services should enable Vista to</w:t>
      </w:r>
    </w:p>
    <w:p>
      <w:pPr>
        <w:ind w:right="240"/>
        <w:spacing w:after="0" w:line="237" w:lineRule="auto"/>
        <w:rPr>
          <w:sz w:val="20"/>
          <w:szCs w:val="20"/>
          <w:color w:val="auto"/>
        </w:rPr>
      </w:pPr>
      <w:r>
        <w:rPr>
          <w:rFonts w:ascii="Arial" w:cs="Arial" w:eastAsia="Arial" w:hAnsi="Arial"/>
          <w:sz w:val="18"/>
          <w:szCs w:val="18"/>
          <w:color w:val="auto"/>
        </w:rPr>
        <w:t>retain customers longer as their needs evolve, as well as both attract new customers and serve existing customers with elevated products, and therefore access more of our total addressable market.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Market Opportunity</w:t>
      </w:r>
    </w:p>
    <w:p>
      <w:pPr>
        <w:spacing w:after="0" w:line="237" w:lineRule="exact"/>
        <w:rPr>
          <w:sz w:val="20"/>
          <w:szCs w:val="20"/>
          <w:color w:val="auto"/>
        </w:rPr>
      </w:pPr>
    </w:p>
    <w:p>
      <w:pPr>
        <w:ind w:right="60" w:firstLine="648"/>
        <w:spacing w:after="0" w:line="250" w:lineRule="auto"/>
        <w:rPr>
          <w:sz w:val="20"/>
          <w:szCs w:val="20"/>
          <w:color w:val="auto"/>
        </w:rPr>
      </w:pPr>
      <w:r>
        <w:rPr>
          <w:rFonts w:ascii="Arial" w:cs="Arial" w:eastAsia="Arial" w:hAnsi="Arial"/>
          <w:sz w:val="17"/>
          <w:szCs w:val="17"/>
          <w:color w:val="auto"/>
        </w:rPr>
        <w:t>Over time, small businesses have complemented the physical products they use to market their businesses with digital marketing channels like websites and social media marketing. Though the digital marketing channels themselves are not areas where we believe we should allocate significant capital to develop our own offerings, design is a common component to both physical and digital marketing for small businesses, and our small business customers look for ideas and advice when it comes to ensuring cohesive brand expression and successful campaigns across these channels. Our Vista business has an offering for do-it-yourself social media design that, combined with partnership opportunities with leading digital presence businesses like Wix, has extended our total addressable market into an adjacency where we believe we have an opportunity to deliver integrated marketing solutions to small business customers using a best-in-class partnership approach. The total market for digital marketing applications is massive, as the amount that businesses spend annually on digital marketing solutions is roughly the same amount as is spent on design services and print products. However, our ambition here is focused on enhancing the customer experience of millions of Vista customers. We believe investing in digital design capabilities and offering digital</w:t>
      </w:r>
    </w:p>
    <w:p>
      <w:pPr>
        <w:spacing w:after="0" w:line="7"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solutions via partnership will enable Vista to capture a portion of this opportunity by attracting new customers and increasing the lifetime value and retention of existing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171" w:lineRule="exact"/>
        <w:rPr>
          <w:sz w:val="20"/>
          <w:szCs w:val="20"/>
          <w:color w:val="auto"/>
        </w:rPr>
      </w:pPr>
    </w:p>
    <w:p>
      <w:pPr>
        <w:ind w:right="240" w:firstLine="648"/>
        <w:spacing w:after="0" w:line="244" w:lineRule="auto"/>
        <w:rPr>
          <w:sz w:val="20"/>
          <w:szCs w:val="20"/>
          <w:color w:val="auto"/>
        </w:rPr>
      </w:pPr>
      <w:r>
        <w:rPr>
          <w:rFonts w:ascii="Arial" w:cs="Arial" w:eastAsia="Arial" w:hAnsi="Arial"/>
          <w:sz w:val="18"/>
          <w:szCs w:val="18"/>
          <w:color w:val="auto"/>
        </w:rPr>
        <w:t>Cimpress businesses include our organically developed Vista business, plus businesses that we have either fully acquired or in which we have a majority equity stake. Prior to their acquisitions, most of our acquired companies pursued business models that already applied the principles of mass customization to print and promotional products.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spacing w:after="0" w:line="1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businesses serve markets primarily in North America, Western Europe, Australia, and New Zealand as well as smaller businesses in India and Brazil. Their websites typically offer a broad assortment of tools and features allowing customers to create a product design or upload their own complete design and place an order, either on a self-service basis or with varying levels of assistance.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design services, textiles, and magazines and catalogs.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ind w:right="60" w:firstLine="648"/>
        <w:spacing w:after="0" w:line="257"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operations enables us to deliver value to customers much more effectively than traditional competitors.</w:t>
      </w:r>
    </w:p>
    <w:p>
      <w:pPr>
        <w:spacing w:after="0" w:line="15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businesses operate production facilities throughout the geographies listed above, with approximately 3 million square feet of production space in the aggregate across our owned and operated facilities. We also work extensively with hundreds of external fulfillers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reduce inventory and working capital and improve delivery speeds to customers relative to traditional suppliers. In certain of our company-operated manufacturing facilities, software schedules the near-simultaneous production of different customized products that have been ordered by the same customer, allowing us to produce and deliver multi-part orders quickly and efficiently.</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long-tail product in question; thus, our relative efficiency gains remain substantial. We acquired most of our capabilities in this area via our investments in Exaprint, Printdeal, Pixartprinting, and WIRmachenDRUCK. For instance, the product assortment of each of these four businesses is measured in the tens of thousands, versus Vista where product assortment is dramatically smaller on a relative basis. In addition to our own production of long-tail products, we rely on third-party fulfillment partnerships for a portion of our production, which allow us to offer a diverse set of products. This deep and broad product offering is important to many customers.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businesses are currently organized into the following five reportable segments:</w:t>
      </w:r>
    </w:p>
    <w:p>
      <w:pPr>
        <w:spacing w:after="0" w:line="19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Vista</w:t>
      </w:r>
      <w:r>
        <w:rPr>
          <w:rFonts w:ascii="Arial" w:cs="Arial" w:eastAsia="Arial" w:hAnsi="Arial"/>
          <w:sz w:val="17"/>
          <w:szCs w:val="17"/>
          <w:color w:val="auto"/>
        </w:rPr>
        <w:t>:</w:t>
      </w:r>
    </w:p>
    <w:p>
      <w:pPr>
        <w:spacing w:after="0" w:line="1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Consists of the operations of our VistaPrint branded websites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-33020</wp:posOffset>
            </wp:positionV>
            <wp:extent cx="13544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471805"/>
                    </a:xfrm>
                    <a:prstGeom prst="rect">
                      <a:avLst/>
                    </a:prstGeom>
                    <a:noFill/>
                  </pic:spPr>
                </pic:pic>
              </a:graphicData>
            </a:graphic>
          </wp:anchor>
        </w:drawing>
      </w:r>
    </w:p>
    <w:p>
      <w:pPr>
        <w:jc w:val="both"/>
        <w:ind w:left="4220" w:right="400"/>
        <w:spacing w:after="0" w:line="221" w:lineRule="auto"/>
        <w:rPr>
          <w:sz w:val="20"/>
          <w:szCs w:val="20"/>
          <w:color w:val="auto"/>
        </w:rPr>
      </w:pPr>
      <w:r>
        <w:rPr>
          <w:rFonts w:ascii="Arial" w:cs="Arial" w:eastAsia="Arial" w:hAnsi="Arial"/>
          <w:sz w:val="17"/>
          <w:szCs w:val="17"/>
          <w:color w:val="auto"/>
        </w:rPr>
        <w:t>Western Europe, Australia, New Zealand, India, and Singapore. This business also includes our 99designs by Vista business, which provides graphic design services, VistaCreate for do-it-yourself (DIY) design, our Vista x Wix partnership for small</w:t>
      </w:r>
    </w:p>
    <w:p>
      <w:pPr>
        <w:ind w:left="4220" w:right="80"/>
        <w:spacing w:after="0" w:line="229" w:lineRule="auto"/>
        <w:rPr>
          <w:sz w:val="20"/>
          <w:szCs w:val="20"/>
          <w:color w:val="auto"/>
        </w:rPr>
      </w:pPr>
      <w:r>
        <w:rPr>
          <w:rFonts w:ascii="Arial" w:cs="Arial" w:eastAsia="Arial" w:hAnsi="Arial"/>
          <w:sz w:val="18"/>
          <w:szCs w:val="18"/>
          <w:color w:val="auto"/>
        </w:rPr>
        <w:t>business websites, and our Vista Corporate Solutions business, which serves medium-sized businesses and large corporations.</w:t>
      </w:r>
    </w:p>
    <w:p>
      <w:pPr>
        <w:spacing w:after="0" w:line="6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Our Vista business helps about 11 million small businesses annually to create attractive, professional-quality marketing and branding products at affordable prices and low volumes. With Vista, small businesses are able to create and customize their marketing with easy-to-use digital tools and design templates, or by receiving expert graphic design support.</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8" w:name="page9"/>
    <w:bookmarkEnd w:id="8"/>
    <w:p>
      <w:pPr>
        <w:ind w:left="328" w:right="100"/>
        <w:spacing w:after="0" w:line="247" w:lineRule="auto"/>
        <w:rPr>
          <w:sz w:val="20"/>
          <w:szCs w:val="20"/>
          <w:color w:val="auto"/>
        </w:rPr>
      </w:pPr>
      <w:r>
        <w:rPr>
          <w:rFonts w:ascii="Arial" w:cs="Arial" w:eastAsia="Arial" w:hAnsi="Arial"/>
          <w:sz w:val="18"/>
          <w:szCs w:val="18"/>
          <w:color w:val="auto"/>
        </w:rPr>
        <w:t>Several signature services including "VistaPrint", "VistaCreate", "99designs by Vista", "Vista Corporate Solutions," and "Vista x Wix" operate within the "Vista" brand architecture. This broadens our customers' understanding of our value proposition to allow us to serve a larger set of their needs across a wide range of products and solutions that include design, social media, and web presence as well as print and promotional products.</w:t>
      </w:r>
    </w:p>
    <w:p>
      <w:pPr>
        <w:spacing w:after="0" w:line="133" w:lineRule="exact"/>
        <w:rPr>
          <w:sz w:val="20"/>
          <w:szCs w:val="20"/>
          <w:color w:val="auto"/>
        </w:rPr>
      </w:pPr>
    </w:p>
    <w:p>
      <w:pPr>
        <w:ind w:left="328"/>
        <w:spacing w:after="0" w:line="244" w:lineRule="auto"/>
        <w:rPr>
          <w:sz w:val="20"/>
          <w:szCs w:val="20"/>
          <w:color w:val="auto"/>
        </w:rPr>
      </w:pPr>
      <w:r>
        <w:rPr>
          <w:rFonts w:ascii="Arial" w:cs="Arial" w:eastAsia="Arial" w:hAnsi="Arial"/>
          <w:sz w:val="18"/>
          <w:szCs w:val="18"/>
          <w:color w:val="auto"/>
        </w:rPr>
        <w:t>VistaPrint represents the vast majority of the revenue in this segment where, during fiscal year 2025, average order value (AOV) was more than $90 and customers spent, on average, a bit more than $150 for the year; gross margins were about 55% and advertising spend as a percent of revenue was about 15%. Vista has had strong free cash flow conversion as its e-commerce model typically leads to collections from customers prior to the production and shipment of customer orders and mass customization allows for relatively low levels of inventory relative to revenue.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Upload &amp; Print:</w:t>
      </w:r>
    </w:p>
    <w:p>
      <w:pPr>
        <w:spacing w:after="0" w:line="198" w:lineRule="exact"/>
        <w:rPr>
          <w:sz w:val="20"/>
          <w:szCs w:val="20"/>
          <w:color w:val="auto"/>
        </w:rPr>
      </w:pPr>
    </w:p>
    <w:p>
      <w:pPr>
        <w:ind w:left="328" w:right="20"/>
        <w:spacing w:after="0" w:line="256" w:lineRule="auto"/>
        <w:rPr>
          <w:sz w:val="20"/>
          <w:szCs w:val="20"/>
          <w:color w:val="auto"/>
        </w:rPr>
      </w:pPr>
      <w:r>
        <w:rPr>
          <w:rFonts w:ascii="Arial" w:cs="Arial" w:eastAsia="Arial" w:hAnsi="Arial"/>
          <w:sz w:val="18"/>
          <w:szCs w:val="18"/>
          <w:color w:val="auto"/>
        </w:rPr>
        <w:t>Our Upload &amp; Print businesses are organized in two reportable segments: PrintBrothers and The Print Group, both of which focus on serving graphic professionals such as local printers, print resellers, graphic artists, advertising agencies, and other customers with professional desktop publishing skill sets. Average order values and annual spend per customer vary by business, with AOVs, on average, of about €100 - €175 and annual spend per customer of about €300 - €900 in fiscal year 2025. Gross margins vary by business but averaged about 32% in fiscal year 2025 due to wholesale-like pricing and the wide variety of products produced both in owned facilities as well as via third-party fulfillers. Advertising spend as a percent of external revenue was about 5% in fiscal year 2025, although it also varies by business.</w:t>
      </w:r>
    </w:p>
    <w:p>
      <w:pPr>
        <w:spacing w:after="0" w:line="129" w:lineRule="exact"/>
        <w:rPr>
          <w:sz w:val="20"/>
          <w:szCs w:val="20"/>
          <w:color w:val="auto"/>
        </w:rPr>
      </w:pPr>
    </w:p>
    <w:p>
      <w:pPr>
        <w:ind w:left="328" w:right="100" w:hanging="328"/>
        <w:spacing w:after="0" w:line="271" w:lineRule="auto"/>
        <w:tabs>
          <w:tab w:leader="none" w:pos="3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PrintBrothers: </w:t>
      </w:r>
      <w:r>
        <w:rPr>
          <w:rFonts w:ascii="Arial" w:cs="Arial" w:eastAsia="Arial" w:hAnsi="Arial"/>
          <w:sz w:val="18"/>
          <w:szCs w:val="18"/>
          <w:color w:val="auto"/>
        </w:rPr>
        <w:t>Consists of our druck.at, Printdeal, and WIRmachenDRUCK businesses. PrintBrothers businesses serve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Europe, primarily in Austria, Belgium, Germany, the Netherlands, and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169545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160655</wp:posOffset>
            </wp:positionV>
            <wp:extent cx="1628775"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775" cy="41973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709295</wp:posOffset>
            </wp:positionV>
            <wp:extent cx="2125980"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259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 w:right="180" w:hanging="328"/>
        <w:spacing w:after="0" w:line="271" w:lineRule="auto"/>
        <w:tabs>
          <w:tab w:leader="none" w:pos="31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Print Group: </w:t>
      </w:r>
      <w:r>
        <w:rPr>
          <w:rFonts w:ascii="Arial" w:cs="Arial" w:eastAsia="Arial" w:hAnsi="Arial"/>
          <w:sz w:val="18"/>
          <w:szCs w:val="18"/>
          <w:color w:val="auto"/>
        </w:rPr>
        <w:t>Consists of our Easyflyer, Exaprint, Pixartprinting, and Tradeprint businesses. The Print Group businesses serve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throughout Europe, primarily in France, Italy, Spain, and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314960</wp:posOffset>
            </wp:positionV>
            <wp:extent cx="140589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297815</wp:posOffset>
            </wp:positionV>
            <wp:extent cx="125158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27432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958215</wp:posOffset>
            </wp:positionV>
            <wp:extent cx="419163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916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National Pen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86360</wp:posOffset>
            </wp:positionV>
            <wp:extent cx="1825625"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617220"/>
                    </a:xfrm>
                    <a:prstGeom prst="rect">
                      <a:avLst/>
                    </a:prstGeom>
                    <a:noFill/>
                  </pic:spPr>
                </pic:pic>
              </a:graphicData>
            </a:graphic>
          </wp:anchor>
        </w:drawing>
      </w:r>
    </w:p>
    <w:p>
      <w:pPr>
        <w:spacing w:after="0" w:line="138" w:lineRule="exact"/>
        <w:rPr>
          <w:sz w:val="20"/>
          <w:szCs w:val="20"/>
          <w:color w:val="auto"/>
        </w:rPr>
      </w:pPr>
    </w:p>
    <w:p>
      <w:pPr>
        <w:ind w:left="5248"/>
        <w:spacing w:after="0"/>
        <w:rPr>
          <w:sz w:val="20"/>
          <w:szCs w:val="20"/>
          <w:color w:val="auto"/>
        </w:rPr>
      </w:pPr>
      <w:r>
        <w:rPr>
          <w:rFonts w:ascii="Arial" w:cs="Arial" w:eastAsia="Arial" w:hAnsi="Arial"/>
          <w:sz w:val="18"/>
          <w:szCs w:val="18"/>
          <w:color w:val="auto"/>
        </w:rPr>
        <w:t>Consists of our pens.com branded business and a few</w:t>
      </w:r>
    </w:p>
    <w:p>
      <w:pPr>
        <w:ind w:left="5248" w:right="800"/>
        <w:spacing w:after="0" w:line="234" w:lineRule="auto"/>
        <w:rPr>
          <w:sz w:val="20"/>
          <w:szCs w:val="20"/>
          <w:color w:val="auto"/>
        </w:rPr>
      </w:pPr>
      <w:r>
        <w:rPr>
          <w:rFonts w:ascii="Arial" w:cs="Arial" w:eastAsia="Arial" w:hAnsi="Arial"/>
          <w:sz w:val="17"/>
          <w:szCs w:val="17"/>
          <w:color w:val="auto"/>
        </w:rPr>
        <w:t>smaller brands operated by National Pen that are focused on customized writing instruments and promotional products, apparel, and gifts for small- and medium-sized businesses.</w:t>
      </w:r>
    </w:p>
    <w:p>
      <w:pPr>
        <w:sectPr>
          <w:pgSz w:w="11900" w:h="16838" w:orient="portrait"/>
          <w:cols w:equalWidth="0" w:num="1">
            <w:col w:w="10888"/>
          </w:cols>
          <w:pgMar w:left="652" w:top="105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52" w:right="359" w:bottom="1440" w:gutter="0" w:footer="0" w:header="0"/>
          <w:type w:val="continuous"/>
        </w:sectPr>
      </w:pPr>
    </w:p>
    <w:bookmarkStart w:id="9" w:name="page10"/>
    <w:bookmarkEnd w:id="9"/>
    <w:p>
      <w:pPr>
        <w:ind w:left="660" w:right="20"/>
        <w:spacing w:after="0" w:line="238" w:lineRule="auto"/>
        <w:rPr>
          <w:sz w:val="20"/>
          <w:szCs w:val="20"/>
          <w:color w:val="auto"/>
        </w:rPr>
      </w:pPr>
      <w:r>
        <w:rPr>
          <w:rFonts w:ascii="Arial" w:cs="Arial" w:eastAsia="Arial" w:hAnsi="Arial"/>
          <w:sz w:val="18"/>
          <w:szCs w:val="18"/>
          <w:color w:val="auto"/>
        </w:rPr>
        <w:t>National Pen serves more than a million small businesses annually across geographies including North America, Europe, and Australia. The pens.com branded business sells through their ecommerce site and is supported by digital marketing methods as well as direct mail and telesales. National Pen focuses on customized writing instruments and promotional products, apparel, and gifts for small- and medium-sized businesses. During fiscal year 2025, National Pen’s average order value was about $300 - $350, and annual spend per customer was about $470. Gross margins were about 51% in fiscal year 2025 with highly seasonal profits driven in the December quarter. Advertising spend as a percent of revenue (excluding inter-segment revenue) was about 20% in fiscal year</w:t>
      </w:r>
    </w:p>
    <w:p>
      <w:pPr>
        <w:spacing w:after="0" w:line="1" w:lineRule="exact"/>
        <w:rPr>
          <w:sz w:val="20"/>
          <w:szCs w:val="20"/>
          <w:color w:val="auto"/>
        </w:rPr>
      </w:pPr>
    </w:p>
    <w:p>
      <w:pPr>
        <w:ind w:left="660" w:right="220"/>
        <w:spacing w:after="0" w:line="237" w:lineRule="auto"/>
        <w:rPr>
          <w:sz w:val="20"/>
          <w:szCs w:val="20"/>
          <w:color w:val="auto"/>
        </w:rPr>
      </w:pPr>
      <w:r>
        <w:rPr>
          <w:rFonts w:ascii="Arial" w:cs="Arial" w:eastAsia="Arial" w:hAnsi="Arial"/>
          <w:sz w:val="18"/>
          <w:szCs w:val="18"/>
          <w:color w:val="auto"/>
        </w:rPr>
        <w:t>2025. Significant inventory and customer invoicing requirements in this business drive different working capital needs compared to our other businesses.</w:t>
      </w:r>
    </w:p>
    <w:p>
      <w:pPr>
        <w:spacing w:after="0" w:line="16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103" w:lineRule="exact"/>
        <w:rPr>
          <w:rFonts w:ascii="Arial" w:cs="Arial" w:eastAsia="Arial" w:hAnsi="Arial"/>
          <w:sz w:val="18"/>
          <w:szCs w:val="18"/>
          <w:b w:val="1"/>
          <w:bCs w:val="1"/>
          <w:color w:val="auto"/>
        </w:rPr>
      </w:pPr>
    </w:p>
    <w:p>
      <w:pPr>
        <w:ind w:left="660"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 collection of businesses combined into one reportable segment based on materiality, including BuildASign, a larger and profitable business, with strong profitability and cash flow, and Printi, a small early-stage business operating at a relatively modest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66675</wp:posOffset>
            </wp:positionV>
            <wp:extent cx="96012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120" cy="488950"/>
                    </a:xfrm>
                    <a:prstGeom prst="rect">
                      <a:avLst/>
                    </a:prstGeom>
                    <a:noFill/>
                  </pic:spPr>
                </pic:pic>
              </a:graphicData>
            </a:graphic>
          </wp:anchor>
        </w:drawing>
      </w:r>
    </w:p>
    <w:p>
      <w:pPr>
        <w:spacing w:after="0" w:line="296" w:lineRule="exact"/>
        <w:rPr>
          <w:sz w:val="20"/>
          <w:szCs w:val="20"/>
          <w:color w:val="auto"/>
        </w:rPr>
      </w:pPr>
    </w:p>
    <w:p>
      <w:pPr>
        <w:ind w:left="3720" w:right="760"/>
        <w:spacing w:after="0"/>
        <w:rPr>
          <w:sz w:val="20"/>
          <w:szCs w:val="20"/>
          <w:color w:val="auto"/>
        </w:rPr>
      </w:pPr>
      <w:r>
        <w:rPr>
          <w:rFonts w:ascii="Arial" w:cs="Arial" w:eastAsia="Arial" w:hAnsi="Arial"/>
          <w:sz w:val="18"/>
          <w:szCs w:val="18"/>
          <w:color w:val="auto"/>
        </w:rPr>
        <w:t>BuildASign is an e-commerce provider of canvas-print wall décor, signage, and other large-format printed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168910</wp:posOffset>
            </wp:positionV>
            <wp:extent cx="728345"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342900"/>
                    </a:xfrm>
                    <a:prstGeom prst="rect">
                      <a:avLst/>
                    </a:prstGeom>
                    <a:noFill/>
                  </pic:spPr>
                </pic:pic>
              </a:graphicData>
            </a:graphic>
          </wp:anchor>
        </w:drawing>
      </w:r>
    </w:p>
    <w:p>
      <w:pPr>
        <w:spacing w:after="0" w:line="349" w:lineRule="exact"/>
        <w:rPr>
          <w:sz w:val="20"/>
          <w:szCs w:val="20"/>
          <w:color w:val="auto"/>
        </w:rPr>
      </w:pPr>
    </w:p>
    <w:p>
      <w:pPr>
        <w:ind w:left="3720" w:right="1000"/>
        <w:spacing w:after="0"/>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Procurement</w:t>
      </w:r>
    </w:p>
    <w:p>
      <w:pPr>
        <w:spacing w:after="0" w:line="198" w:lineRule="exact"/>
        <w:rPr>
          <w:sz w:val="20"/>
          <w:szCs w:val="20"/>
          <w:color w:val="auto"/>
        </w:rPr>
      </w:pPr>
    </w:p>
    <w:p>
      <w:pPr>
        <w:jc w:val="both"/>
        <w:ind w:right="100" w:firstLine="648"/>
        <w:spacing w:after="0" w:line="262"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also supports procurement improvements, tools, and approaches across other aspects of our businesses’ purchases.</w:t>
      </w:r>
    </w:p>
    <w:p>
      <w:pPr>
        <w:spacing w:after="0" w:line="13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While we are focused on seeking low total cost in our strategic sourcing efforts, we also work to ensure quality, reliability, and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We also work to develop and implement logistics, warehousing, and outbound shipping strategies to provide a balance of low-cost material availability while limiting our inventory exposure. Additionally, this team partners with each of our businesses and production equipment suppliers to help drive innovation and new product introduction at advantaged costs.</w:t>
      </w:r>
    </w:p>
    <w:p>
      <w:pPr>
        <w:spacing w:after="0" w:line="14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Having this central procurement team that works together with the procurement teams in each of our businesses benefits us relative to the market, and we believe it has enabled us to operate more effectively, mitigating supply and cost risks relative to smaller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5"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Our businesses typically rely on proprietary technology to attract and retain our customers, to enable customers to create graphic designs and place orders on our websites, and to sort,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3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using our Mass Customization Platform (MCP), which is a cloud-based collection of software services, APIs, web applications, and related technology that can be leveraged independently or together by our businesses and third parties to perform common tasks that are important to mass customization. Cimpress businesses, and increasingly third-party fulfillers to our various businesses, leverage different combinations of MCP services, depending on what capabilities they need to complement their business-specific technology. The capabilities that are available in the MCP today include customer-facing technologies, such as ecommerce or those that enable customers to visualize their designs on various products, as well as manufacturing, supply chain, and logistics technologies that automate various stages of the production and delivery of a product to a customer. The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benefits of the MCP include improved speed to market for new product introduction, reduction in fulfillment costs, improvement of product delivery or geographic expansion, improved site experience, automating manual tasks, and avoidance of certain redundant costs, which are especially impactful improvements when the platform is used to enable fulfillment between our Cimpress businesses. We believe the MCP can generate significant customer and shareholder value from increased specialization of production facilities, aggregated scale from multiple businesses, increased product offerings, and shared technology development costs.</w:t>
      </w:r>
    </w:p>
    <w:p>
      <w:pPr>
        <w:spacing w:after="0" w:line="1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depending on their specific needs. Over the past few years, most of our businesses have modernized and modularized their business-specific technology to enable them to launch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content management, multivariate testing tools, and data warehousing, which are areas that specialized best-in-class technologies are better than the proprietary technologies they have replaced. This allows our engineering and development talent to focus on artwork technologies, product information management, and marketplace technologies from which we derive competitive advantage.</w:t>
      </w:r>
    </w:p>
    <w:p>
      <w:pPr>
        <w:spacing w:after="0" w:line="144"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In our central Cimpress Technology team and in an increasing number of our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Privacy and Security</w:t>
      </w:r>
    </w:p>
    <w:p>
      <w:pPr>
        <w:spacing w:after="0" w:line="252" w:lineRule="exact"/>
        <w:rPr>
          <w:sz w:val="20"/>
          <w:szCs w:val="20"/>
          <w:color w:val="auto"/>
        </w:rPr>
      </w:pPr>
    </w:p>
    <w:p>
      <w:pPr>
        <w:ind w:right="260" w:firstLine="200"/>
        <w:spacing w:after="0" w:line="257" w:lineRule="auto"/>
        <w:rPr>
          <w:sz w:val="20"/>
          <w:szCs w:val="20"/>
          <w:color w:val="auto"/>
        </w:rPr>
      </w:pPr>
      <w:r>
        <w:rPr>
          <w:rFonts w:ascii="Arial" w:cs="Arial" w:eastAsia="Arial" w:hAnsi="Arial"/>
          <w:sz w:val="18"/>
          <w:szCs w:val="18"/>
          <w:color w:val="auto"/>
        </w:rPr>
        <w:t>Each Cimpress business is responsible for working to ensure that customer, company, and team member information is secure and handled in ways that are compliant with relevant laws and regulations. Because there are many aspects of this topic that apply to all of our businesses, Cimpress also has a central security team that defines security policies, deploys security controls,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costs, and become more efficient in using their resources.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Talent Infrastructure</w:t>
      </w:r>
    </w:p>
    <w:p>
      <w:pPr>
        <w:spacing w:after="0" w:line="18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leverage across Cimpress.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w:t>
      </w:r>
    </w:p>
    <w:p>
      <w:pPr>
        <w:ind w:right="80"/>
        <w:spacing w:after="0" w:line="226" w:lineRule="auto"/>
        <w:rPr>
          <w:sz w:val="20"/>
          <w:szCs w:val="20"/>
          <w:color w:val="auto"/>
        </w:rPr>
      </w:pPr>
      <w:r>
        <w:rPr>
          <w:rFonts w:ascii="Arial" w:cs="Arial" w:eastAsia="Arial" w:hAnsi="Arial"/>
          <w:sz w:val="18"/>
          <w:szCs w:val="18"/>
          <w:color w:val="auto"/>
        </w:rPr>
        <w:t>dispersed, with many existing and potential competitors. Though Cimpress is the largest business in our space, we still represent a small fraction of the overall market and believe there is significant room for growth over the long-term future. Within this highly competitive context,</w:t>
      </w:r>
    </w:p>
    <w:p>
      <w:pPr>
        <w:spacing w:after="0" w:line="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competitive price points and, in doing so, offer our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right="780"/>
        <w:spacing w:after="0" w:line="271" w:lineRule="auto"/>
        <w:rPr>
          <w:sz w:val="20"/>
          <w:szCs w:val="20"/>
          <w:color w:val="auto"/>
        </w:rPr>
      </w:pPr>
      <w:r>
        <w:rPr>
          <w:rFonts w:ascii="Arial" w:cs="Arial" w:eastAsia="Arial" w:hAnsi="Arial"/>
          <w:sz w:val="18"/>
          <w:szCs w:val="18"/>
          <w:color w:val="auto"/>
        </w:rPr>
        <w:t>customers an attractive value proposition. As described above, in Vista in recent years we expanded both our value proposition and addressable market to include design and digital marketing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competition includes a combination of the following:</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superstores, mail and copy shop outlets, drug store chains, and other major retailers targeting small business and consumer markets for their printing needs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third-party printers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3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Today’s market has evolved to be more competitive. This evolution, which has been ongoing for over 20 years, has led to major benefits for customers in terms of lower prices,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We continue to derive significant profits from these small format products. Additionally, there are other product areas that have only more recently begun to benefit from mass customization, such as books, catalogs, magazines, textiles, and packaging, as well as promotional products, apparel and gifts (PPAG) and large format products such as signage.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this most recent fiscal year, we conducted our first Double Materiality Assessment (DMA) in preparation for the EU’s Corporate Social Responsibility Directive (CSRD), which will be effective for our fiscal year 2028 reporting. The DMA further informed our view of our most material sustainability issues. Following completion of the DMA, we conducted a review of our environmental sustainability targets (several of which reached expiration at the end of fiscal year 2025), and made adjustments to sharpen our focus on our most material issues. Following this review, our work in sustainability continues to include focus on reducing risk and improving our resilience in the following areas:</w:t>
      </w:r>
    </w:p>
    <w:p>
      <w:pPr>
        <w:spacing w:after="0" w:line="142" w:lineRule="exact"/>
        <w:rPr>
          <w:sz w:val="20"/>
          <w:szCs w:val="20"/>
          <w:color w:val="auto"/>
        </w:rPr>
      </w:pPr>
    </w:p>
    <w:p>
      <w:pPr>
        <w:ind w:left="660" w:hanging="328"/>
        <w:spacing w:after="0" w:line="254"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Reducing greenhouse gas emissions: </w:t>
      </w:r>
      <w:r>
        <w:rPr>
          <w:rFonts w:ascii="Arial" w:cs="Arial" w:eastAsia="Arial" w:hAnsi="Arial"/>
          <w:sz w:val="18"/>
          <w:szCs w:val="18"/>
          <w:color w:val="auto"/>
        </w:rPr>
        <w:t>We strive to achieve net zero carbon emissions by fiscal year 2040 across our entire value</w:t>
      </w:r>
      <w:r>
        <w:rPr>
          <w:rFonts w:ascii="Arial" w:cs="Arial" w:eastAsia="Arial" w:hAnsi="Arial"/>
          <w:sz w:val="18"/>
          <w:szCs w:val="18"/>
          <w:b w:val="1"/>
          <w:bCs w:val="1"/>
          <w:color w:val="auto"/>
        </w:rPr>
        <w:t xml:space="preserve"> </w:t>
      </w:r>
      <w:r>
        <w:rPr>
          <w:rFonts w:ascii="Arial" w:cs="Arial" w:eastAsia="Arial" w:hAnsi="Arial"/>
          <w:sz w:val="18"/>
          <w:szCs w:val="18"/>
          <w:color w:val="auto"/>
        </w:rPr>
        <w:t>chain and to achieve a 38% reduction in emissions by fiscal year 2030 as compared to our fiscal year 2024 baseline. The majority of these baseline emissions are from our value chain (Scope 3). Through investments in energy-efficient infrastructure and equipment, as well as renewable energy, we have achieved significant reductions in our direct emissions (Scope 1) and indirect emissions from purchased electricity or other forms of energy (Scope 2), and expect further reductions in the future. In fiscal year 2025, we decided to update our baseline year to fiscal year 2024 (previously fiscal year 2019) to reflect significant enhancements in the quality of our Scope 3 accounting that rendered previous baselines less reliable; our targets continue to be informed by a science-based approach and we believe are in alignment with a 1.5°C decarbonization pathway. This improved accounting has enabled deeper analysis of our Scope 3 emissions, including substrate and logistics choices, and clarified opportunities to reduce total emissions. We continue to focus on engaging our suppliers to further refine our Scope 3 data, and have begun to implement new ways to rationalize and systematize investment in carbon reduction across our businesses.</w:t>
      </w:r>
    </w:p>
    <w:p>
      <w:pPr>
        <w:spacing w:after="0" w:line="141" w:lineRule="exact"/>
        <w:rPr>
          <w:rFonts w:ascii="Arial" w:cs="Arial" w:eastAsia="Arial" w:hAnsi="Arial"/>
          <w:sz w:val="18"/>
          <w:szCs w:val="18"/>
          <w:b w:val="1"/>
          <w:bCs w:val="1"/>
          <w:color w:val="auto"/>
        </w:rPr>
      </w:pPr>
    </w:p>
    <w:p>
      <w:pPr>
        <w:ind w:left="660" w:right="28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Responsible forestry: </w:t>
      </w:r>
      <w:r>
        <w:rPr>
          <w:rFonts w:ascii="Arial" w:cs="Arial" w:eastAsia="Arial" w:hAnsi="Arial"/>
          <w:sz w:val="18"/>
          <w:szCs w:val="18"/>
          <w:color w:val="auto"/>
        </w:rPr>
        <w:t>Our sourcing strategy seeks to minimize any contribution to deforestation, forest degradation, or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biodiversity. We have converted the vast majority of the paper we print on in our Cimpress-owned production facilities to materials certified by either the Forest Stewardship Council (FSC) or the Programme for the Endorsement of Forest Certification (PEFC), leading certifications of responsible forestry practices. These certifications confirm that the paper we print on comes from responsibly managed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660"/>
        <w:spacing w:after="0" w:line="259" w:lineRule="auto"/>
        <w:rPr>
          <w:sz w:val="20"/>
          <w:szCs w:val="20"/>
          <w:color w:val="auto"/>
        </w:rPr>
      </w:pPr>
      <w:r>
        <w:rPr>
          <w:rFonts w:ascii="Arial" w:cs="Arial" w:eastAsia="Arial" w:hAnsi="Arial"/>
          <w:sz w:val="18"/>
          <w:szCs w:val="18"/>
          <w:color w:val="auto"/>
        </w:rPr>
        <w:t>forests that meet high environmental and social standards, and form a part of our preparations for compliance with the upcoming European Union Deforestation Regulation (EUDR) that becomes effective in January 2026. In fiscal year 2026, we will be required to comply with the EUDR for all products produced, imported or exported in Europe, and we will continue our efforts to achieve FSC and PEFC conversion for products produced outside of Europe. We are also continuing to engage our third-party suppliers to materially expand their use of responsibly forested paper for the products that they customize on our behalf.</w:t>
      </w:r>
    </w:p>
    <w:p>
      <w:pPr>
        <w:spacing w:after="0" w:line="152" w:lineRule="exact"/>
        <w:rPr>
          <w:sz w:val="20"/>
          <w:szCs w:val="20"/>
          <w:color w:val="auto"/>
        </w:rPr>
      </w:pPr>
    </w:p>
    <w:p>
      <w:pPr>
        <w:ind w:left="660" w:right="18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Plastics transition: </w:t>
      </w:r>
      <w:r>
        <w:rPr>
          <w:rFonts w:ascii="Arial" w:cs="Arial" w:eastAsia="Arial" w:hAnsi="Arial"/>
          <w:sz w:val="18"/>
          <w:szCs w:val="18"/>
          <w:color w:val="auto"/>
        </w:rPr>
        <w:t>We are committed to ensuring that the plastic products most material to our financial performance are made</w:t>
      </w:r>
      <w:r>
        <w:rPr>
          <w:rFonts w:ascii="Arial" w:cs="Arial" w:eastAsia="Arial" w:hAnsi="Arial"/>
          <w:sz w:val="18"/>
          <w:szCs w:val="18"/>
          <w:b w:val="1"/>
          <w:bCs w:val="1"/>
          <w:color w:val="auto"/>
        </w:rPr>
        <w:t xml:space="preserve"> </w:t>
      </w:r>
      <w:r>
        <w:rPr>
          <w:rFonts w:ascii="Arial" w:cs="Arial" w:eastAsia="Arial" w:hAnsi="Arial"/>
          <w:sz w:val="18"/>
          <w:szCs w:val="18"/>
          <w:color w:val="auto"/>
        </w:rPr>
        <w:t>from materials with lower environmental impacts and higher resiliency to potential regulation due to impacts on human health. We will continue our focus on transitioning away from the use of PVC and polystyrene in our plastic product portfolio (largely banners, rigid signs and decals). We have made important progress toward this goal, including the test and launch of multiple alternative products, and we continue to focus on implementing merchandising approaches designed to maximize customer adoption of these new materials.</w:t>
      </w:r>
    </w:p>
    <w:p>
      <w:pPr>
        <w:spacing w:after="0" w:line="141" w:lineRule="exact"/>
        <w:rPr>
          <w:rFonts w:ascii="Arial" w:cs="Arial" w:eastAsia="Arial" w:hAnsi="Arial"/>
          <w:sz w:val="18"/>
          <w:szCs w:val="18"/>
          <w:color w:val="auto"/>
        </w:rPr>
      </w:pPr>
    </w:p>
    <w:p>
      <w:pPr>
        <w:jc w:val="both"/>
        <w:ind w:left="660" w:right="8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Packaging</w:t>
      </w:r>
      <w:r>
        <w:rPr>
          <w:rFonts w:ascii="Arial" w:cs="Arial" w:eastAsia="Arial" w:hAnsi="Arial"/>
          <w:sz w:val="18"/>
          <w:szCs w:val="18"/>
          <w:color w:val="auto"/>
        </w:rPr>
        <w:t>: We also remain focused on reducing the risk of forestry and plastic transition-related issues in our packaging.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updated our targets to provide direction to our businesses on these issues, as well as ensure that we remain aligned with regulatory advancement and customer expectations.</w:t>
      </w:r>
    </w:p>
    <w:p>
      <w:pPr>
        <w:spacing w:after="0" w:line="130"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We require recruiting, retention, and other performance management related decisions to be made based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on merit and 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 programs for team members to make further improvements in this area. We value individual differences, unique perspectives, and the distinct contributions that each one of us can make to the company.</w:t>
      </w:r>
    </w:p>
    <w:p>
      <w:pPr>
        <w:spacing w:after="0" w:line="155" w:lineRule="exact"/>
        <w:rPr>
          <w:rFonts w:ascii="Arial" w:cs="Arial" w:eastAsia="Arial" w:hAnsi="Arial"/>
          <w:sz w:val="18"/>
          <w:szCs w:val="18"/>
          <w:color w:val="auto"/>
        </w:rPr>
      </w:pPr>
    </w:p>
    <w:p>
      <w:pPr>
        <w:ind w:left="660" w:right="240" w:hanging="328"/>
        <w:spacing w:after="0" w:line="29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Team member health and safety: </w:t>
      </w:r>
      <w:r>
        <w:rPr>
          <w:rFonts w:ascii="Arial" w:cs="Arial" w:eastAsia="Arial" w:hAnsi="Arial"/>
          <w:sz w:val="17"/>
          <w:szCs w:val="17"/>
          <w:color w:val="auto"/>
        </w:rPr>
        <w:t>We require safe working conditions at all times to ensure our team members and other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are protected, and require legal compliance at a minimum at all times. We require training on – and compliance with – safe work practices and procedures at all manufacturing facilities to ensure the safety of team members and visitors to our plant floors.</w:t>
      </w:r>
    </w:p>
    <w:p>
      <w:pPr>
        <w:spacing w:after="0" w:line="112" w:lineRule="exact"/>
        <w:rPr>
          <w:rFonts w:ascii="Arial" w:cs="Arial" w:eastAsia="Arial" w:hAnsi="Arial"/>
          <w:sz w:val="17"/>
          <w:szCs w:val="17"/>
          <w:color w:val="auto"/>
        </w:rPr>
      </w:pPr>
    </w:p>
    <w:p>
      <w:pPr>
        <w:ind w:left="660" w:right="18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It is important to us that our supply chain reflects our commitment to doing business with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of ethics and integrity. We expect our suppliers to act in full compliance with applicable laws, rules, and regulations. Our code of business conduct and supplier code of conduct lay out our expectations regarding human rights (including forced and child labor), environmental standards, and safe working conditions. Each Cimpress business is responsible for closely monitoring its supply chain for adherence to these requirements.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More information can be found at www.cimpress.com in our Corporate Social Responsibility section, including links to reports and documents such as our environmental, social, and governance (ESG) reports, supplier code of conduct, and compliance with the UK Modern Slavery Act and Canada's Fighting Against Forced Labour and Child Labour in Supply Chains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5"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imposed on our employees and third parties,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Our profitability has historically had seasonal fluctuations. Our second fiscal quarter, ending December 31, includes the majority of the holiday shopping season and has been our strongest quarter for sales of our consumer-oriented products, such as holiday cards, calendars, canvas prints, photobooks, and personalized gifts.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Human Capital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2025, we had approximately 15,000 full-time and approximately 500 temporary employees worldwide.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Cimpress plc was incorporated on July 5, 2017 as a private company limited by shares under the laws of Ireland and on November 18, 2019 was re-registered as a public limited company under the laws of Ireland. On December 3, 2019, Cimpress N.V., the former publicly traded parent company of the Cimpress group of entities, merged with and into Cimpress plc, with Cimpress plc surviving the merger and becoming the publicly traded parent company of the Cimpress group of entities.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5"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We make available, free of charge through our investor relations website at ir.cimpress.com, the reports, proxy statements, amendments, and other materials we file with or furnish to the SEC as soon as reasonably practicable after we electronically file or furnish such materials with or to the SEC. We are not including the information contained on our website, or information that can be accessed by links contained on our website, as a part of, or incorporating it by reference into, this Annual Report on Form 10-K.</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6" w:right="459" w:bottom="1440" w:gutter="0" w:footer="0" w:header="0"/>
        </w:sectPr>
      </w:pPr>
    </w:p>
    <w:bookmarkStart w:id="14" w:name="page15"/>
    <w:bookmarkEnd w:id="14"/>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2"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has led, and may continue to lead, to volatility in our share price.</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have caused, and/or could cause, our operating results to fluctuate from quarter to quarter or year to year include among others:</w:t>
      </w:r>
    </w:p>
    <w:p>
      <w:pPr>
        <w:spacing w:after="0" w:line="206" w:lineRule="exact"/>
        <w:rPr>
          <w:sz w:val="20"/>
          <w:szCs w:val="20"/>
          <w:color w:val="auto"/>
        </w:rPr>
      </w:pPr>
    </w:p>
    <w:p>
      <w:pPr>
        <w:ind w:left="660" w:right="1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 and increased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revenue mix toward products and brands with lower profit margins, such as the decline of business cards and faster growth in elevated products like promotional products and packaging</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chain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including potential declines from pricing changes and/or surcharges related to tariffs or other trade policies of the U.S. or other countries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and other countries' trade policies, including the types, amounts, and durations of any tariffs imposed on our products or our supply chain materials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including volatility or economic downturns in some or all of our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income tax rate or tax-related benefits 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Some of our expenses, such as building leases, depreciation related to previously acquired property and equipment, and personnel</w:t>
      </w:r>
    </w:p>
    <w:p>
      <w:pPr>
        <w:spacing w:after="0" w:line="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costs, are relatively fixed. As a result, we sometimes have been, and may in the future be, unable or unwilling to adjust operating expenses to offset any revenue shortfall. Accordingly, any shortfall in revenue may cause significant variation in operating results in any period. Our operating results have, at times, fallen below the expectations of public market analysts and investors, which has led to declines in the price of our ordinary shares in the past and may do so again in the future.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If we do not promote, strengthen, and evolve our brands, we could lose customers and revenue and fail to acquire new customers.</w:t>
      </w:r>
    </w:p>
    <w:p>
      <w:pPr>
        <w:spacing w:after="0" w:line="200" w:lineRule="exact"/>
        <w:rPr>
          <w:sz w:val="20"/>
          <w:szCs w:val="20"/>
          <w:color w:val="auto"/>
        </w:rPr>
      </w:pPr>
    </w:p>
    <w:p>
      <w:pPr>
        <w:spacing w:after="0" w:line="268" w:lineRule="exact"/>
        <w:rPr>
          <w:sz w:val="20"/>
          <w:szCs w:val="20"/>
          <w:color w:val="auto"/>
        </w:rPr>
      </w:pPr>
    </w:p>
    <w:p>
      <w:pPr>
        <w:ind w:firstLine="190"/>
        <w:spacing w:after="0" w:line="257" w:lineRule="auto"/>
        <w:rPr>
          <w:sz w:val="20"/>
          <w:szCs w:val="20"/>
          <w:color w:val="auto"/>
        </w:rPr>
      </w:pPr>
      <w:r>
        <w:rPr>
          <w:rFonts w:ascii="Arial" w:cs="Arial" w:eastAsia="Arial" w:hAnsi="Arial"/>
          <w:sz w:val="18"/>
          <w:szCs w:val="18"/>
          <w:color w:val="auto"/>
        </w:rPr>
        <w:t>A primary component of our business strategy is to promote, strengthen, and evolve our brands to attract new and repeat customers, and we face significant competition from other companies in our markets who also seek to establish strong brands. To promote, strengthen, and evolve our brands, we must incur substantial marketing expenses and establish a relationship of trust with our customers by providing a high-quality customer experience, which requires us to invest substantial amounts of our resources. A negative incident or circumstance involving our products, services, advertising, or corporate conduct can damage our reputation, especially if the incident or circumstance is widely publicized or "goes viral," and causes customers to lose trust in our brands, which could negatively impact our revenues.</w:t>
      </w:r>
    </w:p>
    <w:p>
      <w:pPr>
        <w:spacing w:after="0" w:line="169"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Our global operations and decentralized organizational structure place a significant strain on our management, employees, facilities, and other resources and subject us to additional ongoing risks.</w:t>
      </w:r>
    </w:p>
    <w:p>
      <w:pPr>
        <w:spacing w:after="0" w:line="16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We are a global company with production facilities, offices, employees, and localized websites in many countries across six continents, and we manage our businesses and operations in a decentralized, autonomous manner. We are subject to a number of ongoing risks and challenges that relate to our global operations, decentralization, and complexity including, among others:</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7"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of ensuring speed, nimbleness, and entrepreneurialism in a large and complex organization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internal competition or brand cannibalization where multiple brands operate with overlapping offerings in the same geography</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tariffs, and other costs</w:t>
      </w:r>
    </w:p>
    <w:p>
      <w:pPr>
        <w:ind w:left="660" w:right="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maintain sufficient financial and operational controls and systems to manage our decentralized businesses and comply with our obligations as a public company</w:t>
      </w: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or impact the willingness of third parties to conduct business with us, protectionist laws that favor local businesses, and restrictions imposed by local labor laws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 of maintaining management's focus on our strategic and operational priorities and minimizing lower priority distractions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and war that may occur in some countries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9" w:lineRule="exact"/>
        <w:rPr>
          <w:rFonts w:ascii="Arial" w:cs="Arial" w:eastAsia="Arial" w:hAnsi="Arial"/>
          <w:sz w:val="18"/>
          <w:szCs w:val="18"/>
          <w:color w:val="auto"/>
        </w:rPr>
      </w:pPr>
    </w:p>
    <w:p>
      <w:pPr>
        <w:jc w:val="both"/>
        <w:ind w:left="660" w:right="1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trade policies, particularly across North America, China and Europe, difficulty importing and exporting our products and supply chain materials across country borders and difficulty complying with customs regulations in the many countries where we produce and/or sell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prices, disruptions or cessation of important components of our international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trade and tariff environment continues to evolve and is highly unpredictable. The U.S. presidential administration has announced</w:t>
      </w:r>
    </w:p>
    <w:p>
      <w:pPr>
        <w:spacing w:after="0" w:line="2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and/or implemented, and could continue to announce and/or implement, new and/or increased tariffs on goods imported into the United States, which has generated, and could continue to generate, various trade and tariff-related responses from other countries. Certain of the</w:t>
      </w:r>
    </w:p>
    <w:p>
      <w:pPr>
        <w:spacing w:after="0" w:line="2" w:lineRule="exact"/>
        <w:rPr>
          <w:sz w:val="20"/>
          <w:szCs w:val="20"/>
          <w:color w:val="auto"/>
        </w:rPr>
      </w:pPr>
    </w:p>
    <w:p>
      <w:pPr>
        <w:ind w:right="40"/>
        <w:spacing w:after="0" w:line="204" w:lineRule="exact"/>
        <w:rPr>
          <w:sz w:val="20"/>
          <w:szCs w:val="20"/>
          <w:color w:val="auto"/>
        </w:rPr>
      </w:pPr>
      <w:r>
        <w:rPr>
          <w:rFonts w:ascii="Arial" w:cs="Arial" w:eastAsia="Arial" w:hAnsi="Arial"/>
          <w:sz w:val="18"/>
          <w:szCs w:val="18"/>
          <w:color w:val="auto"/>
        </w:rPr>
        <w:t>recent tariffs were imposed pursuant to the International Emergency Economic Powers Act (50 U.S.C. § 1701 et seq.) (IEEPA), and 50 U.S.C. § 1702(b)(3) explicitly precludes the President from regulating the importation of "informational materials" under IEEPA. Any change to the statutory basis upon which the U.S. presidential administration relies for imposing tariffs could materially and adversely impact our financial results if we are unable to rely upon the "informational materials" exclusion for most of our U.S. imported printed products and such products were not otherwise exempt from tariffs under the United States-Mexico-Canada Agreement. The recently adopted bill H.R. 1, Pub. L. 119</w:t>
      </w:r>
      <w:r>
        <w:rPr>
          <w:rFonts w:ascii="MS PGothic" w:cs="MS PGothic" w:eastAsia="MS PGothic" w:hAnsi="MS PGothic"/>
          <w:sz w:val="18"/>
          <w:szCs w:val="18"/>
          <w:color w:val="auto"/>
        </w:rPr>
        <w:t>‑</w:t>
      </w:r>
      <w:r>
        <w:rPr>
          <w:rFonts w:ascii="Arial" w:cs="Arial" w:eastAsia="Arial" w:hAnsi="Arial"/>
          <w:sz w:val="18"/>
          <w:szCs w:val="18"/>
          <w:color w:val="auto"/>
        </w:rPr>
        <w:t xml:space="preserve"> 21 provides for the elimination of the de minimis exemption from import taxes and duties codified in 19 U.S.C. § 1321(a)(2)(C) for commercial shipments, which currently benefits our business, effective July 1, 2027; however, we currently expect the de minimis exemption to end even sooner, on August 29, 2025, based on a recently signed Executive Order. We operate manufacturing facilities throughout the world, including one in Ontario, Canada that primarily services our Vista business, and others in Mexico, the United States, Australia, Brazil and throughout Europe. If the United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spacing w:after="0" w:line="238" w:lineRule="auto"/>
        <w:rPr>
          <w:sz w:val="20"/>
          <w:szCs w:val="20"/>
          <w:color w:val="auto"/>
        </w:rPr>
      </w:pPr>
      <w:r>
        <w:rPr>
          <w:rFonts w:ascii="Arial" w:cs="Arial" w:eastAsia="Arial" w:hAnsi="Arial"/>
          <w:sz w:val="18"/>
          <w:szCs w:val="18"/>
          <w:color w:val="auto"/>
        </w:rPr>
        <w:t>States, whether based on statutes or through trade agreements, imposes and enforces significant tariffs applicable to imports from Canada, Mexico, China or any of the other countries in which we manufacture our products and/or source materials for any meaningful period, we would incur increased costs in operating our business and our financial results could be materially and adversely affected. In addition, if other countries impose and enforce increased or additional tariffs for any meaningful period, our business could be materially and adversely affected. In addition to changes in U.S. trade policy, other changes to U.S. policy may impact, among other things, the U.S. and global economy, international trade relations, unemployment, immigration, healthcare, taxation, the U.S. regulatory environment, inflation and other</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areas. At this time we cannot predict the impact, if any, of any of these potential changes to our business. Until we know what policy changes are made and enforced and how those changes impact our business and the business of our competitors over the long term, we will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know if, overall, we will benefit from them or be negatively affected by them.</w:t>
      </w:r>
    </w:p>
    <w:p>
      <w:pPr>
        <w:spacing w:after="0" w:line="221"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In addition, we are exposed to fluctuations in currency exchange rates that have impacted, and may continue to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sometimes have not mitigated, and may in the future not mitigate, the net impact of currency exchange rate fluctuations, and our financial results sometimes have differed, and may in the future differ, materially from expectations as a result of such fluctuations.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52" w:lineRule="exact"/>
        <w:rPr>
          <w:sz w:val="20"/>
          <w:szCs w:val="20"/>
          <w:color w:val="auto"/>
        </w:rPr>
      </w:pPr>
    </w:p>
    <w:p>
      <w:pPr>
        <w:ind w:firstLine="200"/>
        <w:spacing w:after="0" w:line="256"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potentially causing volatility in our cash or debt balances, and therefore our leverage.</w:t>
      </w:r>
    </w:p>
    <w:p>
      <w:pPr>
        <w:spacing w:after="0" w:line="210" w:lineRule="exact"/>
        <w:rPr>
          <w:sz w:val="20"/>
          <w:szCs w:val="20"/>
          <w:color w:val="auto"/>
        </w:rPr>
      </w:pPr>
    </w:p>
    <w:p>
      <w:pPr>
        <w:jc w:val="both"/>
        <w:ind w:right="240"/>
        <w:spacing w:after="0" w:line="273"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and thefts could damage our reputation and brands, subject us to litigation and enforcement actions, and substantially harm our business and results of operations.</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We and third parties with which we share information have experienced, and will continue to experience, threats to and breaches of our and their data and systems, cyberattacks and other malicious activity, including physical and electronic break-ins, computer viruses, ransomware attacks, and phishing and other social engineering scams, among other threats. Security threats continue to evolve and become more sophisticated and more difficult to detect and defend against, including by the increased use of artificial intelligence to enhance attacks, and our vulnerabilities may be heightened by our decentralized operating structure and many of our employees working remotely. Despite our efforts, a hacker or thief may defeat our security measures, or those of our third-party service providers, partners, or vendors, and obtain confidential or personal information, and we or the third party may not discover the security breach and theft of information for a significant period of time after the breach occurs or at all. We may need to significantly increase the resources we expend to protect against security breaches and thefts of data or to address problems caused by breaches or thefts, and we may not be able to anticipate cyber attacks or implement adequate preventative measures. Any compromise, breach or failure of our information systems or the information systems of third parties with which we share information could result in, among other things:</w:t>
      </w:r>
    </w:p>
    <w:p>
      <w:pPr>
        <w:spacing w:after="0" w:line="2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misuse of our and our customers' and employees' confidential or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comply with legal and industry privacy regulations and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losses, costs, litigation, enforcement actions, and other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reputation and brands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7" w:name="page18"/>
    <w:bookmarkEnd w:id="17"/>
    <w:p>
      <w:pPr>
        <w:ind w:left="660" w:right="6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 and profits and other negative financial results to the extent existing and potential customers believe that their personal and payment information may not be safe with us or those third parties</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In addition, the regulatory landscape is constantly changing, as various regulatory bodies throughout the world enact new laws concerning privacy, data retention, data transfer, and data protection including possible limitations on our ability to use customer data and regulating the use of artificial intelligence and machine learning. Complying with these varying and changing requirements is challenging, especially for our smaller, more thinly staffed businesses, and could cause us to incur substantial costs or require us to change our business practices in a manner adverse to our business and operating results.</w:t>
      </w:r>
    </w:p>
    <w:p>
      <w:pPr>
        <w:spacing w:after="0" w:line="212"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Inability to attract new and repeat customers in a cost-effective manner has harmed, and may in the future harm, our business and results of operations.</w:t>
      </w:r>
    </w:p>
    <w:p>
      <w:pPr>
        <w:spacing w:after="0" w:line="12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Our various businesses rely on a variety of marketing methods to attract new and repeat customers. These methods include promoting our products and services through paid channels such as online search, display, and television, as well as leveraging our owned and operated channels such as email, direct mail, our social media accounts, telesales, and SMS messaging. When the costs of these channels significantly increase or the effectiveness of these channels significantly declines, such as from changes to algorithms or targeting rules and/or from shifts in consumer behavior in online search and shopping related to artificial intelligence (AI)-based discovery tools and chatbots, which we have experienced in the past and may experience in the future, then our ability to efficiently attract new and repeat customers is reduced, our revenue and net income decline, and our business and results of operations are harmed.</w:t>
      </w:r>
    </w:p>
    <w:p>
      <w:pPr>
        <w:spacing w:after="0" w:line="156" w:lineRule="exact"/>
        <w:rPr>
          <w:sz w:val="20"/>
          <w:szCs w:val="20"/>
          <w:color w:val="auto"/>
        </w:rPr>
      </w:pPr>
    </w:p>
    <w:p>
      <w:pPr>
        <w:jc w:val="both"/>
        <w:ind w:right="140"/>
        <w:spacing w:after="0" w:line="273" w:lineRule="auto"/>
        <w:rPr>
          <w:sz w:val="20"/>
          <w:szCs w:val="20"/>
          <w:color w:val="auto"/>
        </w:rPr>
      </w:pPr>
      <w:r>
        <w:rPr>
          <w:rFonts w:ascii="Arial" w:cs="Arial" w:eastAsia="Arial" w:hAnsi="Arial"/>
          <w:sz w:val="18"/>
          <w:szCs w:val="18"/>
          <w:b w:val="1"/>
          <w:bCs w:val="1"/>
          <w:color w:val="auto"/>
        </w:rPr>
        <w:t>Shifts in online search behavior, including the rise of generative AI tools and agentic search technologies, may negatively impact customer traffic and acquisition efficiency and conversion rates, which could materially harm our business, results of operations, and financial condition.</w:t>
      </w:r>
    </w:p>
    <w:p>
      <w:pPr>
        <w:spacing w:after="0" w:line="18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Consumers are increasingly relying on generative AI tools and agentic search technologies, such as conversational search engines, autonomous shopping assistants, and AI-powered product recommendations, to discover, compare, and purchase products and services. These emerging tools represent a shift away from traditional search engine behavior and direct website visits, which have historically driven a significant portion of our customer traffic and conversion activity.</w:t>
      </w:r>
    </w:p>
    <w:p>
      <w:pPr>
        <w:spacing w:after="0" w:line="203"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As generative AI and agentic search tools become more prevalent and integrated into consumers’ browsing and purchasing workflows, we may experience a decline in visibility within digital ecosystems we do not directly control. This could include lower rankings in AI-generated product summaries, reduced referral traffic from major platforms, or increased reliance on third-party interfaces that prioritize competing offerings.</w:t>
      </w:r>
    </w:p>
    <w:p>
      <w:pPr>
        <w:spacing w:after="0" w:line="203" w:lineRule="exact"/>
        <w:rPr>
          <w:sz w:val="20"/>
          <w:szCs w:val="20"/>
          <w:color w:val="auto"/>
        </w:rPr>
      </w:pPr>
    </w:p>
    <w:p>
      <w:pPr>
        <w:jc w:val="both"/>
        <w:ind w:right="200" w:firstLine="648"/>
        <w:spacing w:after="0" w:line="268" w:lineRule="auto"/>
        <w:rPr>
          <w:sz w:val="20"/>
          <w:szCs w:val="20"/>
          <w:color w:val="auto"/>
        </w:rPr>
      </w:pPr>
      <w:r>
        <w:rPr>
          <w:rFonts w:ascii="Arial" w:cs="Arial" w:eastAsia="Arial" w:hAnsi="Arial"/>
          <w:sz w:val="18"/>
          <w:szCs w:val="18"/>
          <w:color w:val="auto"/>
        </w:rPr>
        <w:t>These changes could adversely affect our customer acquisition cost, conversion rates, and overall brand control. Furthermore, our ability to adapt to new search paradigms may be limited by technology constraints, data availability, or platform interoperability, especially if generative AI search providers restrict access to their ecosystems or favor end-to-end platforms that control the full customer journey.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effectively navigate this shift could materially harm our business, results of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12" w:lineRule="exact"/>
        <w:rPr>
          <w:sz w:val="20"/>
          <w:szCs w:val="20"/>
          <w:color w:val="auto"/>
        </w:rPr>
      </w:pPr>
    </w:p>
    <w:p>
      <w:pPr>
        <w:ind w:right="180" w:firstLine="648"/>
        <w:spacing w:after="0" w:line="278" w:lineRule="auto"/>
        <w:rPr>
          <w:sz w:val="20"/>
          <w:szCs w:val="20"/>
          <w:color w:val="auto"/>
        </w:rPr>
      </w:pPr>
      <w:r>
        <w:rPr>
          <w:rFonts w:ascii="Arial" w:cs="Arial" w:eastAsia="Arial" w:hAnsi="Arial"/>
          <w:sz w:val="17"/>
          <w:szCs w:val="17"/>
          <w:color w:val="auto"/>
        </w:rPr>
        <w:t>Our profitability has historically been highly seasonal. Our second fiscal quarter, which ends on December 31, includes the majority of the holiday shopping season and typically accounts for a disproportionately high portion of our earnings for the year, primarily due to higher sales of home and family products such as holiday cards, calendars, photo books, and personalized gifts. In addition, our National Pen business has historically generated a large portion of its profits during the second fiscal quarter. Lower than expected sales during the second quarter, which we have experienced in the past and may experience in the future, have a disproportionately large impact 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t>our operating results and financial condition for the full fiscal year. Likewise, an inability of our manufacturing and other operations to keep up with the high volume of orders during our second fiscal quarter or other inefficiencies in our production or disruptions of our supply chains during the quarter, resulting in higher than expected costs, which we have experienced in the past and may experience in the future, have a disproportionately large impact on our earnings results and financial condition for the full fiscal year, as well as delays in order fulfillment and delivery and other disruptions, which negatively impact our ability to attract repeat customers, our reputation, and our future financial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operations and lack of redundancy.</w:t>
      </w:r>
    </w:p>
    <w:p>
      <w:pPr>
        <w:spacing w:after="0" w:line="2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are vulnerable to interruptions, and we do not have redundancies or alternatives in all cases to carry on these operations in the event of an interruption. In addition, because our businesses are dependent in part on third parties for certain aspects of our communications and production systems, we may not be able to remedy interruptions to these systems in a timely manner or at all due to factors outside of our control. Our suppliers, service providers (including shipping and logistics providers), third-party fulfillers, business partners, and customers face similar vulnerabilities to interruptions. Some of the events that could cause interruptions in our businesses' systems and operations, and those of our suppliers, service providers, third-party fulfillers, business partners, and customers, are the following, among others:</w:t>
      </w:r>
    </w:p>
    <w:p>
      <w:pPr>
        <w:spacing w:after="0" w:line="21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fire, natural disaster, or extreme weather, which could be exacerbated by climate change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pandemic or other public health crisis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ransomware and other cyber security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strike, work stoppage, labor disruption or other workforce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civil unrest, or acts of terrorism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attacks on external websites or internal networks by hackers or other malicious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capacity in systems and infrastructure to cope with periods of high volume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affordable materials available to manufacture our supplies or products</w:t>
      </w:r>
    </w:p>
    <w:p>
      <w:pPr>
        <w:spacing w:after="0" w:line="234"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Any interruptions to our systems or operations, or those of our suppliers, service providers, third-party fulfillers, business partners, and customers, could result in lost revenue and/or increased costs, as well as negative publicity, damage to our reputation and brands, and other adverse effects on our business and results of operations. Building redundancies into our infrastructure, systems, and supply chain to mitigate these risks may require us to commit substantial financial, operational, and technical resources.</w:t>
      </w:r>
    </w:p>
    <w:p>
      <w:pPr>
        <w:spacing w:after="0" w:line="149" w:lineRule="exact"/>
        <w:rPr>
          <w:sz w:val="20"/>
          <w:szCs w:val="20"/>
          <w:color w:val="auto"/>
        </w:rPr>
      </w:pPr>
    </w:p>
    <w:p>
      <w:pPr>
        <w:jc w:val="both"/>
        <w:ind w:right="440"/>
        <w:spacing w:after="0" w:line="273" w:lineRule="auto"/>
        <w:rPr>
          <w:sz w:val="20"/>
          <w:szCs w:val="20"/>
          <w:color w:val="auto"/>
        </w:rPr>
      </w:pPr>
      <w:r>
        <w:rPr>
          <w:rFonts w:ascii="Arial" w:cs="Arial" w:eastAsia="Arial" w:hAnsi="Arial"/>
          <w:sz w:val="18"/>
          <w:szCs w:val="18"/>
          <w:b w:val="1"/>
          <w:bCs w:val="1"/>
          <w:color w:val="auto"/>
        </w:rPr>
        <w:t>We may not be successful in advancing the use of artificial intelligence, which involves significant risks, and competitors may develop new or better products using artificial intelligence that take market share, which could adversely affect our business, brand perception, or financial results.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use artificial intelligence (AI), including generative AI, in many parts of our value chain. There can be no assurance that we will be successful in using AI to enhance our products or services or otherwise benefit our business, including our efficiency or profitability, and there are significant risks involved in developing and deploying AI. For example, our AI-related efforts may give rise to risks related to harmful content, accuracy, bias, discrimination, intellectual property infringement or misappropriation, data privacy, and cybersecurity, among others. New laws, rules, directives, and regulations governing the use of AI, new or enhanced governmental or regulatory scrutiny, litigation, or other legal liability, ethical concerns, negative consumer perceptions as to automation and AI, or other complications could also adversely affect our business, brand perception, or financial results. Further, we face competition from other companies that are developing their own AI products and technologies that may have a negative impact on our value chain, including in the areas of design services and content creation. These AI-enabled products and technologies are evolving quickly, can influence customer behavior and preferences, and may allow other companies to become more efficient than us and/or to more effectively acquire and retain customers. In addition, AI tools are rapidly shifting consumer behavior in online search and shopping, particularly relative to traditional search engines, which may require rapid strategic and technical adaptations and investments, including further standardizing and optimizing our data structures, all of which could increase our costs or otherwise adversely affect our business or financial results. Moreover, the pace of innovation in AI and developments related to its use, together with the breadth of its potential applications to our industry, make it impossible to identify or predict all of the risks related to using AI or all of the AI-related risks to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Failure to meet our customers' price or other expectations adversely affects our business and results of operations.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Demand for our products and services is sensitive to customers' expectations, particularly as to price for almost all of our businesses, and past changes in our pricing strategies had a significant impact on the numbers of customers and orders in some regions, which in turn adversely affected our revenue, profitability, and results of operations. Many factors impact our pricing and marketing strategies, including the costs of running our business, the costs of raw materials, our competitors' pricing and marketing strategies, and the effects of inflation. We may not be able to mitigate increases in our costs by increasing the prices of our products and services. More recently, customer expectations have evolved as to shipping speeds, as well as speed and creative control from rapid developments in digital design tools. Failure to meet our customers' price or other expectations in the future would adversely affect our future business and results of operations.</w:t>
      </w: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Acquisitions and strategic investments may be disruptive to our business, may fail to achieve our goals, and can negatively impact our financial results.</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acquisitions and investments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 There also is an opportunity cost that capital allocated to an acquisition, minority investment, or joint venture is no longer available for other uses.</w:t>
      </w:r>
    </w:p>
    <w:p>
      <w:pPr>
        <w:spacing w:after="0" w:line="20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and may have a negative impact on our business and financial results in a number of ways including the following:</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or fit with our strategy as well as we expected.</w:t>
      </w:r>
    </w:p>
    <w:p>
      <w:pPr>
        <w:spacing w:after="0" w:line="27"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minority investments can be costly and can result in increased expenses including impairments of goodwill and intangible asserts if financial goals are not achieved, assumptions of contingent or unanticipated liabilities, amortization of certain acquired assets, and increased tax costs. In addition, we may overpay for acquired businesses.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 In addition, continuing to devote resources to a struggling business can take resources away from other investment areas and priorities.</w:t>
      </w:r>
    </w:p>
    <w:p>
      <w:pPr>
        <w:spacing w:after="0" w:line="1" w:lineRule="exact"/>
        <w:rPr>
          <w:rFonts w:ascii="Arial" w:cs="Arial" w:eastAsia="Arial" w:hAnsi="Arial"/>
          <w:sz w:val="18"/>
          <w:szCs w:val="18"/>
          <w:color w:val="auto"/>
        </w:rPr>
      </w:pPr>
    </w:p>
    <w:p>
      <w:pPr>
        <w:ind w:left="660" w:righ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In particular, it can be challenging to motivate the founders who built a business to continue to lead the business after they sell it to us.</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and can lead to larger than expected payouts that can adversely impact our results of operations.</w:t>
      </w:r>
    </w:p>
    <w:p>
      <w:pPr>
        <w:spacing w:after="0" w:line="209"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taking actions that benefit the business over the long term.</w:t>
      </w:r>
    </w:p>
    <w:p>
      <w:pPr>
        <w:spacing w:after="0" w:line="14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Developing and deploying our mass customization platform is costly and resource-intensive, and we may not realize all of the anticipated benefits of the platform.</w:t>
      </w:r>
    </w:p>
    <w:p>
      <w:pPr>
        <w:spacing w:after="0" w:line="110"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color w:val="auto"/>
        </w:rPr>
        <w:t>A key component of our strategy is the development and deployment of a mass customization platform, which is a cloud-based collection of software services, APIs, web applications and related technology offerings that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the extent to which our businesses may adopt and/or continue to utilize components of our mass customization platform or the extent to which the platform may make us more effective and competitive. As a result, there can be no assurance that we will find new capabilities to add to the growing set of technologies that make up the platform, that our diverse businesses will realize further value from the platform, or that we will realize expected returns on the capital expended to develop the platform.</w:t>
      </w:r>
    </w:p>
    <w:p>
      <w:pPr>
        <w:spacing w:after="0" w:line="169"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64" w:lineRule="exact"/>
        <w:rPr>
          <w:sz w:val="20"/>
          <w:szCs w:val="20"/>
          <w:color w:val="auto"/>
        </w:rPr>
      </w:pPr>
    </w:p>
    <w:p>
      <w:pPr>
        <w:ind w:right="80" w:firstLine="180"/>
        <w:spacing w:after="0" w:line="254" w:lineRule="auto"/>
        <w:rPr>
          <w:sz w:val="20"/>
          <w:szCs w:val="20"/>
          <w:color w:val="auto"/>
        </w:rPr>
      </w:pPr>
      <w:r>
        <w:rPr>
          <w:rFonts w:ascii="Arial" w:cs="Arial" w:eastAsia="Arial" w:hAnsi="Arial"/>
          <w:sz w:val="18"/>
          <w:szCs w:val="18"/>
          <w:color w:val="auto"/>
        </w:rPr>
        <w:t>We are subject to a variety of safety, health and environmental, or SHE, laws and regulations across the jurisdictions in which we operate. SHE laws and regulations frequently change and evolve, including the addition of new SHE regulations, especially with respect to climate change.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or new SHE requirements,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Complying with existing SHE laws and regulations is costly, and we expect our costs to significantly increase as new SHE requirements are added and existing requirements become more stringent. 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contract with many suppliers, fulfillers, merchants, and other business partners in multiple jurisdictions worldwide. We require our business partners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12"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1" w:name="page22"/>
    <w:bookmarkEnd w:id="21"/>
    <w:p>
      <w:pPr>
        <w:ind w:right="400"/>
        <w:spacing w:after="0" w:line="296"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6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210"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Because most of our businesses depend primarily on the Internet for our sales, laws specifically governing the Internet, e-commerce, and email marketing may have a greater impact on our operations than other more traditional businesses. In particular, laws covering pricing, customs, privacy, consumer protection, or commercial email may impede the growth of e-commerce and our ability to compete with traditional “brick and mortar” retailers. Unfavorable changes in, interpretations of, or developments with respect to, these types of laws or related or similar government regulation could substantially harm our business and financial results.</w:t>
      </w:r>
    </w:p>
    <w:p>
      <w:pPr>
        <w:spacing w:after="0" w:line="206"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If we were required to screen the content that our customers incorporate into our products, our costs could significantly increase, which would harm our results of operations.</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Because of our focus on automation and high volumes, many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the machine-learning tools we have developed to aid our content review fail to find instances of intellectual property infringement or objectionable or illegal content in customer orders, we could be required to increase the amount of manual screening we perform, which could significantly increase our costs, and we could be required to pay substantial penalties or monetary damages for any failure in our screening process.</w:t>
      </w:r>
    </w:p>
    <w:p>
      <w:pPr>
        <w:spacing w:after="0" w:line="20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Related to Our Industry and Macroeconomic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disruptions have impaired, and may in the future impair, our ability to source raw materials.</w:t>
      </w:r>
    </w:p>
    <w:p>
      <w:pPr>
        <w:spacing w:after="0" w:line="2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7"/>
          <w:szCs w:val="17"/>
          <w:color w:val="auto"/>
        </w:rPr>
        <w:t>A number of factors have impacted in the past, and could impact in the future, the availability of materials we use in our business, including rising costs and other inflationary pressures, changes in trade policies such as new or increased tariffs on materials we use in our</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business, rationing measures, labor shortages, civil unrest and war, and climate change. Our inability to source sufficient materials for our business in a timely manner, or at all, would significantly impair our ability to fulfill customer orders and sell our products, which would reduce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revenue and harm our financial results.</w:t>
      </w:r>
    </w:p>
    <w:p>
      <w:pPr>
        <w:spacing w:after="0" w:line="194" w:lineRule="exact"/>
        <w:rPr>
          <w:sz w:val="20"/>
          <w:szCs w:val="20"/>
          <w:color w:val="auto"/>
        </w:rPr>
      </w:pPr>
    </w:p>
    <w:p>
      <w:pPr>
        <w:ind w:right="620"/>
        <w:spacing w:after="0" w:line="296" w:lineRule="auto"/>
        <w:rPr>
          <w:sz w:val="20"/>
          <w:szCs w:val="20"/>
          <w:color w:val="auto"/>
        </w:rPr>
      </w:pPr>
      <w:r>
        <w:rPr>
          <w:rFonts w:ascii="Arial" w:cs="Arial" w:eastAsia="Arial" w:hAnsi="Arial"/>
          <w:sz w:val="18"/>
          <w:szCs w:val="18"/>
          <w:b w:val="1"/>
          <w:bCs w:val="1"/>
          <w:color w:val="auto"/>
        </w:rPr>
        <w:t>We need to hire, retain, develop, and motivate talented personnel in key roles in order to be successful, and we face intense competition for talent.</w:t>
      </w:r>
    </w:p>
    <w:p>
      <w:pPr>
        <w:spacing w:after="0" w:line="16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An inability to recruit, retain, develop, and motivate our employees in senior management and key roles such as technology, marketing, data science, and production would significantly increase the risk that we may not be able to execute on our strategy and grow our business as planned. We have seen increased competition for talent in recent years that makes it more difficult for us to retain the employees we have and to recruit new employees and also drives up the cost of compensation, and our current management and employees may cease their employment with us at any time with minimal advance notice. This retention risk is heightened with respect to the leaders of certain of our businesses who have in the past or may in the future receive substantial payouts from either their redeemable non-controlling interests in those businesses or long-term incentive awards, as it may be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2" w:name="page23"/>
    <w:bookmarkEnd w:id="22"/>
    <w:p>
      <w:pPr>
        <w:ind w:right="360"/>
        <w:spacing w:after="0" w:line="262" w:lineRule="auto"/>
        <w:rPr>
          <w:sz w:val="20"/>
          <w:szCs w:val="20"/>
          <w:color w:val="auto"/>
        </w:rPr>
      </w:pPr>
      <w:r>
        <w:rPr>
          <w:rFonts w:ascii="Arial" w:cs="Arial" w:eastAsia="Arial" w:hAnsi="Arial"/>
          <w:sz w:val="18"/>
          <w:szCs w:val="18"/>
          <w:color w:val="auto"/>
        </w:rPr>
        <w:t>challenging to retain and motivate them to continue running their businesses. Although we believe our remote -first way of working, which allows many of our team members to work remotely with no expectation that they will commute to a company facility, is a competitive advantage, it can be more challenging to engage, motivate, and develop team members in a remote work environment, and our success depends on an engaged and motivated workforce and on developing the skills and talents of our workforce.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our competition may continue to increase.</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enter the mass customization and print markets, and traditional “brick and mortar” businesses establish an online presence. With Vista's increased focus on design services, we now also face competition from companies in the design space, including those with AI-enabled design capabilities, some of which may be more established, experienced, or innovative than we are. Some of our current and potential competitors may have advantages over us, including longer operating histories, greater brand recognition or loyalty, broader customer reach, more focus on a given subset of our business, significantly greater financial, marketing, and other resources, production in lower-cost countries, speed of execution, or willingness to operate at a loss while building market share. Competition may result in price pressure, increased advertising expense, reduced profit margins, and loss of market share and brand recognition, any of which could substantially harm our business and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economic downturn or inflation could negatively affect our business and financial results.</w:t>
      </w:r>
    </w:p>
    <w:p>
      <w:pPr>
        <w:spacing w:after="0" w:line="25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If some or all of our markets enter a recession or other sustained economic downturn, demand for our products and services could be negatively impacted. An economic downturn could result in potential customers, especially small and medium-sized businesses, not being able to afford our products and rely more on free social media channels to market themselves instead of the products and services we offer. If demand for our products and services decreases, our business and financial results could be harmed. In addition, we experienced material cost increases in recent years that caused volatility in our financial performance. Although many costs have stabilized or come down in the last years, we cannot predict whether costs will increase in the future or by how much, our ability to offset such cost increases through pricing, and if our costs rise again there could be further impacts to our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our ESG goals will be costly, and our ESG policies and positions could expose us to reputational harm.</w:t>
      </w:r>
    </w:p>
    <w:p>
      <w:pPr>
        <w:spacing w:after="0" w:line="2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face risks arising from the increased focus by our customers, investors, regulators, and others on environmental, social, and governance criteria, including with respect to climate change, labor practices, the diversity of our management and directors, and the composition of our Board. Meeting the ESG goals we have set and publicly disclosed will require significant resources and expenditures, and we may face pressure to make commitments, establish additional goals, and take actions to meet them beyond our current plans. If customers, potential customers, regulators, or other influential groups or individuals are dissatisfied with our ESG goals or our progress toward meeting them, or our positions on ESG issues, then they may choose not to buy our products and services, or to otherwise target us negatively, which could lead to reduced revenue, and our reputation could be harmed.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and Capital Structures</w:t>
      </w:r>
    </w:p>
    <w:p>
      <w:pPr>
        <w:spacing w:after="0" w:line="252" w:lineRule="exact"/>
        <w:rPr>
          <w:sz w:val="20"/>
          <w:szCs w:val="20"/>
          <w:color w:val="auto"/>
        </w:rPr>
      </w:pPr>
    </w:p>
    <w:p>
      <w:pPr>
        <w:ind w:right="400"/>
        <w:spacing w:after="0" w:line="296" w:lineRule="auto"/>
        <w:rPr>
          <w:sz w:val="20"/>
          <w:szCs w:val="20"/>
          <w:color w:val="auto"/>
        </w:rPr>
      </w:pPr>
      <w:r>
        <w:rPr>
          <w:rFonts w:ascii="Arial" w:cs="Arial" w:eastAsia="Arial" w:hAnsi="Arial"/>
          <w:sz w:val="18"/>
          <w:szCs w:val="18"/>
          <w:b w:val="1"/>
          <w:bCs w:val="1"/>
          <w:color w:val="auto"/>
        </w:rPr>
        <w:t>Our credit facility and the indentures that govern our notes restrict our current and future operations, particularly our ability to respond to changes or to take certain actions.</w:t>
      </w:r>
    </w:p>
    <w:p>
      <w:pPr>
        <w:spacing w:after="0" w:line="164"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Our senior secured credit facility that governs our Term Loan B and revolving credit and the indenture that governs our 7.375% Senior Notes due 2032, which we collectively refer to as our debt documents, contain a number of restrictive covenants that impose significant operating and financial restrictions on us and may limit how we conduct our business, execute our strategy, compete effectively, or take advantage of new business opportunities, including restrictions on our ability to:</w:t>
      </w:r>
    </w:p>
    <w:p>
      <w:pPr>
        <w:spacing w:after="0" w:line="203"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7"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certain intercompany activities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3" w:name="page24"/>
    <w:bookmarkEnd w:id="23"/>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27"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subordinated debt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any of our debt documents could have a material adverse effect on our business.</w:t>
      </w:r>
    </w:p>
    <w:p>
      <w:pPr>
        <w:spacing w:after="0" w:line="225" w:lineRule="exact"/>
        <w:rPr>
          <w:sz w:val="20"/>
          <w:szCs w:val="20"/>
          <w:color w:val="auto"/>
        </w:rPr>
      </w:pPr>
    </w:p>
    <w:p>
      <w:pPr>
        <w:ind w:right="20" w:firstLine="200"/>
        <w:spacing w:after="0" w:line="268"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any of our debt documents could result in an event of default under the applicable indebtedness. Such a default could have a material adverse effect on our business and financial condition, including the following, among others:</w:t>
      </w:r>
    </w:p>
    <w:p>
      <w:pPr>
        <w:spacing w:after="0" w:line="198" w:lineRule="exact"/>
        <w:rPr>
          <w:sz w:val="20"/>
          <w:szCs w:val="20"/>
          <w:color w:val="auto"/>
        </w:rPr>
      </w:pPr>
    </w:p>
    <w:p>
      <w:pPr>
        <w:ind w:left="660" w:right="280" w:hanging="247"/>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under our revolving credit facility could terminate all commitments to extend further credit under that facility.</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52" w:lineRule="exact"/>
        <w:rPr>
          <w:sz w:val="20"/>
          <w:szCs w:val="20"/>
          <w:color w:val="auto"/>
        </w:rPr>
      </w:pPr>
    </w:p>
    <w:p>
      <w:pPr>
        <w:ind w:right="680" w:firstLine="648"/>
        <w:spacing w:after="0" w:line="287" w:lineRule="auto"/>
        <w:rPr>
          <w:sz w:val="20"/>
          <w:szCs w:val="20"/>
          <w:color w:val="auto"/>
        </w:rPr>
      </w:pPr>
      <w:r>
        <w:rPr>
          <w:rFonts w:ascii="Arial" w:cs="Arial" w:eastAsia="Arial" w:hAnsi="Arial"/>
          <w:sz w:val="18"/>
          <w:szCs w:val="18"/>
          <w:color w:val="auto"/>
        </w:rPr>
        <w:t>As of June 30, 2025, our total debt was $1,604.5 million. Our level of debt could have important consequences, including the following, among others:</w:t>
      </w:r>
    </w:p>
    <w:p>
      <w:pPr>
        <w:spacing w:after="0" w:line="180"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7" w:lineRule="exact"/>
        <w:rPr>
          <w:rFonts w:ascii="Arial" w:cs="Arial" w:eastAsia="Arial" w:hAnsi="Arial"/>
          <w:sz w:val="18"/>
          <w:szCs w:val="18"/>
          <w:color w:val="auto"/>
        </w:rPr>
      </w:pPr>
    </w:p>
    <w:p>
      <w:pPr>
        <w:ind w:left="660" w:right="400" w:hanging="247"/>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ind w:left="660" w:right="520" w:hanging="247"/>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4" w:lineRule="exact"/>
        <w:rPr>
          <w:rFonts w:ascii="Arial" w:cs="Arial" w:eastAsia="Arial" w:hAnsi="Arial"/>
          <w:sz w:val="18"/>
          <w:szCs w:val="18"/>
          <w:color w:val="auto"/>
        </w:rPr>
      </w:pPr>
    </w:p>
    <w:p>
      <w:pPr>
        <w:ind w:left="660" w:right="340" w:hanging="247"/>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34"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Subject to the limits contained in our debt documents, we may be able to incur substantial additional debt from time to time, and if we do so, the risks related to our level of debt could intensify.</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Refinancing our debt may be particularly challenging in a high interest rate environment. We may not be able to effect any such alternative measures, if necessary, on commercially reasonable terms or at all, and if we cannot make scheduled payments on our debt, we will be in default.</w:t>
      </w:r>
    </w:p>
    <w:p>
      <w:pPr>
        <w:spacing w:after="0" w:line="206"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6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increase, our debt service obligations on the variable rate indebtedness will increase even if the amount borrowed remains the same, and our net income and cash flows, including cash available for servicing our</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4" w:name="page25"/>
    <w:bookmarkEnd w:id="24"/>
    <w:p>
      <w:pPr>
        <w:ind w:right="260"/>
        <w:spacing w:after="0" w:line="268" w:lineRule="auto"/>
        <w:rPr>
          <w:sz w:val="20"/>
          <w:szCs w:val="20"/>
          <w:color w:val="auto"/>
        </w:rPr>
      </w:pPr>
      <w:r>
        <w:rPr>
          <w:rFonts w:ascii="Arial" w:cs="Arial" w:eastAsia="Arial" w:hAnsi="Arial"/>
          <w:sz w:val="18"/>
          <w:szCs w:val="18"/>
          <w:color w:val="auto"/>
        </w:rPr>
        <w:t>indebtedness, will correspondingly decrease. As of June 30, 2025, a hypothetical 100 basis point increase in rates, inclusive of our outstanding interest rate swaps, would result in an increase of interest expense of approximately $8.3 million over the next 12 months, not including any yield from our cash and marketable securities.</w:t>
      </w:r>
    </w:p>
    <w:p>
      <w:pPr>
        <w:spacing w:after="0" w:line="157"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spacing w:after="0" w:line="206"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Changes in tax laws, regulations and treaties have affected, and may in the future affect, our effective tax rate and our results of operations.</w:t>
      </w:r>
    </w:p>
    <w:p>
      <w:pPr>
        <w:spacing w:after="0" w:line="151" w:lineRule="exact"/>
        <w:rPr>
          <w:sz w:val="20"/>
          <w:szCs w:val="20"/>
          <w:color w:val="auto"/>
        </w:rPr>
      </w:pPr>
    </w:p>
    <w:p>
      <w:pPr>
        <w:ind w:right="40" w:firstLine="648"/>
        <w:spacing w:after="0" w:line="245" w:lineRule="auto"/>
        <w:rPr>
          <w:sz w:val="20"/>
          <w:szCs w:val="20"/>
          <w:color w:val="auto"/>
        </w:rPr>
      </w:pPr>
      <w:r>
        <w:rPr>
          <w:rFonts w:ascii="Arial" w:cs="Arial" w:eastAsia="Arial" w:hAnsi="Arial"/>
          <w:sz w:val="18"/>
          <w:szCs w:val="18"/>
          <w:color w:val="auto"/>
        </w:rPr>
        <w:t>Changes in tax laws, treaties or regulations, or their interpretation, of any country in which we operate have had in the past, and may have in the future, a materially adverse impact on us, including increasing our tax burden, increasing costs of our tax compliance, or</w:t>
      </w:r>
    </w:p>
    <w:p>
      <w:pPr>
        <w:ind w:right="640"/>
        <w:spacing w:after="0" w:line="226" w:lineRule="auto"/>
        <w:rPr>
          <w:sz w:val="20"/>
          <w:szCs w:val="20"/>
          <w:color w:val="auto"/>
        </w:rPr>
      </w:pPr>
      <w:r>
        <w:rPr>
          <w:rFonts w:ascii="Arial" w:cs="Arial" w:eastAsia="Arial" w:hAnsi="Arial"/>
          <w:sz w:val="18"/>
          <w:szCs w:val="18"/>
          <w:color w:val="auto"/>
        </w:rPr>
        <w:t>otherwise adversely affecting our financial condition, results of operations, and cash flows. There are currently multiple initiatives for comprehensive tax reform underway in key jurisdictions where we have operations, and we cannot predict whether any other specific</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legislation will be enacted or the terms of any such legislation. Furthermore, with the change in the U.S. presidential administration and composition of the U.S. Congress, the administration have made, and may in the future make changes to U.S. tax law, regulations, treaties and policies. Although we cannot predict the impact, if any, of these changes to our business, they could adversely affect our business. In addition, the application of sales, value added, or other consumption taxes to e-commerce businesses, such as Cimpress, is a complex and evolving issue. When and if a government entity claims that we should have been collecting such taxes on the sale of our products in a jurisdiction where we have not been doing so, we have incurred, and may in the future incur, substantial tax liabilities for past sales.</w:t>
      </w:r>
    </w:p>
    <w:p>
      <w:pPr>
        <w:spacing w:after="0" w:line="222"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Our transfer pricing arrangements are not binding on applicable tax authorities.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Approximately 70%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5" w:name="page26"/>
    <w:bookmarkEnd w:id="25"/>
    <w:p>
      <w:pPr>
        <w:ind w:right="100"/>
        <w:spacing w:after="0" w:line="296"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6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would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spacing w:after="0" w:line="210" w:lineRule="exact"/>
        <w:rPr>
          <w:sz w:val="20"/>
          <w:szCs w:val="20"/>
          <w:color w:val="auto"/>
        </w:rPr>
      </w:pPr>
    </w:p>
    <w:p>
      <w:pPr>
        <w:jc w:val="both"/>
        <w:ind w:right="140" w:firstLine="648"/>
        <w:spacing w:after="0" w:line="262" w:lineRule="auto"/>
        <w:rPr>
          <w:sz w:val="20"/>
          <w:szCs w:val="20"/>
          <w:color w:val="auto"/>
        </w:rPr>
      </w:pPr>
      <w:r>
        <w:rPr>
          <w:rFonts w:ascii="Arial" w:cs="Arial" w:eastAsia="Arial" w:hAnsi="Arial"/>
          <w:sz w:val="18"/>
          <w:szCs w:val="18"/>
          <w:color w:val="auto"/>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spacing w:after="0" w:line="203"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64"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3"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believe that we were not a PFIC for the tax year ended June 30, 2025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98"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United States federal income taxation rules relating to certain non-U.S. corporations that are considered a controlled foreign corporation, or "CFC." In general, if a U.S. person owns (or is deemed to own) at least 10% of the voting power or value of a non-U.S. corporation, or "10% U.S. Shareholder," and if such non-U.S. corporation is a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Subpart F income consists of, among other things, certain types of dividends, interest, rents, royalties, gains, and certain types of income from services, and personal property sales.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w:t>
      </w:r>
    </w:p>
    <w:p>
      <w:pPr>
        <w:spacing w:after="0" w:line="2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6" w:name="page27"/>
    <w:bookmarkEnd w:id="26"/>
    <w:p>
      <w:pPr>
        <w:ind w:right="180"/>
        <w:spacing w:after="0" w:line="262" w:lineRule="auto"/>
        <w:rPr>
          <w:sz w:val="20"/>
          <w:szCs w:val="20"/>
          <w:color w:val="auto"/>
        </w:rPr>
      </w:pPr>
      <w:r>
        <w:rPr>
          <w:rFonts w:ascii="Arial" w:cs="Arial" w:eastAsia="Arial" w:hAnsi="Arial"/>
          <w:sz w:val="18"/>
          <w:szCs w:val="18"/>
          <w:color w:val="auto"/>
        </w:rPr>
        <w:t>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03"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23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We have policies, procedures, and processes for assessing, identifying, and managing cybersecurity risks, which are defined and managed by Cimpress' central security and privacy team and are designed to help protect our information assets and operations from internal and external cyber threats and secure our networks and systems. Our cybersecurity processes include procedural and technical safeguards, response plans, regular vulnerability and penetration tests on our systems, incident simulations, and routine reviews of our policies and procedures to identify risks and improve our practices. Our cybersecurity incident response plan is designed to help coordinate our response to, and recovery from, cybersecurity incidents, and includes processes to assess the severity of, escalate, contain, investigate, and remediate incidents as well as to comply with applicable legal obligations. We have security policies that apply to all employees worldwide, and we conduct annual employee trainings on data protection, cybersecurity, and incident prevention, which covers timely and relevant topics, including social engineering, phishing, password protection, confidential data protection, asset use, and mobile security.</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addition to our internal penetration testing and vulnerability management program, we engage an external party to simulate</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attacks on our systems to test our defenses and response. We also use a third-party vendor risk assessment platform to score vendors' cybersecurity vulnerabilities and provide suggested mitigations.</w:t>
      </w:r>
    </w:p>
    <w:p>
      <w:pPr>
        <w:spacing w:after="0" w:line="20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Audit Committee of our Board of Directors oversees cybersecurity risk and receives regular updates from our Vice President and Chief Security and Privacy Officer on these risks, risk management activities, incident response plans, best practices, the effectiveness of our security measures, and other related matters. Our Vice President and Chief Security and Privacy Officer, who reports to our Chief Technology Officer, leads our central security and privacy team, which works in partnership with each of our businesses and the corporate center to measure security maturity and risk and provides managed security services in a way that allows each business to address their unique challenges and become more efficient in using their resources. We have processes and policies for the escalation of cybersecurity incidents to the central security team, evaluation of the materiality of the incidents, and coordination of our response as needed across businesses and operations. Our Chief Security and Privacy Officer has more than 20 years of privacy and data security experience, including a series of roles in Cimpress over the last 15 years, the last three and a half years of which have been spent leading the central security and privacy team.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Although risks from cybersecurity threats have to date not materially affected us, our business strategy, results of operations or</w:t>
      </w:r>
    </w:p>
    <w:p>
      <w:pPr>
        <w:spacing w:after="0" w:line="234" w:lineRule="auto"/>
        <w:rPr>
          <w:sz w:val="20"/>
          <w:szCs w:val="20"/>
          <w:color w:val="auto"/>
        </w:rPr>
      </w:pPr>
      <w:r>
        <w:rPr>
          <w:rFonts w:ascii="Arial" w:cs="Arial" w:eastAsia="Arial" w:hAnsi="Arial"/>
          <w:sz w:val="18"/>
          <w:szCs w:val="18"/>
          <w:color w:val="auto"/>
        </w:rPr>
        <w:t>financial condition, we have, from time to time, experienced threats to and breaches of our and our third-party vendors’ data and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 Risk Factors, in this Annual Report for a discussion of cybersecurity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10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 business.</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 As of June 30, 2025, this facility is classified as held for sale.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left="660" w:right="1600" w:hanging="328"/>
        <w:spacing w:after="0" w:line="47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97,000 square foot facility located near Montpellier, France that primarily services The Print Group businesses. As of June 30, 2025, a summary of our currently occupied leased spaces is as follows:</w:t>
      </w:r>
    </w:p>
    <w:p>
      <w:pPr>
        <w:sectPr>
          <w:pgSz w:w="11900" w:h="16838" w:orient="portrait"/>
          <w:cols w:equalWidth="0" w:num="1">
            <w:col w:w="11220"/>
          </w:cols>
          <w:pgMar w:left="320" w:top="890" w:right="359" w:bottom="1440" w:gutter="0" w:footer="0" w:header="0"/>
        </w:sectPr>
      </w:pPr>
    </w:p>
    <w:tbl>
      <w:tblPr>
        <w:tblLayout w:type="fixed"/>
        <w:tblInd w:w="40" w:type="dxa"/>
        <w:tblCellMar>
          <w:top w:w="0" w:type="dxa"/>
          <w:left w:w="0" w:type="dxa"/>
          <w:bottom w:w="0" w:type="dxa"/>
          <w:right w:w="0" w:type="dxa"/>
        </w:tblCellMar>
      </w:tblP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Business Segment (1)</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w w:val="96"/>
              </w:rPr>
              <w:t>Square Feet</w:t>
            </w:r>
          </w:p>
        </w:tc>
      </w:tr>
      <w:tr>
        <w:trPr>
          <w:trHeight w:val="292"/>
        </w:trPr>
        <w:tc>
          <w:tcPr>
            <w:tcW w:w="1920" w:type="dxa"/>
            <w:vAlign w:val="bottom"/>
            <w:gridSpan w:val="2"/>
          </w:tcPr>
          <w:p>
            <w:pPr>
              <w:spacing w:after="0"/>
              <w:rPr>
                <w:sz w:val="20"/>
                <w:szCs w:val="20"/>
                <w:color w:val="auto"/>
              </w:rPr>
            </w:pPr>
            <w:r>
              <w:rPr>
                <w:rFonts w:ascii="Arial" w:cs="Arial" w:eastAsia="Arial" w:hAnsi="Arial"/>
                <w:sz w:val="16"/>
                <w:szCs w:val="16"/>
                <w:color w:val="auto"/>
              </w:rPr>
              <w:t>Vista</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330,870</w:t>
            </w:r>
          </w:p>
        </w:tc>
      </w:tr>
      <w:tr>
        <w:trPr>
          <w:trHeight w:val="378"/>
        </w:trPr>
        <w:tc>
          <w:tcPr>
            <w:tcW w:w="1920" w:type="dxa"/>
            <w:vAlign w:val="bottom"/>
            <w:gridSpan w:val="2"/>
          </w:tcPr>
          <w:p>
            <w:pPr>
              <w:spacing w:after="0"/>
              <w:rPr>
                <w:sz w:val="20"/>
                <w:szCs w:val="20"/>
                <w:color w:val="auto"/>
              </w:rPr>
            </w:pPr>
            <w:r>
              <w:rPr>
                <w:rFonts w:ascii="Arial" w:cs="Arial" w:eastAsia="Arial" w:hAnsi="Arial"/>
                <w:sz w:val="16"/>
                <w:szCs w:val="16"/>
                <w:color w:val="auto"/>
              </w:rPr>
              <w:t>PrintBrothers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531,795</w:t>
            </w:r>
          </w:p>
        </w:tc>
      </w:tr>
      <w:tr>
        <w:trPr>
          <w:trHeight w:val="378"/>
        </w:trPr>
        <w:tc>
          <w:tcPr>
            <w:tcW w:w="1920" w:type="dxa"/>
            <w:vAlign w:val="bottom"/>
            <w:gridSpan w:val="2"/>
          </w:tcPr>
          <w:p>
            <w:pPr>
              <w:spacing w:after="0"/>
              <w:rPr>
                <w:sz w:val="20"/>
                <w:szCs w:val="20"/>
                <w:color w:val="auto"/>
              </w:rPr>
            </w:pPr>
            <w:r>
              <w:rPr>
                <w:rFonts w:ascii="Arial" w:cs="Arial" w:eastAsia="Arial" w:hAnsi="Arial"/>
                <w:sz w:val="16"/>
                <w:szCs w:val="16"/>
                <w:color w:val="auto"/>
              </w:rPr>
              <w:t>The Print Group</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523,760</w:t>
            </w:r>
          </w:p>
        </w:tc>
      </w:tr>
      <w:tr>
        <w:trPr>
          <w:trHeight w:val="297"/>
        </w:trPr>
        <w:tc>
          <w:tcPr>
            <w:tcW w:w="1920" w:type="dxa"/>
            <w:vAlign w:val="bottom"/>
            <w:gridSpan w:val="2"/>
          </w:tcPr>
          <w:p>
            <w:pPr>
              <w:spacing w:after="0"/>
              <w:rPr>
                <w:sz w:val="20"/>
                <w:szCs w:val="20"/>
                <w:color w:val="auto"/>
              </w:rPr>
            </w:pPr>
            <w:r>
              <w:rPr>
                <w:rFonts w:ascii="Arial" w:cs="Arial" w:eastAsia="Arial" w:hAnsi="Arial"/>
                <w:sz w:val="16"/>
                <w:szCs w:val="16"/>
                <w:color w:val="auto"/>
              </w:rPr>
              <w:t>National Pen</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703,601</w:t>
            </w:r>
          </w:p>
        </w:tc>
      </w:tr>
      <w:tr>
        <w:trPr>
          <w:trHeight w:val="297"/>
        </w:trPr>
        <w:tc>
          <w:tcPr>
            <w:tcW w:w="1920" w:type="dxa"/>
            <w:vAlign w:val="bottom"/>
            <w:gridSpan w:val="2"/>
          </w:tcPr>
          <w:p>
            <w:pPr>
              <w:spacing w:after="0"/>
              <w:rPr>
                <w:sz w:val="20"/>
                <w:szCs w:val="20"/>
                <w:color w:val="auto"/>
              </w:rPr>
            </w:pPr>
            <w:r>
              <w:rPr>
                <w:rFonts w:ascii="Arial" w:cs="Arial" w:eastAsia="Arial" w:hAnsi="Arial"/>
                <w:sz w:val="16"/>
                <w:szCs w:val="16"/>
                <w:color w:val="auto"/>
              </w:rPr>
              <w:t>All Other Businesses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407,739</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1"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-238760</wp:posOffset>
            </wp:positionV>
            <wp:extent cx="710628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-115570</wp:posOffset>
            </wp:positionV>
            <wp:extent cx="71062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19970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July 2025 - June 2035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July 2025 - December 2033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July 2025 - April 2037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April 2027 - December 2037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August 2025 - February 2030</w:t>
      </w:r>
    </w:p>
    <w:p>
      <w:pPr>
        <w:spacing w:after="0" w:line="455" w:lineRule="exact"/>
        <w:rPr>
          <w:sz w:val="20"/>
          <w:szCs w:val="20"/>
          <w:color w:val="auto"/>
        </w:rPr>
      </w:pPr>
    </w:p>
    <w:p>
      <w:pPr>
        <w:sectPr>
          <w:pgSz w:w="11900" w:h="16838" w:orient="portrait"/>
          <w:cols w:equalWidth="0" w:num="3">
            <w:col w:w="3140" w:space="120"/>
            <w:col w:w="4540" w:space="300"/>
            <w:col w:w="3120"/>
          </w:cols>
          <w:pgMar w:left="320" w:top="890" w:right="359" w:bottom="1440" w:gutter="0" w:footer="0" w:header="0"/>
          <w:type w:val="continuous"/>
        </w:sectPr>
      </w:pPr>
    </w:p>
    <w:p>
      <w:pPr>
        <w:spacing w:after="0"/>
        <w:rPr>
          <w:sz w:val="20"/>
          <w:szCs w:val="20"/>
          <w:color w:val="auto"/>
        </w:rPr>
      </w:pPr>
      <w:r>
        <w:rPr>
          <w:rFonts w:ascii="Arial" w:cs="Arial" w:eastAsia="Arial" w:hAnsi="Arial"/>
          <w:sz w:val="14"/>
          <w:szCs w:val="14"/>
          <w:color w:val="auto"/>
        </w:rPr>
        <w:t>(1) Many of our leased properties are utilized by multiple business segments, but each have been assigned to the segment that occupies the majority of our leased space.</w:t>
      </w:r>
    </w:p>
    <w:p>
      <w:pPr>
        <w:spacing w:after="0" w:line="329"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16 — Commitments and Contingencies,” in the accompanying notes to the consolidated financial statements included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ordinary shares of Cimpress plc are traded on the Nasdaq Global Select Market (the "Nasdaq") under the symbol “CMPR.” As of July 31, 2025, there were six holders of record of our ordinary shares, although there is a much larger number of beneficial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Repurchases</w:t>
      </w:r>
    </w:p>
    <w:p>
      <w:pPr>
        <w:spacing w:after="0" w:line="10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8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On May 29, 2024, the Board of Directors of Cimpress plc authorized the repurchase of up to $200.0 million aggregate purchase price (excluding any fees, commissions, or other expenses of such purchases) of Cimpress' issued and outstanding ordinary shares on the open</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market, through privately negotiated transactions, or in one or more self tender offers. The Board did not set an expiration date for this new repurchase program, and we may suspend or discontinue our share repurchases at any time.</w:t>
      </w:r>
    </w:p>
    <w:p>
      <w:pPr>
        <w:spacing w:after="0" w:line="208"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The following table outlines the repurchase of our ordinary shares during the three months ended June 30, 2025 under the programs described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 Number of Shares</w:t>
            </w: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Approximate Dollar Value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Shares that May Yet be</w:t>
            </w: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 Number of Shares</w:t>
            </w:r>
          </w:p>
        </w:tc>
        <w:tc>
          <w:tcPr>
            <w:tcW w:w="120" w:type="dxa"/>
            <w:vAlign w:val="bottom"/>
          </w:tcPr>
          <w:p>
            <w:pPr>
              <w:spacing w:after="0"/>
              <w:rPr>
                <w:sz w:val="10"/>
                <w:szCs w:val="10"/>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Average Price Paid Per</w:t>
            </w:r>
          </w:p>
        </w:tc>
        <w:tc>
          <w:tcPr>
            <w:tcW w:w="1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Purchased as Part of a</w:t>
            </w:r>
          </w:p>
        </w:tc>
        <w:tc>
          <w:tcPr>
            <w:tcW w:w="140" w:type="dxa"/>
            <w:vAlign w:val="bottom"/>
          </w:tcPr>
          <w:p>
            <w:pPr>
              <w:spacing w:after="0"/>
              <w:rPr>
                <w:sz w:val="10"/>
                <w:szCs w:val="10"/>
                <w:color w:val="auto"/>
              </w:rPr>
            </w:pPr>
          </w:p>
        </w:tc>
        <w:tc>
          <w:tcPr>
            <w:tcW w:w="1460" w:type="dxa"/>
            <w:vAlign w:val="bottom"/>
          </w:tcPr>
          <w:p>
            <w:pPr>
              <w:jc w:val="center"/>
              <w:ind w:right="67"/>
              <w:spacing w:after="0" w:line="122" w:lineRule="exact"/>
              <w:rPr>
                <w:sz w:val="20"/>
                <w:szCs w:val="20"/>
                <w:color w:val="auto"/>
              </w:rPr>
            </w:pPr>
            <w:r>
              <w:rPr>
                <w:rFonts w:ascii="Arial" w:cs="Arial" w:eastAsia="Arial" w:hAnsi="Arial"/>
                <w:sz w:val="13"/>
                <w:szCs w:val="13"/>
                <w:b w:val="1"/>
                <w:bCs w:val="1"/>
                <w:color w:val="auto"/>
                <w:w w:val="97"/>
              </w:rPr>
              <w:t>Purchased Under the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Publicly Announced</w:t>
            </w:r>
          </w:p>
        </w:tc>
        <w:tc>
          <w:tcPr>
            <w:tcW w:w="140" w:type="dxa"/>
            <w:vAlign w:val="bottom"/>
          </w:tcPr>
          <w:p>
            <w:pPr>
              <w:spacing w:after="0"/>
              <w:rPr>
                <w:sz w:val="11"/>
                <w:szCs w:val="11"/>
                <w:color w:val="auto"/>
              </w:rPr>
            </w:pPr>
          </w:p>
        </w:tc>
        <w:tc>
          <w:tcPr>
            <w:tcW w:w="146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7"/>
              </w:rPr>
              <w:t>Program</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Purchased</w:t>
            </w:r>
          </w:p>
        </w:tc>
        <w:tc>
          <w:tcPr>
            <w:tcW w:w="12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Share</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Program</w:t>
            </w:r>
          </w:p>
        </w:tc>
        <w:tc>
          <w:tcPr>
            <w:tcW w:w="140" w:type="dxa"/>
            <w:vAlign w:val="bottom"/>
          </w:tcPr>
          <w:p>
            <w:pPr>
              <w:spacing w:after="0"/>
              <w:rPr>
                <w:sz w:val="15"/>
                <w:szCs w:val="15"/>
                <w:color w:val="auto"/>
              </w:rPr>
            </w:pPr>
          </w:p>
        </w:tc>
        <w:tc>
          <w:tcPr>
            <w:tcW w:w="1460" w:type="dxa"/>
            <w:vAlign w:val="bottom"/>
          </w:tcPr>
          <w:p>
            <w:pPr>
              <w:jc w:val="center"/>
              <w:ind w:right="67"/>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2025 through April 30, 2025</w:t>
            </w:r>
          </w:p>
        </w:tc>
        <w:tc>
          <w:tcPr>
            <w:tcW w:w="1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May 1, 2025 through May 31, 2025</w:t>
            </w:r>
          </w:p>
        </w:tc>
        <w:tc>
          <w:tcPr>
            <w:tcW w:w="1580" w:type="dxa"/>
            <w:vAlign w:val="bottom"/>
          </w:tcPr>
          <w:p>
            <w:pPr>
              <w:jc w:val="right"/>
              <w:ind w:right="5"/>
              <w:spacing w:after="0"/>
              <w:rPr>
                <w:sz w:val="20"/>
                <w:szCs w:val="20"/>
                <w:color w:val="auto"/>
              </w:rPr>
            </w:pPr>
            <w:r>
              <w:rPr>
                <w:rFonts w:ascii="Arial" w:cs="Arial" w:eastAsia="Arial" w:hAnsi="Arial"/>
                <w:sz w:val="16"/>
                <w:szCs w:val="16"/>
                <w:color w:val="auto"/>
              </w:rPr>
              <w:t>333,243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43.20</w:t>
            </w:r>
          </w:p>
        </w:tc>
        <w:tc>
          <w:tcPr>
            <w:tcW w:w="120" w:type="dxa"/>
            <w:vAlign w:val="bottom"/>
          </w:tcPr>
          <w:p>
            <w:pPr>
              <w:spacing w:after="0"/>
              <w:rPr>
                <w:sz w:val="18"/>
                <w:szCs w:val="18"/>
                <w:color w:val="auto"/>
              </w:rPr>
            </w:pPr>
          </w:p>
        </w:tc>
        <w:tc>
          <w:tcPr>
            <w:tcW w:w="1600" w:type="dxa"/>
            <w:vAlign w:val="bottom"/>
          </w:tcPr>
          <w:p>
            <w:pPr>
              <w:jc w:val="right"/>
              <w:ind w:right="8"/>
              <w:spacing w:after="0"/>
              <w:rPr>
                <w:sz w:val="20"/>
                <w:szCs w:val="20"/>
                <w:color w:val="auto"/>
              </w:rPr>
            </w:pPr>
            <w:r>
              <w:rPr>
                <w:rFonts w:ascii="Arial" w:cs="Arial" w:eastAsia="Arial" w:hAnsi="Arial"/>
                <w:sz w:val="16"/>
                <w:szCs w:val="16"/>
                <w:color w:val="auto"/>
              </w:rPr>
              <w:t>333,243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2025 through June 30, 2025</w:t>
            </w:r>
          </w:p>
        </w:tc>
        <w:tc>
          <w:tcPr>
            <w:tcW w:w="1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145,445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44.32</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145,445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478,688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43.54</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478,688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0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following graph compares the cumulative total return to shareholders of Cimpress plc ordinary shares relative to the cumulative total returns of the Nasdaq Composite index and the Research Data Group (RDG) Internet Composite index. An investment of $100 (with reinvestment of all dividends) is assumed to have been made in our ordinary shares and in each of the indexes on June 30, 2020 and the relative performance of each investment is tracked through June 30, 2025.</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Among Cimpress plc, the Nasdaq Composite Index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158750</wp:posOffset>
            </wp:positionV>
            <wp:extent cx="5332095" cy="2794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2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2025</w:t>
            </w:r>
          </w:p>
        </w:tc>
      </w:tr>
      <w:tr>
        <w:trPr>
          <w:trHeight w:val="212"/>
        </w:trPr>
        <w:tc>
          <w:tcPr>
            <w:tcW w:w="5260" w:type="dxa"/>
            <w:vAlign w:val="bottom"/>
          </w:tcPr>
          <w:p>
            <w:pPr>
              <w:ind w:left="20"/>
              <w:spacing w:after="0"/>
              <w:rPr>
                <w:sz w:val="20"/>
                <w:szCs w:val="20"/>
                <w:color w:val="auto"/>
              </w:rPr>
            </w:pPr>
            <w:r>
              <w:rPr>
                <w:rFonts w:ascii="Arial" w:cs="Arial" w:eastAsia="Arial" w:hAnsi="Arial"/>
                <w:sz w:val="16"/>
                <w:szCs w:val="16"/>
                <w:color w:val="auto"/>
              </w:rPr>
              <w:t>Cimpress plc</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   100.00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ind w:left="120"/>
              <w:spacing w:after="0"/>
              <w:rPr>
                <w:sz w:val="20"/>
                <w:szCs w:val="20"/>
                <w:color w:val="auto"/>
              </w:rPr>
            </w:pPr>
            <w:r>
              <w:rPr>
                <w:rFonts w:ascii="Arial" w:cs="Arial" w:eastAsia="Arial" w:hAnsi="Arial"/>
                <w:sz w:val="16"/>
                <w:szCs w:val="16"/>
                <w:color w:val="auto"/>
              </w:rPr>
              <w:t>142.01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50.96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77.91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114.76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61.57</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Composite</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145.23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210.31</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RDG Internet Composite</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91.24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123.66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142.42</w:t>
            </w:r>
          </w:p>
        </w:tc>
      </w:tr>
    </w:tbl>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price performance included in this graph is not necessarily indicative of future share price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fluctuating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or in the enforcement or interpretation of governmental policies, laws and regulations, that affect our businesses,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this Report and the documents that we periodically file with the SEC. The Business section of this Report also contains estimates and other statistical data from research we conducted in August 2022 with a third-party research firm, and this data involves a number of assumptions and limitations and contains projections and estimates of the sizes of the opportunities of our markets that are subject to a high degree of uncertainty and should not be given undue weight.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69"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As of June 30, 2025, we have numerous operating segments under our management reporting structure that are reported in the following five reportable segments: Vista, PrintBrothers, The Print Group, National Pen, and All Other Businesses. Refer to Note 14 in our accompanying consolidated financial statements for additional information relating to our reportable segments and our segment financial measures.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Tariffs</w:t>
      </w:r>
    </w:p>
    <w:p>
      <w:pPr>
        <w:spacing w:after="0" w:line="156"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U.S. tariff environment remains fluid. Cimpress businesses operate in the U.S., and we have fulfillment operations for U.S. customers in multiple locations in the U.S., Canada and Mexico. Cimpress has multiple exemptions and exclusions that currently shield us from paying tariffs on many of the products we fulfill for U.S. customers in Canada and Mexico. The primary impact of tariffs on Cimpress continues to be for promotional products that we source from China. During the fourth quarter of fiscal year 2025, we implemented price increases to mostly offset the combination of tariffs and the loss of the de minimis tariff exemption on Chinese-sourced goods. In our Vista business, we believe we were able to offset the new tariffs through pricing changes. In our National Pen business, we were able to largely offset the tariffs, but did experience net costs. In total we incurred approximately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$3 million in tariff-related costs, net of pricing increases, during the fourth quarter primarily during the period of the highest Chinese tariffs.</w:t>
      </w:r>
    </w:p>
    <w:p>
      <w:pPr>
        <w:spacing w:after="0" w:line="22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continue to work to mitigate the impact of tariffs on Cimpress and our U.S. customers. We are monitoring the status of reciprocal tariffs from other countries, and we will remain nimble in our sourcing and pricing responses. The de minimis exemption for shipments of under $ 800 per day to individual U.S. customers is expected to end on August 29, 2025 under a recently signed Executive Order, however, most of the computed value of the products we produce in Canada and Mexico for U.S. customers remains covered by exemptions due to their compliance with the US-Mexico-Canada (USMCA) trade agreement and the International Emergency Economic Powers Act (IEEPA) carve out for informational materials. Furthermore, we continue to believe that our scale-based advantages and the assets of our manufacturing, supply chain and procurement, and flexible technology infrastructure have become even clearer through this turbulence. We remain confident that we can manage this effectively, even as facts and circumstances continue to 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9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income (loss),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year ended June 30, 2025 as compared to the year ended June 30, 2024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2025</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increased by 3% to $3,403.1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Organic constant-currency revenue growth (a non-GAAP financial measure) was 3%.</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decreased by $21.1 million to $226.3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decreased by $165.0 million to $12.9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 non-GAAP financial measure) decreased by $35.5 million to $433.2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Diluted net income per share attributable to Cimpress plc decreased by $5.85 to $0.58.</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provided by operating activities decreased by $52.7 million to $298.1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free cash flow (a non-GAAP financial measure) decreased by $113.0 million to $148.0 million.</w:t>
      </w:r>
    </w:p>
    <w:p>
      <w:pPr>
        <w:spacing w:after="0" w:line="21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For the year ended June 30, 2025, the increase in reported consolidated revenue was primarily driven by external revenue growth in our Vista and PrintBrothers reportable segments. Revenue growth was led by strong revenue performance in Vista product categories like PPAG, signage, and packaging and labels, as well as continued order volume growth in our PrintBrothers reportable segment. Consolidated revenue growth was dampened by lower revenue for certain products in the U.S., mainly from weaker demand for business cards in our Vista business and home decor products in our BuildASign business, as well as lower revenue in the direct mail channel of our National Pen business particularly in North America and decreased direct sales in our traditional product portfolio in Europe within The Print Group reportable segment.</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decrease to operating income of $21.1 million during the year ended June 30, 2025 was driven by the non-recurrence of approximately $12 million of items that benefited the prior year, as well as approximately $5 million of discrete items that negatively impacted the current year, which included an Australian land duty tax in the second quarter of the current fiscal year that we are appealing related to our 2019 redomiciliation to Ireland, as well as a combined increase in impairment and restructuring charges of $9.3 million and startup costs of $3.8 million for a new U.S. manufacturing facility that started production in March 2025. Additionally, as previously described, the increased cost of tariffs in the U.S., net of price increases, had a negative $3 million impact during the fourth quarter of the current fiscal year. Operating income was also also impacted by lower gross margins due to the product mix shift described above, as well as higher operating expenses. These items were offset in part by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ind w:right="260"/>
        <w:spacing w:after="0" w:line="287" w:lineRule="auto"/>
        <w:rPr>
          <w:sz w:val="20"/>
          <w:szCs w:val="20"/>
          <w:color w:val="auto"/>
        </w:rPr>
      </w:pPr>
      <w:r>
        <w:rPr>
          <w:rFonts w:ascii="Arial" w:cs="Arial" w:eastAsia="Arial" w:hAnsi="Arial"/>
          <w:sz w:val="18"/>
          <w:szCs w:val="18"/>
          <w:color w:val="auto"/>
        </w:rPr>
        <w:t>$12.4 million of lower amortization of acquired intangible assets due to the runoff of fully amortized assets across several of our previously acquired businesses and reduced share-based compensation expense of $6.7 million.</w:t>
      </w:r>
    </w:p>
    <w:p>
      <w:pPr>
        <w:spacing w:after="0" w:line="12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For the year ended June 30, 2025, net income decreased by $165.0 million to $12.9 million due to the operating income decline described above. In addition, we recognized $133.5 million of higher income tax expense ($84.1 million of expense in the current year versus $49.4 million of benefit in the prior year) due primarily to a change of estimate to increase our valuation allowance in Switzerland. We also recognized higher unrealized hedging losses, as compared to the prior year.</w:t>
      </w:r>
    </w:p>
    <w:p>
      <w:pPr>
        <w:spacing w:after="0" w:line="163"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Adjusted EBITDA decreased during the year ended June 30, 2025, for similar reasons described above, as operating expenses more than offset the growth in gross profit. Gross profit growth in our fastest growing product categories continues to be offset in part by the decline in certain higher margin product categories that has weighed on gross margins as compared to the prior year.</w:t>
      </w:r>
    </w:p>
    <w:p>
      <w:pPr>
        <w:spacing w:after="0" w:line="157"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During the year ended June 30, 2025, cash from operations decreased $52.7 million year over year, primarily driven by the lower net income as described above, as well as unfavorable changes in net working capital year over year of $33.1 million partially offset by lower cash taxes.</w:t>
      </w:r>
    </w:p>
    <w:p>
      <w:pPr>
        <w:spacing w:after="0" w:line="144"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Adjusted free cash flow decreased by $113.0 million for the year ended June 30, 2025, due to the operating cash flow decrease described above, as well as a $34.1 million increase in capitalized expenditures, primarily due to planned investments in new production equipment and facility expansion. Proceeds from the sale of assets decreased by $20.5 million, driven by the prior-year sale of our previously owned customer service facility located in Jamaica and manufacturing facility in Japan.</w:t>
      </w:r>
    </w:p>
    <w:p>
      <w:pPr>
        <w:spacing w:after="0" w:line="163"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Refer to the "Additional Non-GAAP Financial Measures" section of Management's Discussion and Analysis for the reconciliation of our non-GAAP financial measures.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142"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82"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Total revenue and revenue growth by reportable segment for the years ended June 30, 2025, 2024, and 2023 are shown in the following tables. The revenue by reportable segment includes inter-segment transactions, which is when one Cimpress business chooses to buy from or sell to another Cimpress business that is part of a different reportable segment. These transactions are then eliminated in the inter-segment elimination line in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220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78"/>
        </w:trPr>
        <w:tc>
          <w:tcPr>
            <w:tcW w:w="196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Impact:</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Revenue</w:t>
            </w: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2024 (1)</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(Favorable)/Unfavorable</w:t>
            </w:r>
          </w:p>
        </w:tc>
        <w:tc>
          <w:tcPr>
            <w:tcW w:w="1060" w:type="dxa"/>
            <w:vAlign w:val="bottom"/>
            <w:gridSpan w:val="2"/>
            <w:vMerge w:val="continue"/>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(Favorable)/Unfavorable</w:t>
            </w:r>
          </w:p>
        </w:tc>
        <w:tc>
          <w:tcPr>
            <w:tcW w:w="1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580" w:type="dxa"/>
            <w:vAlign w:val="bottom"/>
            <w:gridSpan w:val="2"/>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Growth (2)</w:t>
            </w:r>
          </w:p>
        </w:tc>
        <w:tc>
          <w:tcPr>
            <w:tcW w:w="168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1,824,271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1,742,494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669,151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639,571</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378,075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354,775</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406,764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389,027</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227,363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213,381</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Inter-segment</w:t>
            </w:r>
          </w:p>
        </w:tc>
        <w:tc>
          <w:tcPr>
            <w:tcW w:w="240" w:type="dxa"/>
            <w:vAlign w:val="bottom"/>
          </w:tcPr>
          <w:p>
            <w:pPr>
              <w:spacing w:after="0"/>
              <w:rPr>
                <w:sz w:val="14"/>
                <w:szCs w:val="14"/>
                <w:color w:val="auto"/>
              </w:rPr>
            </w:pPr>
          </w:p>
        </w:tc>
        <w:tc>
          <w:tcPr>
            <w:tcW w:w="920" w:type="dxa"/>
            <w:vAlign w:val="bottom"/>
            <w:vMerge w:val="restart"/>
          </w:tcPr>
          <w:p>
            <w:pPr>
              <w:ind w:left="200"/>
              <w:spacing w:after="0"/>
              <w:rPr>
                <w:sz w:val="20"/>
                <w:szCs w:val="20"/>
                <w:color w:val="auto"/>
              </w:rPr>
            </w:pPr>
            <w:r>
              <w:rPr>
                <w:rFonts w:ascii="Arial" w:cs="Arial" w:eastAsia="Arial" w:hAnsi="Arial"/>
                <w:sz w:val="16"/>
                <w:szCs w:val="16"/>
                <w:color w:val="auto"/>
              </w:rPr>
              <w:t>(102,545)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(47,392)</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3,403,079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3,291,856</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1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3"/>
                <w:szCs w:val="13"/>
                <w:color w:val="auto"/>
              </w:rPr>
            </w:pPr>
          </w:p>
        </w:tc>
        <w:tc>
          <w:tcPr>
            <w:tcW w:w="222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78"/>
        </w:trPr>
        <w:tc>
          <w:tcPr>
            <w:tcW w:w="19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Impact:</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Revenue</w:t>
            </w: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283"/>
              <w:spacing w:after="0"/>
              <w:rPr>
                <w:sz w:val="20"/>
                <w:szCs w:val="20"/>
                <w:color w:val="auto"/>
              </w:rPr>
            </w:pPr>
            <w:r>
              <w:rPr>
                <w:rFonts w:ascii="Arial" w:cs="Arial" w:eastAsia="Arial" w:hAnsi="Arial"/>
                <w:sz w:val="13"/>
                <w:szCs w:val="13"/>
                <w:b w:val="1"/>
                <w:bCs w:val="1"/>
                <w:color w:val="auto"/>
              </w:rPr>
              <w:t>2024 (1)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2023 (1)</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(Favorable)/Unfavorable</w:t>
            </w:r>
          </w:p>
        </w:tc>
        <w:tc>
          <w:tcPr>
            <w:tcW w:w="1060" w:type="dxa"/>
            <w:vAlign w:val="bottom"/>
            <w:gridSpan w:val="2"/>
            <w:vMerge w:val="continue"/>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(Favorable)/Unfavorable</w:t>
            </w:r>
          </w:p>
        </w:tc>
        <w:tc>
          <w:tcPr>
            <w:tcW w:w="1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580" w:type="dxa"/>
            <w:vAlign w:val="bottom"/>
            <w:gridSpan w:val="2"/>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Growth (2)</w:t>
            </w:r>
          </w:p>
        </w:tc>
        <w:tc>
          <w:tcPr>
            <w:tcW w:w="168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1,742,494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1,614,798</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639,571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579,050</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354,775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342,951</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389,027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365,804</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212,409</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Inter-segment</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(47,392)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(35,385)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3,291,856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05"/>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55" w:lineRule="exact"/>
        <w:rPr>
          <w:sz w:val="20"/>
          <w:szCs w:val="20"/>
          <w:color w:val="auto"/>
        </w:rPr>
      </w:pPr>
    </w:p>
    <w:p>
      <w:pPr>
        <w:ind w:left="260" w:right="580" w:hanging="252"/>
        <w:spacing w:after="0" w:line="281"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14 of the accompanying consolidated financial statements for additional details.</w:t>
      </w:r>
    </w:p>
    <w:p>
      <w:pPr>
        <w:spacing w:after="0" w:line="1" w:lineRule="exact"/>
        <w:rPr>
          <w:rFonts w:ascii="Arial" w:cs="Arial" w:eastAsia="Arial" w:hAnsi="Arial"/>
          <w:sz w:val="14"/>
          <w:szCs w:val="14"/>
          <w:color w:val="auto"/>
        </w:rPr>
      </w:pPr>
    </w:p>
    <w:p>
      <w:pPr>
        <w:ind w:left="260" w:right="20" w:hanging="252"/>
        <w:spacing w:after="0" w:line="275"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ind w:left="260" w:hanging="252"/>
        <w:spacing w:after="0" w:line="282"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 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June 30, 2025, the reported revenue growth of $111.2 million was primarily driven by revenue growth in our Vista</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and PrintBrothers reportable segments and $4.6 million of positive effects from currency exchange rate fluctuations as compared to the prior year. Excluding the effect of changes in currency exchange rates and inter-segment revenue, the largest increase in revenue was from our Vista business with $81.5 million of incremental revenue for the year ended June 30, 2025. Vista revenue was higher year over year across all major markets, with the most significant growth in the PPAG and signage product categories. Our PrintBrothers reportable segment also</w:t>
      </w:r>
    </w:p>
    <w:p>
      <w:pPr>
        <w:spacing w:after="0" w:line="1" w:lineRule="exact"/>
        <w:rPr>
          <w:sz w:val="20"/>
          <w:szCs w:val="20"/>
          <w:color w:val="auto"/>
        </w:rPr>
      </w:pPr>
    </w:p>
    <w:p>
      <w:pPr>
        <w:jc w:val="both"/>
        <w:ind w:right="60"/>
        <w:spacing w:after="0" w:line="231" w:lineRule="auto"/>
        <w:rPr>
          <w:sz w:val="20"/>
          <w:szCs w:val="20"/>
          <w:color w:val="auto"/>
        </w:rPr>
      </w:pPr>
      <w:r>
        <w:rPr>
          <w:rFonts w:ascii="Arial" w:cs="Arial" w:eastAsia="Arial" w:hAnsi="Arial"/>
          <w:sz w:val="18"/>
          <w:szCs w:val="18"/>
          <w:color w:val="auto"/>
        </w:rPr>
        <w:t>contributed $24.2 million of increased revenue for the year ended June 30, 2025, excluding the effect of changes in currency exchange rates and inter-segment revenue, primarily driven by continued order volume and customer growth, partially offset by customers purchasing lower quantities in certain product categories.</w:t>
      </w:r>
    </w:p>
    <w:p>
      <w:pPr>
        <w:spacing w:after="0" w:line="154" w:lineRule="exact"/>
        <w:rPr>
          <w:sz w:val="20"/>
          <w:szCs w:val="20"/>
          <w:color w:val="auto"/>
        </w:rPr>
      </w:pPr>
    </w:p>
    <w:p>
      <w:pPr>
        <w:ind w:right="700" w:firstLine="648"/>
        <w:spacing w:after="0" w:line="256" w:lineRule="auto"/>
        <w:rPr>
          <w:sz w:val="20"/>
          <w:szCs w:val="20"/>
          <w:color w:val="auto"/>
        </w:rPr>
      </w:pPr>
      <w:r>
        <w:rPr>
          <w:rFonts w:ascii="Arial" w:cs="Arial" w:eastAsia="Arial" w:hAnsi="Arial"/>
          <w:sz w:val="18"/>
          <w:szCs w:val="18"/>
          <w:color w:val="auto"/>
        </w:rPr>
        <w:t>For additional discussion relating to segment revenue results which includes inter-segment revenue, refer to the "Reportable Segment Results" section included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19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7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68"/>
        </w:trPr>
        <w:tc>
          <w:tcPr>
            <w:tcW w:w="57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2023</w:t>
            </w: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1,785,635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1,695,062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1,640,625</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52.5 %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51.5 %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53.3 %</w:t>
            </w:r>
          </w:p>
        </w:tc>
      </w:tr>
    </w:tbl>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year ended June 30, 2025, cost of revenue increased by $ 90.6 million year over year, driven by increases in third-party fulfillment costs of $33.1 million, due in in part to product mix shifts toward faster-growing product categories that leverage our third-party fulfillment network. In addition, variable-based manufacturing and shipping costs increased by $27.2 million and $15.1 million, respectively, primarily driven by volume-related increases. In the aggregate, our variable cost of goods sold increased by approximately 100 basis points, as a percentage of revenue, due to the previously mentioned product mix shift to product categories that generally have higher gross profit per order but lower gross margins than many of our legacy products including business cards.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right="20" w:firstLine="648"/>
        <w:spacing w:after="0" w:line="259" w:lineRule="auto"/>
        <w:rPr>
          <w:sz w:val="20"/>
          <w:szCs w:val="20"/>
          <w:color w:val="auto"/>
        </w:rPr>
      </w:pPr>
      <w:r>
        <w:rPr>
          <w:rFonts w:ascii="Arial" w:cs="Arial" w:eastAsia="Arial" w:hAnsi="Arial"/>
          <w:sz w:val="18"/>
          <w:szCs w:val="18"/>
          <w:color w:val="auto"/>
        </w:rPr>
        <w:t>Other discrete items that contributed to the increase in cost of revenue were the recognition of a $2.6 million impairment charge in the third quarter of fiscal 2025 for our planned sale of a facility by our National Pen business, as well as increased fixed startup costs that were recognized as part of a new U.S. manufacturing facility that resulted in cost of revenue of $1.6 million for the year ended June 30, 2025. The cost increase was also impacted by the nonrecurrence of a favorable tax ruling of $3.0 million that benefited the prior year. Currency exchange fluctuations had a positive benefit year-over-year of $5.4 million for the year ended June 30,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8"/>
        </w:trPr>
        <w:tc>
          <w:tcPr>
            <w:tcW w:w="58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2023</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334,035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321,968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302,257</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9.8 %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814,018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789,872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773,970</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23.9 %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24.0 %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25.1 %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218,531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205,737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209,246</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6.8 %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31,443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46,854</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1.5 %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43,757</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0.2 %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1.4 %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Impairment of goodwill (2)</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5,609</w:t>
            </w:r>
          </w:p>
        </w:tc>
      </w:tr>
      <w:tr>
        <w:trPr>
          <w:trHeight w:val="214"/>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400" w:type="dxa"/>
            <w:vAlign w:val="bottom"/>
            <w:gridSpan w:val="2"/>
          </w:tcPr>
          <w:p>
            <w:pPr>
              <w:ind w:left="940"/>
              <w:spacing w:after="0"/>
              <w:rPr>
                <w:sz w:val="20"/>
                <w:szCs w:val="20"/>
                <w:color w:val="auto"/>
              </w:rPr>
            </w:pPr>
            <w:r>
              <w:rPr>
                <w:rFonts w:ascii="Arial" w:cs="Arial" w:eastAsia="Arial" w:hAnsi="Arial"/>
                <w:sz w:val="16"/>
                <w:szCs w:val="16"/>
                <w:i w:val="1"/>
                <w:iCs w:val="1"/>
                <w:color w:val="auto"/>
              </w:rPr>
              <w:t>— %</w:t>
            </w:r>
          </w:p>
        </w:tc>
        <w:tc>
          <w:tcPr>
            <w:tcW w:w="180" w:type="dxa"/>
            <w:vAlign w:val="bottom"/>
          </w:tcPr>
          <w:p>
            <w:pPr>
              <w:spacing w:after="0"/>
              <w:rPr>
                <w:sz w:val="18"/>
                <w:szCs w:val="18"/>
                <w:color w:val="auto"/>
              </w:rPr>
            </w:pPr>
          </w:p>
        </w:tc>
        <w:tc>
          <w:tcPr>
            <w:tcW w:w="1660" w:type="dxa"/>
            <w:vAlign w:val="bottom"/>
            <w:gridSpan w:val="2"/>
          </w:tcPr>
          <w:p>
            <w:pPr>
              <w:ind w:left="1180"/>
              <w:spacing w:after="0"/>
              <w:rPr>
                <w:sz w:val="20"/>
                <w:szCs w:val="20"/>
                <w:color w:val="auto"/>
              </w:rPr>
            </w:pPr>
            <w:r>
              <w:rPr>
                <w:rFonts w:ascii="Arial" w:cs="Arial" w:eastAsia="Arial" w:hAnsi="Arial"/>
                <w:sz w:val="16"/>
                <w:szCs w:val="16"/>
                <w:i w:val="1"/>
                <w:iCs w:val="1"/>
                <w:color w:val="auto"/>
              </w:rPr>
              <w:t>— %</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0.2 %</w:t>
            </w:r>
          </w:p>
        </w:tc>
      </w:tr>
    </w:tbl>
    <w:p>
      <w:pPr>
        <w:spacing w:after="0" w:line="16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Refer to Note 17 in our accompanying consolidated financial statements for additional details relating to restructuring expense.</w:t>
      </w:r>
    </w:p>
    <w:p>
      <w:pPr>
        <w:spacing w:after="0" w:line="109" w:lineRule="exact"/>
        <w:rPr>
          <w:rFonts w:ascii="Arial" w:cs="Arial" w:eastAsia="Arial" w:hAnsi="Arial"/>
          <w:sz w:val="14"/>
          <w:szCs w:val="14"/>
          <w:color w:val="auto"/>
        </w:rPr>
      </w:pPr>
    </w:p>
    <w:p>
      <w:pPr>
        <w:ind w:right="60" w:firstLine="8"/>
        <w:spacing w:after="0" w:line="305" w:lineRule="auto"/>
        <w:tabs>
          <w:tab w:leader="none" w:pos="2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fiscal year 2023, we recognized a goodwill impairment charge of $5.6 million related to one of our small businesses that is part of our All Other Businesses reportable segment. Refer to Note 7 in the accompanying consolidated financial statements for additional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Technology and development expense increased by $12.1 million for the year ended June 30, 2025, as compared to the prior year, driven by $ 5.9 million of higher cash compensation costs that were impacted in part by our annual merit cycle. In addition, third-party technology costs increased by $4.4 million driven partly by our businesses' further adoption of certain products offered through our mass customization platform, as well as increased business volumes, which has collectively increased consumption of those services. Amortization of capitalized software also increased $2.8 million as compared to the prior year, due to an increase in the capitalized asset base driven by continued investment in technology capabilities across many of our businesses. These items were offset in part by $1.4 million of lower share-based compensation costs, due to lower attainment of the performance conditions in our 2025 PSU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10"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ind w:right="20" w:firstLine="648"/>
        <w:spacing w:after="0" w:line="257" w:lineRule="auto"/>
        <w:rPr>
          <w:sz w:val="20"/>
          <w:szCs w:val="20"/>
          <w:color w:val="auto"/>
        </w:rPr>
      </w:pPr>
      <w:r>
        <w:rPr>
          <w:rFonts w:ascii="Arial" w:cs="Arial" w:eastAsia="Arial" w:hAnsi="Arial"/>
          <w:sz w:val="18"/>
          <w:szCs w:val="18"/>
          <w:color w:val="auto"/>
        </w:rPr>
        <w:t>For the year ended June 30, 2025, marketing and selling expenses increased by $24.1 million, partly due to higher cash compensation costs of $18.3 million, driven by our annual merit cycle, as well as hiring in our Vista business. In addition, advertising spend increased by $9.8 million, as compared to the prior year, largely driven by volume-driven increases to advertising spend, as well as targeted advertising investments. Additionally, for the current year, advertising was higher due to the higher cost of performance advertising in the U.S. market during the second quarter of the current fiscal year. These were offset in part by $2.7 million of lower share-based compensation costs, due to lower attainment of the performance conditions in our 2025 PSU grants.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0" w:lineRule="exact"/>
        <w:rPr>
          <w:sz w:val="20"/>
          <w:szCs w:val="20"/>
          <w:color w:val="auto"/>
        </w:rPr>
      </w:pPr>
    </w:p>
    <w:p>
      <w:pPr>
        <w:ind w:right="100" w:firstLine="648"/>
        <w:spacing w:after="0" w:line="318"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 and administrative expenses increased by $12.8 million during the year ended June 30, 2025 as compared to the prior year, driven by $5.8 million of higher long-term incentive cash compensation, due to prior-year reductions in estimated payouts for certain businesses, as well as higher cash compensation costs that were impacted by our annual merit cycle, and a $2.9 million charge recognized in the second quarter of the current fiscal year for a land duty tax in Australia related to our 2019 redomiciliation to Ireland that we are appealing. These increases were offset in part by $2.9 million of lower share-based compensation costs, due to lower attainment of the performance conditions in our 2025 PSU grants.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(expense) income, net:</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68"/>
        </w:trPr>
        <w:tc>
          <w:tcPr>
            <w:tcW w:w="6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2023</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gains on derivatives not designated as hedging instruments</w:t>
            </w: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Currency-related gains (losses),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16,350</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980" w:type="dxa"/>
            <w:vAlign w:val="bottom"/>
            <w:tcBorders>
              <w:bottom w:val="single" w:sz="8" w:color="auto"/>
            </w:tcBorders>
          </w:tcPr>
          <w:p>
            <w:pPr>
              <w:jc w:val="right"/>
              <w:ind w:right="78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18,498</w:t>
            </w:r>
          </w:p>
        </w:tc>
      </w:tr>
      <w:tr>
        <w:trPr>
          <w:trHeight w:val="20"/>
        </w:trPr>
        <w:tc>
          <w:tcPr>
            <w:tcW w:w="6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The changes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63" w:lineRule="exact"/>
        <w:rPr>
          <w:sz w:val="20"/>
          <w:szCs w:val="20"/>
          <w:color w:val="auto"/>
        </w:rPr>
      </w:pPr>
    </w:p>
    <w:p>
      <w:pPr>
        <w:ind w:right="680" w:firstLine="648"/>
        <w:spacing w:after="0" w:line="287" w:lineRule="auto"/>
        <w:rPr>
          <w:sz w:val="20"/>
          <w:szCs w:val="20"/>
          <w:color w:val="auto"/>
        </w:rPr>
      </w:pPr>
      <w:r>
        <w:rPr>
          <w:rFonts w:ascii="Arial" w:cs="Arial" w:eastAsia="Arial" w:hAnsi="Arial"/>
          <w:sz w:val="18"/>
          <w:szCs w:val="18"/>
          <w:color w:val="auto"/>
        </w:rPr>
        <w:t>We experience currency-related net gains and losses due to currency exchange rate volatility on our non-functional currency intercompany relationships, which we may alter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60" w:firstLine="648"/>
        <w:spacing w:after="0" w:line="268" w:lineRule="auto"/>
        <w:rPr>
          <w:sz w:val="20"/>
          <w:szCs w:val="20"/>
          <w:color w:val="auto"/>
        </w:rPr>
      </w:pPr>
      <w:r>
        <w:rPr>
          <w:rFonts w:ascii="Arial" w:cs="Arial" w:eastAsia="Arial" w:hAnsi="Arial"/>
          <w:sz w:val="18"/>
          <w:szCs w:val="18"/>
          <w:color w:val="auto"/>
        </w:rPr>
        <w:t>Interest expense, net decreased $4.6 million during the year ended June 30, 2025, primarily due to a year-over-year decrease to our weighted average interest rate (net of interest rate swaps) on our senior secured Term Loan B arising in part from our repricing actions in May 2024 and December 2024 that reduced the credit spread on our outstanding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223"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During the year ended June 30, 2025, we recognized $0.5 million of losses on the extinguishment of debt primarily due to the net write-off of unamortized debt discount and financing fees associated with the refinancing of our Term Loan B. Refer to Note 9 in our accompanying consolidated financial statements for additional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8"/>
        </w:trPr>
        <w:tc>
          <w:tcPr>
            <w:tcW w:w="58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2023</w:t>
            </w: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8"/>
              </w:rPr>
              <w:t>84,107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(49,362)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155,493</w:t>
            </w: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i w:val="1"/>
                <w:iCs w:val="1"/>
                <w:color w:val="auto"/>
              </w:rPr>
              <w:t>Effective tax rate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86.7 %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(38.4)%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(514.5)%</w:t>
            </w:r>
          </w:p>
        </w:tc>
      </w:tr>
    </w:tbl>
    <w:p>
      <w:pPr>
        <w:spacing w:after="0" w:line="6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Income tax expense for the year ended June 30, 2025 increased versus the prior year primarily due to a change in estimate of our Swiss valuation allowance. During the fourth quarter of 2025 we recognized tax expense of $26.8 million to adjust the partial valuation allowance in Switzerland to reflect the current estimated usage of these tax assets. We considered all available evidence, including the near-term impact of recent product-mix shifts in the Vista segment, the expectation of the timing of future taxable income, and the expiration of the tax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compared to a tax benefit of $105.8 million in the year ended June 30, 2024 to partially release the full valuation allowance</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previously recorded in the period ended December 31, 2022. As some of these tax assets will expire prior to when they can be used, a partial valuation allowance remained against those expected to expire unused. The prior year release was based on cumulative income in Switzerland, current period and forecasted profits resulting in the ability to utilize some of these tax assets prior to their expiration.</w:t>
      </w:r>
    </w:p>
    <w:p>
      <w:pPr>
        <w:spacing w:after="0" w:line="208"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12 in our accompanying consolidated financial statements for additional details.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1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 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periods presented for segment revenue and segment EBITDA to ensure comparability with the current fiscal year. These changes in methodology have no impact on our consolidated financial results. Refer to Note 14 in our accompanying consolidated financial statements for additional details.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Vista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68"/>
        </w:trPr>
        <w:tc>
          <w:tcPr>
            <w:tcW w:w="3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r>
      <w:tr>
        <w:trPr>
          <w:trHeight w:val="211"/>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1,824,271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1,742,494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1,614,798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8%</w:t>
            </w: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80" w:type="dxa"/>
            <w:vAlign w:val="bottom"/>
          </w:tcPr>
          <w:p>
            <w:pPr>
              <w:jc w:val="right"/>
              <w:ind w:right="144"/>
              <w:spacing w:after="0"/>
              <w:rPr>
                <w:sz w:val="20"/>
                <w:szCs w:val="20"/>
                <w:color w:val="auto"/>
              </w:rPr>
            </w:pPr>
            <w:r>
              <w:rPr>
                <w:rFonts w:ascii="Arial" w:cs="Arial" w:eastAsia="Arial" w:hAnsi="Arial"/>
                <w:sz w:val="16"/>
                <w:szCs w:val="16"/>
                <w:color w:val="auto"/>
              </w:rPr>
              <w:t>347,693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6"/>
              <w:spacing w:after="0"/>
              <w:rPr>
                <w:sz w:val="20"/>
                <w:szCs w:val="20"/>
                <w:color w:val="auto"/>
              </w:rPr>
            </w:pPr>
            <w:r>
              <w:rPr>
                <w:rFonts w:ascii="Arial" w:cs="Arial" w:eastAsia="Arial" w:hAnsi="Arial"/>
                <w:sz w:val="16"/>
                <w:szCs w:val="16"/>
                <w:color w:val="auto"/>
              </w:rPr>
              <w:t>348,117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24"/>
              <w:spacing w:after="0"/>
              <w:rPr>
                <w:sz w:val="20"/>
                <w:szCs w:val="20"/>
                <w:color w:val="auto"/>
              </w:rPr>
            </w:pPr>
            <w:r>
              <w:rPr>
                <w:rFonts w:ascii="Arial" w:cs="Arial" w:eastAsia="Arial" w:hAnsi="Arial"/>
                <w:sz w:val="16"/>
                <w:szCs w:val="16"/>
                <w:color w:val="auto"/>
              </w:rPr>
              <w:t>237,828</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5"/>
              <w:spacing w:after="0"/>
              <w:rPr>
                <w:sz w:val="20"/>
                <w:szCs w:val="20"/>
                <w:color w:val="auto"/>
              </w:rPr>
            </w:pPr>
            <w:r>
              <w:rPr>
                <w:rFonts w:ascii="Arial" w:cs="Arial" w:eastAsia="Arial" w:hAnsi="Arial"/>
                <w:sz w:val="16"/>
                <w:szCs w:val="16"/>
                <w:color w:val="auto"/>
              </w:rPr>
              <w:t>46%</w:t>
            </w: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2" w:lineRule="exact"/>
        <w:rPr>
          <w:sz w:val="20"/>
          <w:szCs w:val="20"/>
          <w:color w:val="auto"/>
        </w:rPr>
      </w:pPr>
    </w:p>
    <w:p>
      <w:pPr>
        <w:ind w:left="260" w:right="660" w:hanging="252"/>
        <w:spacing w:after="0" w:line="285"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new methodology used for inter-segment transactions. Refer to Note 14 of the accompanying consolidated financial statements for additional details.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Vista's reported revenue and constant-currency revenue growth for the year ended June 30, 2025 was 5%. Revenue growth for the year ended June 30, 2025 was stronger for product categories like promotional products, apparel, signage and packaging and labels. In addition, revenue growth was stronger in Europe. Revenue growth was dampened by a decline in the business cards and stationery product category in the U.S., influenced by the negative impact from algorithm changes in the organic search channel that we've continued to optimize against.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year ended June 30, 2025, segment EBITDA decreased by $0.4 million, primarily due to modest gross profit growth that was more than offset by the combination of higher advertising spend of $7.1 million that was driven by increases in performance marketing spend in the U.S. market, as well as higher operating expenses as compared to the prior year. Vista's gross profit growth was dampened by the decline in business cards and stationery revenue described above, since this category has a higher variable gross margin than Vista's faster-growing product categories. Currency exchange fluctuations had a positive year-over-year impact of $3.8 million for the year ended June 30,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PrintBrothers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68"/>
        </w:trPr>
        <w:tc>
          <w:tcPr>
            <w:tcW w:w="39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2024 vs. 2023</w:t>
            </w: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669,151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639,571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579,050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83,351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91,577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Arial" w:cs="Arial" w:eastAsia="Arial" w:hAnsi="Arial"/>
                <w:sz w:val="16"/>
                <w:szCs w:val="16"/>
                <w:color w:val="auto"/>
              </w:rPr>
              <w:t>71,658</w:t>
            </w:r>
          </w:p>
        </w:tc>
        <w:tc>
          <w:tcPr>
            <w:tcW w:w="100" w:type="dxa"/>
            <w:vAlign w:val="bottom"/>
          </w:tcPr>
          <w:p>
            <w:pPr>
              <w:spacing w:after="0"/>
              <w:rPr>
                <w:sz w:val="18"/>
                <w:szCs w:val="18"/>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28%</w:t>
            </w: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55" w:lineRule="exact"/>
        <w:rPr>
          <w:sz w:val="20"/>
          <w:szCs w:val="20"/>
          <w:color w:val="auto"/>
        </w:rPr>
      </w:pPr>
    </w:p>
    <w:p>
      <w:pPr>
        <w:ind w:left="260" w:right="660" w:hanging="252"/>
        <w:spacing w:after="0" w:line="264"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new methodology used for inter-segment transactions. Refer to Note 14 of the accompanying consolidated financial statements for additional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19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PrintBrothers' reported revenue growth for the year ended June 30, 2025 was positively affected by currency of 1%, resulting in organic constant currency revenue growth of 4%. Organic constant-currency revenue growth was driven primarily by order volume growth. Increased volumes from new customer growth was partially offset by decreased order sizes in categories such as flyers, brochures and magazines that was influenced by macroeconomic softness in the German market and the nonrecurrence of election-related demand during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Segment Profitability</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PrintBrothers' segment EBITDA for the year ended June 30, 2025 decreased $8.2 million, partially due to an increase in advertising spend of $ 6.7 million, driven by one of the segment's businesses testing into new digital marketing channels, as well as the non-recurrence of discrete items that benefited the prior year by $2.0 million, as well as higher operating expenses. These items were offset in part by gross profit growth that was driven by the revenue growth described above, as well as positive year-over-year impacts from currency exchange fluctuations of $1.1 million for the year ended June 30, 2025.</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Print Group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68"/>
        </w:trPr>
        <w:tc>
          <w:tcPr>
            <w:tcW w:w="39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2025 vs. 2024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378,075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354,775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342,951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3%</w:t>
            </w: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71,071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66,427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Arial" w:cs="Arial" w:eastAsia="Arial" w:hAnsi="Arial"/>
                <w:sz w:val="16"/>
                <w:szCs w:val="16"/>
                <w:color w:val="auto"/>
              </w:rPr>
              <w:t>56,089</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8"/>
                <w:szCs w:val="18"/>
                <w:color w:val="auto"/>
              </w:rPr>
            </w:pPr>
          </w:p>
        </w:tc>
        <w:tc>
          <w:tcPr>
            <w:tcW w:w="1120" w:type="dxa"/>
            <w:vAlign w:val="bottom"/>
          </w:tcPr>
          <w:p>
            <w:pPr>
              <w:jc w:val="right"/>
              <w:ind w:right="325"/>
              <w:spacing w:after="0"/>
              <w:rPr>
                <w:sz w:val="20"/>
                <w:szCs w:val="20"/>
                <w:color w:val="auto"/>
              </w:rPr>
            </w:pPr>
            <w:r>
              <w:rPr>
                <w:rFonts w:ascii="Arial" w:cs="Arial" w:eastAsia="Arial" w:hAnsi="Arial"/>
                <w:sz w:val="16"/>
                <w:szCs w:val="16"/>
                <w:color w:val="auto"/>
              </w:rPr>
              <w:t>18%</w:t>
            </w: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2" w:lineRule="exact"/>
        <w:rPr>
          <w:sz w:val="20"/>
          <w:szCs w:val="20"/>
          <w:color w:val="auto"/>
        </w:rPr>
      </w:pPr>
    </w:p>
    <w:p>
      <w:pPr>
        <w:ind w:left="260" w:right="640" w:hanging="252"/>
        <w:spacing w:after="0" w:line="285"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new methodology used for inter-segment transactions. Refer to Note 14 of the accompanying consolidated financial statements for additional details.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The Print Group's reported revenue growth was positively affected by currency exchange rate fluctuations of 1%, resulting in constant-currency revenue growth for the year ended June 30, 2025 of 6%, and was driven by increased fulfillment for other Cimpress businesses. This growth was partially offset by lower overall order values and decreased direct sales of traditional portfolio products.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9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Print Group's segment EBITDA increased $4.6 million during the year ended June 30, 2025 as compared to the prior year largely driven by revenue growth from cross-Cimpress fulfillment as described above and gross margin expansion due to reductions in key input costs such as raw materials. The gross profit growth for the year ended June 30, 2025 was partially offset by $3.8 million of startup costs related to Pixartprinting's new U.S. facility. Currency exchange fluctuations had a positive year-over-year impact of $1.0 million for the year ended June 30,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68"/>
        </w:trPr>
        <w:tc>
          <w:tcPr>
            <w:tcW w:w="39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2025 vs. 2024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406,764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389,027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365,804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6%</w:t>
            </w: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31,433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29,753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Arial" w:cs="Arial" w:eastAsia="Arial" w:hAnsi="Arial"/>
                <w:sz w:val="16"/>
                <w:szCs w:val="16"/>
                <w:color w:val="auto"/>
              </w:rPr>
              <w:t>23,223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8"/>
                <w:szCs w:val="18"/>
                <w:color w:val="auto"/>
              </w:rPr>
            </w:pPr>
          </w:p>
        </w:tc>
        <w:tc>
          <w:tcPr>
            <w:tcW w:w="1120" w:type="dxa"/>
            <w:vAlign w:val="bottom"/>
          </w:tcPr>
          <w:p>
            <w:pPr>
              <w:jc w:val="right"/>
              <w:ind w:right="325"/>
              <w:spacing w:after="0"/>
              <w:rPr>
                <w:sz w:val="20"/>
                <w:szCs w:val="20"/>
                <w:color w:val="auto"/>
              </w:rPr>
            </w:pPr>
            <w:r>
              <w:rPr>
                <w:rFonts w:ascii="Arial" w:cs="Arial" w:eastAsia="Arial" w:hAnsi="Arial"/>
                <w:sz w:val="16"/>
                <w:szCs w:val="16"/>
                <w:color w:val="auto"/>
              </w:rPr>
              <w:t>28%</w:t>
            </w: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55" w:lineRule="exact"/>
        <w:rPr>
          <w:sz w:val="20"/>
          <w:szCs w:val="20"/>
          <w:color w:val="auto"/>
        </w:rPr>
      </w:pPr>
    </w:p>
    <w:p>
      <w:pPr>
        <w:ind w:left="260" w:right="640" w:hanging="252"/>
        <w:spacing w:after="0" w:line="264"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new methodology used for inter-segment transactions. Refer to Note 14 of the accompanying consolidated financial statements for additional details.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For the year ended June 30, 2025, National Pen's revenue growth was positively impacted 1% by currency exchange rate fluctuations, resulting in constant-currency revenue growth of 4% as compared to the prior year. National Pen revenue growth was driven by growth in e-commerce and cross-Cimpress fulfillment for other Cimpress businesses. These growing channels were offset by revenue declines in mail order where National Pen continued to optimize for efficiency of direct mail advertising.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42"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National Pen's segment EBITDA increased $1.7 million for the year ended June 30, 2025 driven by the revenue growth described above, and $3.2 million of lower advertising spend intended to drive efficiency across channels. Currency exchange fluctuations had a positive year-over-year impact of $1.3 million for the year ended June 30,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5"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segment includes BuildASign and Printi, a smaller business that is an online printing leader in Brazil.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68"/>
        </w:trPr>
        <w:tc>
          <w:tcPr>
            <w:tcW w:w="39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227,363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213,381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212,409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21,883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22,495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Arial" w:cs="Arial" w:eastAsia="Arial" w:hAnsi="Arial"/>
                <w:sz w:val="16"/>
                <w:szCs w:val="16"/>
                <w:color w:val="auto"/>
              </w:rPr>
              <w:t>23,830</w:t>
            </w:r>
          </w:p>
        </w:tc>
        <w:tc>
          <w:tcPr>
            <w:tcW w:w="100" w:type="dxa"/>
            <w:vAlign w:val="bottom"/>
          </w:tcPr>
          <w:p>
            <w:pPr>
              <w:spacing w:after="0"/>
              <w:rPr>
                <w:sz w:val="18"/>
                <w:szCs w:val="18"/>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tcPr>
          <w:p>
            <w:pPr>
              <w:jc w:val="right"/>
              <w:ind w:right="305"/>
              <w:spacing w:after="0"/>
              <w:rPr>
                <w:sz w:val="20"/>
                <w:szCs w:val="20"/>
                <w:color w:val="auto"/>
              </w:rPr>
            </w:pPr>
            <w:r>
              <w:rPr>
                <w:rFonts w:ascii="Arial" w:cs="Arial" w:eastAsia="Arial" w:hAnsi="Arial"/>
                <w:sz w:val="16"/>
                <w:szCs w:val="16"/>
                <w:color w:val="auto"/>
              </w:rPr>
              <w:t>(6)%</w:t>
            </w: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2" w:lineRule="exact"/>
        <w:rPr>
          <w:sz w:val="20"/>
          <w:szCs w:val="20"/>
          <w:color w:val="auto"/>
        </w:rPr>
      </w:pPr>
    </w:p>
    <w:p>
      <w:pPr>
        <w:ind w:left="260" w:right="700" w:hanging="252"/>
        <w:spacing w:after="0" w:line="285"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prior year segment results have been adjusted to ensure comparability with the new methodology used for inter-segment transactions. Refer to Note 14 of the accompanying consolidated financial statements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jc w:val="both"/>
        <w:ind w:right="380" w:firstLine="648"/>
        <w:spacing w:after="0" w:line="262" w:lineRule="auto"/>
        <w:rPr>
          <w:sz w:val="20"/>
          <w:szCs w:val="20"/>
          <w:color w:val="auto"/>
        </w:rPr>
      </w:pPr>
      <w:r>
        <w:rPr>
          <w:rFonts w:ascii="Arial" w:cs="Arial" w:eastAsia="Arial" w:hAnsi="Arial"/>
          <w:sz w:val="18"/>
          <w:szCs w:val="18"/>
          <w:color w:val="auto"/>
        </w:rPr>
        <w:t>All Other Businesses' revenue growth was negatively impacted 1% by currency exchange rate fluctuations, resulting in constant-currency revenue growth of 8% during the year ended June 30, 2025. BuildASign, the largest business in this segment, delivered strong growth from fulfillment for other Cimpress businesses, which was partially offset by lower revenue for canvas print products. Our smaller Printi business delivered constant-currency revenue growth versus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 ended June 30, 2025, segment EBITDA decreased $0.6 million versus the prior year, largely driven by higher long-term incentive compensation expense of $3.0 million due to a prior-year reversal of expense driven by changes in estimated payouts that did not recur during the current-year period. In addition, gross profits declined year over year during the seasonally significant second quarter for our BuildASign business, driven by lower revenue in canvas print products, as well as gross margin compression driven in part by temporary production inefficiencies related to new capabilities. Currency exchange fluctuations had a positive year-over-year impact of $0.5 million for the year ended June 30,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and Corporate Costs</w:t>
      </w:r>
    </w:p>
    <w:p>
      <w:pPr>
        <w:spacing w:after="0" w:line="19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remote-first enablement, consolidated reporting and compliance, investor relations, and the functions of our CEO and CFO. These costs also include certain unallocated share-based compensation costs.</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During the year ended June 30, 2025, central and corporate costs increased by $3.0 million as compared to the prior year, due in part to a $2.9 million charge recognized in the second quarter for a land duty tax in Australia related to our 2019 redomiciliation to Ireland that we are appealing. In addition, cash compensation costs in our central functions increased, as a result of both hiring in our central technology organization and our annual merit cycle. We also recognized higher third-party technology costs, as a result of continued adoption and usage of mass customization platform products that are developed by our central technology teams. These increases were partially offset by lower unallocated share-based compensation expense year over year of $9.5 million due to lower attainment associated with performance share units granted during the current fiscal year.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68"/>
        </w:trPr>
        <w:tc>
          <w:tcPr>
            <w:tcW w:w="6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2023</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364"/>
              <w:spacing w:after="0"/>
              <w:rPr>
                <w:sz w:val="20"/>
                <w:szCs w:val="20"/>
                <w:color w:val="auto"/>
              </w:rPr>
            </w:pPr>
            <w:r>
              <w:rPr>
                <w:rFonts w:ascii="Arial" w:cs="Arial" w:eastAsia="Arial" w:hAnsi="Arial"/>
                <w:sz w:val="16"/>
                <w:szCs w:val="16"/>
                <w:color w:val="auto"/>
              </w:rPr>
              <w:t>298,070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284"/>
              <w:spacing w:after="0"/>
              <w:rPr>
                <w:sz w:val="20"/>
                <w:szCs w:val="20"/>
                <w:color w:val="auto"/>
              </w:rPr>
            </w:pPr>
            <w:r>
              <w:rPr>
                <w:rFonts w:ascii="Arial" w:cs="Arial" w:eastAsia="Arial" w:hAnsi="Arial"/>
                <w:sz w:val="16"/>
                <w:szCs w:val="16"/>
                <w:color w:val="auto"/>
              </w:rPr>
              <w:t>130,289</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180" w:type="dxa"/>
            <w:vAlign w:val="bottom"/>
          </w:tcPr>
          <w:p>
            <w:pPr>
              <w:jc w:val="center"/>
              <w:ind w:left="344"/>
              <w:spacing w:after="0"/>
              <w:rPr>
                <w:sz w:val="20"/>
                <w:szCs w:val="20"/>
                <w:color w:val="auto"/>
              </w:rPr>
            </w:pPr>
            <w:r>
              <w:rPr>
                <w:rFonts w:ascii="Arial" w:cs="Arial" w:eastAsia="Arial" w:hAnsi="Arial"/>
                <w:sz w:val="16"/>
                <w:szCs w:val="16"/>
                <w:color w:val="auto"/>
                <w:w w:val="99"/>
              </w:rPr>
              <w:t>(140,757)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(54,614)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284"/>
              <w:spacing w:after="0"/>
              <w:rPr>
                <w:sz w:val="20"/>
                <w:szCs w:val="20"/>
                <w:color w:val="auto"/>
              </w:rPr>
            </w:pPr>
            <w:r>
              <w:rPr>
                <w:rFonts w:ascii="Arial" w:cs="Arial" w:eastAsia="Arial" w:hAnsi="Arial"/>
                <w:sz w:val="16"/>
                <w:szCs w:val="16"/>
                <w:color w:val="auto"/>
              </w:rPr>
              <w:t>(103,725)</w:t>
            </w: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44"/>
              <w:spacing w:after="0"/>
              <w:rPr>
                <w:sz w:val="20"/>
                <w:szCs w:val="20"/>
                <w:color w:val="auto"/>
              </w:rPr>
            </w:pPr>
            <w:r>
              <w:rPr>
                <w:rFonts w:ascii="Arial" w:cs="Arial" w:eastAsia="Arial" w:hAnsi="Arial"/>
                <w:sz w:val="16"/>
                <w:szCs w:val="16"/>
                <w:color w:val="auto"/>
                <w:w w:val="99"/>
              </w:rPr>
              <w:t>(135,921)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284"/>
              <w:spacing w:after="0"/>
              <w:rPr>
                <w:sz w:val="20"/>
                <w:szCs w:val="20"/>
                <w:color w:val="auto"/>
              </w:rPr>
            </w:pPr>
            <w:r>
              <w:rPr>
                <w:rFonts w:ascii="Arial" w:cs="Arial" w:eastAsia="Arial" w:hAnsi="Arial"/>
                <w:sz w:val="16"/>
                <w:szCs w:val="16"/>
                <w:color w:val="auto"/>
              </w:rPr>
              <w:t>(177,106)</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year ended June 30, 2025 related primarily to the following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1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of $12.9 million</w:t>
      </w:r>
    </w:p>
    <w:p>
      <w:pPr>
        <w:spacing w:after="0" w:line="211"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Adjustments for non-cash items of $265.6 million primarily related to adjustments for depreciation and amortization of $141.1 million, share-based compensation costs of $58.9 million, deferred taxes of $42.0 million, and unrealized currency-related losses of $12.6 million</w:t>
      </w:r>
    </w:p>
    <w:p>
      <w:pPr>
        <w:spacing w:after="0" w:line="157"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working capital inflows of $19.6 million, primarily due to increases in accrued expenses, driven in part by our higher total cost base and the timing of payments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settlement of derivatives designated as hedging instruments of $5.4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maturity of held-to-maturity securities of $4.5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sale of assets of $3.1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the exercise of options of $1.4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0" w:lineRule="exact"/>
        <w:rPr>
          <w:sz w:val="20"/>
          <w:szCs w:val="20"/>
          <w:color w:val="auto"/>
        </w:rPr>
      </w:pPr>
    </w:p>
    <w:p>
      <w:pPr>
        <w:ind w:left="660" w:right="4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of $89.0 million, of which the majority is related to the purchase of manufacturing and automation equipment for our production facilities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of our ordinary shares for $77.8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and external costs of $64.1 million for software and website development that we have capitalized</w:t>
      </w:r>
    </w:p>
    <w:p>
      <w:pPr>
        <w:spacing w:after="0" w:line="211" w:lineRule="exact"/>
        <w:rPr>
          <w:rFonts w:ascii="Arial" w:cs="Arial" w:eastAsia="Arial" w:hAnsi="Arial"/>
          <w:sz w:val="18"/>
          <w:szCs w:val="18"/>
          <w:color w:val="auto"/>
        </w:rPr>
      </w:pPr>
    </w:p>
    <w:p>
      <w:pPr>
        <w:jc w:val="both"/>
        <w:ind w:left="660" w:right="36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repayments of debt of $25.0 million, including the impact of the refinancing of our 2026 Notes and amendment to our Senior Secured Credit Facility, as well as financing fees paid. Refer to Note 9 in the accompanying consolidated financial statements for additional details.</w:t>
      </w:r>
    </w:p>
    <w:p>
      <w:pPr>
        <w:spacing w:after="0" w:line="143"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withholding taxes in connection with share awards of $21.9 million, primarily driven by the vesting of restricted and performance share unit grants</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for finance lease arrangements of $7.8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 of noncontrolling interests of $4.1 million</w:t>
      </w:r>
    </w:p>
    <w:p>
      <w:pPr>
        <w:spacing w:after="0" w:line="21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At June 30, 2025, we had $234.0 million of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$1,604.5 million of debt, excluding debt issuance costs and debt premiums and discounts. During the year ended June 30, 2025, we financed our operations and strategic investments through internally generated cash flows from operations and cash on hand. We expect to finance our future operations through our cash, operating cash flow, and borrowings under our debt arrangements.</w:t>
      </w:r>
    </w:p>
    <w:p>
      <w:pPr>
        <w:spacing w:after="0" w:line="163" w:lineRule="exact"/>
        <w:rPr>
          <w:sz w:val="20"/>
          <w:szCs w:val="20"/>
          <w:color w:val="auto"/>
        </w:rPr>
      </w:pPr>
    </w:p>
    <w:p>
      <w:pPr>
        <w:ind w:right="340" w:firstLine="648"/>
        <w:spacing w:after="0" w:line="287" w:lineRule="auto"/>
        <w:rPr>
          <w:sz w:val="20"/>
          <w:szCs w:val="20"/>
          <w:color w:val="auto"/>
        </w:rPr>
      </w:pPr>
      <w:r>
        <w:rPr>
          <w:rFonts w:ascii="Arial" w:cs="Arial" w:eastAsia="Arial" w:hAnsi="Arial"/>
          <w:sz w:val="18"/>
          <w:szCs w:val="18"/>
          <w:color w:val="auto"/>
        </w:rPr>
        <w:t>We have historically used excess cash and cash equivalents for organic investments, share repurchases, acquisitions and equity investments, and debt reduction. During the year ended June 30, 2025, we purchased and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0" w:name="page41"/>
    <w:bookmarkEnd w:id="40"/>
    <w:p>
      <w:pPr>
        <w:ind w:right="100"/>
        <w:spacing w:after="0" w:line="287" w:lineRule="auto"/>
        <w:rPr>
          <w:sz w:val="20"/>
          <w:szCs w:val="20"/>
          <w:color w:val="auto"/>
        </w:rPr>
      </w:pPr>
      <w:r>
        <w:rPr>
          <w:rFonts w:ascii="Arial" w:cs="Arial" w:eastAsia="Arial" w:hAnsi="Arial"/>
          <w:sz w:val="18"/>
          <w:szCs w:val="18"/>
          <w:color w:val="auto"/>
        </w:rPr>
        <w:t>retired 1,193,355 of our ordinary shares for $77.8 million. We evaluate share repurchases, as any other use of capital, relative to our view of the impact on our intrinsic value per share compared against other opportunities.</w:t>
      </w:r>
    </w:p>
    <w:p>
      <w:pPr>
        <w:spacing w:after="0" w:line="12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Supply Chain Financing Program. </w:t>
      </w:r>
      <w:r>
        <w:rPr>
          <w:rFonts w:ascii="Arial" w:cs="Arial" w:eastAsia="Arial" w:hAnsi="Arial"/>
          <w:sz w:val="18"/>
          <w:szCs w:val="18"/>
          <w:color w:val="auto"/>
        </w:rPr>
        <w:t>As part of our ongoing efforts to manage our liquidity, we work with our suppliers to optimize our</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16 of the accompanying consolidated financial statements for additional information.</w:t>
      </w:r>
    </w:p>
    <w:p>
      <w:pPr>
        <w:spacing w:after="0" w:line="166" w:lineRule="exact"/>
        <w:rPr>
          <w:sz w:val="20"/>
          <w:szCs w:val="20"/>
          <w:color w:val="auto"/>
        </w:rPr>
      </w:pPr>
    </w:p>
    <w:p>
      <w:pPr>
        <w:ind w:right="40" w:firstLine="648"/>
        <w:spacing w:after="0" w:line="278"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June 30, 2025,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$93.8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2025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5"/>
              </w:rPr>
              <w:t>Payments Due by 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4"/>
              <w:spacing w:after="0" w:line="116" w:lineRule="exact"/>
              <w:rPr>
                <w:sz w:val="20"/>
                <w:szCs w:val="20"/>
                <w:color w:val="auto"/>
              </w:rPr>
            </w:pPr>
            <w:r>
              <w:rPr>
                <w:rFonts w:ascii="Arial" w:cs="Arial" w:eastAsia="Arial" w:hAnsi="Arial"/>
                <w:sz w:val="13"/>
                <w:szCs w:val="13"/>
                <w:b w:val="1"/>
                <w:bCs w:val="1"/>
                <w:color w:val="auto"/>
                <w:w w:val="94"/>
              </w:rPr>
              <w:t>Less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center"/>
              <w:ind w:right="223"/>
              <w:spacing w:after="0"/>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4"/>
              <w:spacing w:after="0" w:line="116" w:lineRule="exact"/>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21"/>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0"/>
                <w:szCs w:val="10"/>
                <w:color w:val="auto"/>
              </w:rPr>
            </w:pPr>
          </w:p>
        </w:tc>
        <w:tc>
          <w:tcPr>
            <w:tcW w:w="1040" w:type="dxa"/>
            <w:vAlign w:val="bottom"/>
          </w:tcPr>
          <w:p>
            <w:pPr>
              <w:jc w:val="center"/>
              <w:ind w:right="224"/>
              <w:spacing w:after="0" w:line="122" w:lineRule="exact"/>
              <w:rPr>
                <w:sz w:val="20"/>
                <w:szCs w:val="20"/>
                <w:color w:val="auto"/>
              </w:rPr>
            </w:pPr>
            <w:r>
              <w:rPr>
                <w:rFonts w:ascii="Arial" w:cs="Arial" w:eastAsia="Arial" w:hAnsi="Arial"/>
                <w:sz w:val="13"/>
                <w:szCs w:val="13"/>
                <w:b w:val="1"/>
                <w:bCs w:val="1"/>
                <w:color w:val="auto"/>
                <w:w w:val="99"/>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04"/>
              <w:spacing w:after="0" w:line="122" w:lineRule="exact"/>
              <w:rPr>
                <w:sz w:val="20"/>
                <w:szCs w:val="20"/>
                <w:color w:val="auto"/>
              </w:rPr>
            </w:pPr>
            <w:r>
              <w:rPr>
                <w:rFonts w:ascii="Arial" w:cs="Arial" w:eastAsia="Arial" w:hAnsi="Arial"/>
                <w:sz w:val="13"/>
                <w:szCs w:val="13"/>
                <w:b w:val="1"/>
                <w:bCs w:val="1"/>
                <w:color w:val="auto"/>
                <w:w w:val="93"/>
              </w:rPr>
              <w:t>than 5</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24"/>
              <w:spacing w:after="0"/>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years</w:t>
            </w:r>
          </w:p>
        </w:tc>
        <w:tc>
          <w:tcPr>
            <w:tcW w:w="3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years</w:t>
            </w:r>
          </w:p>
        </w:tc>
        <w:tc>
          <w:tcPr>
            <w:tcW w:w="300" w:type="dxa"/>
            <w:vAlign w:val="bottom"/>
          </w:tcPr>
          <w:p>
            <w:pPr>
              <w:spacing w:after="0"/>
              <w:rPr>
                <w:sz w:val="16"/>
                <w:szCs w:val="16"/>
                <w:color w:val="auto"/>
              </w:rPr>
            </w:pPr>
          </w:p>
        </w:tc>
        <w:tc>
          <w:tcPr>
            <w:tcW w:w="1040" w:type="dxa"/>
            <w:vAlign w:val="bottom"/>
          </w:tcPr>
          <w:p>
            <w:pPr>
              <w:jc w:val="center"/>
              <w:ind w:right="204"/>
              <w:spacing w:after="0"/>
              <w:rPr>
                <w:sz w:val="20"/>
                <w:szCs w:val="20"/>
                <w:color w:val="auto"/>
              </w:rPr>
            </w:pPr>
            <w:r>
              <w:rPr>
                <w:rFonts w:ascii="Arial" w:cs="Arial" w:eastAsia="Arial" w:hAnsi="Arial"/>
                <w:sz w:val="13"/>
                <w:szCs w:val="13"/>
                <w:b w:val="1"/>
                <w:bCs w:val="1"/>
                <w:color w:val="auto"/>
                <w:w w:val="94"/>
              </w:rPr>
              <w:t>years</w:t>
            </w:r>
          </w:p>
        </w:tc>
        <w:tc>
          <w:tcPr>
            <w:tcW w:w="0" w:type="dxa"/>
            <w:vAlign w:val="bottom"/>
          </w:tcPr>
          <w:p>
            <w:pPr>
              <w:spacing w:after="0"/>
              <w:rPr>
                <w:sz w:val="1"/>
                <w:szCs w:val="1"/>
                <w:color w:val="auto"/>
              </w:rPr>
            </w:pPr>
          </w:p>
        </w:tc>
      </w:tr>
      <w:tr>
        <w:trPr>
          <w:trHeight w:val="21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24,917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35,469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18,877</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391,373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133,888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135,259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1,266,875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79,464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1,185,798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815,392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38,719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621,797</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8,407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9,930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2,614,849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288,566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1,447,389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656,449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6" w:lineRule="exact"/>
        <w:rPr>
          <w:sz w:val="20"/>
          <w:szCs w:val="20"/>
          <w:color w:val="auto"/>
        </w:rPr>
      </w:pPr>
    </w:p>
    <w:p>
      <w:pPr>
        <w:ind w:left="260" w:right="280" w:hanging="252"/>
        <w:spacing w:after="0" w:line="301" w:lineRule="auto"/>
        <w:tabs>
          <w:tab w:leader="none" w:pos="233"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 w:lineRule="exact"/>
        <w:rPr>
          <w:rFonts w:ascii="Arial" w:cs="Arial" w:eastAsia="Arial" w:hAnsi="Arial"/>
          <w:sz w:val="14"/>
          <w:szCs w:val="14"/>
          <w:color w:val="auto"/>
        </w:rPr>
      </w:pPr>
    </w:p>
    <w:p>
      <w:pPr>
        <w:ind w:left="260" w:hanging="252"/>
        <w:spacing w:after="0" w:line="273" w:lineRule="auto"/>
        <w:tabs>
          <w:tab w:leader="none" w:pos="233"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June 30, 2025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58" w:lineRule="exact"/>
        <w:rPr>
          <w:rFonts w:ascii="Arial" w:cs="Arial" w:eastAsia="Arial" w:hAnsi="Arial"/>
          <w:sz w:val="14"/>
          <w:szCs w:val="14"/>
          <w:color w:val="auto"/>
        </w:rPr>
      </w:pPr>
    </w:p>
    <w:p>
      <w:pPr>
        <w:ind w:left="260" w:right="60" w:hanging="252"/>
        <w:spacing w:after="0" w:line="269" w:lineRule="auto"/>
        <w:tabs>
          <w:tab w:leader="none" w:pos="233"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$0.4 million as of June 30, 2025 have been excluded from the contractual obligations table above. See Note 12 in our accompanying consolidated financial statements for additional information on uncertain tax positions.</w:t>
      </w:r>
    </w:p>
    <w:p>
      <w:pPr>
        <w:spacing w:after="0" w:line="160"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We rent manufacturing facilities and office space under operating leases expiring on various dates through 2037.</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certain lease agreements require security deposits in the form of bank guarantees and letters of credit, with $4.6 million in the aggregate outstanding as of June 30, 2025.</w:t>
      </w:r>
    </w:p>
    <w:p>
      <w:pPr>
        <w:spacing w:after="0" w:line="14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At June 30, 2025, we had unrecorded commitments under contract of $391.4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cloud services of $260.3 million; third-party fulfillment and digital services of $78.9 million; software of $37.4 million; professional and consulting fees of $6.3 million; production and computer equipment purchases of $2.9 million; insurance costs of $1.6 million; and other commitments of $2.8 million.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Senior Secured Credit Facility and Interest Payments. </w:t>
      </w:r>
      <w:r>
        <w:rPr>
          <w:rFonts w:ascii="Arial" w:cs="Arial" w:eastAsia="Arial" w:hAnsi="Arial"/>
          <w:sz w:val="18"/>
          <w:szCs w:val="18"/>
          <w:color w:val="auto"/>
        </w:rPr>
        <w:t>On September 26, 2024, we entered into an amendment to our Restated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to extend the maturity date of our senior secured revolving credit facility to September 26, 2029 and reduced the minimum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spread on borrowing and the minimum commitment fee on unused balances, depending on our First Lien Leverage Ratio.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million senior secured revolving credit facility has $232.1 million unused as of June 30, 2025. There are no drawn amounts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line="255" w:lineRule="auto"/>
        <w:rPr>
          <w:sz w:val="20"/>
          <w:szCs w:val="20"/>
          <w:color w:val="auto"/>
        </w:rPr>
      </w:pPr>
      <w:r>
        <w:rPr>
          <w:rFonts w:ascii="Arial" w:cs="Arial" w:eastAsia="Arial" w:hAnsi="Arial"/>
          <w:sz w:val="18"/>
          <w:szCs w:val="18"/>
          <w:color w:val="auto"/>
        </w:rPr>
        <w:t>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September 26, 2029. Interest payable included in the above table is based on the interest rate as of June 30, 2025 and assumes all Term SOFR-based revolving loan amounts outstanding will not be paid until maturity but that the term loan amortization payments will be made according to our defined schedule. As of June 30, 2025, we have borrowings under our Restated Credit Agreement of $1,072.8 million, consisting of the Term Loan B, which amortizes over the loan period, with a final maturity date of May 17, 2028.</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2032 Senior Notes and Interest Payments. </w:t>
      </w:r>
      <w:r>
        <w:rPr>
          <w:rFonts w:ascii="Arial" w:cs="Arial" w:eastAsia="Arial" w:hAnsi="Arial"/>
          <w:sz w:val="18"/>
          <w:szCs w:val="18"/>
          <w:color w:val="auto"/>
        </w:rPr>
        <w:t>On September 26, 2024, we completed a private placement of $525.0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9 in the accompanying consolidated financial statements for additional information.</w:t>
      </w:r>
    </w:p>
    <w:p>
      <w:pPr>
        <w:spacing w:after="0" w:line="169"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The Restated Credit Agreement and the indenture that governs our 2032 Notes contain covenants that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 certain activities and transactions by Cimpress and our subsidiaries. As of June 30, 2025, we were in compliance with all covenants under our Restated Credit Agreement and the indenture governing our 2032 Notes. Refer to Note 9 in the accompanying consolidated financial statements for additional information.</w:t>
      </w:r>
    </w:p>
    <w:p>
      <w:pPr>
        <w:spacing w:after="0" w:line="163"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In addition, we have other debt which consists primarily of term loans acquired through our various acquisitions or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fund certain capital investments. As of June 30, 2025, we had $6.7 million outstanding for those obligations that have repayments due on various dates through September 2028.</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lease certain facilities, machinery, and plant equipment under finance lease agreements that expire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2037. The aggregate carrying value of the leased assets under finance leases included in property, plant and equipment, net in our consolidated balance sheet at June 30, 2025 is $30.3 million, net of accumulated depreciation of $35.7 million. The present value of lease installments not yet due included in other current liabilities and other liabilities in our consolidated balance sheet at June 30, 2025 amounts to $33.6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15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Adjusted EBITDA is defined as net (loss) income plus income tax expense plus (gain) loss on early extinguishment of debt plus interest expense, net plus other expense (income), net plus depreciation and amortization plus share-based compensation expense plus earn-out related charges plus certain impairments plus restructuring 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spacing w:after="0" w:line="169"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underlying acquired business in addition to that provided by our GAAP net income.</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net income (loss) and adjusted EBITDA for the years ended June 30, 2025, 2024, and 2023:</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2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68"/>
        </w:trPr>
        <w:tc>
          <w:tcPr>
            <w:tcW w:w="6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2023</w:t>
            </w: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177,808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r>
      <w:tr>
        <w:trPr>
          <w:trHeight w:val="215"/>
        </w:trPr>
        <w:tc>
          <w:tcPr>
            <w:tcW w:w="6240" w:type="dxa"/>
            <w:vAlign w:val="bottom"/>
          </w:tcPr>
          <w:p>
            <w:pPr>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155,493</w:t>
            </w:r>
          </w:p>
        </w:tc>
      </w:tr>
      <w:tr>
        <w:trPr>
          <w:trHeight w:val="215"/>
        </w:trPr>
        <w:tc>
          <w:tcPr>
            <w:tcW w:w="6240" w:type="dxa"/>
            <w:vAlign w:val="bottom"/>
          </w:tcPr>
          <w:p>
            <w:pPr>
              <w:ind w:left="120"/>
              <w:spacing w:after="0"/>
              <w:rPr>
                <w:sz w:val="20"/>
                <w:szCs w:val="20"/>
                <w:color w:val="auto"/>
              </w:rPr>
            </w:pPr>
            <w:r>
              <w:rPr>
                <w:rFonts w:ascii="Arial" w:cs="Arial" w:eastAsia="Arial" w:hAnsi="Arial"/>
                <w:sz w:val="16"/>
                <w:szCs w:val="16"/>
                <w:color w:val="auto"/>
              </w:rPr>
              <w:t>Loss (gain) on early extinguishment of debt</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(6,764)</w:t>
            </w:r>
          </w:p>
        </w:tc>
      </w:tr>
      <w:tr>
        <w:trPr>
          <w:trHeight w:val="217"/>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119,822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112,793</w:t>
            </w:r>
          </w:p>
        </w:tc>
      </w:tr>
      <w:tr>
        <w:trPr>
          <w:trHeight w:val="215"/>
        </w:trPr>
        <w:tc>
          <w:tcPr>
            <w:tcW w:w="6240" w:type="dxa"/>
            <w:vAlign w:val="bottom"/>
          </w:tcPr>
          <w:p>
            <w:pPr>
              <w:ind w:left="120"/>
              <w:spacing w:after="0"/>
              <w:rPr>
                <w:sz w:val="20"/>
                <w:szCs w:val="20"/>
                <w:color w:val="auto"/>
              </w:rPr>
            </w:pPr>
            <w:r>
              <w:rPr>
                <w:rFonts w:ascii="Arial" w:cs="Arial" w:eastAsia="Arial" w:hAnsi="Arial"/>
                <w:sz w:val="16"/>
                <w:szCs w:val="16"/>
                <w:color w:val="auto"/>
              </w:rPr>
              <w:t>Other expense (income), net</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(18,498)</w:t>
            </w:r>
          </w:p>
        </w:tc>
      </w:tr>
      <w:tr>
        <w:trPr>
          <w:trHeight w:val="217"/>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151,764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162,428</w:t>
            </w:r>
          </w:p>
        </w:tc>
      </w:tr>
      <w:tr>
        <w:trPr>
          <w:trHeight w:val="215"/>
        </w:trPr>
        <w:tc>
          <w:tcPr>
            <w:tcW w:w="624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58,879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65,584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39,682</w:t>
            </w:r>
          </w:p>
        </w:tc>
      </w:tr>
      <w:tr>
        <w:trPr>
          <w:trHeight w:val="217"/>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6,932</w:t>
            </w:r>
          </w:p>
        </w:tc>
      </w:tr>
      <w:tr>
        <w:trPr>
          <w:trHeight w:val="215"/>
        </w:trPr>
        <w:tc>
          <w:tcPr>
            <w:tcW w:w="6240" w:type="dxa"/>
            <w:vAlign w:val="bottom"/>
          </w:tcPr>
          <w:p>
            <w:pPr>
              <w:ind w:left="12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43,757</w:t>
            </w:r>
          </w:p>
        </w:tc>
      </w:tr>
      <w:tr>
        <w:trPr>
          <w:trHeight w:val="21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 certain items that are a part of other (expense) income,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Realized (losses) gains on currency derivatives (1)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29,724</w:t>
            </w:r>
          </w:p>
        </w:tc>
      </w:tr>
      <w:tr>
        <w:trPr>
          <w:trHeight w:val="235"/>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433,167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468,682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339,832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9" w:lineRule="exact"/>
        <w:rPr>
          <w:sz w:val="20"/>
          <w:szCs w:val="20"/>
          <w:color w:val="auto"/>
        </w:rPr>
      </w:pPr>
    </w:p>
    <w:p>
      <w:pPr>
        <w:ind w:left="260" w:right="660" w:hanging="252"/>
        <w:spacing w:after="0" w:line="305" w:lineRule="auto"/>
        <w:tabs>
          <w:tab w:leader="none" w:pos="2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7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The table below sets forth net cash provided by operating activities and adjusted free cash flow for the years ended June 30, 2025,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68"/>
        </w:trPr>
        <w:tc>
          <w:tcPr>
            <w:tcW w:w="6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2023</w:t>
            </w: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298,070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130,289</w:t>
            </w:r>
          </w:p>
        </w:tc>
      </w:tr>
      <w:tr>
        <w:trPr>
          <w:trHeight w:val="215"/>
        </w:trPr>
        <w:tc>
          <w:tcPr>
            <w:tcW w:w="628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(54,927)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(53,772)</w:t>
            </w:r>
          </w:p>
        </w:tc>
      </w:tr>
      <w:tr>
        <w:trPr>
          <w:trHeight w:val="217"/>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(57,787)</w:t>
            </w:r>
          </w:p>
        </w:tc>
      </w:tr>
      <w:tr>
        <w:trPr>
          <w:trHeight w:val="215"/>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4,659</w:t>
            </w: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148,033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261,053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23,389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Revenue Recognition. We generate revenue primarily from the sale and shipment of customized manufactured products. To a much lesser extent (and only in our Vista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16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171"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5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the majority of our deferred revenue balance as revenue within three months subsequent to June 30, 2025.</w:t>
      </w:r>
    </w:p>
    <w:p>
      <w:pPr>
        <w:spacing w:after="0" w:line="14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Share-Based Compensation. We measure share-based compensation costs at fair value, and recognize the expense over the period that the recipient is required to provide service in exchange for the award, which generally is the vesting period. We recognize the impact of forfeitures as they occur.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160" w:firstLine="648"/>
        <w:spacing w:after="0" w:line="259" w:lineRule="auto"/>
        <w:rPr>
          <w:sz w:val="20"/>
          <w:szCs w:val="20"/>
          <w:color w:val="auto"/>
        </w:rPr>
      </w:pPr>
      <w:r>
        <w:rPr>
          <w:rFonts w:ascii="Arial" w:cs="Arial" w:eastAsia="Arial" w:hAnsi="Arial"/>
          <w:sz w:val="18"/>
          <w:szCs w:val="18"/>
          <w:color w:val="auto"/>
        </w:rPr>
        <w:t>We have issued PSUs that include a performance condition, in which compensation costs are recorded if it is probable that the performance condition will be achieved. The fair value is determined based on the quoted price of our ordinary shares on the date of the grant and our estimated attainment percentage of the related performance condition. Until the performance condition is measured, changes in the estimated attainment percentages may cause expense volatility since a cumulative expense adjustment will be recognized in the period a change occurs.</w:t>
      </w:r>
    </w:p>
    <w:p>
      <w:pPr>
        <w:spacing w:after="0" w:line="1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Income Taxes. As part of the process of preparing our consolidated financial statements, we calculate our income taxes in each of the 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17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Software and Website Development Costs. We capitalize eligible salaries and payroll-related costs of employees and third-party consultants who devote time to 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Goodwill, Indefinite-Lived Intangible Assets, and Other Definite Lived Long-Lived Assets. We evaluate goodwill and indefinite-lived 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1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23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t>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 For the year ended June 30, 2025, we recognized no impairments.</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during the year ended June 30, 2025, and we recognized no impairments.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52"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2"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As of June 30, 2025,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June 30, 2025, we had $1,072.8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June 30, 2025, a hypothetical 100 basis point increase in rates, inclusive of the impact of our outstanding interest rate swaps that are accruing interest as of June 30, 2025, would result in a $8.3 million impact to interest expense over the next 12 months. This does not include any yield from cash and marketable securities.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66" w:lineRule="exact"/>
        <w:rPr>
          <w:sz w:val="20"/>
          <w:szCs w:val="20"/>
          <w:color w:val="auto"/>
        </w:rPr>
      </w:pPr>
    </w:p>
    <w:p>
      <w:pPr>
        <w:ind w:left="660" w:right="26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(loss) when, upon consolidation, those transactions are translated to</w:t>
      </w:r>
    </w:p>
    <w:p>
      <w:pPr>
        <w:spacing w:after="0" w:line="1" w:lineRule="exact"/>
        <w:rPr>
          <w:rFonts w:ascii="Arial" w:cs="Arial" w:eastAsia="Arial" w:hAnsi="Arial"/>
          <w:sz w:val="18"/>
          <w:szCs w:val="18"/>
          <w:color w:val="auto"/>
        </w:rPr>
      </w:pPr>
    </w:p>
    <w:p>
      <w:pPr>
        <w:ind w:left="660" w:right="160"/>
        <w:spacing w:after="0" w:line="266" w:lineRule="auto"/>
        <w:rPr>
          <w:rFonts w:ascii="Arial" w:cs="Arial" w:eastAsia="Arial" w:hAnsi="Arial"/>
          <w:sz w:val="18"/>
          <w:szCs w:val="18"/>
          <w:color w:val="auto"/>
        </w:rPr>
      </w:pPr>
      <w:r>
        <w:rPr>
          <w:rFonts w:ascii="Arial" w:cs="Arial" w:eastAsia="Arial" w:hAnsi="Arial"/>
          <w:sz w:val="18"/>
          <w:szCs w:val="18"/>
          <w:color w:val="auto"/>
        </w:rPr>
        <w:t>U.S. dollars. When the value or timing of revenue and expenses in a given currency are materially different, we may be exposed to significant impacts on our net loss and non-GAAP financial metrics, such as adjusted EBITDA.</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6" w:name="page47"/>
    <w:bookmarkEnd w:id="46"/>
    <w:p>
      <w:pPr>
        <w:ind w:left="328" w:right="40"/>
        <w:spacing w:after="0" w:line="282" w:lineRule="auto"/>
        <w:rPr>
          <w:sz w:val="20"/>
          <w:szCs w:val="20"/>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British Pound.</w:t>
      </w:r>
    </w:p>
    <w:p>
      <w:pPr>
        <w:spacing w:after="0" w:line="134" w:lineRule="exact"/>
        <w:rPr>
          <w:sz w:val="20"/>
          <w:szCs w:val="20"/>
          <w:color w:val="auto"/>
        </w:rPr>
      </w:pPr>
    </w:p>
    <w:p>
      <w:pPr>
        <w:ind w:left="328" w:right="180"/>
        <w:spacing w:after="0" w:line="259" w:lineRule="auto"/>
        <w:rPr>
          <w:sz w:val="20"/>
          <w:szCs w:val="20"/>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66" w:lineRule="exact"/>
        <w:rPr>
          <w:sz w:val="20"/>
          <w:szCs w:val="20"/>
          <w:color w:val="auto"/>
        </w:rPr>
      </w:pPr>
    </w:p>
    <w:p>
      <w:pPr>
        <w:ind w:left="328" w:right="160" w:hanging="328"/>
        <w:spacing w:after="0" w:line="259"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65" w:lineRule="exact"/>
        <w:rPr>
          <w:rFonts w:ascii="Arial" w:cs="Arial" w:eastAsia="Arial" w:hAnsi="Arial"/>
          <w:sz w:val="18"/>
          <w:szCs w:val="18"/>
          <w:color w:val="auto"/>
        </w:rPr>
      </w:pPr>
    </w:p>
    <w:p>
      <w:pPr>
        <w:ind w:left="328" w:hanging="328"/>
        <w:spacing w:after="0" w:line="254"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 group because they are either: 1) U.S. dollar loans or 2) used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$22.6 million on our income before income taxes for the year ended June 30, 2025.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93" w:right="3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7"/>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780" w:type="dxa"/>
            <w:vAlign w:val="bottom"/>
          </w:tcPr>
          <w:p>
            <w:pPr>
              <w:spacing w:after="0"/>
              <w:rPr>
                <w:sz w:val="21"/>
                <w:szCs w:val="21"/>
                <w:color w:val="auto"/>
              </w:rPr>
            </w:pPr>
          </w:p>
        </w:tc>
      </w:tr>
      <w:tr>
        <w:trPr>
          <w:trHeight w:val="536"/>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b w:val="1"/>
                <w:bCs w:val="1"/>
                <w:color w:val="auto"/>
              </w:rPr>
              <w:t>CIMPRESS PLC</w:t>
            </w:r>
          </w:p>
        </w:tc>
        <w:tc>
          <w:tcPr>
            <w:tcW w:w="1780" w:type="dxa"/>
            <w:vAlign w:val="bottom"/>
          </w:tcPr>
          <w:p>
            <w:pPr>
              <w:spacing w:after="0"/>
              <w:rPr>
                <w:sz w:val="24"/>
                <w:szCs w:val="24"/>
                <w:color w:val="auto"/>
              </w:rPr>
            </w:pPr>
          </w:p>
        </w:tc>
      </w:tr>
      <w:tr>
        <w:trPr>
          <w:trHeight w:val="247"/>
        </w:trPr>
        <w:tc>
          <w:tcPr>
            <w:tcW w:w="800" w:type="dxa"/>
            <w:vAlign w:val="bottom"/>
          </w:tcPr>
          <w:p>
            <w:pPr>
              <w:spacing w:after="0"/>
              <w:rPr>
                <w:sz w:val="21"/>
                <w:szCs w:val="21"/>
                <w:color w:val="auto"/>
              </w:rPr>
            </w:pPr>
          </w:p>
        </w:tc>
        <w:tc>
          <w:tcPr>
            <w:tcW w:w="86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80" w:type="dxa"/>
            <w:vAlign w:val="bottom"/>
          </w:tcPr>
          <w:p>
            <w:pPr>
              <w:spacing w:after="0"/>
              <w:rPr>
                <w:sz w:val="21"/>
                <w:szCs w:val="21"/>
                <w:color w:val="auto"/>
              </w:rPr>
            </w:pPr>
          </w:p>
        </w:tc>
      </w:tr>
      <w:tr>
        <w:trPr>
          <w:trHeight w:val="577"/>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(PCAOB ID No. 238)</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Shareholders’ Deficit</w:t>
            </w: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850"/>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color w:val="auto"/>
                <w:w w:val="99"/>
              </w:rPr>
              <w:t>46</w:t>
            </w:r>
          </w:p>
        </w:tc>
        <w:tc>
          <w:tcPr>
            <w:tcW w:w="1780" w:type="dxa"/>
            <w:vAlign w:val="bottom"/>
          </w:tcPr>
          <w:p>
            <w:pPr>
              <w:spacing w:after="0"/>
              <w:rPr>
                <w:sz w:val="24"/>
                <w:szCs w:val="24"/>
                <w:color w:val="auto"/>
              </w:rPr>
            </w:pPr>
          </w:p>
        </w:tc>
      </w:tr>
      <w:tr>
        <w:trPr>
          <w:trHeight w:val="111"/>
        </w:trPr>
        <w:tc>
          <w:tcPr>
            <w:tcW w:w="80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Cimpress plc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3"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Cimpress plc and its subsidiaries (the "Company") as of June 30, 2025 and 2024, and the related consolidated statements of operations, of comprehensive income (loss), of shareholders' deficit and of cash flows for each of the three years in the period ended June 30, 2025, including the related notes (collectively referred to as the "consolidated financial statements"). We also have audited the Company's internal control over financial reporting as of June 30,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6"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 Also in our opinion, the Company maintained, in all material respects, effective internal control over financial reporting as of June 30,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w:t>
      </w:r>
    </w:p>
    <w:p>
      <w:pPr>
        <w:ind w:right="340"/>
        <w:spacing w:after="0" w:line="226" w:lineRule="auto"/>
        <w:rPr>
          <w:sz w:val="20"/>
          <w:szCs w:val="20"/>
          <w:color w:val="auto"/>
        </w:rPr>
      </w:pPr>
      <w:r>
        <w:rPr>
          <w:rFonts w:ascii="Arial" w:cs="Arial" w:eastAsia="Arial" w:hAnsi="Arial"/>
          <w:sz w:val="18"/>
          <w:szCs w:val="18"/>
          <w:color w:val="auto"/>
        </w:rPr>
        <w:t>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7"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ind w:right="20" w:firstLine="648"/>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7"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w:t>
      </w:r>
    </w:p>
    <w:p>
      <w:pPr>
        <w:ind w:right="60"/>
        <w:spacing w:after="0" w:line="226" w:lineRule="auto"/>
        <w:rPr>
          <w:sz w:val="20"/>
          <w:szCs w:val="20"/>
          <w:color w:val="auto"/>
        </w:rPr>
      </w:pPr>
      <w:r>
        <w:rPr>
          <w:rFonts w:ascii="Arial" w:cs="Arial" w:eastAsia="Arial" w:hAnsi="Arial"/>
          <w:sz w:val="18"/>
          <w:szCs w:val="18"/>
          <w:color w:val="auto"/>
        </w:rPr>
        <w:t>are material to the consolidated financial statements and (ii) involved our especially challenging, subjective, or complex judgments. The communication of critical audit matters does not alter in any way our opinion on the consolidated financial statements, taken as a whole, and</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Certain Physical Printed Products and Other Revenue</w:t>
      </w:r>
    </w:p>
    <w:p>
      <w:pPr>
        <w:spacing w:after="0" w:line="23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As described in Notes 2 and 14 to the consolidated financial statements, revenue is generated primarily from the sale and shipment of customized manufactured products. Revenues are recognized at a point in time when control of the promised products is transferred to the customer in an amount that reflects the consideration the Company expects to be entitled to in exchange for those products. The Company’s consolidated revenue was $3.4 billion for the year ended June 30, 2025, of which a significant portion relates to certain physical printed products and other revenue.</w:t>
      </w:r>
    </w:p>
    <w:p>
      <w:pPr>
        <w:spacing w:after="0" w:line="203" w:lineRule="exact"/>
        <w:rPr>
          <w:sz w:val="20"/>
          <w:szCs w:val="20"/>
          <w:color w:val="auto"/>
        </w:rPr>
      </w:pPr>
    </w:p>
    <w:p>
      <w:pPr>
        <w:ind w:right="480" w:firstLine="648"/>
        <w:spacing w:after="0" w:line="253"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for certain physical printed products and other revenue is a critical audit matter is a high degree of auditor effort in performing procedures related to the Company’s revenue recognition for certain physical printed products and other revenue.</w:t>
      </w:r>
    </w:p>
    <w:p>
      <w:pPr>
        <w:spacing w:after="0" w:line="196" w:lineRule="exact"/>
        <w:rPr>
          <w:sz w:val="20"/>
          <w:szCs w:val="20"/>
          <w:color w:val="auto"/>
        </w:rPr>
      </w:pPr>
    </w:p>
    <w:p>
      <w:pPr>
        <w:ind w:right="120" w:firstLine="648"/>
        <w:spacing w:after="0" w:line="25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process, including controls over the recording of revenue for certain physical printed products and other revenue when control of the promised product is transferred to the customer. These procedures also included, among others (i) testing revenue recognition for a sample of certain physical printed products and other revenue transactions by obtaining and inspecting source documents, such as order confirmations, invoices, and proof of shipment or delivery; (ii) testing the timing of revenue recognition for a sample of certain physical printed products and other revenue transactions before and after period end by obtaining and inspecting source documents, such as order confirmations, invoices, and proof of shipment or delivery; and (iii) confirming a sample of outstanding customer invoice balances as of June 30, 2025 and, for confirmations not returned, obtaining and inspecting source documents, such as order confirmations, invoices, proof of shipment or delivery, and subsequent cash receipts.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August 8, 2025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203,775</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$7,957 and $7,219, respectively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64,576</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112,870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97,016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88,112</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502,606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457,979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265,177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83,951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78,681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92,212</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61,086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95,059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826,156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787,138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76,560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39,351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1,968,144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326,656</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245,931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46,118</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Short-term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663,963</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24,701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1,591,807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61,895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2,531,590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2,418,671</w:t>
            </w: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Redeemable noncontrolling interests (Note 13)</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deficit: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220"/>
              <w:spacing w:after="0" w:line="162" w:lineRule="exact"/>
              <w:rPr>
                <w:sz w:val="20"/>
                <w:szCs w:val="20"/>
                <w:color w:val="auto"/>
              </w:rPr>
            </w:pPr>
            <w:r>
              <w:rPr>
                <w:rFonts w:ascii="Arial" w:cs="Arial" w:eastAsia="Arial" w:hAnsi="Arial"/>
                <w:sz w:val="16"/>
                <w:szCs w:val="16"/>
                <w:color w:val="auto"/>
              </w:rPr>
              <w:t>Ordinary shares, nominal value €0.01 per share, 100,000,000 shares authorized; 42,448,572 and 43,051,269</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shares issued, respectively; 24,477,325 and 25,080,022 shares outstanding, respectively</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592,315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570,283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272,881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(550,146)</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(Note 13)</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(582,503)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(549,512)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1,968,144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3,291,856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1,785,635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1,695,062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1,640,625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814,018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789,872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773,970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226,270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247,351</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gain on early extinguishment of debt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Net loss (income) attributable to noncontrolling interests</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173,682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Basic net income (loss) per share attributable to Cimpress plc</w:t>
            </w: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 attributable to Cimpress plc</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24,923,797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26,151,968</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25,636,865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27,004,687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42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gains, net of hedges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62"/>
        </w:trPr>
        <w:tc>
          <w:tcPr>
            <w:tcW w:w="6420" w:type="dxa"/>
            <w:vAlign w:val="bottom"/>
          </w:tcPr>
          <w:p>
            <w:pPr>
              <w:ind w:left="220"/>
              <w:spacing w:after="0" w:line="162" w:lineRule="exact"/>
              <w:rPr>
                <w:sz w:val="20"/>
                <w:szCs w:val="20"/>
                <w:color w:val="auto"/>
              </w:rPr>
            </w:pPr>
            <w:r>
              <w:rPr>
                <w:rFonts w:ascii="Arial" w:cs="Arial" w:eastAsia="Arial" w:hAnsi="Arial"/>
                <w:sz w:val="16"/>
                <w:szCs w:val="16"/>
                <w:color w:val="auto"/>
              </w:rPr>
              <w:t>Net unrealized (losses) gains on derivative instruments designated and qualifying as</w:t>
            </w:r>
          </w:p>
        </w:tc>
        <w:tc>
          <w:tcPr>
            <w:tcW w:w="9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215"/>
        </w:trPr>
        <w:tc>
          <w:tcPr>
            <w:tcW w:w="64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9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4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Amounts reclassified from accumulated other comprehensive loss to net income</w:t>
            </w:r>
          </w:p>
        </w:tc>
        <w:tc>
          <w:tcPr>
            <w:tcW w:w="9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for derivative instruments</w:t>
            </w:r>
          </w:p>
        </w:tc>
        <w:tc>
          <w:tcPr>
            <w:tcW w:w="9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on pension benefit obligation, net</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(178,369)</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Cimpress plc</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178,378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(173,910)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600" w:type="dxa"/>
            <w:vAlign w:val="bottom"/>
            <w:gridSpan w:val="5"/>
          </w:tcPr>
          <w:p>
            <w:pPr>
              <w:ind w:left="240"/>
              <w:spacing w:after="0"/>
              <w:rPr>
                <w:sz w:val="20"/>
                <w:szCs w:val="20"/>
                <w:color w:val="auto"/>
              </w:rPr>
            </w:pPr>
            <w:r>
              <w:rPr>
                <w:rFonts w:ascii="Arial" w:cs="Arial" w:eastAsia="Arial" w:hAnsi="Arial"/>
                <w:sz w:val="13"/>
                <w:szCs w:val="13"/>
                <w:b w:val="1"/>
                <w:bCs w:val="1"/>
                <w:color w:val="auto"/>
              </w:rPr>
              <w:t>Ordinary Shares</w:t>
            </w:r>
          </w:p>
        </w:tc>
        <w:tc>
          <w:tcPr>
            <w:tcW w:w="2040" w:type="dxa"/>
            <w:vAlign w:val="bottom"/>
            <w:gridSpan w:val="5"/>
          </w:tcPr>
          <w:p>
            <w:pPr>
              <w:ind w:left="48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gridSpan w:val="2"/>
          </w:tcPr>
          <w:p>
            <w:pPr>
              <w:ind w:left="120"/>
              <w:spacing w:after="0" w:line="122"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Additional</w:t>
            </w:r>
          </w:p>
        </w:tc>
        <w:tc>
          <w:tcPr>
            <w:tcW w:w="9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Retained</w:t>
            </w:r>
          </w:p>
        </w:tc>
        <w:tc>
          <w:tcPr>
            <w:tcW w:w="14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106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80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700" w:type="dxa"/>
            <w:vAlign w:val="bottom"/>
            <w:gridSpan w:val="2"/>
            <w:vMerge w:val="restart"/>
          </w:tcPr>
          <w:p>
            <w:pPr>
              <w:spacing w:after="0" w:line="122" w:lineRule="exact"/>
              <w:rPr>
                <w:sz w:val="20"/>
                <w:szCs w:val="20"/>
                <w:color w:val="auto"/>
              </w:rPr>
            </w:pPr>
            <w:r>
              <w:rPr>
                <w:rFonts w:ascii="Arial" w:cs="Arial" w:eastAsia="Arial" w:hAnsi="Arial"/>
                <w:sz w:val="13"/>
                <w:szCs w:val="13"/>
                <w:b w:val="1"/>
                <w:bCs w:val="1"/>
                <w:color w:val="auto"/>
              </w:rPr>
              <w:t>Amount</w:t>
            </w:r>
          </w:p>
        </w:tc>
        <w:tc>
          <w:tcPr>
            <w:tcW w:w="840" w:type="dxa"/>
            <w:vAlign w:val="bottom"/>
            <w:gridSpan w:val="2"/>
            <w:vMerge w:val="restart"/>
          </w:tcPr>
          <w:p>
            <w:pPr>
              <w:ind w:left="300"/>
              <w:spacing w:after="0" w:line="122" w:lineRule="exact"/>
              <w:rPr>
                <w:sz w:val="20"/>
                <w:szCs w:val="20"/>
                <w:color w:val="auto"/>
              </w:rPr>
            </w:pPr>
            <w:r>
              <w:rPr>
                <w:rFonts w:ascii="Arial" w:cs="Arial" w:eastAsia="Arial" w:hAnsi="Arial"/>
                <w:sz w:val="13"/>
                <w:szCs w:val="13"/>
                <w:b w:val="1"/>
                <w:bCs w:val="1"/>
                <w:color w:val="auto"/>
              </w:rPr>
              <w:t>of</w:t>
            </w:r>
          </w:p>
        </w:tc>
        <w:tc>
          <w:tcPr>
            <w:tcW w:w="200" w:type="dxa"/>
            <w:vAlign w:val="bottom"/>
          </w:tcPr>
          <w:p>
            <w:pPr>
              <w:spacing w:after="0"/>
              <w:rPr>
                <w:sz w:val="5"/>
                <w:szCs w:val="5"/>
                <w:color w:val="auto"/>
              </w:rPr>
            </w:pPr>
          </w:p>
        </w:tc>
        <w:tc>
          <w:tcPr>
            <w:tcW w:w="1000" w:type="dxa"/>
            <w:vAlign w:val="bottom"/>
            <w:gridSpan w:val="2"/>
            <w:vMerge w:val="restart"/>
          </w:tcPr>
          <w:p>
            <w:pPr>
              <w:ind w:left="100"/>
              <w:spacing w:after="0" w:line="12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5"/>
                <w:szCs w:val="5"/>
                <w:color w:val="auto"/>
              </w:rPr>
            </w:pPr>
          </w:p>
        </w:tc>
        <w:tc>
          <w:tcPr>
            <w:tcW w:w="1060" w:type="dxa"/>
            <w:vAlign w:val="bottom"/>
            <w:vMerge w:val="restart"/>
          </w:tcPr>
          <w:p>
            <w:pPr>
              <w:jc w:val="center"/>
              <w:ind w:right="69"/>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58"/>
        </w:trPr>
        <w:tc>
          <w:tcPr>
            <w:tcW w:w="28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8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9"/>
                <w:szCs w:val="9"/>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71"/>
        </w:trPr>
        <w:tc>
          <w:tcPr>
            <w:tcW w:w="28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June 30, 2022</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44,084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501,003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414,138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54"/>
        </w:trPr>
        <w:tc>
          <w:tcPr>
            <w:tcW w:w="2820" w:type="dxa"/>
            <w:vAlign w:val="bottom"/>
          </w:tcPr>
          <w:p>
            <w:pPr>
              <w:spacing w:after="0" w:line="155" w:lineRule="exact"/>
              <w:rPr>
                <w:sz w:val="20"/>
                <w:szCs w:val="20"/>
                <w:color w:val="auto"/>
              </w:rPr>
            </w:pPr>
            <w:r>
              <w:rPr>
                <w:rFonts w:ascii="Arial" w:cs="Arial" w:eastAsia="Arial" w:hAnsi="Arial"/>
                <w:sz w:val="14"/>
                <w:szCs w:val="14"/>
                <w:color w:val="auto"/>
              </w:rPr>
              <w:t>Issuance of ordinary shares due to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option exercises, net of shares withheld for</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Restricted share units vested, net of shares</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withheld for taxes</w:t>
            </w: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42,953</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42,953</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Cimpress plc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0" w:type="dxa"/>
            <w:vAlign w:val="bottom"/>
          </w:tcPr>
          <w:p>
            <w:pPr>
              <w:spacing w:after="0"/>
              <w:rPr>
                <w:sz w:val="1"/>
                <w:szCs w:val="1"/>
                <w:color w:val="auto"/>
              </w:rPr>
            </w:pPr>
          </w:p>
        </w:tc>
      </w:tr>
      <w:tr>
        <w:trPr>
          <w:trHeight w:val="154"/>
        </w:trPr>
        <w:tc>
          <w:tcPr>
            <w:tcW w:w="2820" w:type="dxa"/>
            <w:vAlign w:val="bottom"/>
          </w:tcPr>
          <w:p>
            <w:pPr>
              <w:spacing w:after="0" w:line="155" w:lineRule="exact"/>
              <w:rPr>
                <w:sz w:val="20"/>
                <w:szCs w:val="20"/>
                <w:color w:val="auto"/>
              </w:rPr>
            </w:pPr>
            <w:r>
              <w:rPr>
                <w:rFonts w:ascii="Arial" w:cs="Arial" w:eastAsia="Arial" w:hAnsi="Arial"/>
                <w:sz w:val="14"/>
                <w:szCs w:val="14"/>
                <w:color w:val="auto"/>
              </w:rPr>
              <w:t>Redeemable noncontrolling interest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7,236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7,236</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20"/>
                <w:szCs w:val="20"/>
                <w:color w:val="auto"/>
              </w:rPr>
            </w:pPr>
            <w:r>
              <w:rPr>
                <w:rFonts w:ascii="Arial" w:cs="Arial" w:eastAsia="Arial" w:hAnsi="Arial"/>
                <w:sz w:val="14"/>
                <w:szCs w:val="14"/>
                <w:color w:val="auto"/>
              </w:rPr>
              <w:t>accretion to redemption value</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unrealized gain on derivative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instruments designated and qualifying as</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Arial" w:cs="Arial" w:eastAsia="Arial" w:hAnsi="Arial"/>
                <w:sz w:val="14"/>
                <w:szCs w:val="14"/>
                <w:color w:val="auto"/>
              </w:rPr>
              <w:t>Foreign currency translation, net of hedges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158"/>
        </w:trPr>
        <w:tc>
          <w:tcPr>
            <w:tcW w:w="2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Unrealized loss on pension benefit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obligation, net of tax</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Balance at June 30, 2023</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44,316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(1,363,550)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539,454</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235,396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Issuance of ordinary shares due to share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 net of shares withheld for</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2,102</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taxes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line="153" w:lineRule="exact"/>
              <w:rPr>
                <w:sz w:val="20"/>
                <w:szCs w:val="20"/>
                <w:color w:val="auto"/>
              </w:rPr>
            </w:pPr>
            <w:r>
              <w:rPr>
                <w:rFonts w:ascii="Arial" w:cs="Arial" w:eastAsia="Arial" w:hAnsi="Arial"/>
                <w:sz w:val="14"/>
                <w:szCs w:val="14"/>
                <w:color w:val="auto"/>
              </w:rPr>
              <w:t>Purchase and cancellation of ordinary</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(21,890)</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(135,073)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(156,982)</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20"/>
                <w:szCs w:val="20"/>
                <w:color w:val="auto"/>
              </w:rPr>
            </w:pPr>
            <w:r>
              <w:rPr>
                <w:rFonts w:ascii="Arial" w:cs="Arial" w:eastAsia="Arial" w:hAnsi="Arial"/>
                <w:sz w:val="14"/>
                <w:szCs w:val="14"/>
                <w:color w:val="auto"/>
              </w:rPr>
              <w:t>shares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Share-based awards vested, net of shares</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(16,432)</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(16,424)</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withheld for taxes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67,049</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67,049</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Cimpress plc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173,682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173,682</w:t>
            </w:r>
          </w:p>
        </w:tc>
        <w:tc>
          <w:tcPr>
            <w:tcW w:w="0" w:type="dxa"/>
            <w:vAlign w:val="bottom"/>
          </w:tcPr>
          <w:p>
            <w:pPr>
              <w:spacing w:after="0"/>
              <w:rPr>
                <w:sz w:val="1"/>
                <w:szCs w:val="1"/>
                <w:color w:val="auto"/>
              </w:rPr>
            </w:pPr>
          </w:p>
        </w:tc>
      </w:tr>
      <w:tr>
        <w:trPr>
          <w:trHeight w:val="153"/>
        </w:trPr>
        <w:tc>
          <w:tcPr>
            <w:tcW w:w="2820" w:type="dxa"/>
            <w:vAlign w:val="bottom"/>
          </w:tcPr>
          <w:p>
            <w:pPr>
              <w:spacing w:after="0" w:line="153" w:lineRule="exact"/>
              <w:rPr>
                <w:sz w:val="20"/>
                <w:szCs w:val="20"/>
                <w:color w:val="auto"/>
              </w:rPr>
            </w:pPr>
            <w:r>
              <w:rPr>
                <w:rFonts w:ascii="Arial" w:cs="Arial" w:eastAsia="Arial" w:hAnsi="Arial"/>
                <w:sz w:val="14"/>
                <w:szCs w:val="14"/>
                <w:color w:val="auto"/>
              </w:rPr>
              <w:t>Redeemable noncontrolling interest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20"/>
                <w:szCs w:val="20"/>
                <w:color w:val="auto"/>
              </w:rPr>
            </w:pPr>
            <w:r>
              <w:rPr>
                <w:rFonts w:ascii="Arial" w:cs="Arial" w:eastAsia="Arial" w:hAnsi="Arial"/>
                <w:sz w:val="14"/>
                <w:szCs w:val="14"/>
                <w:color w:val="auto"/>
              </w:rPr>
              <w:t>accretion to redemption value</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unrealized loss on derivative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instruments designated and qualifying as</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20"/>
                <w:szCs w:val="20"/>
                <w:color w:val="auto"/>
              </w:rPr>
            </w:pPr>
            <w:r>
              <w:rPr>
                <w:rFonts w:ascii="Arial" w:cs="Arial" w:eastAsia="Arial" w:hAnsi="Arial"/>
                <w:sz w:val="14"/>
                <w:szCs w:val="14"/>
                <w:color w:val="auto"/>
              </w:rPr>
              <w:t>Foreign currency translation, net of hedges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Unrealized loss on pension benefit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obligation, net of tax</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20"/>
                <w:szCs w:val="20"/>
                <w:color w:val="auto"/>
              </w:rPr>
            </w:pPr>
            <w:r>
              <w:rPr>
                <w:rFonts w:ascii="Arial" w:cs="Arial" w:eastAsia="Arial" w:hAnsi="Arial"/>
                <w:sz w:val="14"/>
                <w:szCs w:val="14"/>
                <w:color w:val="auto"/>
              </w:rPr>
              <w:t>Balance at June 30, 2024</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43,051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570,283</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272,881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00"/>
          </w:cols>
          <w:pgMar w:left="400" w:top="94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44" w:right="399" w:bottom="1440" w:gutter="0" w:footer="0" w:header="0"/>
          <w:type w:val="continuous"/>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DEFICIT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620" w:type="dxa"/>
            <w:vAlign w:val="bottom"/>
            <w:gridSpan w:val="5"/>
          </w:tcPr>
          <w:p>
            <w:pPr>
              <w:ind w:left="260"/>
              <w:spacing w:after="0"/>
              <w:rPr>
                <w:sz w:val="20"/>
                <w:szCs w:val="20"/>
                <w:color w:val="auto"/>
              </w:rPr>
            </w:pPr>
            <w:r>
              <w:rPr>
                <w:rFonts w:ascii="Arial" w:cs="Arial" w:eastAsia="Arial" w:hAnsi="Arial"/>
                <w:sz w:val="13"/>
                <w:szCs w:val="13"/>
                <w:b w:val="1"/>
                <w:bCs w:val="1"/>
                <w:color w:val="auto"/>
              </w:rPr>
              <w:t>Ordinary Shares</w:t>
            </w:r>
          </w:p>
        </w:tc>
        <w:tc>
          <w:tcPr>
            <w:tcW w:w="2040" w:type="dxa"/>
            <w:vAlign w:val="bottom"/>
            <w:gridSpan w:val="5"/>
          </w:tcPr>
          <w:p>
            <w:pPr>
              <w:ind w:left="48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gridSpan w:val="2"/>
          </w:tcPr>
          <w:p>
            <w:pPr>
              <w:ind w:left="120"/>
              <w:spacing w:after="0" w:line="122"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4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106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3"/>
        </w:trPr>
        <w:tc>
          <w:tcPr>
            <w:tcW w:w="2880" w:type="dxa"/>
            <w:vAlign w:val="bottom"/>
          </w:tcPr>
          <w:p>
            <w:pPr>
              <w:spacing w:after="0"/>
              <w:rPr>
                <w:sz w:val="5"/>
                <w:szCs w:val="5"/>
                <w:color w:val="auto"/>
              </w:rPr>
            </w:pPr>
          </w:p>
        </w:tc>
        <w:tc>
          <w:tcPr>
            <w:tcW w:w="80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line="122" w:lineRule="exact"/>
              <w:rPr>
                <w:sz w:val="20"/>
                <w:szCs w:val="20"/>
                <w:color w:val="auto"/>
              </w:rPr>
            </w:pPr>
            <w:r>
              <w:rPr>
                <w:rFonts w:ascii="Arial" w:cs="Arial" w:eastAsia="Arial" w:hAnsi="Arial"/>
                <w:sz w:val="13"/>
                <w:szCs w:val="13"/>
                <w:b w:val="1"/>
                <w:bCs w:val="1"/>
                <w:color w:val="auto"/>
              </w:rPr>
              <w:t>Amount</w:t>
            </w:r>
          </w:p>
        </w:tc>
        <w:tc>
          <w:tcPr>
            <w:tcW w:w="840" w:type="dxa"/>
            <w:vAlign w:val="bottom"/>
            <w:gridSpan w:val="2"/>
            <w:vMerge w:val="restart"/>
          </w:tcPr>
          <w:p>
            <w:pPr>
              <w:ind w:left="300"/>
              <w:spacing w:after="0" w:line="122" w:lineRule="exact"/>
              <w:rPr>
                <w:sz w:val="20"/>
                <w:szCs w:val="20"/>
                <w:color w:val="auto"/>
              </w:rPr>
            </w:pPr>
            <w:r>
              <w:rPr>
                <w:rFonts w:ascii="Arial" w:cs="Arial" w:eastAsia="Arial" w:hAnsi="Arial"/>
                <w:sz w:val="13"/>
                <w:szCs w:val="13"/>
                <w:b w:val="1"/>
                <w:bCs w:val="1"/>
                <w:color w:val="auto"/>
              </w:rPr>
              <w:t>of</w:t>
            </w:r>
          </w:p>
        </w:tc>
        <w:tc>
          <w:tcPr>
            <w:tcW w:w="200" w:type="dxa"/>
            <w:vAlign w:val="bottom"/>
          </w:tcPr>
          <w:p>
            <w:pPr>
              <w:spacing w:after="0"/>
              <w:rPr>
                <w:sz w:val="5"/>
                <w:szCs w:val="5"/>
                <w:color w:val="auto"/>
              </w:rPr>
            </w:pPr>
          </w:p>
        </w:tc>
        <w:tc>
          <w:tcPr>
            <w:tcW w:w="1000" w:type="dxa"/>
            <w:vAlign w:val="bottom"/>
            <w:gridSpan w:val="2"/>
            <w:vMerge w:val="restart"/>
          </w:tcPr>
          <w:p>
            <w:pPr>
              <w:ind w:left="100"/>
              <w:spacing w:after="0" w:line="12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5"/>
                <w:szCs w:val="5"/>
                <w:color w:val="auto"/>
              </w:rPr>
            </w:pPr>
          </w:p>
        </w:tc>
        <w:tc>
          <w:tcPr>
            <w:tcW w:w="1060" w:type="dxa"/>
            <w:vAlign w:val="bottom"/>
            <w:vMerge w:val="restart"/>
          </w:tcPr>
          <w:p>
            <w:pPr>
              <w:jc w:val="center"/>
              <w:ind w:right="70"/>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88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9"/>
                <w:szCs w:val="9"/>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72"/>
        </w:trPr>
        <w:tc>
          <w:tcPr>
            <w:tcW w:w="28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June 30,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570,283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272,881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54"/>
        </w:trPr>
        <w:tc>
          <w:tcPr>
            <w:tcW w:w="2880" w:type="dxa"/>
            <w:vAlign w:val="bottom"/>
          </w:tcPr>
          <w:p>
            <w:pPr>
              <w:spacing w:after="0" w:line="155" w:lineRule="exact"/>
              <w:rPr>
                <w:sz w:val="20"/>
                <w:szCs w:val="20"/>
                <w:color w:val="auto"/>
              </w:rPr>
            </w:pPr>
            <w:r>
              <w:rPr>
                <w:rFonts w:ascii="Arial" w:cs="Arial" w:eastAsia="Arial" w:hAnsi="Arial"/>
                <w:sz w:val="14"/>
                <w:szCs w:val="14"/>
                <w:color w:val="auto"/>
              </w:rPr>
              <w:t>Issuance of ordinary shares due to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80" w:type="dxa"/>
            <w:vAlign w:val="bottom"/>
          </w:tcPr>
          <w:p>
            <w:pPr>
              <w:spacing w:after="0" w:line="143" w:lineRule="exact"/>
              <w:rPr>
                <w:sz w:val="20"/>
                <w:szCs w:val="20"/>
                <w:color w:val="auto"/>
              </w:rPr>
            </w:pPr>
            <w:r>
              <w:rPr>
                <w:rFonts w:ascii="Arial" w:cs="Arial" w:eastAsia="Arial" w:hAnsi="Arial"/>
                <w:sz w:val="14"/>
                <w:szCs w:val="14"/>
                <w:color w:val="auto"/>
              </w:rPr>
              <w:t>option exercises, net of shares withheld for</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Purchase and cancellation of ordinary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(77,775)</w:t>
            </w:r>
          </w:p>
        </w:tc>
        <w:tc>
          <w:tcPr>
            <w:tcW w:w="0" w:type="dxa"/>
            <w:vAlign w:val="bottom"/>
          </w:tcPr>
          <w:p>
            <w:pPr>
              <w:spacing w:after="0"/>
              <w:rPr>
                <w:sz w:val="1"/>
                <w:szCs w:val="1"/>
                <w:color w:val="auto"/>
              </w:rPr>
            </w:pPr>
          </w:p>
        </w:tc>
      </w:tr>
      <w:tr>
        <w:trPr>
          <w:trHeight w:val="154"/>
        </w:trPr>
        <w:tc>
          <w:tcPr>
            <w:tcW w:w="2880" w:type="dxa"/>
            <w:vAlign w:val="bottom"/>
          </w:tcPr>
          <w:p>
            <w:pPr>
              <w:spacing w:after="0" w:line="155" w:lineRule="exact"/>
              <w:rPr>
                <w:sz w:val="20"/>
                <w:szCs w:val="20"/>
                <w:color w:val="auto"/>
              </w:rPr>
            </w:pPr>
            <w:r>
              <w:rPr>
                <w:rFonts w:ascii="Arial" w:cs="Arial" w:eastAsia="Arial" w:hAnsi="Arial"/>
                <w:sz w:val="14"/>
                <w:szCs w:val="14"/>
                <w:color w:val="auto"/>
              </w:rPr>
              <w:t>Restricted share units vested, net of shares</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(21,938)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(21,932)</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20"/>
                <w:szCs w:val="20"/>
                <w:color w:val="auto"/>
              </w:rPr>
            </w:pPr>
            <w:r>
              <w:rPr>
                <w:rFonts w:ascii="Arial" w:cs="Arial" w:eastAsia="Arial" w:hAnsi="Arial"/>
                <w:sz w:val="14"/>
                <w:szCs w:val="14"/>
                <w:color w:val="auto"/>
              </w:rPr>
              <w:t>withheld for taxes</w:t>
            </w: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59,203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59,203</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20"/>
                <w:szCs w:val="20"/>
                <w:color w:val="auto"/>
              </w:rPr>
            </w:pPr>
            <w:r>
              <w:rPr>
                <w:rFonts w:ascii="Arial" w:cs="Arial" w:eastAsia="Arial" w:hAnsi="Arial"/>
                <w:sz w:val="14"/>
                <w:szCs w:val="14"/>
                <w:color w:val="auto"/>
              </w:rPr>
              <w:t>Net income attributable to Cimpress plc</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14,952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14,952</w:t>
            </w:r>
          </w:p>
        </w:tc>
        <w:tc>
          <w:tcPr>
            <w:tcW w:w="0" w:type="dxa"/>
            <w:vAlign w:val="bottom"/>
          </w:tcPr>
          <w:p>
            <w:pPr>
              <w:spacing w:after="0"/>
              <w:rPr>
                <w:sz w:val="1"/>
                <w:szCs w:val="1"/>
                <w:color w:val="auto"/>
              </w:rPr>
            </w:pPr>
          </w:p>
        </w:tc>
      </w:tr>
      <w:tr>
        <w:trPr>
          <w:trHeight w:val="158"/>
        </w:trPr>
        <w:tc>
          <w:tcPr>
            <w:tcW w:w="2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Redeemable noncontrolling interest accretion</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to redemption value</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line="155" w:lineRule="exact"/>
              <w:rPr>
                <w:sz w:val="20"/>
                <w:szCs w:val="20"/>
                <w:color w:val="auto"/>
              </w:rPr>
            </w:pPr>
            <w:r>
              <w:rPr>
                <w:rFonts w:ascii="Arial" w:cs="Arial" w:eastAsia="Arial" w:hAnsi="Arial"/>
                <w:sz w:val="14"/>
                <w:szCs w:val="14"/>
                <w:color w:val="auto"/>
              </w:rPr>
              <w:t>Net unrealized loss on derivative instruments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80" w:type="dxa"/>
            <w:vAlign w:val="bottom"/>
          </w:tcPr>
          <w:p>
            <w:pPr>
              <w:spacing w:after="0" w:line="143" w:lineRule="exact"/>
              <w:rPr>
                <w:sz w:val="20"/>
                <w:szCs w:val="20"/>
                <w:color w:val="auto"/>
              </w:rPr>
            </w:pPr>
            <w:r>
              <w:rPr>
                <w:rFonts w:ascii="Arial" w:cs="Arial" w:eastAsia="Arial" w:hAnsi="Arial"/>
                <w:sz w:val="14"/>
                <w:szCs w:val="14"/>
                <w:color w:val="auto"/>
              </w:rPr>
              <w:t>designated and qualifying as cash flow</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(7,520)</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4"/>
                <w:szCs w:val="14"/>
                <w:color w:val="auto"/>
              </w:rPr>
              <w:t>hedges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net of hedges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54"/>
        </w:trPr>
        <w:tc>
          <w:tcPr>
            <w:tcW w:w="2880" w:type="dxa"/>
            <w:vAlign w:val="bottom"/>
          </w:tcPr>
          <w:p>
            <w:pPr>
              <w:spacing w:after="0" w:line="155" w:lineRule="exact"/>
              <w:rPr>
                <w:sz w:val="20"/>
                <w:szCs w:val="20"/>
                <w:color w:val="auto"/>
              </w:rPr>
            </w:pPr>
            <w:r>
              <w:rPr>
                <w:rFonts w:ascii="Arial" w:cs="Arial" w:eastAsia="Arial" w:hAnsi="Arial"/>
                <w:sz w:val="14"/>
                <w:szCs w:val="14"/>
                <w:color w:val="auto"/>
              </w:rPr>
              <w:t>Unrealized loss on pension benefit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20"/>
                <w:szCs w:val="20"/>
                <w:color w:val="auto"/>
              </w:rPr>
            </w:pPr>
            <w:r>
              <w:rPr>
                <w:rFonts w:ascii="Arial" w:cs="Arial" w:eastAsia="Arial" w:hAnsi="Arial"/>
                <w:sz w:val="14"/>
                <w:szCs w:val="14"/>
                <w:color w:val="auto"/>
              </w:rPr>
              <w:t>obligation, net of tax</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June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592,315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225,117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(583,490)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66" w:right="35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92075</wp:posOffset>
            </wp:positionV>
            <wp:extent cx="22542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12,852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177,808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(185,715)</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162,428</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42,122</w:t>
            </w:r>
          </w:p>
        </w:tc>
        <w:tc>
          <w:tcPr>
            <w:tcW w:w="0" w:type="dxa"/>
            <w:vAlign w:val="bottom"/>
          </w:tcPr>
          <w:p>
            <w:pPr>
              <w:spacing w:after="0"/>
              <w:rPr>
                <w:sz w:val="1"/>
                <w:szCs w:val="1"/>
                <w:color w:val="auto"/>
              </w:rPr>
            </w:pPr>
          </w:p>
        </w:tc>
      </w:tr>
      <w:tr>
        <w:trPr>
          <w:trHeight w:val="215"/>
        </w:trPr>
        <w:tc>
          <w:tcPr>
            <w:tcW w:w="754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114,912</w:t>
            </w:r>
          </w:p>
        </w:tc>
        <w:tc>
          <w:tcPr>
            <w:tcW w:w="0" w:type="dxa"/>
            <w:vAlign w:val="bottom"/>
          </w:tcPr>
          <w:p>
            <w:pPr>
              <w:spacing w:after="0"/>
              <w:rPr>
                <w:sz w:val="1"/>
                <w:szCs w:val="1"/>
                <w:color w:val="auto"/>
              </w:rPr>
            </w:pPr>
          </w:p>
        </w:tc>
      </w:tr>
      <w:tr>
        <w:trPr>
          <w:trHeight w:val="215"/>
        </w:trPr>
        <w:tc>
          <w:tcPr>
            <w:tcW w:w="7540" w:type="dxa"/>
            <w:vAlign w:val="bottom"/>
          </w:tcPr>
          <w:p>
            <w:pPr>
              <w:ind w:left="220"/>
              <w:spacing w:after="0"/>
              <w:rPr>
                <w:sz w:val="20"/>
                <w:szCs w:val="20"/>
                <w:color w:val="auto"/>
              </w:rPr>
            </w:pPr>
            <w:r>
              <w:rPr>
                <w:rFonts w:ascii="Arial" w:cs="Arial" w:eastAsia="Arial" w:hAnsi="Arial"/>
                <w:sz w:val="16"/>
                <w:szCs w:val="16"/>
                <w:color w:val="auto"/>
              </w:rPr>
              <w:t>Loss (gain) on early extinguishment of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(6,764)</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(gain) on derivatives not designated as hedging instruments included in net income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34,393</w:t>
            </w:r>
          </w:p>
        </w:tc>
        <w:tc>
          <w:tcPr>
            <w:tcW w:w="0" w:type="dxa"/>
            <w:vAlign w:val="bottom"/>
          </w:tcPr>
          <w:p>
            <w:pPr>
              <w:spacing w:after="0"/>
              <w:rPr>
                <w:sz w:val="1"/>
                <w:szCs w:val="1"/>
                <w:color w:val="auto"/>
              </w:rPr>
            </w:pPr>
          </w:p>
        </w:tc>
      </w:tr>
      <w:tr>
        <w:trPr>
          <w:trHeight w:val="162"/>
        </w:trPr>
        <w:tc>
          <w:tcPr>
            <w:tcW w:w="7540" w:type="dxa"/>
            <w:vAlign w:val="bottom"/>
          </w:tcPr>
          <w:p>
            <w:pPr>
              <w:ind w:left="220"/>
              <w:spacing w:after="0" w:line="162" w:lineRule="exact"/>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(25,104)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(11,988)</w:t>
            </w:r>
          </w:p>
        </w:tc>
        <w:tc>
          <w:tcPr>
            <w:tcW w:w="0" w:type="dxa"/>
            <w:vAlign w:val="bottom"/>
          </w:tcPr>
          <w:p>
            <w:pPr>
              <w:spacing w:after="0"/>
              <w:rPr>
                <w:sz w:val="1"/>
                <w:szCs w:val="1"/>
                <w:color w:val="auto"/>
              </w:rPr>
            </w:pPr>
          </w:p>
        </w:tc>
      </w:tr>
      <w:tr>
        <w:trPr>
          <w:trHeight w:val="215"/>
        </w:trPr>
        <w:tc>
          <w:tcPr>
            <w:tcW w:w="7540" w:type="dxa"/>
            <w:vAlign w:val="bottom"/>
          </w:tcPr>
          <w:p>
            <w:pPr>
              <w:ind w:left="220"/>
              <w:spacing w:after="0"/>
              <w:rPr>
                <w:sz w:val="20"/>
                <w:szCs w:val="20"/>
                <w:color w:val="auto"/>
              </w:rPr>
            </w:pPr>
            <w:r>
              <w:rPr>
                <w:rFonts w:ascii="Arial" w:cs="Arial" w:eastAsia="Arial" w:hAnsi="Arial"/>
                <w:sz w:val="16"/>
                <w:szCs w:val="16"/>
                <w:color w:val="auto"/>
              </w:rPr>
              <w:t>currency</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13,235</w:t>
            </w:r>
          </w:p>
        </w:tc>
        <w:tc>
          <w:tcPr>
            <w:tcW w:w="0" w:type="dxa"/>
            <w:vAlign w:val="bottom"/>
          </w:tcPr>
          <w:p>
            <w:pPr>
              <w:spacing w:after="0"/>
              <w:rPr>
                <w:sz w:val="1"/>
                <w:szCs w:val="1"/>
                <w:color w:val="auto"/>
              </w:rPr>
            </w:pPr>
          </w:p>
        </w:tc>
      </w:tr>
      <w:tr>
        <w:trPr>
          <w:trHeight w:val="215"/>
        </w:trPr>
        <w:tc>
          <w:tcPr>
            <w:tcW w:w="75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15"/>
        </w:trPr>
        <w:tc>
          <w:tcPr>
            <w:tcW w:w="754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11,352</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5"/>
        </w:trPr>
        <w:tc>
          <w:tcPr>
            <w:tcW w:w="75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(28,872)</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(17,948)</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130,289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(53,772)</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(57,787)</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4,659</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92,110</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settlement of derivatives designated as hedging instruments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(103,725)</w:t>
            </w:r>
          </w:p>
        </w:tc>
        <w:tc>
          <w:tcPr>
            <w:tcW w:w="0" w:type="dxa"/>
            <w:vAlign w:val="bottom"/>
          </w:tcPr>
          <w:p>
            <w:pPr>
              <w:spacing w:after="0"/>
              <w:rPr>
                <w:sz w:val="1"/>
                <w:szCs w:val="1"/>
                <w:color w:val="auto"/>
              </w:rPr>
            </w:pPr>
          </w:p>
        </w:tc>
      </w:tr>
      <w:tr>
        <w:trPr>
          <w:trHeight w:val="196"/>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7.375% Senior Notes due 2032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Payments for early redemption or purchase of 7.0% Senior Notes due 2026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(522,135)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(44,994)</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48,264</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(61,310)</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Payments of finance lease obligations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(8,290)</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(95,567)</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(77,775)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(135,921)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(222,552)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(177,106)</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209"/>
        </w:trPr>
        <w:tc>
          <w:tcPr>
            <w:tcW w:w="75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(146,740)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277,053</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100"/>
          </w:cols>
          <w:pgMar w:left="400" w:top="1093" w:right="3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114935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93" w:right="399" w:bottom="1440" w:gutter="0" w:footer="0" w:header="0"/>
          <w:type w:val="continuous"/>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2023</w:t>
            </w:r>
          </w:p>
        </w:tc>
      </w:tr>
      <w:tr>
        <w:trPr>
          <w:trHeight w:val="19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110,138</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132,272</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113,952</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12,368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14,169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11,451</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33,288</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49,414</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31,184</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3,312</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4,562</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20,303</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11,387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9,991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9,403</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185</w:t>
            </w:r>
          </w:p>
        </w:tc>
      </w:tr>
    </w:tbl>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1093" w:right="4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36" w:lineRule="exact"/>
        <w:rPr>
          <w:sz w:val="20"/>
          <w:szCs w:val="20"/>
          <w:color w:val="auto"/>
        </w:rPr>
      </w:pPr>
    </w:p>
    <w:p>
      <w:pPr>
        <w:ind w:right="7260" w:firstLine="8"/>
        <w:spacing w:after="0" w:line="508" w:lineRule="auto"/>
        <w:tabs>
          <w:tab w:leader="none" w:pos="19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$569 and $563 as of June 30, 2025 and 2024, respectively, and are included in other assets in the accompanying consolidated balance sheets.</w:t>
      </w:r>
    </w:p>
    <w:p>
      <w:pPr>
        <w:spacing w:after="0" w:line="163"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8"/>
          <w:szCs w:val="18"/>
          <w:color w:val="auto"/>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times, 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 term notes. We invest in securities with a remaining maturity of two years or less. As the investments are classified as held-to-maturity, they are recorded at amortized cost and interest income is recorded as it is earned within interest expense, net.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ind w:right="20" w:firstLine="648"/>
        <w:spacing w:after="0" w:line="262" w:lineRule="auto"/>
        <w:rPr>
          <w:sz w:val="20"/>
          <w:szCs w:val="20"/>
          <w:color w:val="auto"/>
        </w:rPr>
      </w:pPr>
      <w:r>
        <w:rPr>
          <w:rFonts w:ascii="Arial" w:cs="Arial" w:eastAsia="Arial" w:hAnsi="Arial"/>
          <w:sz w:val="18"/>
          <w:szCs w:val="18"/>
          <w:color w:val="auto"/>
        </w:rPr>
        <w:t>We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any period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8"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products are included in cost of revenues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Website Development Costs</w:t>
      </w:r>
    </w:p>
    <w:p>
      <w:pPr>
        <w:spacing w:after="0" w:line="2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capitalize eligible salaries and payroll-related costs of employees and third-party consultants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69"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Amortization of previously capitalized amounts in the years ended years ended June 30, 2025, 2024, and 2023 was $62,775</w:t>
      </w:r>
      <w:r>
        <w:rPr>
          <w:rFonts w:ascii="Arial" w:cs="Arial" w:eastAsia="Arial" w:hAnsi="Arial"/>
          <w:sz w:val="18"/>
          <w:szCs w:val="18"/>
          <w:i w:val="1"/>
          <w:iCs w:val="1"/>
          <w:color w:val="auto"/>
        </w:rPr>
        <w:t>,</w:t>
      </w:r>
      <w:r>
        <w:rPr>
          <w:rFonts w:ascii="Arial" w:cs="Arial" w:eastAsia="Arial" w:hAnsi="Arial"/>
          <w:sz w:val="18"/>
          <w:szCs w:val="18"/>
          <w:color w:val="auto"/>
        </w:rPr>
        <w:t xml:space="preserve"> $62,590, and $57,086, respectively, resulting in accumulated amortization of $345,692 and $286,605 at June 30, 2025 and 2024,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right="160" w:firstLine="648"/>
        <w:spacing w:after="0" w:line="268"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is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jc w:val="both"/>
        <w:ind w:right="600" w:firstLine="648"/>
        <w:spacing w:after="0" w:line="268"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1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98" w:lineRule="exact"/>
        <w:rPr>
          <w:sz w:val="20"/>
          <w:szCs w:val="20"/>
          <w:color w:val="auto"/>
        </w:rPr>
      </w:pPr>
    </w:p>
    <w:p>
      <w:pPr>
        <w:ind w:right="200" w:firstLine="200"/>
        <w:spacing w:after="0" w:line="256"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69" w:lineRule="exact"/>
        <w:rPr>
          <w:sz w:val="20"/>
          <w:szCs w:val="20"/>
          <w:color w:val="auto"/>
        </w:rPr>
      </w:pPr>
    </w:p>
    <w:p>
      <w:pPr>
        <w:ind w:firstLine="197"/>
        <w:spacing w:after="0" w:line="287"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0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w:t>
      </w:r>
    </w:p>
    <w:p>
      <w:pPr>
        <w:spacing w:after="0" w:line="20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recognized no goodwill impairment charges during the years ended June 30, 2025 and 2024. For the year ended June 30, 2023, we recognized a goodwill impairment charge of $5,609. The charge is a partial impairment of the goodwill for one of our reporting units within our All Other Businesses reportable segment. Refer to Note 7 for additional details regarding the annual goodwill impairment test.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Interests</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 noncontrolling interests are presented as liability-based financial instruments and are re-measured on a recurring basis to the expected redemption value.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Debt Issuance Costs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an amendment reduces the committed capacity under the revolving loans, we expense a portion of any unamortized fees on a pro-rata basis in proportion to the decrease in the committed capacity.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and ineffective portion of the change in the fair value of the hedging derivative is initially recorded in accumulated other comprehensive loss. The portion of gain or loss on the derivative instrument previously recorded in accumulated other comprehensive loss remains in accumulated other comprehensive loss until the forecasted transaction is recognized in earnings. For derivatives designated as cash flow hedges, we present the settlement amount of these contracts within cash from operating activities in our consolidated statement of cash flows, if the hedged item continues after contract settlement.</w:t>
      </w:r>
    </w:p>
    <w:p>
      <w:pPr>
        <w:spacing w:after="0" w:line="21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as well as intercompany loans. In hedging the currency exposure of a net investment in a foreign operation, the effective and ineffective portion of gains and losses on the hedging instruments is recognized in accumulated other comprehensive loss as part of currency translation adjustment. The portion of gain or loss on the derivative instrument previously recorded in accumulated other comprehensive loss remains in accumulated other comprehensive loss until we reduce our investment in the hedged foreign operation through a sale or substantial liquidation.</w:t>
      </w:r>
    </w:p>
    <w:p>
      <w:pPr>
        <w:spacing w:after="0" w:line="209"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(expense) income, net.</w:t>
      </w:r>
    </w:p>
    <w:p>
      <w:pPr>
        <w:spacing w:after="0" w:line="198" w:lineRule="exact"/>
        <w:rPr>
          <w:sz w:val="20"/>
          <w:szCs w:val="20"/>
          <w:color w:val="auto"/>
        </w:rPr>
      </w:pPr>
    </w:p>
    <w:p>
      <w:pPr>
        <w:ind w:right="400" w:firstLine="648"/>
        <w:spacing w:after="0" w:line="291" w:lineRule="auto"/>
        <w:rPr>
          <w:sz w:val="20"/>
          <w:szCs w:val="20"/>
          <w:color w:val="auto"/>
        </w:rPr>
      </w:pPr>
      <w:r>
        <w:rPr>
          <w:rFonts w:ascii="Arial" w:cs="Arial" w:eastAsia="Arial" w:hAnsi="Arial"/>
          <w:sz w:val="17"/>
          <w:szCs w:val="17"/>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and Treasury Shares</w:t>
      </w:r>
    </w:p>
    <w:p>
      <w:pPr>
        <w:spacing w:after="0" w:line="25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Our various share-based compensation programs entitle recipients to receive issuances of Cimpress ordinary shares upon the vesting of awards which meet applicable performance criteria. We reissue treasury shares as part of our share-based compensation programs and as consideration for some of our acquisition transactions. Upon issuance of treasury shares in conjunction with these programs, we determined the cost using the average cost method. We issue new ordinary shares to meet the needs of our share-based compensation programs.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240" w:firstLine="648"/>
        <w:spacing w:after="0" w:line="262" w:lineRule="auto"/>
        <w:rPr>
          <w:sz w:val="20"/>
          <w:szCs w:val="20"/>
          <w:color w:val="auto"/>
        </w:rPr>
      </w:pPr>
      <w:r>
        <w:rPr>
          <w:rFonts w:ascii="Arial" w:cs="Arial" w:eastAsia="Arial" w:hAnsi="Arial"/>
          <w:sz w:val="18"/>
          <w:szCs w:val="18"/>
          <w:color w:val="auto"/>
        </w:rPr>
        <w:t>We retire ordinary shares from time to time. Upon retirement, these shares become classified as authorized and unissued shares. The retirement of ordinary shares are accounted for as a reduction to the nominal value of our ordinary shares outstanding and additional paid in capital in proportion to the amount of total shares outstanding, with the remaining repurchase value recognized as a reduction to retained 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 -owner sources. Comprehensive loss is composed of net loss, unrealized gains and losses on derivatives, unrealized gains and losses on pension benefit obligation, and cumulative foreign currency translation adjustments, which are included in the accompanying consolidated statements of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We bifurcate and separately account for a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10 for additional details.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Subsidiary Equity Option Awards</w:t>
      </w:r>
    </w:p>
    <w:p>
      <w:pPr>
        <w:spacing w:after="0" w:line="25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fiscal year 2025, we granted subsidiary-level option awards, which provides the founder group of one of our businesses with the option to purchase a 5.25% minority equity interest in each of the principal businesses that are included in our PrintBrothers reportable segment. The option awards have an expiration date of January 15, 2026, and upon exercise the underlying shares are subject to a ten-year lockup period, while the holders are subjected to non-compete provisions over the period in which they are shareholders, plus an additional two years. The fair value of the share option is determined as of the grant date using the Black-Scholes valuation model and the fair value is recognized ratably as expense over the non-compete period, as the provision is deemed to be substantive. The expense associated with the subsidiary option is currently recognized as a liability within other liabilities on our consolidated balance sheets and upon exercise of the option, the related balance will be reclassified to noncontrolling interests.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material expense was recognized for any period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generate revenue primarily from the sale and shipment of physical printed products. We also generate revenue, to a much lesser extent (and primarily in our Vista business) from digital services, website design and hosting, professional design services,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 For design service arrangements, we recognize revenue when the services are complete. A portion of this revenue relates to design contests in which we have determined that we are the principal in the arrangement as we satisfy our contractual performance obligation to provide the customer with the benefit of our platform and network of designers.</w:t>
      </w:r>
    </w:p>
    <w:p>
      <w:pPr>
        <w:spacing w:after="0" w:line="18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62" w:name="page63"/>
    <w:bookmarkEnd w:id="62"/>
    <w:p>
      <w:pPr>
        <w:ind w:right="440"/>
        <w:spacing w:after="0" w:line="278" w:lineRule="auto"/>
        <w:rPr>
          <w:sz w:val="20"/>
          <w:szCs w:val="20"/>
          <w:color w:val="auto"/>
        </w:rPr>
      </w:pPr>
      <w:r>
        <w:rPr>
          <w:rFonts w:ascii="Arial" w:cs="Arial" w:eastAsia="Arial" w:hAnsi="Arial"/>
          <w:sz w:val="17"/>
          <w:szCs w:val="17"/>
          <w:color w:val="auto"/>
        </w:rPr>
        <w:t>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 We record revenue net of taxes collected from customers that are remitted to governmental authorities.</w:t>
      </w:r>
    </w:p>
    <w:p>
      <w:pPr>
        <w:spacing w:after="0" w:line="191"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98"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occurs shortly after cash payment and we expect to recognize the majority of our deferred revenue balance as revenue within three months subsequent to our fiscal year end.</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206" w:lineRule="exact"/>
        <w:rPr>
          <w:sz w:val="20"/>
          <w:szCs w:val="20"/>
          <w:color w:val="auto"/>
        </w:rPr>
      </w:pPr>
    </w:p>
    <w:p>
      <w:pPr>
        <w:ind w:right="300" w:firstLine="648"/>
        <w:spacing w:after="0" w:line="287" w:lineRule="auto"/>
        <w:rPr>
          <w:sz w:val="20"/>
          <w:szCs w:val="20"/>
          <w:color w:val="auto"/>
        </w:rPr>
      </w:pPr>
      <w:r>
        <w:rPr>
          <w:rFonts w:ascii="Arial" w:cs="Arial" w:eastAsia="Arial" w:hAnsi="Arial"/>
          <w:sz w:val="18"/>
          <w:szCs w:val="18"/>
          <w:color w:val="auto"/>
        </w:rPr>
        <w:t>We have elected to expense incremental direct costs as incurred, which primarily includes sales commissions, since our contract periods generally are less than one year and the related performance obligations are satisfied within a short period of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52"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jurisdictions in which there are statutorily required minimum benefits for involuntary terminations, severance benefits are documented in an employee manual or labor contract, or are consistent with prior restructuring plan benefits, we evaluate these benefits as ongoing benefit arrangements. We recognize the liability for these arrangements when it is probable that the employee would be entitled to the benefits and the amounts can be reasonably estimated. The expense timing generally occurs when management has committed to and approved the restructuring plan.</w:t>
      </w:r>
    </w:p>
    <w:p>
      <w:pPr>
        <w:spacing w:after="0" w:line="20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Involuntary termination benefits that are in excess of statutory minimum requirements and prior restructuring plan benefits are recognized as termination benefits and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advertising costs are primarily expensed as incurred and included in marketing and selling expense. Advertising expense for the years ended June 30, 2025, 2024, and 2023 was $446,343, $436,494, and $417,886, respectively, which consisted of external costs related to customer acquisition and retention marketing campaigns.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2025, 2024, and 2023 was $65,003, $62,655, and $58,819, respectively, which consisted of costs related to enhancing our manufacturing engineering and technology capabilities.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198"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may reduce our effective tax rate if recognized. Interest and, if applicable, penalties related to unrecognized tax benefits are recorded in the provision for income taxes. Stranded income tax effects in accumulated other comprehensive loss are released on an item-by-item basis based on when the applicable derivative is recognized in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(expense) income, net in our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table summarizes the components of </w:t>
      </w:r>
      <w:r>
        <w:rPr>
          <w:rFonts w:ascii="Arial" w:cs="Arial" w:eastAsia="Arial" w:hAnsi="Arial"/>
          <w:sz w:val="16"/>
          <w:szCs w:val="16"/>
          <w:color w:val="auto"/>
        </w:rPr>
        <w:t>other (expense) income, net</w:t>
      </w:r>
      <w:r>
        <w:rPr>
          <w:rFonts w:ascii="Arial" w:cs="Arial" w:eastAsia="Arial" w:hAnsi="Arial"/>
          <w:sz w:val="18"/>
          <w:szCs w:val="18"/>
          <w:color w:val="auto"/>
        </w:rPr>
        <w: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2023</w:t>
            </w: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gains on derivatives not designated as hedging instruments (1)</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(35,027)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Currency-related gains (losses), net (2)</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21,090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16,350</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9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(13,582)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1,583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18,498</w:t>
            </w:r>
          </w:p>
        </w:tc>
      </w:tr>
      <w:tr>
        <w:trPr>
          <w:trHeight w:val="20"/>
        </w:trPr>
        <w:tc>
          <w:tcPr>
            <w:tcW w:w="6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2" w:lineRule="exact"/>
        <w:rPr>
          <w:sz w:val="20"/>
          <w:szCs w:val="20"/>
          <w:color w:val="auto"/>
        </w:rPr>
      </w:pPr>
    </w:p>
    <w:p>
      <w:pPr>
        <w:ind w:left="260" w:right="40" w:hanging="252"/>
        <w:spacing w:after="0" w:line="273" w:lineRule="auto"/>
        <w:tabs>
          <w:tab w:leader="none" w:pos="2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as well as the ineffective portion of certain interest rate swap contracts that have been de-designated from hedge accounting. For contracts not designated as hedging instruments, we realized gains (losses) of $2,706, $(1,078) and $39,133, respectively, for the fiscal years ended June 30, 2025, 2024 and 2023. Refer to Note 4 for additional details relating to our derivative contracts.</w:t>
      </w:r>
    </w:p>
    <w:p>
      <w:pPr>
        <w:spacing w:after="0" w:line="220" w:lineRule="exact"/>
        <w:rPr>
          <w:rFonts w:ascii="Arial" w:cs="Arial" w:eastAsia="Arial" w:hAnsi="Arial"/>
          <w:sz w:val="14"/>
          <w:szCs w:val="14"/>
          <w:color w:val="auto"/>
        </w:rPr>
      </w:pPr>
    </w:p>
    <w:p>
      <w:pPr>
        <w:ind w:left="260" w:right="40" w:hanging="252"/>
        <w:spacing w:after="0" w:line="283" w:lineRule="auto"/>
        <w:tabs>
          <w:tab w:leader="none" w:pos="2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Currency-related gains (losses), net primarily relates to significant non-functional currency intercompany financing relationships that we may change at times and are subject to currency exchange rate volatility. In addition, during all fiscal years presented, we had certain cross-currency swaps designated as cash flow hedges, which hedge the remeasurement of certain intercompany loans; refer to Note 4 for additional details relating to these cash flow hedges.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Cimpress plc</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net income (loss) per share attributable to Cimpress plc is computed by dividing net income (loss)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ind w:right="160"/>
        <w:spacing w:after="0" w:line="259" w:lineRule="auto"/>
        <w:rPr>
          <w:sz w:val="20"/>
          <w:szCs w:val="20"/>
          <w:color w:val="auto"/>
        </w:rPr>
      </w:pPr>
      <w:r>
        <w:rPr>
          <w:rFonts w:ascii="Arial" w:cs="Arial" w:eastAsia="Arial" w:hAnsi="Arial"/>
          <w:sz w:val="18"/>
          <w:szCs w:val="18"/>
          <w:color w:val="auto"/>
        </w:rPr>
        <w:t>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Year Ended June 30,</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24,923,797</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26,151,968</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26,252,860</w:t>
            </w:r>
          </w:p>
        </w:tc>
        <w:tc>
          <w:tcPr>
            <w:tcW w:w="0" w:type="dxa"/>
            <w:vAlign w:val="bottom"/>
          </w:tcPr>
          <w:p>
            <w:pPr>
              <w:spacing w:after="0"/>
              <w:rPr>
                <w:sz w:val="1"/>
                <w:szCs w:val="1"/>
                <w:color w:val="auto"/>
              </w:rPr>
            </w:pPr>
          </w:p>
        </w:tc>
      </w:tr>
      <w:tr>
        <w:trPr>
          <w:trHeight w:val="162"/>
        </w:trPr>
        <w:tc>
          <w:tcPr>
            <w:tcW w:w="644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issuable upon exercise/vesting of outstanding share</w:t>
            </w: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713,068</w:t>
            </w:r>
          </w:p>
        </w:tc>
        <w:tc>
          <w:tcPr>
            <w:tcW w:w="80" w:type="dxa"/>
            <w:vAlign w:val="bottom"/>
          </w:tcPr>
          <w:p>
            <w:pPr>
              <w:spacing w:after="0"/>
              <w:rPr>
                <w:sz w:val="14"/>
                <w:szCs w:val="14"/>
                <w:color w:val="auto"/>
              </w:rPr>
            </w:pPr>
          </w:p>
        </w:tc>
        <w:tc>
          <w:tcPr>
            <w:tcW w:w="1540" w:type="dxa"/>
            <w:vAlign w:val="bottom"/>
            <w:vMerge w:val="restart"/>
          </w:tcPr>
          <w:p>
            <w:pPr>
              <w:jc w:val="right"/>
              <w:ind w:right="5"/>
              <w:spacing w:after="0"/>
              <w:rPr>
                <w:sz w:val="20"/>
                <w:szCs w:val="20"/>
                <w:color w:val="auto"/>
              </w:rPr>
            </w:pPr>
            <w:r>
              <w:rPr>
                <w:rFonts w:ascii="Arial" w:cs="Arial" w:eastAsia="Arial" w:hAnsi="Arial"/>
                <w:sz w:val="16"/>
                <w:szCs w:val="16"/>
                <w:color w:val="auto"/>
              </w:rPr>
              <w:t>852,719</w:t>
            </w:r>
          </w:p>
        </w:tc>
        <w:tc>
          <w:tcPr>
            <w:tcW w:w="80" w:type="dxa"/>
            <w:vAlign w:val="bottom"/>
          </w:tcPr>
          <w:p>
            <w:pPr>
              <w:spacing w:after="0"/>
              <w:rPr>
                <w:sz w:val="14"/>
                <w:szCs w:val="14"/>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options/RSUs/PSUs/warrants (1)</w:t>
            </w: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Shares used in computing diluted net income (loss) per share attributable to Cimpress</w:t>
            </w:r>
          </w:p>
        </w:tc>
        <w:tc>
          <w:tcPr>
            <w:tcW w:w="15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25,636,865</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27,004,687</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26,252,860</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plc</w:t>
            </w: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 average anti-dilutive shares excluded from diluted net income (loss) per share</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vMerge w:val="continue"/>
          </w:tcPr>
          <w:p>
            <w:pPr>
              <w:spacing w:after="0"/>
              <w:rPr>
                <w:sz w:val="9"/>
                <w:szCs w:val="9"/>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1,001,612</w:t>
            </w:r>
          </w:p>
        </w:tc>
        <w:tc>
          <w:tcPr>
            <w:tcW w:w="80" w:type="dxa"/>
            <w:vAlign w:val="bottom"/>
          </w:tcPr>
          <w:p>
            <w:pPr>
              <w:spacing w:after="0"/>
              <w:rPr>
                <w:sz w:val="9"/>
                <w:szCs w:val="9"/>
                <w:color w:val="auto"/>
              </w:rPr>
            </w:pPr>
          </w:p>
        </w:tc>
        <w:tc>
          <w:tcPr>
            <w:tcW w:w="1540" w:type="dxa"/>
            <w:vAlign w:val="bottom"/>
            <w:vMerge w:val="restart"/>
          </w:tcPr>
          <w:p>
            <w:pPr>
              <w:jc w:val="right"/>
              <w:ind w:right="5"/>
              <w:spacing w:after="0"/>
              <w:rPr>
                <w:sz w:val="20"/>
                <w:szCs w:val="20"/>
                <w:color w:val="auto"/>
              </w:rPr>
            </w:pPr>
            <w:r>
              <w:rPr>
                <w:rFonts w:ascii="Arial" w:cs="Arial" w:eastAsia="Arial" w:hAnsi="Arial"/>
                <w:sz w:val="16"/>
                <w:szCs w:val="16"/>
                <w:color w:val="auto"/>
              </w:rPr>
              <w:t>96,207</w:t>
            </w:r>
          </w:p>
        </w:tc>
        <w:tc>
          <w:tcPr>
            <w:tcW w:w="80" w:type="dxa"/>
            <w:vAlign w:val="bottom"/>
          </w:tcPr>
          <w:p>
            <w:pPr>
              <w:spacing w:after="0"/>
              <w:rPr>
                <w:sz w:val="9"/>
                <w:szCs w:val="9"/>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2,834,351</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attributable to Cimpress plc (1)(2)</w:t>
            </w: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09" w:lineRule="exact"/>
        <w:rPr>
          <w:sz w:val="20"/>
          <w:szCs w:val="20"/>
          <w:color w:val="auto"/>
        </w:rPr>
      </w:pPr>
    </w:p>
    <w:p>
      <w:pPr>
        <w:jc w:val="both"/>
        <w:ind w:left="260" w:right="100" w:hanging="252"/>
        <w:spacing w:after="0" w:line="283"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income (loss) per share as it is anti-dilutive. Any equity awards that have a performance condition are not included in dilutive or anti-dilutive shares until the performance condition would have been met as of the end of the reporting period.</w:t>
      </w:r>
    </w:p>
    <w:p>
      <w:pPr>
        <w:spacing w:after="0" w:line="37" w:lineRule="exact"/>
        <w:rPr>
          <w:rFonts w:ascii="Arial" w:cs="Arial" w:eastAsia="Arial" w:hAnsi="Arial"/>
          <w:sz w:val="14"/>
          <w:szCs w:val="14"/>
          <w:color w:val="auto"/>
        </w:rPr>
      </w:pPr>
    </w:p>
    <w:p>
      <w:pPr>
        <w:ind w:left="260" w:hanging="252"/>
        <w:spacing w:after="0" w:line="276"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that have a potentially dilutive impact on our weighted average shares outstanding. For the years ended June 30, 2025 and 2024, the average market price of our ordinary shares was higher than the strike price of the warrants; therefore, the weighted average dilutive effect of the warrants were 147,329 and 220,668, respectively. For the year ended June 30, 2023, the average share price was below the strike price for the full fiscal year; therefore, the total 1,055,377 outstanding warrants were considered anti-dilutive.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The fair value of RSUs is determined based on the quoted price of our ordinary shares on the date of the grant. Such value is recognized ratably as expense over the requisite service period, or on an accelerated method for awards with a performance condition.</w:t>
      </w:r>
    </w:p>
    <w:p>
      <w:pPr>
        <w:spacing w:after="0" w:line="20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issued PSUs that include a service condition as well as a market or performance condition, and we calculate the fair value at grant, which is fixed throughout the vesting period. For PSUs that include a market condition, the fair value is determined using a Monte Carlo simulation valuation model and the expense recognized over the requisite service period will not be reversed if the market condition is not achieved. For PSUs that include a performance condition, compensation cost is recorded if it is probable that the performance condition will be achieved. The fair value is determined based on the quoted price of our ordinary shares on the date of the grant and our estimated attainment percentage of the related performance condition. The related expense is recognized using the accelerated expense attribution method over the requisite service period for each separately vesting portion of the award. Until the performance condition is measured, changes in the estimated attainment percentages may cause expense volatility since a cumulative expense adjustment will be recognized in the period a change occurs.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Sabbatical Leave</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2025 and 2024. We do not have any customers that accounted for greater than 10% of our revenue for the years ended June 30, 2025, 2024, and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20" w:firstLine="648"/>
        <w:spacing w:after="0" w:line="287"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w:t>
      </w:r>
    </w:p>
    <w:p>
      <w:pPr>
        <w:spacing w:after="0" w:line="206"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spacing w:after="0" w:line="166"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w:t>
      </w:r>
    </w:p>
    <w:p>
      <w:pPr>
        <w:spacing w:after="0" w:line="203"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 maintenance payments for most real estate leases, which are determined based on the costs incurred by the lessor. We also make variable lease payments for certain print equipment leases that are determined based on production volumes.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we have leases in which we are the lessees and we classify the leases as finance leases which have been subleased under similar terms, resulting in the sublease classification as direct financing leases. For direct financing leases, we recognize a sublease receivable within prepaid expenses and other current assets and other assets in the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ind w:right="80" w:firstLine="648"/>
        <w:spacing w:after="0" w:line="262" w:lineRule="auto"/>
        <w:rPr>
          <w:sz w:val="20"/>
          <w:szCs w:val="20"/>
          <w:color w:val="auto"/>
        </w:rPr>
      </w:pPr>
      <w:r>
        <w:rPr>
          <w:rFonts w:ascii="Arial" w:cs="Arial" w:eastAsia="Arial" w:hAnsi="Arial"/>
          <w:sz w:val="18"/>
          <w:szCs w:val="18"/>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As required, we've adopted the standard in the current fiscal year and incorporated all expanded disclosure requirements in Note 14.</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to be Adopted</w:t>
      </w:r>
    </w:p>
    <w:p>
      <w:pPr>
        <w:spacing w:after="0" w:line="16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did not early adopt this standard.</w:t>
      </w:r>
    </w:p>
    <w:p>
      <w:pPr>
        <w:spacing w:after="0" w:line="12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Income—Expense Disaggregation Disclosures (Subtopic 220-40): Disaggregation of Income Statement Expenses" (ASU 2024-03), which provides authoritative guidance around the expanded disclosure requirements for disaggregation of each relevant expense caption on the income statement within the footnotes as well as a qualitative description of the amounts remaining in these relevant expense captions that are not separately disaggregated quantitatively in order to improve transparency and provide more detailed insight into the nature of expenses reported. The expanded disclosure requirements will be effective starting with our annual report for the fiscal year ending June 30, 2027. Early adoption is permitted, but we do not intend to early adopt this standard.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6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660" w:right="24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in markets that are not active and inputs that are observable for the asset or liability, either directly or indirectly, for substantially the full term of the financial instrument.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17" w:lineRule="exact"/>
        <w:rPr>
          <w:sz w:val="20"/>
          <w:szCs w:val="20"/>
          <w:color w:val="auto"/>
        </w:rPr>
      </w:pPr>
    </w:p>
    <w:p>
      <w:pPr>
        <w:jc w:val="both"/>
        <w:ind w:right="200" w:firstLine="648"/>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center"/>
              <w:ind w:right="14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198"/>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10,688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10,688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(70,312)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(70,312)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7"/>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June 30, 2024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center"/>
              <w:ind w:right="14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0"/>
                <w:szCs w:val="10"/>
                <w:color w:val="auto"/>
              </w:rPr>
            </w:pPr>
          </w:p>
        </w:tc>
        <w:tc>
          <w:tcPr>
            <w:tcW w:w="14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6"/>
                <w:szCs w:val="16"/>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0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18,830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23,652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60" w:firstLine="648"/>
        <w:spacing w:after="0" w:line="287" w:lineRule="auto"/>
        <w:rPr>
          <w:sz w:val="20"/>
          <w:szCs w:val="20"/>
          <w:color w:val="auto"/>
        </w:rPr>
      </w:pPr>
      <w:r>
        <w:rPr>
          <w:rFonts w:ascii="Arial" w:cs="Arial" w:eastAsia="Arial" w:hAnsi="Arial"/>
          <w:sz w:val="18"/>
          <w:szCs w:val="18"/>
          <w:color w:val="auto"/>
        </w:rPr>
        <w:t>During the years ended June 30, 2025 and 2024, there were no significant transfers in or out of Level 1, Level 2, and Level 3 classifications.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6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2025,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sectPr>
      </w:pPr>
    </w:p>
    <w:bookmarkStart w:id="68" w:name="page69"/>
    <w:bookmarkEnd w:id="68"/>
    <w:p>
      <w:pPr>
        <w:ind w:right="100" w:firstLine="648"/>
        <w:spacing w:after="0" w:line="259" w:lineRule="auto"/>
        <w:rPr>
          <w:sz w:val="20"/>
          <w:szCs w:val="20"/>
          <w:color w:val="auto"/>
        </w:rPr>
      </w:pPr>
      <w:r>
        <w:rPr>
          <w:rFonts w:ascii="Arial" w:cs="Arial" w:eastAsia="Arial" w:hAnsi="Arial"/>
          <w:sz w:val="18"/>
          <w:szCs w:val="18"/>
          <w:color w:val="auto"/>
        </w:rPr>
        <w:t>Our held-to-maturity marketable securities are recognized at an amortized cost. As of June 30, 2025, we had no held-to-maturity securities. The following is a summary of the net carrying amount, unrealized losses, and fair value of held-to-maturity securities by type and contractual maturity as of June 30, 2024. The fair value was determined using quoted prices for identical assets in active markets, which fall into Level 1 under the fair value hierarchy. We did not record an allowance for credit losses and impairments for these marketable securities during any period presented.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June 30, 2024</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9"/>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20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15"/>
        </w:trPr>
        <w:tc>
          <w:tcPr>
            <w:tcW w:w="67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1,499</w:t>
            </w: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2,996</w:t>
            </w: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4,495</w:t>
            </w:r>
          </w:p>
        </w:tc>
      </w:tr>
      <w:tr>
        <w:trPr>
          <w:trHeight w:val="21"/>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As of June 30, 2025 and June 30, 2024, the carrying amounts of our cash and cash equivalents, accounts receivable, accounts payable, and other current liabilities approximated their estimated fair values. As of June 30, 2025 and June 30, 2024, the carrying value of our debt, excluding debt issuance costs and debt premiums and discounts, was $1,604,513 and $1,616,607, respectively, and the fair value was 1,582,599 and $ 1,617,364, respectively. Our debt at June 30, 2025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21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The estimated fair value of assets and liabilities disclosed above may not be representative of actual values that could have been or will be realized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(expense) income,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1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56"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As of June 30, 2025, we estimate that $3,084 of income will be reclassified from accumulated other comprehensive loss to interest expense, net during the twelve months ending June 30, 2026. As of June 30, 2025, we had eight effective outstanding interest rate swap contracts that were indexed to Term or Daily SOFR. Our interest rate swap contracts have varying start and maturity dates through April 2028.</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tbl>
      <w:tblPr>
        <w:tblLayout w:type="fixed"/>
        <w:tblInd w:w="40" w:type="dxa"/>
        <w:tblCellMar>
          <w:top w:w="0" w:type="dxa"/>
          <w:left w:w="0" w:type="dxa"/>
          <w:bottom w:w="0" w:type="dxa"/>
          <w:right w:w="0" w:type="dxa"/>
        </w:tblCellMar>
      </w:tblPr>
      <w:tr>
        <w:trPr>
          <w:trHeight w:val="197"/>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Interest rate swap contracts outstanding:</w:t>
            </w: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Notional Amounts</w:t>
            </w:r>
          </w:p>
        </w:tc>
      </w:tr>
      <w:tr>
        <w:trPr>
          <w:trHeight w:val="211"/>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Contracts accruing interest as of June 30, 2025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r>
      <w:tr>
        <w:trPr>
          <w:trHeight w:val="215"/>
        </w:trPr>
        <w:tc>
          <w:tcPr>
            <w:tcW w:w="8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Contracts with a future start date</w:t>
            </w: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320,000</w:t>
            </w:r>
          </w:p>
        </w:tc>
      </w:tr>
      <w:tr>
        <w:trPr>
          <w:trHeight w:val="235"/>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570,000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67" w:lineRule="exact"/>
        <w:rPr>
          <w:sz w:val="20"/>
          <w:szCs w:val="20"/>
          <w:color w:val="auto"/>
        </w:rPr>
      </w:pPr>
    </w:p>
    <w:p>
      <w:pPr>
        <w:ind w:left="260" w:right="40" w:hanging="252"/>
        <w:spacing w:after="0" w:line="285" w:lineRule="auto"/>
        <w:tabs>
          <w:tab w:leader="none" w:pos="2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contracts outstanding as of June 30, 2025, the notional value of our contracted interest rate swaps accruing interest will fluctuate between $250,000 and $380,000 through April 2028 based on layered start dates and maturities.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169" w:lineRule="exact"/>
        <w:rPr>
          <w:sz w:val="20"/>
          <w:szCs w:val="20"/>
          <w:color w:val="auto"/>
        </w:rPr>
      </w:pPr>
    </w:p>
    <w:p>
      <w:pPr>
        <w:ind w:right="20" w:firstLine="648"/>
        <w:spacing w:after="0" w:line="282" w:lineRule="auto"/>
        <w:rPr>
          <w:sz w:val="20"/>
          <w:szCs w:val="20"/>
          <w:color w:val="auto"/>
        </w:rPr>
      </w:pPr>
      <w:r>
        <w:rPr>
          <w:rFonts w:ascii="Arial" w:cs="Arial" w:eastAsia="Arial" w:hAnsi="Arial"/>
          <w:sz w:val="17"/>
          <w:szCs w:val="17"/>
          <w:color w:val="auto"/>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0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June 30, 2025,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Currency Hedges</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The impact of net investment hedges is recognized in accumulated other comprehensive loss as a component of translation adjustments, net of hedges, and would only be reclassified to earnings if the hedged subsidiaries were no longer consolidated entities.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2025, 2024 and 2023, we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9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0" w:name="page71"/>
    <w:bookmarkEnd w:id="70"/>
    <w:p>
      <w:pPr>
        <w:ind w:right="180" w:firstLine="648"/>
        <w:spacing w:after="0" w:line="262" w:lineRule="auto"/>
        <w:rPr>
          <w:sz w:val="20"/>
          <w:szCs w:val="20"/>
          <w:color w:val="auto"/>
        </w:rPr>
      </w:pPr>
      <w:r>
        <w:rPr>
          <w:rFonts w:ascii="Arial" w:cs="Arial" w:eastAsia="Arial" w:hAnsi="Arial"/>
          <w:sz w:val="18"/>
          <w:szCs w:val="18"/>
          <w:color w:val="auto"/>
        </w:rPr>
        <w:t>As of June 30, 2025,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Notional Amount</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Date</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Instruments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156"/>
        </w:trPr>
        <w:tc>
          <w:tcPr>
            <w:tcW w:w="1820" w:type="dxa"/>
            <w:vAlign w:val="bottom"/>
            <w:tcBorders>
              <w:top w:val="single" w:sz="8" w:color="auto"/>
            </w:tcBorders>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$853,938</w:t>
            </w:r>
          </w:p>
        </w:tc>
        <w:tc>
          <w:tcPr>
            <w:tcW w:w="10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color w:val="auto"/>
              </w:rPr>
              <w:t>September 2023 through June</w:t>
            </w:r>
          </w:p>
        </w:tc>
        <w:tc>
          <w:tcPr>
            <w:tcW w:w="12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color w:val="auto"/>
              </w:rPr>
              <w:t>Various dates through June</w:t>
            </w:r>
          </w:p>
        </w:tc>
        <w:tc>
          <w:tcPr>
            <w:tcW w:w="1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vMerge w:val="restart"/>
            <w:shd w:val="clear" w:color="auto" w:fill="CCEEFF"/>
          </w:tcPr>
          <w:p>
            <w:pPr>
              <w:jc w:val="right"/>
              <w:ind w:right="864"/>
              <w:spacing w:after="0"/>
              <w:rPr>
                <w:sz w:val="20"/>
                <w:szCs w:val="20"/>
                <w:color w:val="auto"/>
              </w:rPr>
            </w:pPr>
            <w:r>
              <w:rPr>
                <w:rFonts w:ascii="Arial" w:cs="Arial" w:eastAsia="Arial" w:hAnsi="Arial"/>
                <w:sz w:val="16"/>
                <w:szCs w:val="16"/>
                <w:color w:val="auto"/>
              </w:rPr>
              <w:t>670</w:t>
            </w:r>
          </w:p>
        </w:tc>
        <w:tc>
          <w:tcPr>
            <w:tcW w:w="12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0" w:type="dxa"/>
            <w:vAlign w:val="bottom"/>
          </w:tcPr>
          <w:p>
            <w:pPr>
              <w:spacing w:after="0"/>
              <w:rPr>
                <w:sz w:val="1"/>
                <w:szCs w:val="1"/>
                <w:color w:val="auto"/>
              </w:rPr>
            </w:pPr>
          </w:p>
        </w:tc>
      </w:tr>
      <w:tr>
        <w:trPr>
          <w:trHeight w:val="133"/>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1"/>
                <w:szCs w:val="11"/>
                <w:color w:val="auto"/>
              </w:rPr>
            </w:pPr>
          </w:p>
        </w:tc>
        <w:tc>
          <w:tcPr>
            <w:tcW w:w="2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2025 and June 30, 2024. Our derivative asset and liability balances fluctuate with interest rate and currency exchange rate volatility.</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rPr>
              <w:t>June 30, 2025</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rPr>
              <w:t>Asset Derivatives</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rPr>
              <w:t>Liability Derivatives</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Balance Sheet</w:t>
            </w:r>
          </w:p>
        </w:tc>
        <w:tc>
          <w:tcPr>
            <w:tcW w:w="114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w w:val="96"/>
              </w:rPr>
              <w:t>Gross amounts</w:t>
            </w:r>
          </w:p>
        </w:tc>
        <w:tc>
          <w:tcPr>
            <w:tcW w:w="140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w w:val="95"/>
              </w:rPr>
              <w:t>Gross amount offset</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Balance Sheet</w:t>
            </w:r>
          </w:p>
        </w:tc>
        <w:tc>
          <w:tcPr>
            <w:tcW w:w="116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6"/>
              </w:rPr>
              <w:t>Gross amounts</w:t>
            </w:r>
          </w:p>
        </w:tc>
        <w:tc>
          <w:tcPr>
            <w:tcW w:w="138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5"/>
              </w:rPr>
              <w:t>Gross amount offset</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of recognized</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in Consolidated</w:t>
            </w:r>
          </w:p>
        </w:tc>
        <w:tc>
          <w:tcPr>
            <w:tcW w:w="10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Net amount</w:t>
            </w:r>
          </w:p>
        </w:tc>
        <w:tc>
          <w:tcPr>
            <w:tcW w:w="106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of recognized</w:t>
            </w:r>
          </w:p>
        </w:tc>
        <w:tc>
          <w:tcPr>
            <w:tcW w:w="13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in Consolidated</w:t>
            </w:r>
          </w:p>
        </w:tc>
        <w:tc>
          <w:tcPr>
            <w:tcW w:w="9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line item</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assets</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Balance Sheet</w:t>
            </w:r>
          </w:p>
        </w:tc>
        <w:tc>
          <w:tcPr>
            <w:tcW w:w="1080" w:type="dxa"/>
            <w:vAlign w:val="bottom"/>
            <w:gridSpan w:val="2"/>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line item</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liabilities</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Balance Sheet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line="108"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960" w:type="dxa"/>
            <w:vAlign w:val="bottom"/>
            <w:gridSpan w:val="3"/>
          </w:tcPr>
          <w:p>
            <w:pPr>
              <w:spacing w:after="0"/>
              <w:rPr>
                <w:sz w:val="20"/>
                <w:szCs w:val="20"/>
                <w:color w:val="auto"/>
              </w:rPr>
            </w:pPr>
            <w:r>
              <w:rPr>
                <w:rFonts w:ascii="Arial" w:cs="Arial" w:eastAsia="Arial" w:hAnsi="Arial"/>
                <w:sz w:val="13"/>
                <w:szCs w:val="13"/>
                <w:b w:val="1"/>
                <w:bCs w:val="1"/>
                <w:color w:val="auto"/>
              </w:rPr>
              <w:t>hedging instruments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9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Derivatives in cash flow</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60" w:type="dxa"/>
            <w:vAlign w:val="bottom"/>
            <w:gridSpan w:val="3"/>
          </w:tcPr>
          <w:p>
            <w:pPr>
              <w:spacing w:after="0"/>
              <w:rPr>
                <w:sz w:val="20"/>
                <w:szCs w:val="20"/>
                <w:color w:val="auto"/>
              </w:rPr>
            </w:pPr>
            <w:r>
              <w:rPr>
                <w:rFonts w:ascii="Arial" w:cs="Arial" w:eastAsia="Arial" w:hAnsi="Arial"/>
                <w:sz w:val="13"/>
                <w:szCs w:val="13"/>
                <w:b w:val="1"/>
                <w:bCs w:val="1"/>
                <w:color w:val="auto"/>
              </w:rPr>
              <w:t>hedging relationships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Other current</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liabilities /</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1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assets / other</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9,497</w:t>
            </w:r>
          </w:p>
        </w:tc>
        <w:tc>
          <w:tcPr>
            <w:tcW w:w="11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other</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88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assets</w:t>
            </w:r>
          </w:p>
        </w:tc>
        <w:tc>
          <w:tcPr>
            <w:tcW w:w="3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3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Derivatives in net investment</w:t>
            </w: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1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(31,982)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(31,982)</w:t>
            </w:r>
          </w:p>
        </w:tc>
        <w:tc>
          <w:tcPr>
            <w:tcW w:w="0" w:type="dxa"/>
            <w:vAlign w:val="bottom"/>
          </w:tcPr>
          <w:p>
            <w:pPr>
              <w:spacing w:after="0"/>
              <w:rPr>
                <w:sz w:val="1"/>
                <w:szCs w:val="1"/>
                <w:color w:val="auto"/>
              </w:rPr>
            </w:pPr>
          </w:p>
        </w:tc>
      </w:tr>
      <w:tr>
        <w:trPr>
          <w:trHeight w:val="189"/>
        </w:trPr>
        <w:tc>
          <w:tcPr>
            <w:tcW w:w="18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Currency forward contracts</w:t>
            </w:r>
          </w:p>
        </w:tc>
        <w:tc>
          <w:tcPr>
            <w:tcW w:w="1100" w:type="dxa"/>
            <w:vAlign w:val="bottom"/>
            <w:vMerge w:val="restart"/>
          </w:tcPr>
          <w:p>
            <w:pPr>
              <w:ind w:left="8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liabilities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designated</w:t>
            </w:r>
          </w:p>
        </w:tc>
        <w:tc>
          <w:tcPr>
            <w:tcW w:w="1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9,497</w:t>
            </w:r>
          </w:p>
        </w:tc>
        <w:tc>
          <w:tcPr>
            <w:tcW w:w="11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(32,130)</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(32,130)</w:t>
            </w: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hedging instruments</w:t>
            </w:r>
          </w:p>
        </w:tc>
        <w:tc>
          <w:tcPr>
            <w:tcW w:w="110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Derivatives not designated as</w:t>
            </w: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8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Other current</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liabilities /</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10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color w:val="auto"/>
              </w:rPr>
              <w:t>Other current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1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other</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(34,941)</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(32,381)</w:t>
            </w:r>
          </w:p>
        </w:tc>
        <w:tc>
          <w:tcPr>
            <w:tcW w:w="0" w:type="dxa"/>
            <w:vAlign w:val="bottom"/>
          </w:tcPr>
          <w:p>
            <w:pPr>
              <w:spacing w:after="0"/>
              <w:rPr>
                <w:sz w:val="1"/>
                <w:szCs w:val="1"/>
                <w:color w:val="auto"/>
              </w:rPr>
            </w:pPr>
          </w:p>
        </w:tc>
      </w:tr>
      <w:tr>
        <w:trPr>
          <w:trHeight w:val="189"/>
        </w:trPr>
        <w:tc>
          <w:tcPr>
            <w:tcW w:w="1880" w:type="dxa"/>
            <w:vAlign w:val="bottom"/>
            <w:vMerge w:val="continue"/>
            <w:shd w:val="clear" w:color="auto" w:fill="CCEEFF"/>
          </w:tcPr>
          <w:p>
            <w:pPr>
              <w:spacing w:after="0"/>
              <w:rPr>
                <w:sz w:val="16"/>
                <w:szCs w:val="16"/>
                <w:color w:val="auto"/>
              </w:rPr>
            </w:pPr>
          </w:p>
        </w:tc>
        <w:tc>
          <w:tcPr>
            <w:tcW w:w="1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assets</w:t>
            </w:r>
          </w:p>
        </w:tc>
        <w:tc>
          <w:tcPr>
            <w:tcW w:w="3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100" w:type="dxa"/>
            <w:vAlign w:val="bottom"/>
            <w:vMerge w:val="restart"/>
          </w:tcPr>
          <w:p>
            <w:pPr>
              <w:ind w:left="80"/>
              <w:spacing w:after="0"/>
              <w:rPr>
                <w:sz w:val="20"/>
                <w:szCs w:val="20"/>
                <w:color w:val="auto"/>
              </w:rPr>
            </w:pPr>
            <w:r>
              <w:rPr>
                <w:rFonts w:ascii="Arial" w:cs="Arial" w:eastAsia="Arial" w:hAnsi="Arial"/>
                <w:sz w:val="14"/>
                <w:szCs w:val="14"/>
                <w:color w:val="auto"/>
              </w:rPr>
              <w:t>Other current</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Other current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liabilities /</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100" w:type="dxa"/>
            <w:vAlign w:val="bottom"/>
          </w:tcPr>
          <w:p>
            <w:pPr>
              <w:ind w:left="80"/>
              <w:spacing w:after="0" w:line="139" w:lineRule="exact"/>
              <w:rPr>
                <w:sz w:val="20"/>
                <w:szCs w:val="20"/>
                <w:color w:val="auto"/>
              </w:rPr>
            </w:pPr>
            <w:r>
              <w:rPr>
                <w:rFonts w:ascii="Arial" w:cs="Arial" w:eastAsia="Arial" w:hAnsi="Arial"/>
                <w:sz w:val="14"/>
                <w:szCs w:val="14"/>
                <w:color w:val="auto"/>
              </w:rPr>
              <w:t>assets / other</w:t>
            </w:r>
          </w:p>
        </w:tc>
        <w:tc>
          <w:tcPr>
            <w:tcW w:w="3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140"/>
              <w:spacing w:after="0" w:line="139" w:lineRule="exact"/>
              <w:rPr>
                <w:sz w:val="20"/>
                <w:szCs w:val="20"/>
                <w:color w:val="auto"/>
              </w:rPr>
            </w:pPr>
            <w:r>
              <w:rPr>
                <w:rFonts w:ascii="Arial" w:cs="Arial" w:eastAsia="Arial" w:hAnsi="Arial"/>
                <w:sz w:val="14"/>
                <w:szCs w:val="14"/>
                <w:color w:val="auto"/>
              </w:rPr>
              <w:t>other</w:t>
            </w: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194"/>
        </w:trPr>
        <w:tc>
          <w:tcPr>
            <w:tcW w:w="1880" w:type="dxa"/>
            <w:vAlign w:val="bottom"/>
            <w:vMerge w:val="continue"/>
          </w:tcPr>
          <w:p>
            <w:pPr>
              <w:spacing w:after="0"/>
              <w:rPr>
                <w:sz w:val="16"/>
                <w:szCs w:val="16"/>
                <w:color w:val="auto"/>
              </w:rPr>
            </w:pPr>
          </w:p>
        </w:tc>
        <w:tc>
          <w:tcPr>
            <w:tcW w:w="1100" w:type="dxa"/>
            <w:vAlign w:val="bottom"/>
          </w:tcPr>
          <w:p>
            <w:pPr>
              <w:ind w:left="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8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derivatives not</w:t>
            </w:r>
          </w:p>
        </w:tc>
        <w:tc>
          <w:tcPr>
            <w:tcW w:w="1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designated as hedging</w:t>
            </w:r>
          </w:p>
        </w:tc>
        <w:tc>
          <w:tcPr>
            <w:tcW w:w="1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1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(40,742)</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(38,182)</w:t>
            </w:r>
          </w:p>
        </w:tc>
        <w:tc>
          <w:tcPr>
            <w:tcW w:w="0" w:type="dxa"/>
            <w:vAlign w:val="bottom"/>
          </w:tcPr>
          <w:p>
            <w:pPr>
              <w:spacing w:after="0"/>
              <w:rPr>
                <w:sz w:val="1"/>
                <w:szCs w:val="1"/>
                <w:color w:val="auto"/>
              </w:rPr>
            </w:pPr>
          </w:p>
        </w:tc>
      </w:tr>
      <w:tr>
        <w:trPr>
          <w:trHeight w:val="191"/>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4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4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60" w:type="dxa"/>
            <w:vAlign w:val="bottom"/>
            <w:gridSpan w:val="3"/>
          </w:tcPr>
          <w:p>
            <w:pPr>
              <w:jc w:val="center"/>
              <w:ind w:right="12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3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5"/>
              </w:rPr>
              <w:t>Net amount</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assets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9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Derivatives in cash flow</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Derivatives in net investment</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94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20"/>
              <w:spacing w:after="0" w:line="133" w:lineRule="exact"/>
              <w:rPr>
                <w:sz w:val="20"/>
                <w:szCs w:val="20"/>
                <w:color w:val="auto"/>
              </w:rPr>
            </w:pPr>
            <w:r>
              <w:rPr>
                <w:rFonts w:ascii="Arial" w:cs="Arial" w:eastAsia="Arial" w:hAnsi="Arial"/>
                <w:sz w:val="14"/>
                <w:szCs w:val="14"/>
                <w:color w:val="auto"/>
              </w:rPr>
              <w:t>Total derivatives designated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19,873</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940" w:type="dxa"/>
            <w:vAlign w:val="bottom"/>
          </w:tcPr>
          <w:p>
            <w:pPr>
              <w:ind w:left="20"/>
              <w:spacing w:after="0" w:line="158" w:lineRule="exact"/>
              <w:rPr>
                <w:sz w:val="20"/>
                <w:szCs w:val="20"/>
                <w:color w:val="auto"/>
              </w:rPr>
            </w:pPr>
            <w:r>
              <w:rPr>
                <w:rFonts w:ascii="Arial" w:cs="Arial" w:eastAsia="Arial" w:hAnsi="Arial"/>
                <w:sz w:val="14"/>
                <w:szCs w:val="14"/>
                <w:color w:val="auto"/>
              </w:rPr>
              <w:t>as 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Derivatives not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derivatives not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920" w:firstLine="648"/>
        <w:spacing w:after="0" w:line="287" w:lineRule="auto"/>
        <w:rPr>
          <w:sz w:val="20"/>
          <w:szCs w:val="20"/>
          <w:color w:val="auto"/>
        </w:rPr>
      </w:pPr>
      <w:r>
        <w:rPr>
          <w:rFonts w:ascii="Arial" w:cs="Arial" w:eastAsia="Arial" w:hAnsi="Arial"/>
          <w:sz w:val="18"/>
          <w:szCs w:val="18"/>
          <w:color w:val="auto"/>
        </w:rPr>
        <w:t>The following table presents the effect of our derivative financial instruments designated as hedging instruments and their classification within comprehensive loss, net of tax, for the years ended June 30, 2025,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2023</w:t>
            </w: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11,151</w:t>
            </w: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01"/>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Intercompany loan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15,754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(8,384)</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21,761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1,607</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72" w:name="page73"/>
    <w:bookmarkEnd w:id="72"/>
    <w:p>
      <w:pPr>
        <w:ind w:right="20" w:firstLine="648"/>
        <w:spacing w:after="0" w:line="287"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2025,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4780" w:type="dxa"/>
            <w:vAlign w:val="bottom"/>
            <w:gridSpan w:val="8"/>
          </w:tcPr>
          <w:p>
            <w:pPr>
              <w:jc w:val="center"/>
              <w:spacing w:after="0"/>
              <w:rPr>
                <w:sz w:val="20"/>
                <w:szCs w:val="20"/>
                <w:color w:val="auto"/>
              </w:rPr>
            </w:pPr>
            <w:r>
              <w:rPr>
                <w:rFonts w:ascii="Arial" w:cs="Arial" w:eastAsia="Arial" w:hAnsi="Arial"/>
                <w:sz w:val="13"/>
                <w:szCs w:val="13"/>
                <w:b w:val="1"/>
                <w:bCs w:val="1"/>
                <w:color w:val="auto"/>
                <w:w w:val="96"/>
              </w:rPr>
              <w:t>Amount of Net (Gain) Loss Reclassified from Accumulated Other</w:t>
            </w: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83"/>
        </w:trPr>
        <w:tc>
          <w:tcPr>
            <w:tcW w:w="3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3"/>
                <w:szCs w:val="13"/>
                <w:b w:val="1"/>
                <w:bCs w:val="1"/>
                <w:color w:val="auto"/>
                <w:w w:val="96"/>
              </w:rPr>
              <w:t>Comprehensive Loss into Income</w:t>
            </w:r>
          </w:p>
        </w:tc>
        <w:tc>
          <w:tcPr>
            <w:tcW w:w="1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174"/>
        </w:trPr>
        <w:tc>
          <w:tcPr>
            <w:tcW w:w="3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Year Ended June 30,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r>
      <w:tr>
        <w:trPr>
          <w:trHeight w:val="167"/>
        </w:trPr>
        <w:tc>
          <w:tcPr>
            <w:tcW w:w="3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2023</w:t>
            </w:r>
          </w:p>
        </w:tc>
        <w:tc>
          <w:tcPr>
            <w:tcW w:w="2800" w:type="dxa"/>
            <w:vAlign w:val="bottom"/>
          </w:tcPr>
          <w:p>
            <w:pPr>
              <w:spacing w:after="0"/>
              <w:rPr>
                <w:sz w:val="14"/>
                <w:szCs w:val="14"/>
                <w:color w:val="auto"/>
              </w:rPr>
            </w:pPr>
          </w:p>
        </w:tc>
      </w:tr>
      <w:tr>
        <w:trPr>
          <w:trHeight w:val="185"/>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Cross-currency swap</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903</w:t>
            </w:r>
          </w:p>
        </w:tc>
        <w:tc>
          <w:tcPr>
            <w:tcW w:w="2800" w:type="dxa"/>
            <w:vAlign w:val="bottom"/>
          </w:tcPr>
          <w:p>
            <w:pPr>
              <w:jc w:val="center"/>
              <w:spacing w:after="0"/>
              <w:rPr>
                <w:sz w:val="20"/>
                <w:szCs w:val="20"/>
                <w:color w:val="auto"/>
              </w:rPr>
            </w:pPr>
            <w:r>
              <w:rPr>
                <w:rFonts w:ascii="Arial" w:cs="Arial" w:eastAsia="Arial" w:hAnsi="Arial"/>
                <w:sz w:val="14"/>
                <w:szCs w:val="14"/>
                <w:color w:val="auto"/>
              </w:rPr>
              <w:t>Other (expense) income, net</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28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Income (loss) before income taxes</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1,075</w:t>
            </w:r>
          </w:p>
        </w:tc>
        <w:tc>
          <w:tcPr>
            <w:tcW w:w="2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 tax expense (benefit)</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2800" w:type="dxa"/>
            <w:vAlign w:val="bottom"/>
            <w:tcBorders>
              <w:bottom w:val="single" w:sz="8" w:color="CCEEFF"/>
            </w:tcBorders>
            <w:shd w:val="clear" w:color="auto" w:fill="CCEEFF"/>
          </w:tcPr>
          <w:p>
            <w:pPr>
              <w:spacing w:after="0"/>
              <w:rPr>
                <w:sz w:val="20"/>
                <w:szCs w:val="20"/>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right="440" w:firstLine="648"/>
        <w:spacing w:after="0" w:line="287"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the years ended June 30, 2025, 2024, and 2023 for derivative instruments for which we did not elect hedge accounting.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b w:val="1"/>
                <w:bCs w:val="1"/>
                <w:color w:val="auto"/>
                <w:w w:val="96"/>
              </w:rPr>
              <w:t>Amount of (Loss) Gain Recognized in Net Income</w:t>
            </w:r>
          </w:p>
        </w:tc>
        <w:tc>
          <w:tcPr>
            <w:tcW w:w="92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w w:val="89"/>
              </w:rPr>
              <w:t>2023</w:t>
            </w:r>
          </w:p>
        </w:tc>
        <w:tc>
          <w:tcPr>
            <w:tcW w:w="28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(35,027)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3,915</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3,311</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(35,027)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3,915</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3,311</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19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$(197), $(10,985), and $4,013 for the years ended June 30, 2025, 2024, and 2023,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Gains (losses) on</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Gains (losses) on</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pension benefit</w:t>
            </w:r>
          </w:p>
        </w:tc>
        <w:tc>
          <w:tcPr>
            <w:tcW w:w="14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cash flow hedges (1)</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obligation</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hedges (2)</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6,554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13,291</w:t>
            </w:r>
          </w:p>
        </w:tc>
        <w:tc>
          <w:tcPr>
            <w:tcW w:w="0" w:type="dxa"/>
            <w:vAlign w:val="bottom"/>
          </w:tcPr>
          <w:p>
            <w:pPr>
              <w:spacing w:after="0"/>
              <w:rPr>
                <w:sz w:val="1"/>
                <w:szCs w:val="1"/>
                <w:color w:val="auto"/>
              </w:rPr>
            </w:pPr>
          </w:p>
        </w:tc>
      </w:tr>
      <w:tr>
        <w:trPr>
          <w:trHeight w:val="163"/>
        </w:trPr>
        <w:tc>
          <w:tcPr>
            <w:tcW w:w="55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Amounts reclassified from accumulated other comprehensive loss to net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6,554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4,696</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163"/>
        </w:trPr>
        <w:tc>
          <w:tcPr>
            <w:tcW w:w="55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Amounts reclassified from accumulated other comprehensive loss to net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(37,969)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1"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28" w:lineRule="exact"/>
        <w:rPr>
          <w:rFonts w:ascii="Arial" w:cs="Arial" w:eastAsia="Arial" w:hAnsi="Arial"/>
          <w:sz w:val="14"/>
          <w:szCs w:val="14"/>
          <w:color w:val="auto"/>
        </w:rPr>
      </w:pPr>
    </w:p>
    <w:p>
      <w:pPr>
        <w:ind w:left="260" w:right="160" w:hanging="252"/>
        <w:spacing w:after="0" w:line="265" w:lineRule="auto"/>
        <w:tabs>
          <w:tab w:leader="none" w:pos="233"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June 30, 2025 and 2024, the translation adjustment is inclusive of both realized and unrealized effects of our net investment hedges. (Losses) Gains on currency forward and swap contracts, net of tax, of $(9,406) and $15,042 have been included in accumulated other comprehensive loss as of June 30, 2025 and 2024, respectively. Intercompany loan hedge gains of $42,159 and $48,270, net of tax, have been included in accumulated other comprehensive loss as of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3"/>
                <w:szCs w:val="13"/>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3200" w:type="dxa"/>
            <w:vAlign w:val="bottom"/>
            <w:gridSpan w:val="2"/>
          </w:tcPr>
          <w:p>
            <w:pPr>
              <w:ind w:left="880"/>
              <w:spacing w:after="0"/>
              <w:rPr>
                <w:sz w:val="20"/>
                <w:szCs w:val="20"/>
                <w:color w:val="auto"/>
              </w:rPr>
            </w:pPr>
            <w:r>
              <w:rPr>
                <w:rFonts w:ascii="Arial" w:cs="Arial" w:eastAsia="Arial" w:hAnsi="Arial"/>
                <w:sz w:val="13"/>
                <w:szCs w:val="13"/>
                <w:b w:val="1"/>
                <w:bCs w:val="1"/>
                <w:color w:val="auto"/>
              </w:rPr>
              <w:t>Estimated useful lives</w:t>
            </w: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improvements</w:t>
            </w:r>
          </w:p>
        </w:tc>
        <w:tc>
          <w:tcPr>
            <w:tcW w:w="3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Building and building improvements</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10 - 30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157,338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154,800</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production equipment</w:t>
            </w: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405,581</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Machinery and production equipment under finance lease</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56,356</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and equipment</w:t>
            </w: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3 - 5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92,865</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Furniture, fixtures and office equipment</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5 - 7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33,694</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Leasehold improvements</w:t>
            </w:r>
          </w:p>
        </w:tc>
        <w:tc>
          <w:tcPr>
            <w:tcW w:w="32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6"/>
                <w:szCs w:val="16"/>
                <w:color w:val="auto"/>
              </w:rPr>
              <w:t>Shorter of lease term or expected life of</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51,159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the asset</w:t>
            </w: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814,089</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inclusive of assets under finance lease</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(610,895)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(569,857)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244,232</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Land</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20,945</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265,177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480" w:firstLine="200"/>
        <w:spacing w:after="0" w:line="287" w:lineRule="auto"/>
        <w:rPr>
          <w:sz w:val="20"/>
          <w:szCs w:val="20"/>
          <w:color w:val="auto"/>
        </w:rPr>
      </w:pPr>
      <w:r>
        <w:rPr>
          <w:rFonts w:ascii="Arial" w:cs="Arial" w:eastAsia="Arial" w:hAnsi="Arial"/>
          <w:sz w:val="18"/>
          <w:szCs w:val="18"/>
          <w:color w:val="auto"/>
        </w:rPr>
        <w:t>Depreciation expense, inclusive of assets under finance leases, totaled $61,890</w:t>
      </w:r>
      <w:r>
        <w:rPr>
          <w:rFonts w:ascii="Arial" w:cs="Arial" w:eastAsia="Arial" w:hAnsi="Arial"/>
          <w:sz w:val="18"/>
          <w:szCs w:val="18"/>
          <w:i w:val="1"/>
          <w:iCs w:val="1"/>
          <w:color w:val="auto"/>
        </w:rPr>
        <w:t>,</w:t>
      </w:r>
      <w:r>
        <w:rPr>
          <w:rFonts w:ascii="Arial" w:cs="Arial" w:eastAsia="Arial" w:hAnsi="Arial"/>
          <w:sz w:val="18"/>
          <w:szCs w:val="18"/>
          <w:color w:val="auto"/>
        </w:rPr>
        <w:t xml:space="preserve"> $59,373, and $59,841 for the years ended June 30, 2025, 2024, and 2023,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2025 and 2024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PrintBrothers</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The Print Group</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rPr>
              <w:t>All Other Businesses</w:t>
            </w: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Arial" w:cs="Arial" w:eastAsia="Arial" w:hAnsi="Arial"/>
                <w:sz w:val="13"/>
                <w:szCs w:val="13"/>
                <w:b w:val="1"/>
                <w:bCs w:val="1"/>
                <w:color w:val="auto"/>
              </w:rPr>
              <w:t>Total</w:t>
            </w: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295,731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149,797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194,921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781,541</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2,701</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7,319</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(4,423)</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295,285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147,688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194,921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787,138</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1,121</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37,897</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Balance as of June 30, 2025</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304,806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164,780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161,649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194,921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826,156</w:t>
            </w:r>
          </w:p>
        </w:tc>
      </w:tr>
      <w:tr>
        <w:trPr>
          <w:trHeight w:val="21"/>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67" w:lineRule="exact"/>
        <w:rPr>
          <w:sz w:val="20"/>
          <w:szCs w:val="20"/>
          <w:color w:val="auto"/>
        </w:rPr>
      </w:pPr>
    </w:p>
    <w:p>
      <w:pPr>
        <w:ind w:left="260" w:right="160" w:hanging="252"/>
        <w:spacing w:after="0" w:line="281" w:lineRule="auto"/>
        <w:tabs>
          <w:tab w:leader="none" w:pos="233"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each of the fiscal years 2025 and 2024, we acquired an immaterial business that is included in our PrintBrothers reportable segment, which resulted in the recognition of goodwill of $1,121 and $2,701,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2025</w:t>
      </w:r>
    </w:p>
    <w:p>
      <w:pPr>
        <w:spacing w:after="0" w:line="16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goodwill accounting policy establishes an annual goodwill impairment test date of May 31. We identified eight reporting units with goodwill individually. We considered the timing of our most recent fair value assessments, associated headroom, actual operating results as compared to the forecasts used to assess fair value, the current long-term forecasts for each reporting unit, and the general economic environment of each reporting unit. After performing this qualitative assessment, we determined that there was no indication the carrying values for any of these reporting units exceeded their respective fair values. We concluded that sufficient headroom between the most recent estimated fair value and carrying value existed. Therefore, no quantitative goodwill impairment test was required for any of our reporting units and there were no events that caused us to update our annual impairment test.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Fiscal year 2024</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our annual goodwill impairment test date of May 31, 2024, after performing the initial qualitative assessment, we determined that there was no indication the carrying values for six of our eight reporting units exceeded their respective fair values. For the two remaining reporting units, which included Exaprint, which is part of The Print Group reportable segment, and BuildASign, which is included in the All Other Businesses reportable segment, we performed a quantitative goodwill impairment test that compared the estimated fair value to carrying value. We used the income approach, specifically the discounted cash flow method, to derive the fair value. As required, prior to performing the quantitative goodwill impairment test for the two reporting units mentioned above, we first evaluated the recoverability of long-lived assets and concluded that no impairment of long-lived assets existed. For both reporting units, we concluded that sufficient headroom between the estimated fair value and carrying value existed and that no goodwill impairment was identified.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w:t>
      </w:r>
    </w:p>
    <w:p>
      <w:pPr>
        <w:spacing w:after="0" w:line="169"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During the year ended June 30, 2023, we concluded that an impairment existed in one of our reporting units, which is included in our All Other Businesses reportable segment. The impairment was driven in part by declines in revenue growth rates and lower near-term cash flow forecasts. We recognized an impairment charge of $5,609, using a WACC of 17.0%, resulting in a post-impairment goodwill balance of $8,824 at June 30,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2025</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June 30, 2024</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020" w:type="dxa"/>
            <w:vAlign w:val="bottom"/>
          </w:tcPr>
          <w:p>
            <w:pPr>
              <w:jc w:val="center"/>
              <w:ind w:right="185"/>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0"/>
                <w:szCs w:val="10"/>
                <w:color w:val="auto"/>
              </w:rPr>
            </w:pPr>
          </w:p>
        </w:tc>
        <w:tc>
          <w:tcPr>
            <w:tcW w:w="1020" w:type="dxa"/>
            <w:vAlign w:val="bottom"/>
          </w:tcPr>
          <w:p>
            <w:pPr>
              <w:jc w:val="center"/>
              <w:ind w:right="165"/>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jc w:val="center"/>
              <w:ind w:right="360"/>
              <w:spacing w:after="0" w:line="131"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jc w:val="center"/>
              <w:ind w:right="360"/>
              <w:spacing w:after="0" w:line="131"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4"/>
                <w:szCs w:val="4"/>
                <w:color w:val="auto"/>
              </w:rPr>
            </w:pPr>
          </w:p>
        </w:tc>
        <w:tc>
          <w:tcPr>
            <w:tcW w:w="1120" w:type="dxa"/>
            <w:vAlign w:val="bottom"/>
            <w:gridSpan w:val="2"/>
            <w:vMerge w:val="restart"/>
          </w:tcPr>
          <w:p>
            <w:pPr>
              <w:jc w:val="center"/>
              <w:ind w:right="340"/>
              <w:spacing w:after="0" w:line="131" w:lineRule="exact"/>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jc w:val="center"/>
              <w:ind w:right="165"/>
              <w:spacing w:after="0" w:line="131"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77"/>
        </w:trPr>
        <w:tc>
          <w:tcPr>
            <w:tcW w:w="3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center"/>
              <w:ind w:right="165"/>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146,240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50,550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141,364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58,882</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94,038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4,251</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187,343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Customer network and other</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6,677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24,215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8,275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Print network</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491,496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(433,148)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58,348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470,533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(393,973)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76,560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20" w:firstLine="190"/>
        <w:spacing w:after="0" w:line="287" w:lineRule="auto"/>
        <w:rPr>
          <w:sz w:val="20"/>
          <w:szCs w:val="20"/>
          <w:color w:val="auto"/>
        </w:rPr>
      </w:pPr>
      <w:r>
        <w:rPr>
          <w:rFonts w:ascii="Arial" w:cs="Arial" w:eastAsia="Arial" w:hAnsi="Arial"/>
          <w:sz w:val="18"/>
          <w:szCs w:val="18"/>
          <w:color w:val="auto"/>
        </w:rPr>
        <w:t>Acquired intangible assets amortization expense for the years ended June 30, 2025, 2024, and 2023 was $19,062, $31,443, and $46,854 respectively. Estimated intangible assets amortization expense for each of the five succeeding fiscal years and thereafter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12,164</w:t>
            </w:r>
          </w:p>
        </w:tc>
      </w:tr>
      <w:tr>
        <w:trPr>
          <w:trHeight w:val="215"/>
        </w:trPr>
        <w:tc>
          <w:tcPr>
            <w:tcW w:w="9040" w:type="dxa"/>
            <w:vAlign w:val="bottom"/>
          </w:tcPr>
          <w:p>
            <w:pPr>
              <w:ind w:left="20"/>
              <w:spacing w:after="0"/>
              <w:rPr>
                <w:sz w:val="20"/>
                <w:szCs w:val="20"/>
                <w:color w:val="auto"/>
              </w:rPr>
            </w:pPr>
            <w:r>
              <w:rPr>
                <w:rFonts w:ascii="Arial" w:cs="Arial" w:eastAsia="Arial" w:hAnsi="Arial"/>
                <w:sz w:val="16"/>
                <w:szCs w:val="16"/>
                <w:color w:val="auto"/>
              </w:rPr>
              <w:t>2027</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11,041</w:t>
            </w:r>
          </w:p>
        </w:tc>
      </w:tr>
      <w:tr>
        <w:trPr>
          <w:trHeight w:val="217"/>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r>
      <w:tr>
        <w:trPr>
          <w:trHeight w:val="215"/>
        </w:trPr>
        <w:tc>
          <w:tcPr>
            <w:tcW w:w="9040" w:type="dxa"/>
            <w:vAlign w:val="bottom"/>
          </w:tcPr>
          <w:p>
            <w:pPr>
              <w:ind w:left="20"/>
              <w:spacing w:after="0"/>
              <w:rPr>
                <w:sz w:val="20"/>
                <w:szCs w:val="20"/>
                <w:color w:val="auto"/>
              </w:rPr>
            </w:pPr>
            <w:r>
              <w:rPr>
                <w:rFonts w:ascii="Arial" w:cs="Arial" w:eastAsia="Arial" w:hAnsi="Arial"/>
                <w:sz w:val="16"/>
                <w:szCs w:val="16"/>
                <w:color w:val="auto"/>
              </w:rPr>
              <w:t>2029</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7,018</w:t>
            </w:r>
          </w:p>
        </w:tc>
      </w:tr>
      <w:tr>
        <w:trPr>
          <w:trHeight w:val="217"/>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r>
      <w:tr>
        <w:trPr>
          <w:trHeight w:val="215"/>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12,914</w:t>
            </w:r>
          </w:p>
        </w:tc>
      </w:tr>
      <w:tr>
        <w:trPr>
          <w:trHeight w:val="235"/>
        </w:trPr>
        <w:tc>
          <w:tcPr>
            <w:tcW w:w="90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8. Other Balance Sheet Components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400" w:type="dxa"/>
            <w:vAlign w:val="bottom"/>
          </w:tcPr>
          <w:p>
            <w:pPr>
              <w:jc w:val="right"/>
              <w:ind w:right="340"/>
              <w:spacing w:after="0"/>
              <w:rPr>
                <w:sz w:val="20"/>
                <w:szCs w:val="20"/>
                <w:color w:val="auto"/>
              </w:rPr>
            </w:pPr>
            <w:r>
              <w:rPr>
                <w:rFonts w:ascii="Arial" w:cs="Arial" w:eastAsia="Arial" w:hAnsi="Arial"/>
                <w:sz w:val="13"/>
                <w:szCs w:val="13"/>
                <w:b w:val="1"/>
                <w:bCs w:val="1"/>
                <w:color w:val="auto"/>
              </w:rPr>
              <w:t>June 30, 2024</w:t>
            </w:r>
          </w:p>
        </w:tc>
      </w:tr>
      <w:tr>
        <w:trPr>
          <w:trHeight w:val="21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80,844</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46,499</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23,524</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17,608</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9,263</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Sales returns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5,181</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46,300</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245,931</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400" w:type="dxa"/>
            <w:vAlign w:val="bottom"/>
          </w:tcPr>
          <w:p>
            <w:pPr>
              <w:jc w:val="right"/>
              <w:ind w:right="342"/>
              <w:spacing w:after="0"/>
              <w:rPr>
                <w:sz w:val="20"/>
                <w:szCs w:val="20"/>
                <w:color w:val="auto"/>
              </w:rPr>
            </w:pPr>
            <w:r>
              <w:rPr>
                <w:rFonts w:ascii="Arial" w:cs="Arial" w:eastAsia="Arial" w:hAnsi="Arial"/>
                <w:sz w:val="13"/>
                <w:szCs w:val="13"/>
                <w:b w:val="1"/>
                <w:bCs w:val="1"/>
                <w:color w:val="auto"/>
              </w:rPr>
              <w:t>June 30, 2024</w:t>
            </w:r>
          </w:p>
        </w:tc>
      </w:tr>
      <w:tr>
        <w:trPr>
          <w:trHeight w:val="21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 (1)</w:t>
            </w: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20,969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4,833</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 (2)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10,673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8,323</w:t>
            </w:r>
          </w:p>
        </w:tc>
      </w:tr>
      <w:tr>
        <w:trPr>
          <w:trHeight w:val="21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43,343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liabilities included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360" w:type="dxa"/>
            <w:vAlign w:val="bottom"/>
          </w:tcPr>
          <w:p>
            <w:pPr>
              <w:jc w:val="right"/>
              <w:ind w:right="322"/>
              <w:spacing w:after="0"/>
              <w:rPr>
                <w:sz w:val="20"/>
                <w:szCs w:val="20"/>
                <w:color w:val="auto"/>
              </w:rPr>
            </w:pPr>
            <w:r>
              <w:rPr>
                <w:rFonts w:ascii="Arial" w:cs="Arial" w:eastAsia="Arial" w:hAnsi="Arial"/>
                <w:sz w:val="13"/>
                <w:szCs w:val="13"/>
                <w:b w:val="1"/>
                <w:bCs w:val="1"/>
                <w:color w:val="auto"/>
              </w:rPr>
              <w:t>June 30, 2024</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Long-term derivative liabilities (1)</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52,089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584</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finance lease obligations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28,037</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Long-term compensation incentives</w:t>
            </w:r>
          </w:p>
        </w:tc>
        <w:tc>
          <w:tcPr>
            <w:tcW w:w="2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16,919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17,127</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Mandatorily redeemable noncontrolling interest (2)</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9,608</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13,737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20,949</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107,246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76,305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67" w:lineRule="exact"/>
        <w:rPr>
          <w:sz w:val="20"/>
          <w:szCs w:val="20"/>
          <w:color w:val="auto"/>
        </w:rPr>
      </w:pPr>
    </w:p>
    <w:p>
      <w:pPr>
        <w:ind w:left="260" w:right="20" w:hanging="252"/>
        <w:spacing w:after="0" w:line="269"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increase in short-term and long-term derivative liabilities is primarily due to the increase in unrealized losses associated with forward contracts that are intended to mitigate our exposure to fluctuations in various currencies against our reporting currency, the U.S. dollar. The increase in unrealized losses is primarily due to the weakening of the U.S. dollar against certain currencies, including the Euro and GBP, which are our most significant currency exposures. Refer to Note 4 for additional details relating to our derivative contracts.</w:t>
      </w:r>
    </w:p>
    <w:p>
      <w:pPr>
        <w:spacing w:after="0" w:line="20" w:lineRule="exact"/>
        <w:rPr>
          <w:rFonts w:ascii="Arial" w:cs="Arial" w:eastAsia="Arial" w:hAnsi="Arial"/>
          <w:sz w:val="14"/>
          <w:szCs w:val="14"/>
          <w:color w:val="auto"/>
        </w:rPr>
      </w:pPr>
    </w:p>
    <w:p>
      <w:pPr>
        <w:ind w:left="260" w:right="160" w:hanging="252"/>
        <w:spacing w:after="0" w:line="285"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current fiscal year, the mandatorily redeemable noncontrolling interests were reclassified from long-term liabilities to current liabilities, since we were required to purchase the outstanding equity interests during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9. Debt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400" w:type="dxa"/>
            <w:vAlign w:val="bottom"/>
          </w:tcPr>
          <w:p>
            <w:pPr>
              <w:jc w:val="right"/>
              <w:ind w:right="341"/>
              <w:spacing w:after="0"/>
              <w:rPr>
                <w:sz w:val="20"/>
                <w:szCs w:val="20"/>
                <w:color w:val="auto"/>
              </w:rPr>
            </w:pPr>
            <w:r>
              <w:rPr>
                <w:rFonts w:ascii="Arial" w:cs="Arial" w:eastAsia="Arial" w:hAnsi="Arial"/>
                <w:sz w:val="13"/>
                <w:szCs w:val="13"/>
                <w:b w:val="1"/>
                <w:bCs w:val="1"/>
                <w:color w:val="auto"/>
              </w:rPr>
              <w:t>June 30, 2024</w:t>
            </w:r>
          </w:p>
        </w:tc>
      </w:tr>
      <w:tr>
        <w:trPr>
          <w:trHeight w:val="21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 (1)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7.0% Senior Notes due 2026 (1)</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522,135</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1,072,818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1,084,627</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9,845</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Total debt outstanding, net</w:t>
            </w: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1,585,263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1,604,295</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debt (2)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12,488</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1,576,178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1,591,807</w:t>
            </w: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8" w:lineRule="exact"/>
        <w:rPr>
          <w:sz w:val="20"/>
          <w:szCs w:val="20"/>
          <w:color w:val="auto"/>
        </w:rPr>
      </w:pPr>
    </w:p>
    <w:p>
      <w:pPr>
        <w:ind w:left="260" w:right="80" w:hanging="252"/>
        <w:spacing w:after="0" w:line="301" w:lineRule="auto"/>
        <w:tabs>
          <w:tab w:leader="none" w:pos="2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September 26, 2024, we completed a private placement of $525,000 in aggregate principal amount of 7.375% Senior Notes due 2032. We used the net proceeds of this offering plus cash on hand to redeem the $522,135 in aggregate principal amount of our 7.0% Senior Notes due 2026 and pay the associated interest and financing fees.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Balances as of June 30, 2025 and June 30, 2024 are inclusive of short-term debt issuance costs, debt premiums and discounts of $4,895 and $3,492,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we were in compliance with all covenants in those debt contracts, including our amended and restated senior secured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dated as of May 17, 2021 (as further amended from time to time, the "Restated Credit Agreement") and the indenture governing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2032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1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7"/>
          <w:szCs w:val="17"/>
          <w:color w:val="auto"/>
        </w:rPr>
        <w:t>On December 16, 2024, we amended our Restated Credit Agreement to refinance our Term Loan B, which consists of a tranche denominated in U.S. dollars ("USD Tranche") and as part of the amendment the size of the USD tranche was increased by $48,614, and those proceeds were used to fully repay the previously outstanding tranche denominated in Euros ("Euro Tranche"). The amendment reduced the interest rate margin of the USD Tranche by 50 basis points, from Term SOFR plus 3.00% to Term SOFR plus 2.50%.</w:t>
      </w:r>
    </w:p>
    <w:p>
      <w:pPr>
        <w:spacing w:after="0" w:line="14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No other material changes were made to the terms of the Term Loan B or the Restated Credit Agreement, and the maturity date of the Term Loan B is still May 17, 2028. For the year ended June 30, 2025, we recognized a loss on extinguishment of debt as part of this refinancing of $696.</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Restated Credit Agreement consists of the following as of June 30, 2025:</w:t>
      </w:r>
    </w:p>
    <w:p>
      <w:pPr>
        <w:spacing w:after="0" w:line="117"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18"/>
          <w:szCs w:val="18"/>
          <w:color w:val="auto"/>
        </w:rPr>
        <w:t>a $1,072,818 USD Tranche that bears interest at Term SOFR (with a Term SOFR rate floor of 0.50%) plus 2.50%, and</w:t>
      </w:r>
    </w:p>
    <w:p>
      <w:pPr>
        <w:spacing w:after="0" w:line="26" w:lineRule="exact"/>
        <w:rPr>
          <w:rFonts w:ascii="Arial" w:cs="Arial" w:eastAsia="Arial" w:hAnsi="Arial"/>
          <w:sz w:val="20"/>
          <w:szCs w:val="20"/>
          <w:color w:val="auto"/>
        </w:rPr>
      </w:pPr>
    </w:p>
    <w:p>
      <w:pPr>
        <w:ind w:left="660" w:right="200" w:hanging="328"/>
        <w:spacing w:after="0" w:line="26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$250,000 senior secured revolving credit facility with a maturity date of September 26, 2029 (the “Revolving Credit Facility”), with no outstanding borrowings for any periods presented.</w:t>
      </w:r>
    </w:p>
    <w:p>
      <w:pPr>
        <w:ind w:left="1300" w:right="120" w:hanging="320"/>
        <w:spacing w:after="0" w:line="253" w:lineRule="auto"/>
        <w:tabs>
          <w:tab w:leader="none" w:pos="1296" w:val="left"/>
        </w:tabs>
        <w:numPr>
          <w:ilvl w:val="1"/>
          <w:numId w:val="48"/>
        </w:numPr>
        <w:rPr>
          <w:rFonts w:ascii="Arial" w:cs="Arial" w:eastAsia="Arial" w:hAnsi="Arial"/>
          <w:sz w:val="18"/>
          <w:szCs w:val="18"/>
          <w:color w:val="auto"/>
        </w:rPr>
      </w:pPr>
      <w:r>
        <w:rPr>
          <w:rFonts w:ascii="Arial" w:cs="Arial" w:eastAsia="Arial" w:hAnsi="Arial"/>
          <w:sz w:val="18"/>
          <w:szCs w:val="18"/>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182"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163"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As of June 30, 2025, the weighted-average interest rate on outstanding borrowings under the Restated Credit Agreement was 6.43%, inclusive of interest rate swap rates. We are also required to pay a commitment fee for our Revolving Credit Facility on unused balances of 0.30% to 0.45% depending on our First Lien Leverage Ratio. We have pledged the assets and/or share capital of a number of our subsidiaries as collateral under our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Senior Notes</w:t>
      </w:r>
    </w:p>
    <w:p>
      <w:pPr>
        <w:spacing w:after="0" w:line="16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On September 26, 2024, we completed a private placement of $525,000 in aggregate principal amount of 7.375% senior unsecured notes due September 15, 2032 (the "2032 Notes"). We issued the 2032 Notes pursuant to a senior notes indenture dated as of September 26, 2024, among Cimpress plc, our subsidiary guarantors, and U.S Bank Trust Company, as trustee (the "Indenture"). We used the net proceeds from the 2032 Notes, together with cash on hand, to redeem all of the outstanding 7.0% senior unsecured notes due 2026 (the "2026 Notes") at a redemption price equal to par of the principal amount, to pay all accrued unpaid interest thereon, and to pay all fees and expenses related to the redemption and offering. For the year ended June 30, 2025, we recognized a gain on the extinguishment of debt as part of this refinancing of $198.</w:t>
      </w:r>
    </w:p>
    <w:p>
      <w:pPr>
        <w:spacing w:after="0" w:line="129"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 2032 Notes bear interest at a rate of 7.375% per annum and mature on September 15, 2032. Interest on the 2032 Notes is payable semi-annually on March 15 and September 15 of each year, commencing on March 15, 2025, to the holders of record of the 2032 Notes at the close of business on March 1 or September 1, respectively, preceding such interest payment date.</w:t>
      </w:r>
    </w:p>
    <w:p>
      <w:pPr>
        <w:spacing w:after="0" w:line="117"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2032 Notes are senior unsecured obligations and rank equally in right of payment to all our existing and future senior unsecured debt and senior in right of payment to all of our existing and future subordinated debt. The 2032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guarantees the 2032 Notes.</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Indenture under which the 2032 Notes are issued contains various covenants, including covenants that, subject to certain exceptions, limit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any time prior to September 15, 2027, we may redeem some or all of the 2032 Notes at a redemption price equal to 100% of the principal amount redeemed, plus a make-whole amount as set forth in the Indenture, plus, in each case, accrued and unpaid interest and Additional Amounts (as defined in the Indenture), if any, to, but not including, the redemption date. In addition, at any time prior to September 15, 2027, Cimpress may on any one or more occasions redeem up to 40% of the original aggregate principal amount of the Notes with the net proceeds of certain equity offerings by Cimpress at a redemption price equal to 107.375% of the principal amount thereof, plus accrued and unpaid interest and Additional Amounts, if any (which accrued and unpaid interest and Additional Amounts need not be funded with such proceeds), to, but not including, the redemption date. At any time on or after September 15, 2027, Cimpress may redeem some or all of the Notes at the redemption prices specified in the Indenture, plus accrued and unpaid interest and Additional Amounts, if any, to, but not including, the redemption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19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June 30, 2025 and June 30, 2024, we had $6,695 and $9,845, respectively, outstanding for those obligations that are payable through September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Deficit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fiscal year 2020, in conjunction with our issuance of our 12% Senior Secured Notes due 2025, which we subsequently redeemed in fiscal year 2021, we also issued 7-year warrants to purchase 1,055,377 ordinary shares of Cimpress, representing approximately 3.875% of our outstanding diluted ordinary shares at the time of issuance. The warrants, which currently remain outstanding,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4" w:right="359" w:bottom="1440" w:gutter="0" w:footer="0" w:header="0"/>
        </w:sectPr>
      </w:pPr>
    </w:p>
    <w:bookmarkStart w:id="78" w:name="page79"/>
    <w:bookmarkEnd w:id="78"/>
    <w:p>
      <w:pPr>
        <w:ind w:right="260" w:firstLine="648"/>
        <w:spacing w:after="0" w:line="268" w:lineRule="auto"/>
        <w:rPr>
          <w:sz w:val="20"/>
          <w:szCs w:val="20"/>
          <w:color w:val="auto"/>
        </w:rPr>
      </w:pPr>
      <w:r>
        <w:rPr>
          <w:rFonts w:ascii="Arial" w:cs="Arial" w:eastAsia="Arial" w:hAnsi="Arial"/>
          <w:sz w:val="18"/>
          <w:szCs w:val="18"/>
          <w:color w:val="auto"/>
        </w:rPr>
        <w:t>The fair value used for the warrants in this allocation was calculated using the Monte Carlo valuation model. The valuation of the notes and warrants resulted in a carrying value allocated to the warrants of $22,432, which, in addition to being accounted for as an equity instrument recorded in additional paid in capital, was included as a discount to the 12% Senior Secured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w:t>
      </w:r>
    </w:p>
    <w:p>
      <w:pPr>
        <w:spacing w:after="0" w:line="250" w:lineRule="exact"/>
        <w:rPr>
          <w:sz w:val="20"/>
          <w:szCs w:val="20"/>
          <w:color w:val="auto"/>
        </w:rPr>
      </w:pPr>
    </w:p>
    <w:p>
      <w:pPr>
        <w:jc w:val="both"/>
        <w:ind w:right="300" w:firstLine="648"/>
        <w:spacing w:after="0" w:line="252" w:lineRule="auto"/>
        <w:rPr>
          <w:sz w:val="20"/>
          <w:szCs w:val="20"/>
          <w:color w:val="auto"/>
        </w:rPr>
      </w:pPr>
      <w:r>
        <w:rPr>
          <w:rFonts w:ascii="Arial" w:cs="Arial" w:eastAsia="Arial" w:hAnsi="Arial"/>
          <w:sz w:val="18"/>
          <w:szCs w:val="18"/>
          <w:color w:val="auto"/>
        </w:rPr>
        <w:t>On November 25, 2020, our shareholders approved our 2020 Equity Incentive Plan (the "2020 Plan"). Upon approval, we ceased granting new awards under any of our prior equity plans – the 2016 Performance Equity Plan, 2011 Equity Incentive Plan, and 2005 Non-Employee Directors' Share Option Plan, and we now grant all equity awards under the 2020 Plan. Some awards previously granted under the former plans remain outstanding and are governed by their original terms.</w:t>
      </w:r>
    </w:p>
    <w:p>
      <w:pPr>
        <w:spacing w:after="0" w:line="21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2020 Plan allows us to grant share options, share appreciation rights, restricted shares, restricted share units, other share-based awards, and dividend equivalent rights to our employees, officers, non-employee directors, consultants, and advisors. The maximum number of ordinary shares authorized for issuance under the 2020 Plan is 7,500,000, plus an additional number of shares equal to the number of PSUs outstanding under the 2016 Performance Equity Plan that expire, terminate, or are otherwise surrendered, canceled, or forfeited.</w:t>
      </w:r>
    </w:p>
    <w:p>
      <w:pPr>
        <w:spacing w:after="0" w:line="157"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As of June 30, 2025, 2,211,747 ordinary shares were available for future awards under our 2020 Plan. For PSUs where the performance condition has not been completed, we assumed that we would issue the maximum potential ordinary shares based on the terms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210"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During the prior fiscal year, we issued PSUs (the "2024 PSUs") as part of our long-term incentive program. The 2024 PSUs include both a service and performance condition. The performance condition for these awards was based on one-year financial targets for fiscal year 2024 revenue, adjusted EBITDA, and unlevered free cash flow. Actual shares issued for each grant could range from 0% to 160% of the number of 2024 PSUs granted based on the attainment of the performance condition.</w:t>
      </w:r>
    </w:p>
    <w:p>
      <w:pPr>
        <w:spacing w:after="0" w:line="163"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During the current fiscal year, we issued PSUs (the "2025 PSUs") as part of our long-term incentive program. The 2025 PSUs include both a service and performance condition. The performance condition for these awards is based on one-year financial targets for fiscal year 2025 revenue, adjusted EBITDA, and unlevered free cash flow. On May 23, 2025, the Compensation Committee of Cimpress' Board of Directors amended the terms of the 2025 PSUs to incorporate a minimum performance attainment of 60%, subject to the Compensation Committee's discretion to account for non-recurring items, that previously had been 0%. The change of terms impacted all</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276 PSU grant recipients for the 2025 PSUs with awards outstanding as of the modification date. The modification resulted in incremental compensation expense of $4.8 million from the awards for which estimated attainment as of the modification date was below 60%. Actual shares issued for each grant will range from 60% to 160% of the number of 2025 PSUs granted based on the attainment of the performance condition, subject to the Compensation Committee's discretion to account for non-recurring items. The final measurement of the performance condition will occur during the first quarter of fiscal year 2026.</w:t>
      </w:r>
    </w:p>
    <w:p>
      <w:pPr>
        <w:spacing w:after="0" w:line="1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All other outstanding PSUs entitle the recipient to receive Cimpress ordinary shares between 0% and 250% of the number of units, based upon service vesting requirements and the achievement of a compounded annual growth rate target based on Cimpress' three-year moving average share price. PSU awards with a grant date prior to fiscal year 2020 and PSU awards granted before fiscal year 2025 to our Chief Executive Officer and Board of Directors are assessed for achievement annually in years 6 - 10 following the grant date and awards with a grant date in or after fiscal year 2020 and before fiscal year 2025 (other than to the CEO and Board) will be assessed annually for achievement in years 4 - 8 following the grant date.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2025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13"/>
                <w:szCs w:val="13"/>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93"/>
              </w:rPr>
              <w:t>Average</w:t>
            </w:r>
          </w:p>
        </w:tc>
        <w:tc>
          <w:tcPr>
            <w:tcW w:w="2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14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PSUs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Grant Date Fair</w:t>
            </w:r>
          </w:p>
        </w:tc>
        <w:tc>
          <w:tcPr>
            <w:tcW w:w="260" w:type="dxa"/>
            <w:vAlign w:val="bottom"/>
          </w:tcPr>
          <w:p>
            <w:pPr>
              <w:spacing w:after="0"/>
              <w:rPr>
                <w:sz w:val="10"/>
                <w:szCs w:val="10"/>
                <w:color w:val="auto"/>
              </w:rPr>
            </w:pPr>
          </w:p>
        </w:tc>
        <w:tc>
          <w:tcPr>
            <w:tcW w:w="1200" w:type="dxa"/>
            <w:vAlign w:val="bottom"/>
          </w:tcPr>
          <w:p>
            <w:pPr>
              <w:jc w:val="center"/>
              <w:ind w:right="193"/>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4"/>
        </w:trPr>
        <w:tc>
          <w:tcPr>
            <w:tcW w:w="66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Value</w:t>
            </w:r>
          </w:p>
        </w:tc>
        <w:tc>
          <w:tcPr>
            <w:tcW w:w="260" w:type="dxa"/>
            <w:vAlign w:val="bottom"/>
          </w:tcPr>
          <w:p>
            <w:pPr>
              <w:spacing w:after="0"/>
              <w:rPr>
                <w:sz w:val="15"/>
                <w:szCs w:val="15"/>
                <w:color w:val="auto"/>
              </w:rPr>
            </w:pPr>
          </w:p>
        </w:tc>
        <w:tc>
          <w:tcPr>
            <w:tcW w:w="1200" w:type="dxa"/>
            <w:vAlign w:val="bottom"/>
          </w:tcPr>
          <w:p>
            <w:pPr>
              <w:jc w:val="center"/>
              <w:ind w:right="19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1"/>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1,934,853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109.48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685,291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70.22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end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2,260,459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106.93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106,242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weighted average fair value of PSUs granted during the fiscal years ended June 30, 2025, 2024, and 2023 was $80.80,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$70.21, and $17.61, respectively. The total intrinsic value of PSUs outstanding as of June 30, 2025, 2024, and 2023 was $106,242,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$169,512, and $83,376, respectively. The total intrinsic value of PSUs assumes that the performance condition is met at target; however, it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that a portion or all of these PSUs granted before fiscal year 2024 will not achieve the associated market condition. As of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 the number of shares subject to PSUs included in the table above assumes the issuance of one share for each PSU, but based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terms of each program as described above, the actual issuance of shares could range from a minimum of 685,084 shares to a maximum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4,623,522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0" w:lineRule="exact"/>
        <w:rPr>
          <w:sz w:val="20"/>
          <w:szCs w:val="20"/>
          <w:color w:val="auto"/>
        </w:rPr>
      </w:pPr>
    </w:p>
    <w:p>
      <w:pPr>
        <w:jc w:val="both"/>
        <w:ind w:right="60" w:firstLine="197"/>
        <w:spacing w:after="0" w:line="287"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4 years.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2025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3"/>
                <w:szCs w:val="13"/>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left="413"/>
              <w:spacing w:after="0" w:line="122"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80" w:type="dxa"/>
            <w:vAlign w:val="bottom"/>
          </w:tcPr>
          <w:p>
            <w:pPr>
              <w:spacing w:after="0"/>
              <w:rPr>
                <w:sz w:val="10"/>
                <w:szCs w:val="10"/>
                <w:color w:val="auto"/>
              </w:rPr>
            </w:pPr>
          </w:p>
        </w:tc>
        <w:tc>
          <w:tcPr>
            <w:tcW w:w="14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RSUs</w:t>
            </w:r>
          </w:p>
        </w:tc>
        <w:tc>
          <w:tcPr>
            <w:tcW w:w="120" w:type="dxa"/>
            <w:vAlign w:val="bottom"/>
          </w:tcPr>
          <w:p>
            <w:pPr>
              <w:spacing w:after="0"/>
              <w:rPr>
                <w:sz w:val="10"/>
                <w:szCs w:val="10"/>
                <w:color w:val="auto"/>
              </w:rPr>
            </w:pPr>
          </w:p>
        </w:tc>
        <w:tc>
          <w:tcPr>
            <w:tcW w:w="14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Grant Date Fair</w:t>
            </w:r>
          </w:p>
        </w:tc>
        <w:tc>
          <w:tcPr>
            <w:tcW w:w="360" w:type="dxa"/>
            <w:vAlign w:val="bottom"/>
          </w:tcPr>
          <w:p>
            <w:pPr>
              <w:spacing w:after="0"/>
              <w:rPr>
                <w:sz w:val="10"/>
                <w:szCs w:val="10"/>
                <w:color w:val="auto"/>
              </w:rPr>
            </w:pPr>
          </w:p>
        </w:tc>
        <w:tc>
          <w:tcPr>
            <w:tcW w:w="1200" w:type="dxa"/>
            <w:vAlign w:val="bottom"/>
          </w:tcPr>
          <w:p>
            <w:pPr>
              <w:jc w:val="center"/>
              <w:ind w:right="193"/>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2"/>
              </w:rPr>
              <w:t>Value</w:t>
            </w: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center"/>
              <w:ind w:right="19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the beginning of the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1,103,713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62.59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377,492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83.71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(538,975)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65.61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62.84</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the end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865,881</w:t>
            </w:r>
          </w:p>
        </w:tc>
        <w:tc>
          <w:tcPr>
            <w:tcW w:w="1080" w:type="dxa"/>
            <w:vAlign w:val="bottom"/>
            <w:tcBorders>
              <w:bottom w:val="single" w:sz="8" w:color="CCEEFF"/>
            </w:tcBorders>
            <w:gridSpan w:val="2"/>
            <w:shd w:val="clear" w:color="auto" w:fill="CCEEFF"/>
          </w:tcPr>
          <w:p>
            <w:pPr>
              <w:jc w:val="right"/>
              <w:ind w:right="79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69.89</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40,696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The weighted average fair value of RSUs granted during the fiscal years ended June 30, 2025, 2024, and 2023 was $83.71, $71.42, and $44.25, respectively. The total intrinsic value of RSUs vested during the fiscal years ended June 30, 2025, 2024, and 2023 was $38,110, $47,661, and $13,544,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96"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We have granted options to purchase ordinary shares at prices that are at least equal to the fair market value of the shares on the date the option is granted and that generally vest over four years with a contractual term of ten years.</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We did not grant any share options in fiscal years 2025 or 2024. Weighted-average values used for option awards in fiscal year 2023 were as follows: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2"/>
        </w:trPr>
        <w:tc>
          <w:tcPr>
            <w:tcW w:w="9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ind w:right="424"/>
              <w:spacing w:after="0"/>
              <w:rPr>
                <w:sz w:val="20"/>
                <w:szCs w:val="20"/>
                <w:color w:val="auto"/>
              </w:rPr>
            </w:pPr>
            <w:r>
              <w:rPr>
                <w:rFonts w:ascii="Arial" w:cs="Arial" w:eastAsia="Arial" w:hAnsi="Arial"/>
                <w:sz w:val="13"/>
                <w:szCs w:val="13"/>
                <w:b w:val="1"/>
                <w:bCs w:val="1"/>
                <w:color w:val="auto"/>
              </w:rPr>
              <w:t>Year Ended June 30,</w:t>
            </w:r>
          </w:p>
        </w:tc>
      </w:tr>
      <w:tr>
        <w:trPr>
          <w:trHeight w:val="179"/>
        </w:trPr>
        <w:tc>
          <w:tcPr>
            <w:tcW w:w="9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2023</w:t>
            </w:r>
          </w:p>
        </w:tc>
      </w:tr>
      <w:tr>
        <w:trPr>
          <w:trHeight w:val="214"/>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61.99 %</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22.83</w:t>
            </w: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share option activity and related information for the year ended June 30, 2025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1"/>
                <w:szCs w:val="11"/>
                <w:color w:val="auto"/>
              </w:rPr>
            </w:pPr>
          </w:p>
        </w:tc>
        <w:tc>
          <w:tcPr>
            <w:tcW w:w="1120" w:type="dxa"/>
            <w:vAlign w:val="bottom"/>
            <w:vMerge w:val="restart"/>
          </w:tcPr>
          <w:p>
            <w:pPr>
              <w:jc w:val="center"/>
              <w:ind w:right="188"/>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320" w:type="dxa"/>
            <w:vAlign w:val="bottom"/>
            <w:vMerge w:val="restart"/>
          </w:tcPr>
          <w:p>
            <w:pPr>
              <w:jc w:val="right"/>
              <w:ind w:right="4"/>
              <w:spacing w:after="0"/>
              <w:rPr>
                <w:sz w:val="20"/>
                <w:szCs w:val="20"/>
                <w:color w:val="auto"/>
              </w:rPr>
            </w:pPr>
            <w:r>
              <w:rPr>
                <w:rFonts w:ascii="Arial" w:cs="Arial" w:eastAsia="Arial" w:hAnsi="Arial"/>
                <w:sz w:val="13"/>
                <w:szCs w:val="13"/>
                <w:b w:val="1"/>
                <w:bCs w:val="1"/>
                <w:color w:val="auto"/>
              </w:rPr>
              <w:t>Shares Pursuant to</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3"/>
              </w:rPr>
              <w:t>Average</w:t>
            </w:r>
          </w:p>
        </w:tc>
        <w:tc>
          <w:tcPr>
            <w:tcW w:w="14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7"/>
              </w:rPr>
              <w:t>Exercise</w:t>
            </w:r>
          </w:p>
        </w:tc>
        <w:tc>
          <w:tcPr>
            <w:tcW w:w="14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0"/>
                <w:szCs w:val="10"/>
                <w:color w:val="auto"/>
              </w:rPr>
            </w:pPr>
          </w:p>
        </w:tc>
        <w:tc>
          <w:tcPr>
            <w:tcW w:w="1120" w:type="dxa"/>
            <w:vAlign w:val="bottom"/>
          </w:tcPr>
          <w:p>
            <w:pPr>
              <w:jc w:val="center"/>
              <w:ind w:right="168"/>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320" w:type="dxa"/>
            <w:vAlign w:val="bottom"/>
          </w:tcPr>
          <w:p>
            <w:pPr>
              <w:jc w:val="right"/>
              <w:ind w:right="344"/>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Term (years)</w:t>
            </w:r>
          </w:p>
        </w:tc>
        <w:tc>
          <w:tcPr>
            <w:tcW w:w="24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1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338,593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46.39</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13,956</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(29,784)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Outstanding at the end of the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287,907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45.96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the end of the period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200,106</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intrinsic value in the table above represents the total pre-tax amount, net of exercise price, which would have been received if all option holders exercised in-the-money options on June 30, 2025</w:t>
      </w:r>
      <w:r>
        <w:rPr>
          <w:rFonts w:ascii="Arial" w:cs="Arial" w:eastAsia="Arial" w:hAnsi="Arial"/>
          <w:sz w:val="18"/>
          <w:szCs w:val="18"/>
          <w:color w:val="EE2724"/>
        </w:rPr>
        <w:t>.</w:t>
      </w:r>
      <w:r>
        <w:rPr>
          <w:rFonts w:ascii="Arial" w:cs="Arial" w:eastAsia="Arial" w:hAnsi="Arial"/>
          <w:sz w:val="18"/>
          <w:szCs w:val="18"/>
          <w:color w:val="auto"/>
        </w:rPr>
        <w:t xml:space="preserve"> The total intrinsic value of options exercised during the fiscal years ended June 30, 2025, 2024, and 2023 was $1,318, $1,816 and $41,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96"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Total share-based compensation costs were $58,879, $65,584, and $42,122 for the years ended June 30, 2025, 2024, and 2023, respectively, and we recognize the impact of forfeitures as they occur. Share-based compensation costs capitalized as part of software and website development costs were $3,808, $3,160, and $1,879 for the years ended June 30, 2025, 2024, and 2023, respectively.</w:t>
      </w:r>
    </w:p>
    <w:p>
      <w:pPr>
        <w:spacing w:after="0" w:line="15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For the years ended June 30, 2025, 2024, and 2023, we recognized tax benefits on total share-based compensation costs, as part of income tax expense (benefit) of $10,797, $11,970, and $7,649, respectively. For the years ended June 30, 2025, 2024, and 2023, tax benefit (expense) related to awards vested or exercised was $426, $1,190, and ($2,514), respectively.</w:t>
      </w:r>
    </w:p>
    <w:p>
      <w:pPr>
        <w:spacing w:after="0" w:line="15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As of June 30, 2025, there was $68,370 of total unrecognized compensation cost related to non-vested, share-based compensation arrangements. This cost is expected to be recognized over a weighted average period of 1.8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retirement of ordinary shares</w:t>
      </w:r>
    </w:p>
    <w:p>
      <w:pPr>
        <w:spacing w:after="0" w:line="21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During the year ended June 30, 2025, we repurchased 1,193,355 of our ordinary shares for $77,775. The shares were immediately retired after repurchase and therefore have been classified as authorized and unissued shares as of June 30, 2025. The retirement of the repurchased ordinary shares resulted in a reduction in ordinary shares of $13, as well as a reduction to additional paid in capital and retained earnings of $16,608 and $61,154,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11. Employees' Savings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9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w:t>
      </w:r>
    </w:p>
    <w:p>
      <w:pPr>
        <w:spacing w:after="0" w:line="163"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We expensed $18,706, $17,100, and $16,061 for our government-mandated and defined contribution plans in the years ended June 30, 2025, 2024, and 2023,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a defined benefit plan that covers substantially all of our employees in Switzerland. Our plan is a government-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mandated retirement fund with benefits generally earned based on years of service and compensation during active employment; however,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of benefits varies within the plan. Eligibility is determined in accordance with local statutory requirements. Under this plan, both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certain employees with annual earnings in excess of government determined amounts are required to make contributions into a fund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managed by an independent investment fiduciary. Employer contributions must be in an amount at least equal to the employee’s contribution.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Minimum employee contributions are based on the respective employee’s age, salary, and gender. As of June 30, 2025 and 2024,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had an unfunded net pension obligation of approximately $1,988 and $1,426, respectively, and plan assets, which totaled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$7,494 and $5,800, respectively. For the years ended June 30, 2025, 2024, and 2023 we recognized expense totaling $423, $438, and $282,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respectively, related to our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income (loss) before income taxes by geography: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2023</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(35,508)</w:t>
            </w:r>
          </w:p>
        </w:tc>
      </w:tr>
      <w:tr>
        <w:trPr>
          <w:trHeight w:val="21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152,154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5,286</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96,959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128,446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(benefit) provision for income taxes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2023</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60" w:type="dxa"/>
            <w:vAlign w:val="bottom"/>
          </w:tcPr>
          <w:p>
            <w:pPr>
              <w:ind w:left="480"/>
              <w:spacing w:after="0"/>
              <w:rPr>
                <w:sz w:val="20"/>
                <w:szCs w:val="20"/>
                <w:color w:val="auto"/>
              </w:rPr>
            </w:pPr>
            <w:r>
              <w:rPr>
                <w:rFonts w:ascii="Arial" w:cs="Arial" w:eastAsia="Arial" w:hAnsi="Arial"/>
                <w:sz w:val="16"/>
                <w:szCs w:val="16"/>
                <w:color w:val="auto"/>
              </w:rPr>
              <w:t>U.S. Federal</w:t>
            </w:r>
          </w:p>
        </w:tc>
        <w:tc>
          <w:tcPr>
            <w:tcW w:w="880" w:type="dxa"/>
            <w:vAlign w:val="bottom"/>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1,634</w:t>
            </w: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State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w:t>
            </w:r>
          </w:p>
        </w:tc>
      </w:tr>
      <w:tr>
        <w:trPr>
          <w:trHeight w:val="215"/>
        </w:trPr>
        <w:tc>
          <w:tcPr>
            <w:tcW w:w="66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Non-U.S.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42,235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42,458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39,792</w:t>
            </w:r>
          </w:p>
        </w:tc>
      </w:tr>
      <w:tr>
        <w:trPr>
          <w:trHeight w:val="210"/>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42,526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42,821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42,195</w:t>
            </w: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color w:val="auto"/>
              </w:rPr>
              <w:t>Deferred:</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Federal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3,522</w:t>
            </w:r>
          </w:p>
        </w:tc>
      </w:tr>
      <w:tr>
        <w:trPr>
          <w:trHeight w:val="215"/>
        </w:trPr>
        <w:tc>
          <w:tcPr>
            <w:tcW w:w="6660" w:type="dxa"/>
            <w:vAlign w:val="bottom"/>
          </w:tcPr>
          <w:p>
            <w:pPr>
              <w:ind w:left="480"/>
              <w:spacing w:after="0"/>
              <w:rPr>
                <w:sz w:val="20"/>
                <w:szCs w:val="20"/>
                <w:color w:val="auto"/>
              </w:rPr>
            </w:pPr>
            <w:r>
              <w:rPr>
                <w:rFonts w:ascii="Arial" w:cs="Arial" w:eastAsia="Arial" w:hAnsi="Arial"/>
                <w:sz w:val="16"/>
                <w:szCs w:val="16"/>
                <w:color w:val="auto"/>
              </w:rPr>
              <w:t>U.S. State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465</w:t>
            </w: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Non-U.S.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43,390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109,311</w:t>
            </w:r>
          </w:p>
        </w:tc>
      </w:tr>
      <w:tr>
        <w:trPr>
          <w:trHeight w:val="209"/>
        </w:trPr>
        <w:tc>
          <w:tcPr>
            <w:tcW w:w="66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deferred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41,581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113,298</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84,107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155,493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50"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auto"/>
        </w:rPr>
        <w:t>Year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6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2023</w:t>
            </w: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federal statutory income tax rate</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effect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3.7</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rate differential on non-U.S. earnings</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(52.5)</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(457.2)</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interest expense</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(30.2)</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Change in entity status</w:t>
            </w:r>
          </w:p>
        </w:tc>
        <w:tc>
          <w:tcPr>
            <w:tcW w:w="1600" w:type="dxa"/>
            <w:vAlign w:val="bottom"/>
            <w:gridSpan w:val="3"/>
          </w:tcPr>
          <w:p>
            <w:pPr>
              <w:jc w:val="right"/>
              <w:ind w:right="12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4.0</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related items</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Goodwill impairment</w:t>
            </w:r>
          </w:p>
        </w:tc>
        <w:tc>
          <w:tcPr>
            <w:tcW w:w="1600" w:type="dxa"/>
            <w:vAlign w:val="bottom"/>
            <w:gridSpan w:val="3"/>
          </w:tcPr>
          <w:p>
            <w:pPr>
              <w:jc w:val="right"/>
              <w:ind w:right="12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(4.1)</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Irish foreign tax credit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21.4</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Tax on repatriated earnings</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(15.0)</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the extinguishment of debt</w:t>
            </w:r>
          </w:p>
        </w:tc>
        <w:tc>
          <w:tcPr>
            <w:tcW w:w="1600" w:type="dxa"/>
            <w:vAlign w:val="bottom"/>
            <w:gridSpan w:val="3"/>
            <w:shd w:val="clear" w:color="auto" w:fill="CCEEFF"/>
          </w:tcPr>
          <w:p>
            <w:pPr>
              <w:jc w:val="right"/>
              <w:ind w:right="1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Notional interest deduction (Italy)</w:t>
            </w:r>
          </w:p>
        </w:tc>
        <w:tc>
          <w:tcPr>
            <w:tcW w:w="1600" w:type="dxa"/>
            <w:vAlign w:val="bottom"/>
            <w:gridSpan w:val="3"/>
          </w:tcPr>
          <w:p>
            <w:pPr>
              <w:jc w:val="right"/>
              <w:ind w:right="1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2.6</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Patent box (Italy)</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Tax credits and incentives</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24.1</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Non-U.S. tax rate changes</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U.S. foreign-derived intangible income (FDII)</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2.7</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base erosion and anti-abuse tax (BEAT)</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Net tax benefit on intellectual property transfer</w:t>
            </w:r>
          </w:p>
        </w:tc>
        <w:tc>
          <w:tcPr>
            <w:tcW w:w="1600" w:type="dxa"/>
            <w:vAlign w:val="bottom"/>
            <w:gridSpan w:val="3"/>
          </w:tcPr>
          <w:p>
            <w:pPr>
              <w:jc w:val="right"/>
              <w:ind w:right="12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1.0</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loss carryforward expirations</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Business and withholding taxes</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(1.2)</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Uncertain tax positions</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Other non-deductible expenses</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(6.0)</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on unremitted earnings</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Changes to derivative instruments</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3.1</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 loss carryforward expirations</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Non-deductible intercompany debt forgiveness</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0.9</w:t>
            </w:r>
          </w:p>
        </w:tc>
      </w:tr>
      <w:tr>
        <w:trPr>
          <w:trHeight w:val="210"/>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560" w:type="dxa"/>
            <w:vAlign w:val="bottom"/>
          </w:tcPr>
          <w:p>
            <w:pPr>
              <w:jc w:val="right"/>
              <w:spacing w:after="0"/>
              <w:rPr>
                <w:sz w:val="20"/>
                <w:szCs w:val="20"/>
                <w:color w:val="auto"/>
              </w:rPr>
            </w:pPr>
            <w:r>
              <w:rPr>
                <w:rFonts w:ascii="Arial" w:cs="Arial" w:eastAsia="Arial" w:hAnsi="Arial"/>
                <w:sz w:val="16"/>
                <w:szCs w:val="16"/>
                <w:color w:val="auto"/>
              </w:rPr>
              <w:t>86.7 %</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(38.4)%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(514.5)%</w:t>
            </w:r>
          </w:p>
        </w:tc>
      </w:tr>
      <w:tr>
        <w:trPr>
          <w:trHeight w:val="20"/>
        </w:trPr>
        <w:tc>
          <w:tcPr>
            <w:tcW w:w="6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effective tax rate reconciliation uses the U.S. statutory tax rate of 21% instead of the 12.5% statutory tax rate of Ireland, our country of domicile, as the U.S. is one of our most significant operating jurisdictions in terms of revenue, manufacturing and personnel, and management believes it is more meaningful to the readers of the financial statements.</w:t>
      </w:r>
    </w:p>
    <w:p>
      <w:pPr>
        <w:spacing w:after="0" w:line="182"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For the year ended June 30, 2025, our effective tax rate was above our U.S. federal statutory tax rate primarily due to a change in estimate for our Swiss valuation allowance on Swiss deferred tax assets related to Swiss tax reform benefits recognized in fiscal year 2020. During the fourth quarter of 2025 we recognized tax expense of $26,804 to adjust the partial valuation allowance in Switzerland to reflect the current estimated usage of these tax assets. We considered all available evidence, including the near-term impact of recent product-mix shifts in the Vista segment, the expectation of the timing of future taxable income, and the expiration of the tax assets.</w:t>
      </w:r>
    </w:p>
    <w:p>
      <w:pPr>
        <w:spacing w:after="0" w:line="203" w:lineRule="exact"/>
        <w:rPr>
          <w:sz w:val="20"/>
          <w:szCs w:val="20"/>
          <w:color w:val="auto"/>
        </w:rPr>
      </w:pPr>
    </w:p>
    <w:p>
      <w:pPr>
        <w:ind w:right="460" w:firstLine="648"/>
        <w:spacing w:after="0" w:line="251" w:lineRule="auto"/>
        <w:rPr>
          <w:sz w:val="20"/>
          <w:szCs w:val="20"/>
          <w:color w:val="auto"/>
        </w:rPr>
      </w:pPr>
      <w:r>
        <w:rPr>
          <w:rFonts w:ascii="Arial" w:cs="Arial" w:eastAsia="Arial" w:hAnsi="Arial"/>
          <w:sz w:val="17"/>
          <w:szCs w:val="17"/>
          <w:color w:val="auto"/>
        </w:rPr>
        <w:t>This is compared to a tax benefit of $105,765 in the year ended June 30, 2024 to partially release the full valuation allowance previously recorded in the quarter ended December 31, 2022. As some of these tax assets will expire prior to when they can be used, a</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partial valuation allowance remained against those expected to expire unused. The prior year release was based on cumulative income in Switzerland, current period and forecasted profits resulting in the ability to utilize some of these tax assets prior to their expiration.</w:t>
      </w:r>
    </w:p>
    <w:p>
      <w:pPr>
        <w:spacing w:after="0" w:line="194"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In addition, we had non-deductible interest expense and losses in certain jurisdictions for which we cannot recognize a tax benefit. The jurisdictions that have the most significant impact to our non-U.S. tax provision include Canada, Germany, India, Ireland, Italy, the Netherlands, Spain, and Switzerland. The applicable tax rates in these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3" w:name="page84"/>
    <w:bookmarkEnd w:id="83"/>
    <w:p>
      <w:pPr>
        <w:ind w:right="540"/>
        <w:spacing w:after="0" w:line="271" w:lineRule="auto"/>
        <w:rPr>
          <w:sz w:val="20"/>
          <w:szCs w:val="20"/>
          <w:color w:val="auto"/>
        </w:rPr>
      </w:pPr>
      <w:r>
        <w:rPr>
          <w:rFonts w:ascii="Arial" w:cs="Arial" w:eastAsia="Arial" w:hAnsi="Arial"/>
          <w:sz w:val="18"/>
          <w:szCs w:val="18"/>
          <w:color w:val="auto"/>
        </w:rPr>
        <w:t>jurisdictions range from 12.5% to 30%. The total tax rate impact from operating in non-U.S. jurisdictions is included in the line “Tax rate differential on non-U.S. earnings” in the above tax rate reconciliation table.</w:t>
      </w:r>
    </w:p>
    <w:p>
      <w:pPr>
        <w:spacing w:after="0" w:line="194" w:lineRule="exact"/>
        <w:rPr>
          <w:sz w:val="20"/>
          <w:szCs w:val="20"/>
          <w:color w:val="auto"/>
        </w:rPr>
      </w:pPr>
    </w:p>
    <w:p>
      <w:pPr>
        <w:ind w:firstLine="648"/>
        <w:spacing w:after="0" w:line="282" w:lineRule="auto"/>
        <w:rPr>
          <w:sz w:val="20"/>
          <w:szCs w:val="20"/>
          <w:color w:val="auto"/>
        </w:rPr>
      </w:pPr>
      <w:r>
        <w:rPr>
          <w:rFonts w:ascii="Arial" w:cs="Arial" w:eastAsia="Arial" w:hAnsi="Arial"/>
          <w:sz w:val="17"/>
          <w:szCs w:val="17"/>
          <w:color w:val="auto"/>
        </w:rPr>
        <w:t>For the year ended June 30, 2025, our effective tax rate was 86.7% as compared to the prior year effective tax rate of (38.4)%. The increase in our effective tax rate as compared to the prior year is primarily due to changes in the Swiss valuation allowance year over year as discussed above. Our fiscal year 2024 effective tax rate was higher than fiscal year 2023 primarily due to pre-tax income for the year ended June 30, 2024 as compared to a pre-tax loss for the year ended June 30, 2023 and changes in the Swiss valuation allowance year over year.</w:t>
      </w:r>
    </w:p>
    <w:p>
      <w:pPr>
        <w:spacing w:after="0" w:line="107"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As of June 30, 2025, we had a deferred tax asset of $141,872, gross of valuation allowance, related to Swiss tax-amortizable goodwill. During the year ended June 30, 2025, the Swiss tax-amortizable goodwill deferred tax asset increased due to currency exchange rate changes, offset by partial utilization.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2025 and 2024:</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Arial" w:cs="Arial" w:eastAsia="Arial" w:hAnsi="Arial"/>
                <w:sz w:val="13"/>
                <w:szCs w:val="13"/>
                <w:b w:val="1"/>
                <w:bCs w:val="1"/>
                <w:color w:val="auto"/>
              </w:rPr>
              <w:t>June 30, 2024</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Swiss tax-amortizable 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141,872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130,985</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operating loss carryforwards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66,572</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28,661</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15,572</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19,530</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Tax credit and other carryforwards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69,644</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U.S. Internal Revenue Code Section 174 capitalization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6,253</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limitation carryforwards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23,291</w:t>
            </w:r>
          </w:p>
        </w:tc>
      </w:tr>
      <w:tr>
        <w:trPr>
          <w:trHeight w:val="215"/>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w:t>
            </w:r>
          </w:p>
        </w:tc>
      </w:tr>
      <w:tr>
        <w:trPr>
          <w:trHeight w:val="210"/>
        </w:trPr>
        <w:tc>
          <w:tcPr>
            <w:tcW w:w="8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Subtotal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366,793</w:t>
            </w:r>
          </w:p>
        </w:tc>
      </w:tr>
      <w:tr>
        <w:trPr>
          <w:trHeight w:val="215"/>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(211,655)</w:t>
            </w:r>
          </w:p>
        </w:tc>
      </w:tr>
      <w:tr>
        <w:trPr>
          <w:trHeight w:val="210"/>
        </w:trPr>
        <w:tc>
          <w:tcPr>
            <w:tcW w:w="8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deferred tax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155,138</w:t>
            </w:r>
          </w:p>
        </w:tc>
      </w:tr>
      <w:tr>
        <w:trPr>
          <w:trHeight w:val="209"/>
        </w:trPr>
        <w:tc>
          <w:tcPr>
            <w:tcW w:w="81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(37,432)</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(24,797)</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on unremitted earnings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(7,984)</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(10,317)</w:t>
            </w:r>
          </w:p>
        </w:tc>
      </w:tr>
      <w:tr>
        <w:trPr>
          <w:trHeight w:val="209"/>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(84,780)</w:t>
            </w: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We have recorded a partial valuation allowance of $78,911 against the Swiss tax-amortizable goodwill deferred tax asset, which we can only benefit from through calendar year 2029 under our Swiss tax ruling. In addition, we have recorded valuation allowances of $51,300 against deferred tax assets related to tax losses in certain jurisdictions (mainly Australia, Bermuda, Brazil, Cyprus, France, Ireland, Japan, and the United Kingdom), $29,796 against interest limitation carryforwards (mainly the Netherlands and the U.S.), and $31,339 against Irish foreign tax credits, for which management has determined that it is more likely than not that these will not be realized. Many of the tax losses, the interest limitation carryforwards and the foreign tax credit carryforwards do not expire, but management has determined it is more likely than not that these will not be utilized. We will continue to assess the realization of the deferred tax assets based on operating results on a quarterly basis.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the valuation allowance for the year ended June 30, 2025 is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4" w:name="page85"/>
    <w:bookmarkEnd w:id="84"/>
    <w:p>
      <w:pPr>
        <w:ind w:left="40"/>
        <w:spacing w:after="0"/>
        <w:rPr>
          <w:sz w:val="20"/>
          <w:szCs w:val="20"/>
          <w:color w:val="auto"/>
        </w:rPr>
      </w:pPr>
      <w:r>
        <w:rPr>
          <w:rFonts w:ascii="Arial" w:cs="Arial" w:eastAsia="Arial" w:hAnsi="Arial"/>
          <w:sz w:val="16"/>
          <w:szCs w:val="16"/>
          <w:color w:val="auto"/>
        </w:rPr>
        <w:t>Balance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ind w:left="780" w:hanging="780"/>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211,655</w:t>
      </w:r>
    </w:p>
    <w:p>
      <w:pPr>
        <w:spacing w:after="0" w:line="3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12,455</w:t>
      </w:r>
    </w:p>
    <w:p>
      <w:pPr>
        <w:spacing w:after="0" w:line="3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24,257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17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6" w:lineRule="exact"/>
        <w:rPr>
          <w:sz w:val="20"/>
          <w:szCs w:val="20"/>
          <w:color w:val="auto"/>
        </w:rPr>
      </w:pPr>
    </w:p>
    <w:p>
      <w:pPr>
        <w:ind w:left="760" w:hanging="760"/>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248,367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17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9175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9080" w:space="720"/>
            <w:col w:w="1400"/>
          </w:cols>
          <w:pgMar w:left="320" w:top="1030" w:right="379" w:bottom="1440" w:gutter="0" w:footer="0" w:header="0"/>
        </w:sectPr>
      </w:pPr>
    </w:p>
    <w:p>
      <w:pPr>
        <w:ind w:left="260" w:right="180" w:hanging="252"/>
        <w:spacing w:after="0" w:line="273"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is primarily related to the partial increase of the Swiss valuation allowance, losses in certain jurisdictions (mainly Bermuda and Brazil) and interest limitation carryforwards in certain jurisdictions (mainly the U.S.), offset by decreased Irish foreign tax credit carryforwards, tax loss expirations in certain jurisdictions (mainly Japan) and U.S. capital loss expirations.</w:t>
      </w:r>
    </w:p>
    <w:p>
      <w:pPr>
        <w:spacing w:after="0" w:line="58" w:lineRule="exact"/>
        <w:rPr>
          <w:rFonts w:ascii="Arial" w:cs="Arial" w:eastAsia="Arial" w:hAnsi="Arial"/>
          <w:sz w:val="14"/>
          <w:szCs w:val="14"/>
          <w:color w:val="auto"/>
        </w:rPr>
      </w:pPr>
    </w:p>
    <w:p>
      <w:pPr>
        <w:ind w:left="260" w:right="180" w:hanging="252"/>
        <w:spacing w:after="0" w:line="305"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is primarily related to increased deferred tax assets on non-U.S. net operating losses, Irish foreign tax credits, and Swiss tax-amortizable goodwill due to currency exchange rate changes, and unrealized losses on derivative financial instruments included in accumulated other comprehensive loss.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June 30, 2025, we had tax-effected U.S. state net operating losses of $1,604 that expire on various dates from fiscal year 2033 through fiscal year 2045 or with unlimited carryforward. We also had tax-effected non-U.S. net operating loss carryforwards of $ 57,873, with amounts expiring on various dates through fiscal year 2035 or having unlimited carryforward. In addition, we had $29,165 of tax credit carryforwards primarily related to U.S. federal and state research and development credits, which expire on various dates beginning in fiscal year 2030 or having unlimited carryforward. Lastly, we had $31,339 of Irish foreign tax credits with unlimited carryforward. The benefits of these carryforwards are dependent upon the generation of taxable income in the jurisdictions in which they arose.</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July 4, 2025, President Trump signed into law the One Big Beautiful Bill Act ("the Act"), which makes permanent several of the provisions enacted in 2017 as part of the Tax Cuts and Jobs Act that were set to expire at the end of 2025. Among other provisions, the Act reinstates 100% bonus depreciation, immediate expensing of U.S. research and development costs and modifies the calculation for the interest expense limitation under U.S. Internal Revenue Code §163(j). We are currently evaluating the full effects of the legislation but do not believe it will have a material impact on our financial statements.</w:t>
      </w:r>
    </w:p>
    <w:p>
      <w:pPr>
        <w:spacing w:after="0" w:line="1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As of June 30, 2025, no tax provision has been made for $93,756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$19,500 to $20,500 at that time. A cumulative deferred tax liability of $9,045 has been recorded attributable to undistributed earnings that we have deemed are not indefinitely reinvested. The remaining undistributed earnings of our subsidiaries are not deemed to be indefinitely reinvested and can be repatriated with no tax cost. Accordingly, there has been no provision for income or withholding taxes on these earnings.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0" w:right="379" w:bottom="1440" w:gutter="0" w:footer="0" w:header="0"/>
          <w:type w:val="continuous"/>
        </w:sectPr>
      </w:pPr>
    </w:p>
    <w:bookmarkStart w:id="85" w:name="page86"/>
    <w:bookmarkEnd w:id="85"/>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2,167</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June 30, 2023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15,624</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2024</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14,654</w:t>
            </w:r>
          </w:p>
        </w:tc>
      </w:tr>
      <w:tr>
        <w:trPr>
          <w:trHeight w:val="209"/>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5,272</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(7,506)</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9760" w:type="dxa"/>
            <w:vAlign w:val="bottom"/>
          </w:tcPr>
          <w:p>
            <w:pPr>
              <w:ind w:left="20"/>
              <w:spacing w:after="0"/>
              <w:rPr>
                <w:sz w:val="20"/>
                <w:szCs w:val="20"/>
                <w:color w:val="auto"/>
              </w:rPr>
            </w:pPr>
            <w:r>
              <w:rPr>
                <w:rFonts w:ascii="Arial" w:cs="Arial" w:eastAsia="Arial" w:hAnsi="Arial"/>
                <w:sz w:val="16"/>
                <w:szCs w:val="16"/>
                <w:color w:val="auto"/>
              </w:rPr>
              <w:t>Balance June 30, 2025</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11,944</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year ended June 30, 2025, the amount of unrecognized tax benefits (exclusive of interest) that, if recognized, would impact the effective tax rate is $375. We recognize interest and, if applicable, penalties related to unrecognized tax benefits in income tax expense. The interest and penalties recognized as of years ended June 30, 2025, 2024, and 2023 were $17, $2,394, and $1,924, respectively. It is reasonably possible that a further change in unrecognized tax benefits in the range of $350 to $450 may occur within the next twelve months related to the settlement of one or more audits or the lapse of applicable statutes of limitations. We believe we have appropriately provided for all tax uncertainties.</w:t>
      </w:r>
    </w:p>
    <w:p>
      <w:pPr>
        <w:spacing w:after="0" w:line="182"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2014 through 2025 remain open for examination by the United States Internal Revenue Service and the years 2015 through 2025 remain open for examination in the various states and non-U.S. tax jurisdictions in which we file tax returns.</w:t>
      </w:r>
    </w:p>
    <w:p>
      <w:pPr>
        <w:spacing w:after="0" w:line="19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203" w:lineRule="exact"/>
        <w:rPr>
          <w:sz w:val="20"/>
          <w:szCs w:val="20"/>
          <w:color w:val="auto"/>
        </w:rPr>
      </w:pPr>
    </w:p>
    <w:p>
      <w:pPr>
        <w:ind w:right="8020" w:firstLine="8"/>
        <w:spacing w:after="0" w:line="453" w:lineRule="auto"/>
        <w:tabs>
          <w:tab w:leader="none" w:pos="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Redeemable Noncontrolling Interests</w:t>
      </w:r>
    </w:p>
    <w:p>
      <w:pPr>
        <w:spacing w:after="0" w:line="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Redeemable</w:t>
            </w:r>
          </w:p>
        </w:tc>
        <w:tc>
          <w:tcPr>
            <w:tcW w:w="14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w w:val="99"/>
              </w:rPr>
              <w:t>Noncontrolling</w:t>
            </w:r>
          </w:p>
        </w:tc>
        <w:tc>
          <w:tcPr>
            <w:tcW w:w="0" w:type="dxa"/>
            <w:vAlign w:val="bottom"/>
          </w:tcPr>
          <w:p>
            <w:pPr>
              <w:spacing w:after="0"/>
              <w:rPr>
                <w:sz w:val="1"/>
                <w:szCs w:val="1"/>
                <w:color w:val="auto"/>
              </w:rPr>
            </w:pPr>
          </w:p>
        </w:tc>
      </w:tr>
      <w:tr>
        <w:trPr>
          <w:trHeight w:val="122"/>
        </w:trPr>
        <w:tc>
          <w:tcPr>
            <w:tcW w:w="8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Noncontrolling</w:t>
            </w: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213"/>
        </w:trPr>
        <w:tc>
          <w:tcPr>
            <w:tcW w:w="8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recognized in net income attributable to noncontrolling interests (1)</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 noncontrolling interests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6"/>
                <w:szCs w:val="16"/>
                <w:color w:val="auto"/>
              </w:rPr>
              <w:t>Purchase of noncontrolling interest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adjustments (2)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Acquisition of noncontrolling interest (3)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 (4)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5" w:lineRule="exact"/>
        <w:rPr>
          <w:sz w:val="20"/>
          <w:szCs w:val="20"/>
          <w:color w:val="auto"/>
        </w:rPr>
      </w:pPr>
    </w:p>
    <w:p>
      <w:pPr>
        <w:ind w:left="260" w:right="240" w:hanging="252"/>
        <w:spacing w:after="0" w:line="261"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 w:lineRule="exact"/>
        <w:rPr>
          <w:rFonts w:ascii="Arial" w:cs="Arial" w:eastAsia="Arial" w:hAnsi="Arial"/>
          <w:sz w:val="14"/>
          <w:szCs w:val="14"/>
          <w:color w:val="auto"/>
        </w:rPr>
      </w:pPr>
    </w:p>
    <w:p>
      <w:pPr>
        <w:ind w:left="260" w:right="140" w:hanging="252"/>
        <w:spacing w:after="0" w:line="254"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fiscal year 2024, we identified an immaterial error in the initial purchase accounting related to the noncontrolling interest of a previously acquired business. This was corrected in the prior period resulting in an increase to redeemable noncontrolling interests of $7,319. This adjustment was immaterial to the prior and current period financial statements.</w:t>
      </w:r>
    </w:p>
    <w:p>
      <w:pPr>
        <w:spacing w:after="0" w:line="1" w:lineRule="exact"/>
        <w:rPr>
          <w:rFonts w:ascii="Arial" w:cs="Arial" w:eastAsia="Arial" w:hAnsi="Arial"/>
          <w:sz w:val="14"/>
          <w:szCs w:val="14"/>
          <w:color w:val="auto"/>
        </w:rPr>
      </w:pPr>
    </w:p>
    <w:p>
      <w:pPr>
        <w:ind w:left="260" w:right="60" w:hanging="252"/>
        <w:spacing w:after="0" w:line="261"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fiscal year 2025, we completed the acquisition of an immaterial business that is part of our PrintBrothers reportable segment. This represents the estimated fair value of the noncontrolling interest upon acquisition.</w:t>
      </w:r>
    </w:p>
    <w:p>
      <w:pPr>
        <w:jc w:val="both"/>
        <w:ind w:left="260" w:right="360" w:hanging="252"/>
        <w:spacing w:after="0" w:line="262"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the current fiscal year, we purchased 49% of the remaining equity interest in one of the smaller businesses previously acquired and included in our PrintBrothers reportable segment for a total purchase price of $4,579, which consisted of $4,058 of cash paid at closing, and $521 of a deferred payment that is payable in fiscal year 2029.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12"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Our CODM manages our business primarily by reviewing consolidated results by segment as part of the quarterly reporting process using EBITDA to assess performance and allocate resources to our segments.</w:t>
      </w:r>
    </w:p>
    <w:p>
      <w:pPr>
        <w:spacing w:after="0" w:line="149"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As of June 30, 2025, we have numerous operating segments under our management reporting structure, which are reported in the following five reportable segments:</w:t>
      </w:r>
    </w:p>
    <w:p>
      <w:pPr>
        <w:spacing w:after="0" w:line="139" w:lineRule="exact"/>
        <w:rPr>
          <w:sz w:val="20"/>
          <w:szCs w:val="20"/>
          <w:color w:val="auto"/>
        </w:rPr>
      </w:pPr>
    </w:p>
    <w:p>
      <w:pPr>
        <w:ind w:left="660" w:right="360" w:hanging="328"/>
        <w:spacing w:after="0" w:line="26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Vista </w:t>
      </w:r>
      <w:r>
        <w:rPr>
          <w:rFonts w:ascii="Arial" w:cs="Arial" w:eastAsia="Arial" w:hAnsi="Arial"/>
          <w:sz w:val="18"/>
          <w:szCs w:val="18"/>
          <w:color w:val="auto"/>
        </w:rPr>
        <w:t>- Consists of the operations of our VistaPrint branded websites in North America, Western Europe, Australia,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India, 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spacing w:after="0" w:line="162"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PrintBrothers </w:t>
      </w:r>
      <w:r>
        <w:rPr>
          <w:rFonts w:ascii="Arial" w:cs="Arial" w:eastAsia="Arial" w:hAnsi="Arial"/>
          <w:sz w:val="18"/>
          <w:szCs w:val="18"/>
          <w:color w:val="auto"/>
        </w:rPr>
        <w:t>- Includes the results of druck.at, Printdeal, and WIRmachenDRUCK, a group of Upload &amp; Print businesses that serve</w:t>
      </w:r>
      <w:r>
        <w:rPr>
          <w:rFonts w:ascii="Arial" w:cs="Arial" w:eastAsia="Arial" w:hAnsi="Arial"/>
          <w:sz w:val="18"/>
          <w:szCs w:val="18"/>
          <w:i w:val="1"/>
          <w:iCs w:val="1"/>
          <w:color w:val="auto"/>
        </w:rPr>
        <w:t xml:space="preserve"> </w:t>
      </w:r>
      <w:r>
        <w:rPr>
          <w:rFonts w:ascii="Arial" w:cs="Arial" w:eastAsia="Arial" w:hAnsi="Arial"/>
          <w:sz w:val="18"/>
          <w:szCs w:val="18"/>
          <w:color w:val="auto"/>
        </w:rPr>
        <w:t>graphic professionals throughout Europe, primarily in Austria, Belgium, Germany, the Netherlands, and Switzerland.</w:t>
      </w:r>
    </w:p>
    <w:p>
      <w:pPr>
        <w:spacing w:after="0" w:line="125"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The Print Group </w:t>
      </w:r>
      <w:r>
        <w:rPr>
          <w:rFonts w:ascii="Arial" w:cs="Arial" w:eastAsia="Arial" w:hAnsi="Arial"/>
          <w:sz w:val="18"/>
          <w:szCs w:val="18"/>
          <w:color w:val="auto"/>
        </w:rPr>
        <w:t>- Includes the results of Easyflyer, Exaprint, Packstyle, Pixartprinting, and Tradeprint, a group of Upload &amp; Print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that serve graphic professionals throughout Europe, primarily in France, Italy, Spain, and the United Kingdom. During fiscal year 2025, Pixartprinting expanded their operations to the U.S., launching a new Pixartprinting branded website and opening a new production facility that started fulfilling orders in March 2025.</w:t>
      </w:r>
    </w:p>
    <w:p>
      <w:pPr>
        <w:spacing w:after="0" w:line="162"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Serves small businesses across geographies including North America, Europe, and Australia. The pens.com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sells through their ecommerce site and is supported by digital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7" w:name="page88"/>
    <w:bookmarkEnd w:id="87"/>
    <w:p>
      <w:pPr>
        <w:ind w:left="660" w:right="340"/>
        <w:spacing w:after="0" w:line="287" w:lineRule="auto"/>
        <w:rPr>
          <w:sz w:val="20"/>
          <w:szCs w:val="20"/>
          <w:color w:val="auto"/>
        </w:rPr>
      </w:pPr>
      <w:r>
        <w:rPr>
          <w:rFonts w:ascii="Arial" w:cs="Arial" w:eastAsia="Arial" w:hAnsi="Arial"/>
          <w:sz w:val="18"/>
          <w:szCs w:val="18"/>
          <w:color w:val="auto"/>
        </w:rPr>
        <w:t>marketing methods as well as direct mail and telesales. National Pen focuses on customized writing instruments and promotional products, apparel, and gifts for small- and medium-sized businesses.</w:t>
      </w:r>
    </w:p>
    <w:p>
      <w:pPr>
        <w:spacing w:after="0" w:line="12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two businesses grouped together based on materiality.</w:t>
      </w:r>
    </w:p>
    <w:p>
      <w:pPr>
        <w:spacing w:after="0" w:line="63" w:lineRule="exact"/>
        <w:rPr>
          <w:rFonts w:ascii="Arial" w:cs="Arial" w:eastAsia="Arial" w:hAnsi="Arial"/>
          <w:sz w:val="18"/>
          <w:szCs w:val="18"/>
          <w:i w:val="1"/>
          <w:iCs w:val="1"/>
          <w:color w:val="auto"/>
        </w:rPr>
      </w:pPr>
    </w:p>
    <w:p>
      <w:pPr>
        <w:ind w:left="1300" w:hanging="320"/>
        <w:spacing w:after="0"/>
        <w:tabs>
          <w:tab w:leader="none" w:pos="130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BuildASign is a provider of canvas-print wall décor, business signage and other large-format printed products.</w:t>
      </w:r>
    </w:p>
    <w:p>
      <w:pPr>
        <w:spacing w:after="0" w:line="63"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Printi, a smaller business that is an online printing leader in Brazil.</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For purposes of measuring and reporting our segment financial performance, we implemented changes to the methodology used for inter-segment transactions during the first quarter of fiscal 2025. These transactions occur when one Cimpress business chooses to buy from or sell to another Cimpress business. Under the new approach, a merchant business (the buyer) is cross charged the actual cost of fulfillment that includes product (e.g., labor, materials and overhead allocation) and shipping costs. A fulfiller business (the seller) receives inter-segment revenue that includes the product costs plus a markup, as well as the shipping costs. The fulfiller profit is included in the fulfiller’s segment results, but eliminated from consolidated reporting through an inter-segment EBITDA elimination</w:t>
      </w:r>
      <w:r>
        <w:rPr>
          <w:rFonts w:ascii="Times New Roman" w:cs="Times New Roman" w:eastAsia="Times New Roman" w:hAnsi="Times New Roman"/>
          <w:sz w:val="16"/>
          <w:szCs w:val="16"/>
          <w:color w:val="auto"/>
        </w:rPr>
        <w:t>.</w:t>
      </w:r>
      <w:r>
        <w:rPr>
          <w:rFonts w:ascii="Arial" w:cs="Arial" w:eastAsia="Arial" w:hAnsi="Arial"/>
          <w:sz w:val="18"/>
          <w:szCs w:val="18"/>
          <w:color w:val="auto"/>
        </w:rPr>
        <w:t xml:space="preserve"> The new approach allows our merchant businesses to access the ultimate Cimpress cost of fulfillment for a given product and therefore that ultimate Cimpress cost can be used to determine pricing, advertising spend, and other operational decisions. Prior to this change, inter-segment transactions were based on marked-up pricing that resulted in the merchant business recognizing inter-segment cost of goods sold that was equal to inter-segment revenue that was recognized by the fulfiller business, and as such there was no inter-segment EBITDA elimination under our prior method. We have recast all prior periods presented for segment revenue and segment EBITDA to ensure comparability with the current fiscal year. These changes in methodology have no impact on our consolidated financial results.</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capital allocation, and the functions of our CEO and CFO. These costs also include certain unallocated share-based compensation costs.</w:t>
      </w:r>
    </w:p>
    <w:p>
      <w:pPr>
        <w:spacing w:after="0" w:line="169"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69"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regularly present to the CODM the purchases of property, plant and equipment and capitalization of software and website development costs, and therefore include that information in the tables below.</w:t>
      </w:r>
    </w:p>
    <w:p>
      <w:pPr>
        <w:spacing w:after="0" w:line="157"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2023</w:t>
            </w:r>
          </w:p>
        </w:tc>
      </w:tr>
      <w:tr>
        <w:trPr>
          <w:trHeight w:val="198"/>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Vista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1,824,271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1,742,494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1,614,798</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669,151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639,571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579,050</w:t>
            </w: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378,075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354,775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342,951</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406,764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389,027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365,804</w:t>
            </w:r>
          </w:p>
        </w:tc>
      </w:tr>
      <w:tr>
        <w:trPr>
          <w:trHeight w:val="215"/>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All Other Businesses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227,363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213,381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212,409</w:t>
            </w:r>
          </w:p>
        </w:tc>
      </w:tr>
      <w:tr>
        <w:trPr>
          <w:trHeight w:val="210"/>
        </w:trPr>
        <w:tc>
          <w:tcPr>
            <w:tcW w:w="6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segment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3,505,624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3,339,248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3,115,012</w:t>
            </w:r>
          </w:p>
        </w:tc>
      </w:tr>
      <w:tr>
        <w:trPr>
          <w:trHeight w:val="215"/>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Inter-segment eliminations (1)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(35,385)</w:t>
            </w:r>
          </w:p>
        </w:tc>
      </w:tr>
      <w:tr>
        <w:trPr>
          <w:trHeight w:val="235"/>
        </w:trPr>
        <w:tc>
          <w:tcPr>
            <w:tcW w:w="6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consolidated revenue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3,403,079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3,291,856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3,079,627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2025</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1,266,169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213,093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165,796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1,645,198</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1,626,429</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131,452</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31,872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102,545</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378,075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406,764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3,505,624</w:t>
            </w: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(102,545)</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1,821,001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664,109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351,803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374,892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3,403,079</w:t>
            </w:r>
          </w:p>
        </w:tc>
      </w:tr>
      <w:tr>
        <w:trPr>
          <w:trHeight w:val="21"/>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0"/>
        </w:trPr>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1,232,126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215,325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176,017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1,623,468</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1,541,635</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126,753</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47,392</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1,742,494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354,775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389,027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3,339,248</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(47,392)</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1,740,284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634,905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347,619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365,726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3,291,856</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27"/>
        </w:trPr>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1,155,000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216,690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181,145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1,552,835</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1,401,982</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124,810</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19,335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35,385</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1,614,798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342,951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365,804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3,115,012</w:t>
            </w: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(35,385)</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1,612,310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576,719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337,012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346,469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3,079,627</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The following tables include segment revenue and significant segment expenses by reportable segment, as well as our reported measure of segment profit or loss, EBITDA, by reportable segment for the years ended June 30, 2025, 2024, and 2023. Total segment EBITDA shown in the tables below is prior to inter-segment eliminations.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Refer to the subsequent table for a reconciliation of total segment EBITDA to income from operations and income (loss) before income taxes.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3"/>
                <w:szCs w:val="13"/>
                <w:b w:val="1"/>
                <w:bCs w:val="1"/>
                <w:color w:val="auto"/>
                <w:w w:val="96"/>
              </w:rPr>
              <w:t>Year Ended June 30, 2025</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Vista</w:t>
            </w:r>
          </w:p>
        </w:tc>
        <w:tc>
          <w:tcPr>
            <w:tcW w:w="1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3"/>
                <w:szCs w:val="13"/>
                <w:b w:val="1"/>
                <w:bCs w:val="1"/>
                <w:color w:val="auto"/>
              </w:rPr>
              <w:t>PrintBrothers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The Print Group</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National Pen</w:t>
            </w:r>
          </w:p>
        </w:tc>
        <w:tc>
          <w:tcPr>
            <w:tcW w:w="220" w:type="dxa"/>
            <w:vAlign w:val="bottom"/>
          </w:tcPr>
          <w:p>
            <w:pPr>
              <w:spacing w:after="0"/>
              <w:rPr>
                <w:sz w:val="14"/>
                <w:szCs w:val="14"/>
                <w:color w:val="auto"/>
              </w:rPr>
            </w:pPr>
          </w:p>
        </w:tc>
        <w:tc>
          <w:tcPr>
            <w:tcW w:w="1020" w:type="dxa"/>
            <w:vAlign w:val="bottom"/>
          </w:tcPr>
          <w:p>
            <w:pPr>
              <w:jc w:val="right"/>
              <w:ind w:right="281"/>
              <w:spacing w:after="0"/>
              <w:rPr>
                <w:sz w:val="20"/>
                <w:szCs w:val="20"/>
                <w:color w:val="auto"/>
              </w:rPr>
            </w:pPr>
            <w:r>
              <w:rPr>
                <w:rFonts w:ascii="Arial" w:cs="Arial" w:eastAsia="Arial" w:hAnsi="Arial"/>
                <w:sz w:val="13"/>
                <w:szCs w:val="13"/>
                <w:b w:val="1"/>
                <w:bCs w:val="1"/>
                <w:color w:val="auto"/>
              </w:rPr>
              <w:t>All Other</w:t>
            </w:r>
          </w:p>
        </w:tc>
      </w:tr>
      <w:tr>
        <w:trPr>
          <w:trHeight w:val="238"/>
        </w:trPr>
        <w:tc>
          <w:tcPr>
            <w:tcW w:w="45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Total segment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1,824,271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669,151</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378,075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406,764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227,363</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818,427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475,683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131,056</w:t>
            </w:r>
          </w:p>
        </w:tc>
      </w:tr>
      <w:tr>
        <w:trPr>
          <w:trHeight w:val="209"/>
        </w:trPr>
        <w:tc>
          <w:tcPr>
            <w:tcW w:w="456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1,005,844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193,468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143,075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207,421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96,307</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39,404</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Less: Other operating expenses (1)</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439,834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97,684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63,015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116,536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56,076</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18,663</w:t>
            </w:r>
          </w:p>
        </w:tc>
      </w:tr>
      <w:tr>
        <w:trPr>
          <w:trHeight w:val="21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2,393</w:t>
            </w:r>
          </w:p>
        </w:tc>
      </w:tr>
      <w:tr>
        <w:trPr>
          <w:trHeight w:val="235"/>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(3)</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347,693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71,071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21,883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3"/>
                <w:szCs w:val="13"/>
                <w:b w:val="1"/>
                <w:bCs w:val="1"/>
                <w:color w:val="auto"/>
                <w:w w:val="96"/>
              </w:rPr>
              <w:t>Year Ended June 30, 2024</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Vista</w:t>
            </w:r>
          </w:p>
        </w:tc>
        <w:tc>
          <w:tcPr>
            <w:tcW w:w="1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3"/>
                <w:szCs w:val="13"/>
                <w:b w:val="1"/>
                <w:bCs w:val="1"/>
                <w:color w:val="auto"/>
              </w:rPr>
              <w:t>PrintBrothers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The Print Group</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National Pen</w:t>
            </w:r>
          </w:p>
        </w:tc>
        <w:tc>
          <w:tcPr>
            <w:tcW w:w="220" w:type="dxa"/>
            <w:vAlign w:val="bottom"/>
          </w:tcPr>
          <w:p>
            <w:pPr>
              <w:spacing w:after="0"/>
              <w:rPr>
                <w:sz w:val="14"/>
                <w:szCs w:val="14"/>
                <w:color w:val="auto"/>
              </w:rPr>
            </w:pPr>
          </w:p>
        </w:tc>
        <w:tc>
          <w:tcPr>
            <w:tcW w:w="1020" w:type="dxa"/>
            <w:vAlign w:val="bottom"/>
          </w:tcPr>
          <w:p>
            <w:pPr>
              <w:jc w:val="right"/>
              <w:ind w:right="281"/>
              <w:spacing w:after="0"/>
              <w:rPr>
                <w:sz w:val="20"/>
                <w:szCs w:val="20"/>
                <w:color w:val="auto"/>
              </w:rPr>
            </w:pPr>
            <w:r>
              <w:rPr>
                <w:rFonts w:ascii="Arial" w:cs="Arial" w:eastAsia="Arial" w:hAnsi="Arial"/>
                <w:sz w:val="13"/>
                <w:szCs w:val="13"/>
                <w:b w:val="1"/>
                <w:bCs w:val="1"/>
                <w:color w:val="auto"/>
              </w:rPr>
              <w:t>All Other</w:t>
            </w:r>
          </w:p>
        </w:tc>
      </w:tr>
      <w:tr>
        <w:trPr>
          <w:trHeight w:val="238"/>
        </w:trPr>
        <w:tc>
          <w:tcPr>
            <w:tcW w:w="45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Total segment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1,742,494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639,571</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354,775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389,027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213,381</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753,113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452,011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222,765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119,391</w:t>
            </w:r>
          </w:p>
        </w:tc>
      </w:tr>
      <w:tr>
        <w:trPr>
          <w:trHeight w:val="209"/>
        </w:trPr>
        <w:tc>
          <w:tcPr>
            <w:tcW w:w="456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989,381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187,560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132,010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93,990</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40,582</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Less: Other operating expenses (1)</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424,975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60,288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115,733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50,482</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18,376</w:t>
            </w:r>
          </w:p>
        </w:tc>
      </w:tr>
      <w:tr>
        <w:trPr>
          <w:trHeight w:val="21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1,193</w:t>
            </w:r>
          </w:p>
        </w:tc>
      </w:tr>
      <w:tr>
        <w:trPr>
          <w:trHeight w:val="235"/>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(3)</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348,117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91,577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66,427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22,495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3"/>
                <w:szCs w:val="13"/>
                <w:b w:val="1"/>
                <w:bCs w:val="1"/>
                <w:color w:val="auto"/>
                <w:w w:val="96"/>
              </w:rPr>
              <w:t>Year Ended June 30, 2023</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Vista</w:t>
            </w:r>
          </w:p>
        </w:tc>
        <w:tc>
          <w:tcPr>
            <w:tcW w:w="1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3"/>
                <w:szCs w:val="13"/>
                <w:b w:val="1"/>
                <w:bCs w:val="1"/>
                <w:color w:val="auto"/>
              </w:rPr>
              <w:t>PrintBrothers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The Print Group</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National Pen</w:t>
            </w:r>
          </w:p>
        </w:tc>
        <w:tc>
          <w:tcPr>
            <w:tcW w:w="220" w:type="dxa"/>
            <w:vAlign w:val="bottom"/>
          </w:tcPr>
          <w:p>
            <w:pPr>
              <w:spacing w:after="0"/>
              <w:rPr>
                <w:sz w:val="14"/>
                <w:szCs w:val="14"/>
                <w:color w:val="auto"/>
              </w:rPr>
            </w:pPr>
          </w:p>
        </w:tc>
        <w:tc>
          <w:tcPr>
            <w:tcW w:w="1020" w:type="dxa"/>
            <w:vAlign w:val="bottom"/>
          </w:tcPr>
          <w:p>
            <w:pPr>
              <w:jc w:val="right"/>
              <w:ind w:right="281"/>
              <w:spacing w:after="0"/>
              <w:rPr>
                <w:sz w:val="20"/>
                <w:szCs w:val="20"/>
                <w:color w:val="auto"/>
              </w:rPr>
            </w:pPr>
            <w:r>
              <w:rPr>
                <w:rFonts w:ascii="Arial" w:cs="Arial" w:eastAsia="Arial" w:hAnsi="Arial"/>
                <w:sz w:val="13"/>
                <w:szCs w:val="13"/>
                <w:b w:val="1"/>
                <w:bCs w:val="1"/>
                <w:color w:val="auto"/>
              </w:rPr>
              <w:t>All Other</w:t>
            </w:r>
          </w:p>
        </w:tc>
      </w:tr>
      <w:tr>
        <w:trPr>
          <w:trHeight w:val="238"/>
        </w:trPr>
        <w:tc>
          <w:tcPr>
            <w:tcW w:w="45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Total segment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1,614,798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579,050</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342,951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365,804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212,409</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724,839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426,256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223,677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174,123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118,143</w:t>
            </w:r>
          </w:p>
        </w:tc>
      </w:tr>
      <w:tr>
        <w:trPr>
          <w:trHeight w:val="209"/>
        </w:trPr>
        <w:tc>
          <w:tcPr>
            <w:tcW w:w="4560" w:type="dxa"/>
            <w:vAlign w:val="bottom"/>
          </w:tcPr>
          <w:p>
            <w:pPr>
              <w:ind w:left="160"/>
              <w:spacing w:after="0"/>
              <w:rPr>
                <w:sz w:val="20"/>
                <w:szCs w:val="20"/>
                <w:color w:val="auto"/>
              </w:rPr>
            </w:pPr>
            <w:r>
              <w:rPr>
                <w:rFonts w:ascii="Arial" w:cs="Arial" w:eastAsia="Arial" w:hAnsi="Arial"/>
                <w:sz w:val="16"/>
                <w:szCs w:val="16"/>
                <w:color w:val="auto"/>
              </w:rPr>
              <w:t>Segment gross profit</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889,959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152,794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119,274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191,681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94,266</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Advertising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37,829</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Less: Other operating expenses (1)</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477,173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58,801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59,309</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17,694</w:t>
            </w:r>
          </w:p>
        </w:tc>
      </w:tr>
      <w:tr>
        <w:trPr>
          <w:trHeight w:val="21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segment items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29,074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9,008</w:t>
            </w:r>
          </w:p>
        </w:tc>
      </w:tr>
      <w:tr>
        <w:trPr>
          <w:trHeight w:val="235"/>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Segment EBITDA (3)</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237,828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71,658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23,830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82" w:lineRule="exact"/>
        <w:rPr>
          <w:sz w:val="20"/>
          <w:szCs w:val="20"/>
          <w:color w:val="auto"/>
        </w:rPr>
      </w:pPr>
    </w:p>
    <w:p>
      <w:pPr>
        <w:ind w:left="260" w:right="100" w:hanging="252"/>
        <w:spacing w:after="0" w:line="305" w:lineRule="auto"/>
        <w:tabs>
          <w:tab w:leader="none" w:pos="233"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each reportable segment, other operating expenses consists primarily of marketing and selling expense (excluding advertising expenses), technology and development expense and general and administrative expense.</w:t>
      </w:r>
    </w:p>
    <w:p>
      <w:pPr>
        <w:spacing w:after="0" w:line="49" w:lineRule="exact"/>
        <w:rPr>
          <w:rFonts w:ascii="Arial" w:cs="Arial" w:eastAsia="Arial" w:hAnsi="Arial"/>
          <w:sz w:val="14"/>
          <w:szCs w:val="14"/>
          <w:color w:val="auto"/>
        </w:rPr>
      </w:pPr>
    </w:p>
    <w:p>
      <w:pPr>
        <w:ind w:left="260" w:right="100" w:hanging="252"/>
        <w:spacing w:after="0" w:line="248" w:lineRule="auto"/>
        <w:tabs>
          <w:tab w:leader="none" w:pos="233" w:val="left"/>
        </w:tabs>
        <w:numPr>
          <w:ilvl w:val="0"/>
          <w:numId w:val="56"/>
        </w:numPr>
        <w:rPr>
          <w:rFonts w:ascii="Arial" w:cs="Arial" w:eastAsia="Arial" w:hAnsi="Arial"/>
          <w:sz w:val="14"/>
          <w:szCs w:val="14"/>
          <w:color w:val="auto"/>
        </w:rPr>
      </w:pPr>
      <w:r>
        <w:rPr>
          <w:rFonts w:ascii="Arial" w:cs="Arial" w:eastAsia="Arial" w:hAnsi="Arial"/>
          <w:sz w:val="14"/>
          <w:szCs w:val="14"/>
          <w:color w:val="auto"/>
        </w:rPr>
        <w:t>Other segment items primarily includes certain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w:t>
      </w:r>
    </w:p>
    <w:p>
      <w:pPr>
        <w:ind w:left="260" w:right="200" w:hanging="252"/>
        <w:spacing w:after="0" w:line="262" w:lineRule="auto"/>
        <w:tabs>
          <w:tab w:leader="none" w:pos="233"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years ended June 30, 2025, 2024, and 2023 total segment EBITDA was $555,431, $558,369 and $412,628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(loss) before income taxes as outlined below.</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includes a reconciliation of total segment EBITDA to income from operations and income (loss) before income</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58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56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81"/>
              <w:spacing w:after="0"/>
              <w:rPr>
                <w:sz w:val="20"/>
                <w:szCs w:val="20"/>
                <w:color w:val="auto"/>
              </w:rPr>
            </w:pPr>
            <w:r>
              <w:rPr>
                <w:rFonts w:ascii="Arial" w:cs="Arial" w:eastAsia="Arial" w:hAnsi="Arial"/>
                <w:sz w:val="13"/>
                <w:szCs w:val="13"/>
                <w:b w:val="1"/>
                <w:bCs w:val="1"/>
                <w:color w:val="auto"/>
              </w:rPr>
              <w:t>2023</w:t>
            </w:r>
          </w:p>
        </w:tc>
      </w:tr>
      <w:tr>
        <w:trPr>
          <w:trHeight w:val="21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EBITDA</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412,628</w:t>
            </w:r>
          </w:p>
        </w:tc>
      </w:tr>
      <w:tr>
        <w:trPr>
          <w:trHeight w:val="215"/>
        </w:trPr>
        <w:tc>
          <w:tcPr>
            <w:tcW w:w="6020" w:type="dxa"/>
            <w:vAlign w:val="bottom"/>
          </w:tcPr>
          <w:p>
            <w:pPr>
              <w:ind w:left="160"/>
              <w:spacing w:after="0"/>
              <w:rPr>
                <w:sz w:val="20"/>
                <w:szCs w:val="20"/>
                <w:color w:val="auto"/>
              </w:rPr>
            </w:pPr>
            <w:r>
              <w:rPr>
                <w:rFonts w:ascii="Arial" w:cs="Arial" w:eastAsia="Arial" w:hAnsi="Arial"/>
                <w:sz w:val="16"/>
                <w:szCs w:val="16"/>
                <w:color w:val="auto"/>
              </w:rPr>
              <w:t>Central and corporate costs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(145,339)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(133,539)</w:t>
            </w:r>
          </w:p>
        </w:tc>
      </w:tr>
      <w:tr>
        <w:trPr>
          <w:trHeight w:val="217"/>
        </w:trPr>
        <w:tc>
          <w:tcPr>
            <w:tcW w:w="6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Elimination (1)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(8,663)</w:t>
            </w:r>
          </w:p>
        </w:tc>
      </w:tr>
      <w:tr>
        <w:trPr>
          <w:trHeight w:val="215"/>
        </w:trPr>
        <w:tc>
          <w:tcPr>
            <w:tcW w:w="6020" w:type="dxa"/>
            <w:vAlign w:val="bottom"/>
          </w:tcPr>
          <w:p>
            <w:pPr>
              <w:ind w:left="160"/>
              <w:spacing w:after="0"/>
              <w:rPr>
                <w:sz w:val="20"/>
                <w:szCs w:val="20"/>
                <w:color w:val="auto"/>
              </w:rPr>
            </w:pPr>
            <w:r>
              <w:rPr>
                <w:rFonts w:ascii="Arial" w:cs="Arial" w:eastAsia="Arial" w:hAnsi="Arial"/>
                <w:sz w:val="16"/>
                <w:szCs w:val="16"/>
                <w:color w:val="auto"/>
              </w:rPr>
              <w:t>Depreciation and amortization (2)</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(151,764)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(162,428)</w:t>
            </w:r>
          </w:p>
        </w:tc>
      </w:tr>
      <w:tr>
        <w:trPr>
          <w:trHeight w:val="217"/>
        </w:trPr>
        <w:tc>
          <w:tcPr>
            <w:tcW w:w="6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impairment and other adjustments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w:t>
            </w:r>
          </w:p>
        </w:tc>
      </w:tr>
      <w:tr>
        <w:trPr>
          <w:trHeight w:val="215"/>
        </w:trPr>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Restructuring-related charges</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57,309</w:t>
            </w:r>
          </w:p>
        </w:tc>
      </w:tr>
      <w:tr>
        <w:trPr>
          <w:trHeight w:val="209"/>
        </w:trPr>
        <w:tc>
          <w:tcPr>
            <w:tcW w:w="6020" w:type="dxa"/>
            <w:vAlign w:val="bottom"/>
          </w:tcPr>
          <w:p>
            <w:pPr>
              <w:ind w:left="16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18,498</w:t>
            </w:r>
          </w:p>
        </w:tc>
      </w:tr>
      <w:tr>
        <w:trPr>
          <w:trHeight w:val="217"/>
        </w:trPr>
        <w:tc>
          <w:tcPr>
            <w:tcW w:w="6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(112,793)</w:t>
            </w:r>
          </w:p>
        </w:tc>
      </w:tr>
      <w:tr>
        <w:trPr>
          <w:trHeight w:val="215"/>
        </w:trPr>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(Loss) gain on early extinguishment of debt</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6,764</w:t>
            </w: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right="80" w:hanging="252"/>
        <w:spacing w:after="0" w:line="273"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the elimination of inter-segment profit that relates to cross-Cimpress transactions, in which the merchant business is cross charged the actual cost of fulfillment and the fulfiller business receives a markup on the cost to fulfill the related orders. These inter-segment profits are eliminated at a consolidated level. Refer to the discussion above for additional details related to the method for which one Cimpress business chooses to buy and sell to another Cimpress business.</w:t>
      </w:r>
    </w:p>
    <w:p>
      <w:pPr>
        <w:spacing w:after="0" w:line="71" w:lineRule="exact"/>
        <w:rPr>
          <w:rFonts w:ascii="Arial" w:cs="Arial" w:eastAsia="Arial" w:hAnsi="Arial"/>
          <w:sz w:val="14"/>
          <w:szCs w:val="14"/>
          <w:color w:val="auto"/>
        </w:rPr>
      </w:pPr>
    </w:p>
    <w:p>
      <w:pPr>
        <w:ind w:left="260" w:right="120" w:hanging="252"/>
        <w:spacing w:after="0" w:line="305"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years ended June 30, 2025, 2024, and 2023, depreciation and amortization includes costs within our central and corporate costs of $23,132, $24,067, and $23,957,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2023</w:t>
            </w:r>
          </w:p>
        </w:tc>
      </w:tr>
      <w:tr>
        <w:trPr>
          <w:trHeight w:val="19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39,846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19,717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17,604</w:t>
            </w: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4,422</w:t>
            </w: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15,078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19,683</w:t>
            </w: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6,003</w:t>
            </w: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7,732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4,793</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1,623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1,267</w:t>
            </w:r>
          </w:p>
        </w:tc>
      </w:tr>
      <w:tr>
        <w:trPr>
          <w:trHeight w:val="210"/>
        </w:trPr>
        <w:tc>
          <w:tcPr>
            <w:tcW w:w="6160" w:type="dxa"/>
            <w:vAlign w:val="bottom"/>
          </w:tcPr>
          <w:p>
            <w:pPr>
              <w:ind w:left="680"/>
              <w:spacing w:after="0"/>
              <w:rPr>
                <w:sz w:val="20"/>
                <w:szCs w:val="20"/>
                <w:color w:val="auto"/>
              </w:rPr>
            </w:pPr>
            <w:r>
              <w:rPr>
                <w:rFonts w:ascii="Arial" w:cs="Arial" w:eastAsia="Arial" w:hAnsi="Arial"/>
                <w:sz w:val="16"/>
                <w:szCs w:val="16"/>
                <w:color w:val="auto"/>
              </w:rPr>
              <w:t>Total purchases of property, plant and equipment</w:t>
            </w:r>
          </w:p>
        </w:tc>
        <w:tc>
          <w:tcPr>
            <w:tcW w:w="1000" w:type="dxa"/>
            <w:vAlign w:val="bottom"/>
            <w:tcBorders>
              <w:bottom w:val="single" w:sz="8" w:color="auto"/>
            </w:tcBorders>
          </w:tcPr>
          <w:p>
            <w:pPr>
              <w:jc w:val="right"/>
              <w:ind w:right="82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54,927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53,772</w:t>
            </w:r>
          </w:p>
        </w:tc>
      </w:tr>
      <w:tr>
        <w:trPr>
          <w:trHeight w:val="20"/>
        </w:trPr>
        <w:tc>
          <w:tcPr>
            <w:tcW w:w="6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2023</w:t>
            </w:r>
          </w:p>
        </w:tc>
      </w:tr>
      <w:tr>
        <w:trPr>
          <w:trHeight w:val="19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26,572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25,035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22,559</w:t>
            </w:r>
          </w:p>
        </w:tc>
      </w:tr>
      <w:tr>
        <w:trPr>
          <w:trHeight w:val="217"/>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2,010</w:t>
            </w: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2,997</w:t>
            </w:r>
          </w:p>
        </w:tc>
      </w:tr>
      <w:tr>
        <w:trPr>
          <w:trHeight w:val="217"/>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2,913</w:t>
            </w: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4,299</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23,009</w:t>
            </w:r>
          </w:p>
        </w:tc>
      </w:tr>
      <w:tr>
        <w:trPr>
          <w:trHeight w:val="210"/>
        </w:trPr>
        <w:tc>
          <w:tcPr>
            <w:tcW w:w="6020" w:type="dxa"/>
            <w:vAlign w:val="bottom"/>
          </w:tcPr>
          <w:p>
            <w:pPr>
              <w:ind w:left="680"/>
              <w:spacing w:after="0"/>
              <w:rPr>
                <w:sz w:val="20"/>
                <w:szCs w:val="20"/>
                <w:color w:val="auto"/>
              </w:rPr>
            </w:pPr>
            <w:r>
              <w:rPr>
                <w:rFonts w:ascii="Arial" w:cs="Arial" w:eastAsia="Arial" w:hAnsi="Arial"/>
                <w:sz w:val="16"/>
                <w:szCs w:val="16"/>
                <w:color w:val="auto"/>
              </w:rPr>
              <w:t>Total capitalization of software and website development costs</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57,787</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revenues by significant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2022</w:t>
            </w:r>
          </w:p>
        </w:tc>
      </w:tr>
      <w:tr>
        <w:trPr>
          <w:trHeight w:val="211"/>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1,407,691</w:t>
            </w: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Germany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532,537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460,516</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1,354,794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1,291,534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1,211,420</w:t>
            </w:r>
          </w:p>
        </w:tc>
      </w:tr>
      <w:tr>
        <w:trPr>
          <w:trHeight w:val="210"/>
        </w:trPr>
        <w:tc>
          <w:tcPr>
            <w:tcW w:w="610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3,403,079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3,291,856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3,079,627</w:t>
            </w:r>
          </w:p>
        </w:tc>
      </w:tr>
      <w:tr>
        <w:trPr>
          <w:trHeight w:val="20"/>
        </w:trPr>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Our other revenue includes Ireland, our country of domicile.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The following table sets forth revenues by groups of similar products and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Physical printed products and other (1)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3,328,806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3,207,102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2,990,041</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Digital products and design services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89,586</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3,403,079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3,291,856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3,079,627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4"/>
                <w:szCs w:val="14"/>
                <w:color w:val="auto"/>
              </w:rPr>
              <w:t>(1) Other revenue includes miscellaneous items, which account for less than 1% of revenue.</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2024</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77,095</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Switzerland</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72,971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67,201</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Netherlands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67,396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60,974</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Canada</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54,848</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Italy</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37,380</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Germany</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37,331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31,656</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France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28,002</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23,915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22,131</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94,162</w:t>
            </w:r>
          </w:p>
        </w:tc>
      </w:tr>
      <w:tr>
        <w:trPr>
          <w:trHeight w:val="210"/>
        </w:trPr>
        <w:tc>
          <w:tcPr>
            <w:tcW w:w="7940" w:type="dxa"/>
            <w:vAlign w:val="bottom"/>
          </w:tcPr>
          <w:p>
            <w:pPr>
              <w:ind w:left="6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518,130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473,449</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6" w:lineRule="exact"/>
        <w:rPr>
          <w:sz w:val="20"/>
          <w:szCs w:val="20"/>
          <w:color w:val="auto"/>
        </w:rPr>
      </w:pPr>
    </w:p>
    <w:p>
      <w:pPr>
        <w:ind w:left="260" w:right="80" w:hanging="252"/>
        <w:spacing w:after="0" w:line="305" w:lineRule="auto"/>
        <w:tabs>
          <w:tab w:leader="none" w:pos="233"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Excludes goodwill of $826,156 and 787,138, intangible assets, net of $58,348 and 76,560, and deferred tax assets of $61,086 and 95,059 as of June 30, 2025 and June 30, 2024,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17"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We lease certain machinery and plant equipment, office space, and production and warehouse facilities under non-cancelable operating leases that expire on various dates through 2037. Our finance leases primarily relate to machinery and plant equipment. Over the past three years, we continually assessed our leased real estate footprint as a facet of our evolving remote-first operating model for many of our employees, which resulted in a decrease to our leased real estate portfolio over this period of time.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classification of right-of-use assets and lease liabilities as of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Leases</w:t>
            </w:r>
          </w:p>
        </w:tc>
        <w:tc>
          <w:tcPr>
            <w:tcW w:w="4780" w:type="dxa"/>
            <w:vAlign w:val="bottom"/>
          </w:tcPr>
          <w:p>
            <w:pPr>
              <w:ind w:left="1100"/>
              <w:spacing w:after="0"/>
              <w:rPr>
                <w:sz w:val="20"/>
                <w:szCs w:val="20"/>
                <w:color w:val="auto"/>
              </w:rPr>
            </w:pPr>
            <w:r>
              <w:rPr>
                <w:rFonts w:ascii="Arial" w:cs="Arial" w:eastAsia="Arial" w:hAnsi="Arial"/>
                <w:sz w:val="13"/>
                <w:szCs w:val="13"/>
                <w:b w:val="1"/>
                <w:bCs w:val="1"/>
                <w:color w:val="auto"/>
              </w:rPr>
              <w:t>Consolidated Balance Sheet Classification</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2024</w:t>
            </w:r>
          </w:p>
        </w:tc>
      </w:tr>
      <w:tr>
        <w:trPr>
          <w:trHeight w:val="254"/>
        </w:trPr>
        <w:tc>
          <w:tcPr>
            <w:tcW w:w="32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4780" w:type="dxa"/>
            <w:vAlign w:val="bottom"/>
          </w:tcPr>
          <w:p>
            <w:pPr>
              <w:ind w:left="1100"/>
              <w:spacing w:after="0"/>
              <w:rPr>
                <w:sz w:val="20"/>
                <w:szCs w:val="20"/>
                <w:color w:val="auto"/>
              </w:rPr>
            </w:pPr>
            <w:r>
              <w:rPr>
                <w:rFonts w:ascii="Arial" w:cs="Arial" w:eastAsia="Arial" w:hAnsi="Arial"/>
                <w:sz w:val="16"/>
                <w:szCs w:val="16"/>
                <w:color w:val="auto"/>
              </w:rPr>
              <w:t>Operating lease assets,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83,951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78,681</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right-of-use assets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26,025</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Total lease assets</w:t>
            </w:r>
          </w:p>
        </w:tc>
        <w:tc>
          <w:tcPr>
            <w:tcW w:w="47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114,296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104,706</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Current:</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19,634</w:t>
            </w:r>
          </w:p>
        </w:tc>
      </w:tr>
      <w:tr>
        <w:trPr>
          <w:trHeight w:val="215"/>
        </w:trPr>
        <w:tc>
          <w:tcPr>
            <w:tcW w:w="3200" w:type="dxa"/>
            <w:vAlign w:val="bottom"/>
          </w:tcPr>
          <w:p>
            <w:pPr>
              <w:ind w:left="200"/>
              <w:spacing w:after="0"/>
              <w:rPr>
                <w:sz w:val="20"/>
                <w:szCs w:val="20"/>
                <w:color w:val="auto"/>
              </w:rPr>
            </w:pPr>
            <w:r>
              <w:rPr>
                <w:rFonts w:ascii="Arial" w:cs="Arial" w:eastAsia="Arial" w:hAnsi="Arial"/>
                <w:sz w:val="16"/>
                <w:szCs w:val="16"/>
                <w:color w:val="auto"/>
              </w:rPr>
              <w:t>Finance lease liabilities</w:t>
            </w:r>
          </w:p>
        </w:tc>
        <w:tc>
          <w:tcPr>
            <w:tcW w:w="4780" w:type="dxa"/>
            <w:vAlign w:val="bottom"/>
          </w:tcPr>
          <w:p>
            <w:pPr>
              <w:ind w:left="110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8,323</w:t>
            </w: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2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4780" w:type="dxa"/>
            <w:vAlign w:val="bottom"/>
          </w:tcPr>
          <w:p>
            <w:pPr>
              <w:ind w:left="110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66,196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61,895</w:t>
            </w:r>
          </w:p>
        </w:tc>
      </w:tr>
      <w:tr>
        <w:trPr>
          <w:trHeight w:val="216"/>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 liabilities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24,501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28,037</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47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121,882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117,889</w:t>
            </w:r>
          </w:p>
        </w:tc>
      </w:tr>
      <w:tr>
        <w:trPr>
          <w:trHeight w:val="20"/>
        </w:trPr>
        <w:tc>
          <w:tcPr>
            <w:tcW w:w="3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The following table represents the lease expenses for the years ended June 30, 2025,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99"/>
        </w:trPr>
        <w:tc>
          <w:tcPr>
            <w:tcW w:w="63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Finance lease expense: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finance lease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w:t>
            </w:r>
          </w:p>
        </w:tc>
      </w:tr>
      <w:tr>
        <w:trPr>
          <w:trHeight w:val="215"/>
        </w:trPr>
        <w:tc>
          <w:tcPr>
            <w:tcW w:w="6300" w:type="dxa"/>
            <w:vAlign w:val="bottom"/>
          </w:tcPr>
          <w:p>
            <w:pPr>
              <w:ind w:left="200"/>
              <w:spacing w:after="0"/>
              <w:rPr>
                <w:sz w:val="20"/>
                <w:szCs w:val="20"/>
                <w:color w:val="auto"/>
              </w:rPr>
            </w:pPr>
            <w:r>
              <w:rPr>
                <w:rFonts w:ascii="Arial" w:cs="Arial" w:eastAsia="Arial" w:hAnsi="Arial"/>
                <w:sz w:val="16"/>
                <w:szCs w:val="16"/>
                <w:color w:val="auto"/>
              </w:rPr>
              <w:t>Interest on lease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w:t>
            </w:r>
          </w:p>
        </w:tc>
      </w:tr>
      <w:tr>
        <w:trPr>
          <w:trHeight w:val="215"/>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sublease income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23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and finance lease cost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leases as of June 30, 2025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Payments Due by Period</w:t>
            </w: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Operating lease</w:t>
            </w:r>
          </w:p>
        </w:tc>
        <w:tc>
          <w:tcPr>
            <w:tcW w:w="1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Finance lease obligations</w:t>
            </w:r>
          </w:p>
        </w:tc>
        <w:tc>
          <w:tcPr>
            <w:tcW w:w="120" w:type="dxa"/>
            <w:vAlign w:val="bottom"/>
          </w:tcPr>
          <w:p>
            <w:pPr>
              <w:spacing w:after="0"/>
              <w:rPr>
                <w:sz w:val="13"/>
                <w:szCs w:val="13"/>
                <w:color w:val="auto"/>
              </w:rPr>
            </w:pPr>
          </w:p>
        </w:tc>
        <w:tc>
          <w:tcPr>
            <w:tcW w:w="146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w w:val="94"/>
              </w:rPr>
              <w:t>Total lease obligations</w:t>
            </w:r>
          </w:p>
        </w:tc>
        <w:tc>
          <w:tcPr>
            <w:tcW w:w="0" w:type="dxa"/>
            <w:vAlign w:val="bottom"/>
          </w:tcPr>
          <w:p>
            <w:pPr>
              <w:spacing w:after="0"/>
              <w:rPr>
                <w:sz w:val="1"/>
                <w:szCs w:val="1"/>
                <w:color w:val="auto"/>
              </w:rPr>
            </w:pPr>
          </w:p>
        </w:tc>
      </w:tr>
      <w:tr>
        <w:trPr>
          <w:trHeight w:val="104"/>
        </w:trPr>
        <w:tc>
          <w:tcPr>
            <w:tcW w:w="6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obligations</w:t>
            </w:r>
          </w:p>
        </w:tc>
        <w:tc>
          <w:tcPr>
            <w:tcW w:w="16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6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than 1 year</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26,245</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36,577</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2 years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28,566</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21,816</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4 years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16,763</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11,396</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29,659</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103,391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144,777</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present value discount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(15,131)</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(22,895)</w:t>
            </w:r>
          </w:p>
        </w:tc>
        <w:tc>
          <w:tcPr>
            <w:tcW w:w="0" w:type="dxa"/>
            <w:vAlign w:val="bottom"/>
          </w:tcPr>
          <w:p>
            <w:pPr>
              <w:spacing w:after="0"/>
              <w:rPr>
                <w:sz w:val="1"/>
                <w:szCs w:val="1"/>
                <w:color w:val="auto"/>
              </w:rPr>
            </w:pP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88,260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121,882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40" w:firstLine="648"/>
        <w:spacing w:after="0" w:line="287" w:lineRule="auto"/>
        <w:rPr>
          <w:sz w:val="20"/>
          <w:szCs w:val="20"/>
          <w:color w:val="auto"/>
        </w:rPr>
      </w:pPr>
      <w:r>
        <w:rPr>
          <w:rFonts w:ascii="Arial" w:cs="Arial" w:eastAsia="Arial" w:hAnsi="Arial"/>
          <w:sz w:val="18"/>
          <w:szCs w:val="18"/>
          <w:color w:val="auto"/>
        </w:rPr>
        <w:t>Our leases have remaining lease terms of 1 year to 15 years, inclusive of renewal or termination options that we are reasonably certain to exercise.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w w:val="97"/>
              </w:rPr>
              <w:t>Year Ended June 30,</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28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25,015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31,161</w:t>
            </w:r>
          </w:p>
        </w:tc>
      </w:tr>
      <w:tr>
        <w:trPr>
          <w:trHeight w:val="217"/>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cash flows from finance leases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226</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w:t>
            </w:r>
          </w:p>
        </w:tc>
      </w:tr>
      <w:tr>
        <w:trPr>
          <w:trHeight w:val="215"/>
        </w:trPr>
        <w:tc>
          <w:tcPr>
            <w:tcW w:w="6280" w:type="dxa"/>
            <w:vAlign w:val="bottom"/>
          </w:tcPr>
          <w:p>
            <w:pPr>
              <w:ind w:left="200"/>
              <w:spacing w:after="0"/>
              <w:rPr>
                <w:sz w:val="20"/>
                <w:szCs w:val="20"/>
                <w:color w:val="auto"/>
              </w:rPr>
            </w:pPr>
            <w:r>
              <w:rPr>
                <w:rFonts w:ascii="Arial" w:cs="Arial" w:eastAsia="Arial" w:hAnsi="Arial"/>
                <w:sz w:val="16"/>
                <w:szCs w:val="16"/>
                <w:color w:val="auto"/>
              </w:rPr>
              <w:t>Financing cash flows from finance leases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10,140</w:t>
            </w:r>
          </w:p>
        </w:tc>
        <w:tc>
          <w:tcPr>
            <w:tcW w:w="4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8,290</w:t>
            </w:r>
          </w:p>
        </w:tc>
      </w:tr>
    </w:tbl>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information about leases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700" w:type="dxa"/>
            <w:vAlign w:val="bottom"/>
            <w:gridSpan w:val="2"/>
          </w:tcPr>
          <w:p>
            <w:pPr>
              <w:ind w:left="2360"/>
              <w:spacing w:after="0"/>
              <w:rPr>
                <w:sz w:val="20"/>
                <w:szCs w:val="20"/>
                <w:color w:val="auto"/>
              </w:rPr>
            </w:pPr>
            <w:r>
              <w:rPr>
                <w:rFonts w:ascii="Arial" w:cs="Arial" w:eastAsia="Arial" w:hAnsi="Arial"/>
                <w:sz w:val="13"/>
                <w:szCs w:val="13"/>
                <w:b w:val="1"/>
                <w:bCs w:val="1"/>
                <w:color w:val="auto"/>
              </w:rPr>
              <w:t>June 30, 2025</w:t>
            </w:r>
          </w:p>
        </w:tc>
        <w:tc>
          <w:tcPr>
            <w:tcW w:w="1680" w:type="dxa"/>
            <w:vAlign w:val="bottom"/>
          </w:tcPr>
          <w:p>
            <w:pPr>
              <w:jc w:val="right"/>
              <w:ind w:right="363"/>
              <w:spacing w:after="0"/>
              <w:rPr>
                <w:sz w:val="20"/>
                <w:szCs w:val="20"/>
                <w:color w:val="auto"/>
              </w:rPr>
            </w:pPr>
            <w:r>
              <w:rPr>
                <w:rFonts w:ascii="Arial" w:cs="Arial" w:eastAsia="Arial" w:hAnsi="Arial"/>
                <w:sz w:val="13"/>
                <w:szCs w:val="13"/>
                <w:b w:val="1"/>
                <w:bCs w:val="1"/>
                <w:color w:val="auto"/>
              </w:rPr>
              <w:t>June 30, 2024</w:t>
            </w:r>
          </w:p>
        </w:tc>
      </w:tr>
      <w:tr>
        <w:trPr>
          <w:trHeight w:val="210"/>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7"/>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15"/>
        </w:trPr>
        <w:tc>
          <w:tcPr>
            <w:tcW w:w="586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586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6.09 %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5.70 %</w:t>
            </w:r>
          </w:p>
        </w:tc>
      </w:tr>
      <w:tr>
        <w:trPr>
          <w:trHeight w:val="217"/>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ind w:right="8080" w:firstLine="8"/>
        <w:spacing w:after="0" w:line="360" w:lineRule="auto"/>
        <w:tabs>
          <w:tab w:leader="none" w:pos="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Debt</w:t>
      </w:r>
    </w:p>
    <w:p>
      <w:pPr>
        <w:ind w:left="200"/>
        <w:spacing w:after="0"/>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13,980</w:t>
            </w:r>
          </w:p>
        </w:tc>
      </w:tr>
      <w:tr>
        <w:trPr>
          <w:trHeight w:val="215"/>
        </w:trPr>
        <w:tc>
          <w:tcPr>
            <w:tcW w:w="9360" w:type="dxa"/>
            <w:vAlign w:val="bottom"/>
          </w:tcPr>
          <w:p>
            <w:pPr>
              <w:ind w:left="20"/>
              <w:spacing w:after="0"/>
              <w:rPr>
                <w:sz w:val="20"/>
                <w:szCs w:val="20"/>
                <w:color w:val="auto"/>
              </w:rPr>
            </w:pPr>
            <w:r>
              <w:rPr>
                <w:rFonts w:ascii="Arial" w:cs="Arial" w:eastAsia="Arial" w:hAnsi="Arial"/>
                <w:sz w:val="16"/>
                <w:szCs w:val="16"/>
                <w:color w:val="auto"/>
              </w:rPr>
              <w:t>2027</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13,427</w:t>
            </w: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1,052,077</w:t>
            </w:r>
          </w:p>
        </w:tc>
      </w:tr>
      <w:tr>
        <w:trPr>
          <w:trHeight w:val="215"/>
        </w:trPr>
        <w:tc>
          <w:tcPr>
            <w:tcW w:w="9360" w:type="dxa"/>
            <w:vAlign w:val="bottom"/>
          </w:tcPr>
          <w:p>
            <w:pPr>
              <w:ind w:left="20"/>
              <w:spacing w:after="0"/>
              <w:rPr>
                <w:sz w:val="20"/>
                <w:szCs w:val="20"/>
                <w:color w:val="auto"/>
              </w:rPr>
            </w:pPr>
            <w:r>
              <w:rPr>
                <w:rFonts w:ascii="Arial" w:cs="Arial" w:eastAsia="Arial" w:hAnsi="Arial"/>
                <w:sz w:val="16"/>
                <w:szCs w:val="16"/>
                <w:color w:val="auto"/>
              </w:rPr>
              <w:t>2029</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525,000</w:t>
            </w:r>
          </w:p>
        </w:tc>
      </w:tr>
      <w:tr>
        <w:trPr>
          <w:trHeight w:val="235"/>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1,604,513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Finance Programs</w:t>
      </w:r>
    </w:p>
    <w:p>
      <w:pPr>
        <w:spacing w:after="0" w:line="11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210"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June 30, 2025 and 2024 were $64,854 and $62,848, respectively.</w:t>
      </w:r>
    </w:p>
    <w:p>
      <w:pPr>
        <w:spacing w:after="0" w:line="20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The following table presents a rollforward of total outstanding obligations due to suppliers that participate in the supply chain finance program:</w:t>
      </w:r>
    </w:p>
    <w:p>
      <w:pPr>
        <w:sectPr>
          <w:pgSz w:w="11900" w:h="16838" w:orient="portrait"/>
          <w:cols w:equalWidth="0" w:num="1">
            <w:col w:w="11240"/>
          </w:cols>
          <w:pgMar w:left="320" w:top="1201"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Invoices confirmed during the year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Confirmed invoices paid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June 30,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54" w:hanging="854"/>
        <w:spacing w:after="0"/>
        <w:tabs>
          <w:tab w:leader="none" w:pos="8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62,848</w:t>
      </w:r>
    </w:p>
    <w:p>
      <w:pPr>
        <w:spacing w:after="0" w:line="32" w:lineRule="exact"/>
        <w:rPr>
          <w:rFonts w:ascii="Arial" w:cs="Arial" w:eastAsia="Arial" w:hAnsi="Arial"/>
          <w:sz w:val="16"/>
          <w:szCs w:val="16"/>
          <w:color w:val="auto"/>
        </w:rPr>
      </w:pPr>
    </w:p>
    <w:p>
      <w:pPr>
        <w:ind w:left="774" w:hanging="774"/>
        <w:spacing w:after="0"/>
        <w:tabs>
          <w:tab w:leader="none" w:pos="7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362,562</w:t>
      </w:r>
    </w:p>
    <w:p>
      <w:pPr>
        <w:spacing w:after="0" w:line="32" w:lineRule="exact"/>
        <w:rPr>
          <w:rFonts w:ascii="Arial" w:cs="Arial" w:eastAsia="Arial" w:hAnsi="Arial"/>
          <w:sz w:val="16"/>
          <w:szCs w:val="16"/>
          <w:color w:val="auto"/>
        </w:rPr>
      </w:pPr>
    </w:p>
    <w:p>
      <w:pPr>
        <w:ind w:left="714"/>
        <w:spacing w:after="0"/>
        <w:rPr>
          <w:rFonts w:ascii="Arial" w:cs="Arial" w:eastAsia="Arial" w:hAnsi="Arial"/>
          <w:sz w:val="16"/>
          <w:szCs w:val="16"/>
          <w:color w:val="auto"/>
        </w:rPr>
      </w:pPr>
      <w:r>
        <w:rPr>
          <w:rFonts w:ascii="Arial" w:cs="Arial" w:eastAsia="Arial" w:hAnsi="Arial"/>
          <w:sz w:val="15"/>
          <w:szCs w:val="15"/>
          <w:color w:val="auto"/>
        </w:rPr>
        <w:t>(365,079)</w:t>
      </w:r>
    </w:p>
    <w:p>
      <w:pPr>
        <w:spacing w:after="0" w:line="43" w:lineRule="exact"/>
        <w:rPr>
          <w:rFonts w:ascii="Arial" w:cs="Arial" w:eastAsia="Arial" w:hAnsi="Arial"/>
          <w:sz w:val="16"/>
          <w:szCs w:val="16"/>
          <w:color w:val="auto"/>
        </w:rPr>
      </w:pPr>
    </w:p>
    <w:p>
      <w:pPr>
        <w:ind w:left="954"/>
        <w:spacing w:after="0"/>
        <w:rPr>
          <w:rFonts w:ascii="Arial" w:cs="Arial" w:eastAsia="Arial" w:hAnsi="Arial"/>
          <w:sz w:val="16"/>
          <w:szCs w:val="16"/>
          <w:color w:val="auto"/>
        </w:rPr>
      </w:pPr>
      <w:r>
        <w:rPr>
          <w:rFonts w:ascii="Arial" w:cs="Arial" w:eastAsia="Arial" w:hAnsi="Arial"/>
          <w:sz w:val="16"/>
          <w:szCs w:val="16"/>
          <w:color w:val="auto"/>
        </w:rPr>
        <w:t>4,523</w:t>
      </w:r>
    </w:p>
    <w:p>
      <w:pPr>
        <w:spacing w:after="0" w:line="45" w:lineRule="exact"/>
        <w:rPr>
          <w:rFonts w:ascii="Arial" w:cs="Arial" w:eastAsia="Arial" w:hAnsi="Arial"/>
          <w:sz w:val="16"/>
          <w:szCs w:val="16"/>
          <w:color w:val="auto"/>
        </w:rPr>
      </w:pPr>
    </w:p>
    <w:p>
      <w:pPr>
        <w:ind w:left="854" w:hanging="854"/>
        <w:spacing w:after="0"/>
        <w:tabs>
          <w:tab w:leader="none" w:pos="8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64,854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17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66" w:space="720"/>
            <w:col w:w="1454"/>
          </w:cols>
          <w:pgMar w:left="320" w:top="1201" w:right="3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0"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At June 30, 2025, we had unrecorded commitments under contract of $391,373. These commitments consist of third-party cloud services of $260,271; inventory of $78,902; software of $37,426; professional and consulting fees of $6,342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production and computer equipment purchases of $2,939; insurance costs of $1,580; and other commitments of $2,848.</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Lease Arrangements</w:t>
      </w:r>
    </w:p>
    <w:p>
      <w:pPr>
        <w:spacing w:after="0" w:line="210" w:lineRule="exact"/>
        <w:rPr>
          <w:sz w:val="20"/>
          <w:szCs w:val="20"/>
          <w:color w:val="auto"/>
        </w:rPr>
      </w:pPr>
    </w:p>
    <w:p>
      <w:pPr>
        <w:ind w:right="980" w:firstLine="648"/>
        <w:spacing w:after="0" w:line="287" w:lineRule="auto"/>
        <w:rPr>
          <w:sz w:val="20"/>
          <w:szCs w:val="20"/>
          <w:color w:val="auto"/>
        </w:rPr>
      </w:pPr>
      <w:r>
        <w:rPr>
          <w:rFonts w:ascii="Arial" w:cs="Arial" w:eastAsia="Arial" w:hAnsi="Arial"/>
          <w:sz w:val="18"/>
          <w:szCs w:val="18"/>
          <w:color w:val="auto"/>
        </w:rPr>
        <w:t>We lease certain assets, including manufacturing facilities, machinery and plant equipment, and office space under lease agreements. Refer to Note 15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Charges</w:t>
      </w:r>
    </w:p>
    <w:p>
      <w:pPr>
        <w:spacing w:after="0" w:line="252"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During the years ended June 30, 2025, 2024, and 2023, we recognized restructuring charges of $5,528, $423, and $43,757, respectively.</w:t>
      </w:r>
    </w:p>
    <w:p>
      <w:pPr>
        <w:spacing w:after="0" w:line="20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restructuring charges recognized during the year ended June 30, 2025, primarily included employee termination benefits related to cost reduction actions within our Vista reportable segment that resulted in expense of $5,103. An immaterial amount of restructuring charges were recognized across our National Pen and All Other reportable segment, as well as our Central and corporate costs for similar cost reduction actions. We expect an immaterial amount of restructuring expense during the first half of fiscal year 2026, as part of employee termination benefits that have ongoing service requirements that extend beyond statutorily required minimum periods.</w:t>
      </w:r>
    </w:p>
    <w:p>
      <w:pPr>
        <w:spacing w:after="0" w:line="20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June 30, 2023, we recognized restructuring charges of $43,757, primarily due to decisions to reduce costs in our Vista business and central teams. For the year ended June 30, 2023, the restructuring charges consisted of $28,840 and $9,645 in our Vista business for the impairment of assets and central and corporate costs, respectively. In addition, we recognized restructuring charges of $1,715 and $3,557 in our National Pen and All Other Businesses reportable segments which included employee termination benefits and the write-off of certain assets.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Severance and Related</w:t>
            </w:r>
          </w:p>
        </w:tc>
        <w:tc>
          <w:tcPr>
            <w:tcW w:w="17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Other Restructuring Costs</w:t>
            </w:r>
          </w:p>
        </w:tc>
        <w:tc>
          <w:tcPr>
            <w:tcW w:w="160" w:type="dxa"/>
            <w:vAlign w:val="bottom"/>
          </w:tcPr>
          <w:p>
            <w:pPr>
              <w:spacing w:after="0"/>
              <w:rPr>
                <w:sz w:val="12"/>
                <w:szCs w:val="12"/>
                <w:color w:val="auto"/>
              </w:rPr>
            </w:pPr>
          </w:p>
        </w:tc>
        <w:tc>
          <w:tcPr>
            <w:tcW w:w="1600" w:type="dxa"/>
            <w:vAlign w:val="bottom"/>
          </w:tcPr>
          <w:p>
            <w:pPr>
              <w:jc w:val="right"/>
              <w:ind w:right="122"/>
              <w:spacing w:after="0"/>
              <w:rPr>
                <w:sz w:val="20"/>
                <w:szCs w:val="20"/>
                <w:color w:val="auto"/>
              </w:rPr>
            </w:pPr>
            <w:r>
              <w:rPr>
                <w:rFonts w:ascii="Arial" w:cs="Arial" w:eastAsia="Arial" w:hAnsi="Arial"/>
                <w:sz w:val="13"/>
                <w:szCs w:val="13"/>
                <w:b w:val="1"/>
                <w:bCs w:val="1"/>
                <w:color w:val="auto"/>
                <w:w w:val="97"/>
              </w:rPr>
              <w:t>Accrued Restructuring</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Benefits</w:t>
            </w:r>
          </w:p>
        </w:tc>
        <w:tc>
          <w:tcPr>
            <w:tcW w:w="1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562"/>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14"/>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7,567</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Non-cash charges</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charges</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3,090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18. Related Party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2025</w:t>
      </w:r>
    </w:p>
    <w:p>
      <w:pPr>
        <w:spacing w:after="0" w:line="2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November 8, 2024, we repurchased 316,056 of our outstanding ordinary shares, par value € 0.01 per share, from entities affiliated with Prescott General Partners LLC (“Prescott”) in a privately negotiated transaction at a price of $79.10 per share, representing a discount of $1.78 to the closing price of our ordinary shares on November 6, 2024 (the “FY25 Transaction”).</w:t>
      </w:r>
    </w:p>
    <w:p>
      <w:pPr>
        <w:spacing w:after="0" w:line="18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Scott Vassalluzzo, a Managing Member of Prescott, serves as a member of Cimpress’ Board of Directors and Audit Committee. In light of the foregoing, the disinterested members of Cimpress’ Audit Committee reviewed the FY25 Transaction under our related person transaction policy and considered, among other things, Mr. Vassalluzzo’s and Prescott’s interest in the FY25 Transaction, the approximate dollar value of the FY25 Transaction, and the purpose and the potential benefits to Cimpress of entering into the FY25 Transaction. Based on these considerations, the disinterested members of the Audit Committee concluded that the FY25 Transaction was in our best interest. The FY25 Transaction was effected pursuant to the share repurchase program approved by Cimpress’ Board of Directors and announced on May 29, 2024.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2024</w:t>
      </w:r>
    </w:p>
    <w:p>
      <w:pPr>
        <w:spacing w:after="0" w:line="237"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During fiscal year 2024, we repurchased 300,000 of our outstanding ordinary shares, par value €0.01 per share, from The Spruce House Partnership LLC (“Spruce House”) in a privately negotiated transaction at a price of $97.50 per share, representing a discount of $2.14 to the closing price of our ordinary shares on March 1, 2024 (the "FY24 Transaction").</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Zachary Sternberg, a Managing Member of Spruce House, previously served as a member of Cimpress’ Board of Directors and Audit Committee at the time of the FY24 Transaction. In light of the foregoing, the disinterested members of Cimpress’ Audit Committee reviewed the FY24 Transaction under our related person transaction policy and considered, among other things, Mr. Sternberg’s and Spruce House’s interest in the FY24 Transaction, the approximate dollar value of the FY24 Transaction, and the purpose and the potential benefits to Cimpress of entering into the FY24 Transaction. Based on these considerations, the disinterested members of the Audit Committee concluded that the FY24 Transaction was in our best interest. The FY24 Transaction was effected pursuant to the share repurchase program approved by Cimpress’ Board of Directors in effect at the time.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2025.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 -15(f) and 15d-15(f) under the Exchange Act) during the three months ended June 30, 2025 that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9" w:lineRule="exact"/>
        <w:rPr>
          <w:sz w:val="20"/>
          <w:szCs w:val="20"/>
          <w:color w:val="auto"/>
        </w:rPr>
      </w:pPr>
    </w:p>
    <w:p>
      <w:pPr>
        <w:ind w:left="660" w:right="2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9"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7"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2025. In making this assessment, our management used the criteria set forth in the Internal Control — Integrated Framework (2013) issued by the Committee of Sponsoring Organizations of the Treadway Commission (COSO). Based on our assessment, management concluded that, as of June 30, 2025, our internal control over financial reporting is effective based on criteria in Internal Control - Integrated Framework (2013) issued by the COSO.</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97" w:name="page98"/>
    <w:bookmarkEnd w:id="97"/>
    <w:p>
      <w:pPr>
        <w:ind w:right="240"/>
        <w:spacing w:after="0" w:line="287" w:lineRule="auto"/>
        <w:rPr>
          <w:sz w:val="20"/>
          <w:szCs w:val="20"/>
          <w:color w:val="auto"/>
        </w:rPr>
      </w:pPr>
      <w:r>
        <w:rPr>
          <w:rFonts w:ascii="Arial" w:cs="Arial" w:eastAsia="Arial" w:hAnsi="Arial"/>
          <w:sz w:val="18"/>
          <w:szCs w:val="18"/>
          <w:color w:val="auto"/>
        </w:rPr>
        <w:t xml:space="preserve">PricewaterhouseCoopers LLP, our independent registered public accounting firm, has audited the effectiveness of our internal control over financial reporting as of June 30, 2025, as stated in their report included on page </w:t>
      </w:r>
      <w:r>
        <w:rPr>
          <w:rFonts w:ascii="Arial" w:cs="Arial" w:eastAsia="Arial" w:hAnsi="Arial"/>
          <w:sz w:val="18"/>
          <w:szCs w:val="18"/>
          <w:u w:val="single" w:color="auto"/>
          <w:color w:val="0000FF"/>
        </w:rPr>
        <w:t>46</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3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Directors and Executive Officers,” “Corporate Governance,” "Insider Trading Policy," and “Delinquent Section 16(a) Reports” contained in our definitive proxy statement for our 2025 Annual General Meeting of Shareholders, which we refer to as our 2025 Proxy Statement.</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2025.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4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2025 Proxy Statement captioned “Compensation Discussion and Analysis," "Summary Compensation Tables," “Compensation of our Board of Directors," and “Compensation Committee Interlocks and Insider Participation.”</w:t>
      </w:r>
    </w:p>
    <w:p>
      <w:pPr>
        <w:spacing w:after="0" w:line="144" w:lineRule="exact"/>
        <w:rPr>
          <w:sz w:val="20"/>
          <w:szCs w:val="20"/>
          <w:color w:val="auto"/>
        </w:rPr>
      </w:pPr>
    </w:p>
    <w:p>
      <w:pPr>
        <w:ind w:right="2620"/>
        <w:spacing w:after="0" w:line="29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3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2025 Proxy Statement captioned “Security Ownership of Certain Beneficial Owners and Management” and “Securities Authorized for Issuance Under Equity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31"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2025 Proxy Statement captioned “Certain Relationships and Related Transactions” and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31"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2025 Proxy Statement captioned “Independent Registered Public Accounting Firm Fees and Other Matters.”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80" w:type="dxa"/>
            <w:vAlign w:val="bottom"/>
            <w:gridSpan w:val="36"/>
          </w:tcPr>
          <w:p>
            <w:pPr>
              <w:ind w:left="40"/>
              <w:spacing w:after="0"/>
              <w:rPr>
                <w:sz w:val="20"/>
                <w:szCs w:val="20"/>
                <w:color w:val="auto"/>
              </w:rPr>
            </w:pPr>
            <w:r>
              <w:rPr>
                <w:rFonts w:ascii="Arial" w:cs="Arial" w:eastAsia="Arial" w:hAnsi="Arial"/>
                <w:sz w:val="22"/>
                <w:szCs w:val="22"/>
                <w:b w:val="1"/>
                <w:bCs w:val="1"/>
                <w:color w:val="auto"/>
              </w:rPr>
              <w:t>PART IV</w:t>
            </w:r>
          </w:p>
        </w:tc>
        <w:tc>
          <w:tcPr>
            <w:tcW w:w="0" w:type="dxa"/>
            <w:vAlign w:val="bottom"/>
          </w:tcPr>
          <w:p>
            <w:pPr>
              <w:spacing w:after="0"/>
              <w:rPr>
                <w:sz w:val="1"/>
                <w:szCs w:val="1"/>
                <w:color w:val="auto"/>
              </w:rPr>
            </w:pPr>
          </w:p>
        </w:tc>
      </w:tr>
      <w:tr>
        <w:trPr>
          <w:trHeight w:val="404"/>
        </w:trPr>
        <w:tc>
          <w:tcPr>
            <w:tcW w:w="11240" w:type="dxa"/>
            <w:vAlign w:val="bottom"/>
            <w:gridSpan w:val="45"/>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0" w:type="dxa"/>
            <w:vAlign w:val="bottom"/>
          </w:tcPr>
          <w:p>
            <w:pPr>
              <w:spacing w:after="0"/>
              <w:rPr>
                <w:sz w:val="1"/>
                <w:szCs w:val="1"/>
                <w:color w:val="auto"/>
              </w:rPr>
            </w:pPr>
          </w:p>
        </w:tc>
      </w:tr>
      <w:tr>
        <w:trPr>
          <w:trHeight w:val="366"/>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80" w:type="dxa"/>
            <w:vAlign w:val="bottom"/>
            <w:gridSpan w:val="36"/>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8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line="176" w:lineRule="exact"/>
              <w:rPr>
                <w:sz w:val="20"/>
                <w:szCs w:val="20"/>
                <w:color w:val="auto"/>
              </w:rPr>
            </w:pPr>
            <w:r>
              <w:rPr>
                <w:rFonts w:ascii="Arial" w:cs="Arial" w:eastAsia="Arial" w:hAnsi="Arial"/>
                <w:sz w:val="16"/>
                <w:szCs w:val="16"/>
                <w:color w:val="auto"/>
              </w:rPr>
              <w:t>3.1</w:t>
            </w:r>
          </w:p>
        </w:tc>
        <w:tc>
          <w:tcPr>
            <w:tcW w:w="10360" w:type="dxa"/>
            <w:vAlign w:val="bottom"/>
            <w:gridSpan w:val="44"/>
          </w:tcPr>
          <w:p>
            <w:pPr>
              <w:ind w:left="20"/>
              <w:spacing w:after="0" w:line="176" w:lineRule="exact"/>
              <w:rPr>
                <w:rFonts w:ascii="Arial" w:cs="Arial" w:eastAsia="Arial" w:hAnsi="Arial"/>
                <w:sz w:val="16"/>
                <w:szCs w:val="16"/>
                <w:color w:val="0000FF"/>
              </w:rPr>
            </w:pPr>
            <w:hyperlink r:id="rId139">
              <w:r>
                <w:rPr>
                  <w:rFonts w:ascii="Arial" w:cs="Arial" w:eastAsia="Arial" w:hAnsi="Arial"/>
                  <w:sz w:val="16"/>
                  <w:szCs w:val="16"/>
                  <w:color w:val="0000FF"/>
                </w:rPr>
                <w:t>Constitution of Cimpress plc is incorporated by reference to Annex B to our definitive proxy statement on Schedule 14A filed with the SEC on</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ind w:left="20"/>
              <w:spacing w:after="0" w:line="142"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September 27, 2019</w:t>
              </w:r>
            </w:hyperlink>
          </w:p>
        </w:tc>
        <w:tc>
          <w:tcPr>
            <w:tcW w:w="860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4.1</w:t>
            </w:r>
          </w:p>
        </w:tc>
        <w:tc>
          <w:tcPr>
            <w:tcW w:w="10360" w:type="dxa"/>
            <w:vAlign w:val="bottom"/>
            <w:gridSpan w:val="44"/>
          </w:tcPr>
          <w:p>
            <w:pPr>
              <w:ind w:left="20"/>
              <w:spacing w:after="0"/>
              <w:rPr>
                <w:rFonts w:ascii="Arial" w:cs="Arial" w:eastAsia="Arial" w:hAnsi="Arial"/>
                <w:sz w:val="16"/>
                <w:szCs w:val="16"/>
                <w:color w:val="0000FF"/>
              </w:rPr>
            </w:pPr>
            <w:hyperlink r:id="rId140">
              <w:r>
                <w:rPr>
                  <w:rFonts w:ascii="Arial" w:cs="Arial" w:eastAsia="Arial" w:hAnsi="Arial"/>
                  <w:sz w:val="16"/>
                  <w:szCs w:val="16"/>
                  <w:color w:val="0000FF"/>
                </w:rPr>
                <w:t>Senior Notes Indenture (including form of 7.375% senior notes due 2032), dated as of September 26, 2024, between Cimpress plc, certain</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920" w:type="dxa"/>
            <w:vAlign w:val="bottom"/>
            <w:tcBorders>
              <w:top w:val="single" w:sz="8" w:color="0000FF"/>
            </w:tcBorders>
            <w:gridSpan w:val="27"/>
          </w:tcPr>
          <w:p>
            <w:pPr>
              <w:ind w:left="20"/>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subsidiaries of Cimpress plc as guarantors thereto, and U.S. Bank Trust Company, National Association, as Trustee, is incorporated by</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14"/>
          </w:tcPr>
          <w:p>
            <w:pPr>
              <w:ind w:left="20"/>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reference to our Current Report on Form 8-K filed with the SEC on September 30, 2024</w:t>
              </w:r>
            </w:hyperlink>
          </w:p>
        </w:tc>
        <w:tc>
          <w:tcPr>
            <w:tcW w:w="33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4.2</w:t>
            </w:r>
          </w:p>
        </w:tc>
        <w:tc>
          <w:tcPr>
            <w:tcW w:w="10360" w:type="dxa"/>
            <w:vAlign w:val="bottom"/>
            <w:gridSpan w:val="44"/>
          </w:tcPr>
          <w:p>
            <w:pPr>
              <w:ind w:left="20"/>
              <w:spacing w:after="0"/>
              <w:rPr>
                <w:rFonts w:ascii="Arial" w:cs="Arial" w:eastAsia="Arial" w:hAnsi="Arial"/>
                <w:sz w:val="16"/>
                <w:szCs w:val="16"/>
                <w:color w:val="0000FF"/>
              </w:rPr>
            </w:pPr>
            <w:hyperlink r:id="rId141">
              <w:r>
                <w:rPr>
                  <w:rFonts w:ascii="Arial" w:cs="Arial" w:eastAsia="Arial" w:hAnsi="Arial"/>
                  <w:sz w:val="16"/>
                  <w:szCs w:val="16"/>
                  <w:color w:val="0000FF"/>
                </w:rPr>
                <w:t>Form of Warrant is incorporated by reference to our Current Report on Form 8-K filed with the SEC on May 4, 2020</w:t>
              </w:r>
            </w:hyperlink>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4.3</w:t>
            </w:r>
          </w:p>
        </w:tc>
        <w:tc>
          <w:tcPr>
            <w:tcW w:w="366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6"/>
                <w:szCs w:val="16"/>
                <w:color w:val="0000FF"/>
              </w:rPr>
              <w:t>Description of registered securities of Cimpress plc</w:t>
            </w:r>
          </w:p>
        </w:tc>
        <w:tc>
          <w:tcPr>
            <w:tcW w:w="4580" w:type="dxa"/>
            <w:vAlign w:val="bottom"/>
            <w:tcBorders>
              <w:top w:val="single" w:sz="8" w:color="0000FF"/>
            </w:tcBorders>
            <w:gridSpan w:val="11"/>
          </w:tcPr>
          <w:p>
            <w:pPr>
              <w:spacing w:after="0"/>
              <w:rPr>
                <w:sz w:val="17"/>
                <w:szCs w:val="17"/>
                <w:color w:val="auto"/>
              </w:rPr>
            </w:pPr>
          </w:p>
        </w:tc>
        <w:tc>
          <w:tcPr>
            <w:tcW w:w="21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w:t>
            </w:r>
          </w:p>
        </w:tc>
        <w:tc>
          <w:tcPr>
            <w:tcW w:w="10360" w:type="dxa"/>
            <w:vAlign w:val="bottom"/>
            <w:gridSpan w:val="44"/>
          </w:tcPr>
          <w:p>
            <w:pPr>
              <w:ind w:left="20"/>
              <w:spacing w:after="0"/>
              <w:rPr>
                <w:rFonts w:ascii="Arial" w:cs="Arial" w:eastAsia="Arial" w:hAnsi="Arial"/>
                <w:sz w:val="16"/>
                <w:szCs w:val="16"/>
                <w:color w:val="0000FF"/>
              </w:rPr>
            </w:pPr>
            <w:hyperlink r:id="rId142">
              <w:r>
                <w:rPr>
                  <w:rFonts w:ascii="Arial" w:cs="Arial" w:eastAsia="Arial" w:hAnsi="Arial"/>
                  <w:sz w:val="16"/>
                  <w:szCs w:val="16"/>
                  <w:color w:val="0000FF"/>
                </w:rPr>
                <w:t>2005 Non-Employee Directors' Share Option Plan is incorporated by reference to our Current Report on Form 8-K filed with the SEC on</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720" w:type="dxa"/>
            <w:vAlign w:val="bottom"/>
            <w:tcBorders>
              <w:top w:val="single" w:sz="8" w:color="0000FF"/>
            </w:tcBorders>
            <w:gridSpan w:val="23"/>
          </w:tcPr>
          <w:p>
            <w:pPr>
              <w:ind w:left="20"/>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December 3, 2019</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10.2*</w:t>
            </w:r>
          </w:p>
        </w:tc>
        <w:tc>
          <w:tcPr>
            <w:tcW w:w="10360" w:type="dxa"/>
            <w:vAlign w:val="bottom"/>
            <w:gridSpan w:val="44"/>
          </w:tcPr>
          <w:p>
            <w:pPr>
              <w:ind w:left="20"/>
              <w:spacing w:after="0"/>
              <w:rPr>
                <w:rFonts w:ascii="Arial" w:cs="Arial" w:eastAsia="Arial" w:hAnsi="Arial"/>
                <w:sz w:val="16"/>
                <w:szCs w:val="16"/>
                <w:color w:val="0000FF"/>
              </w:rPr>
            </w:pPr>
            <w:hyperlink r:id="rId143">
              <w:r>
                <w:rPr>
                  <w:rFonts w:ascii="Arial" w:cs="Arial" w:eastAsia="Arial" w:hAnsi="Arial"/>
                  <w:sz w:val="16"/>
                  <w:szCs w:val="16"/>
                  <w:color w:val="0000FF"/>
                </w:rPr>
                <w:t>Form of Nonqualified Share Option Agreement under our 2005 Non-Employee Directors’ Share Option Plan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20" w:type="dxa"/>
            <w:vAlign w:val="bottom"/>
            <w:tcBorders>
              <w:top w:val="single" w:sz="8" w:color="0000FF"/>
            </w:tcBorders>
            <w:gridSpan w:val="37"/>
          </w:tcPr>
          <w:p>
            <w:pPr>
              <w:ind w:left="20"/>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Quarterly Report on Form 10-Q for the fiscal quarter ended September 30,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10.3*</w:t>
            </w:r>
          </w:p>
        </w:tc>
        <w:tc>
          <w:tcPr>
            <w:tcW w:w="9740" w:type="dxa"/>
            <w:vAlign w:val="bottom"/>
            <w:tcBorders>
              <w:bottom w:val="single" w:sz="8" w:color="0000FF"/>
            </w:tcBorders>
            <w:gridSpan w:val="24"/>
          </w:tcPr>
          <w:p>
            <w:pPr>
              <w:ind w:left="20"/>
              <w:spacing w:after="0"/>
              <w:rPr>
                <w:rFonts w:ascii="Arial" w:cs="Arial" w:eastAsia="Arial" w:hAnsi="Arial"/>
                <w:sz w:val="16"/>
                <w:szCs w:val="16"/>
                <w:color w:val="0000FF"/>
              </w:rPr>
            </w:pPr>
            <w:hyperlink r:id="rId144">
              <w:r>
                <w:rPr>
                  <w:rFonts w:ascii="Arial" w:cs="Arial" w:eastAsia="Arial" w:hAnsi="Arial"/>
                  <w:sz w:val="16"/>
                  <w:szCs w:val="16"/>
                  <w:color w:val="0000FF"/>
                </w:rPr>
                <w:t>2016 Performance Equity Plan is incorporated by reference to our Current Report on Form 8-K filed with the SEC on December 3, 2019</w:t>
              </w:r>
            </w:hyperlink>
          </w:p>
        </w:tc>
        <w:tc>
          <w:tcPr>
            <w:tcW w:w="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10.4*</w:t>
            </w:r>
          </w:p>
        </w:tc>
        <w:tc>
          <w:tcPr>
            <w:tcW w:w="10360" w:type="dxa"/>
            <w:vAlign w:val="bottom"/>
            <w:gridSpan w:val="44"/>
          </w:tcPr>
          <w:p>
            <w:pPr>
              <w:ind w:left="20"/>
              <w:spacing w:after="0"/>
              <w:rPr>
                <w:rFonts w:ascii="Arial" w:cs="Arial" w:eastAsia="Arial" w:hAnsi="Arial"/>
                <w:sz w:val="16"/>
                <w:szCs w:val="16"/>
                <w:color w:val="0000FF"/>
              </w:rPr>
            </w:pPr>
            <w:hyperlink r:id="rId145">
              <w:r>
                <w:rPr>
                  <w:rFonts w:ascii="Arial" w:cs="Arial" w:eastAsia="Arial" w:hAnsi="Arial"/>
                  <w:sz w:val="16"/>
                  <w:szCs w:val="16"/>
                  <w:color w:val="0000FF"/>
                </w:rPr>
                <w:t>Form of Performance Share Unit Agreement for employees and executives under our 2016 Performance Equity Plan is incorporated by</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680" w:type="dxa"/>
            <w:vAlign w:val="bottom"/>
            <w:tcBorders>
              <w:top w:val="single" w:sz="8" w:color="0000FF"/>
            </w:tcBorders>
            <w:gridSpan w:val="21"/>
          </w:tcPr>
          <w:p>
            <w:pPr>
              <w:ind w:left="20"/>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reference to our Quarterly Report on Form 10-Q for the fiscal quarter ended December 31, 2019</w:t>
              </w:r>
            </w:hyperlink>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10.5*</w:t>
            </w:r>
          </w:p>
        </w:tc>
        <w:tc>
          <w:tcPr>
            <w:tcW w:w="10360" w:type="dxa"/>
            <w:vAlign w:val="bottom"/>
            <w:gridSpan w:val="44"/>
          </w:tcPr>
          <w:p>
            <w:pPr>
              <w:ind w:left="20"/>
              <w:spacing w:after="0"/>
              <w:rPr>
                <w:rFonts w:ascii="Arial" w:cs="Arial" w:eastAsia="Arial" w:hAnsi="Arial"/>
                <w:sz w:val="16"/>
                <w:szCs w:val="16"/>
                <w:color w:val="0000FF"/>
              </w:rPr>
            </w:pPr>
            <w:hyperlink r:id="rId146">
              <w:r>
                <w:rPr>
                  <w:rFonts w:ascii="Arial" w:cs="Arial" w:eastAsia="Arial" w:hAnsi="Arial"/>
                  <w:sz w:val="16"/>
                  <w:szCs w:val="16"/>
                  <w:color w:val="0000FF"/>
                </w:rPr>
                <w:t>Form of Performance Share Unit Agreement for our Chief Executive Officer under our 2016 Performance Equity Plan is incorporated by</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700" w:type="dxa"/>
            <w:vAlign w:val="bottom"/>
            <w:tcBorders>
              <w:top w:val="single" w:sz="8" w:color="0000FF"/>
            </w:tcBorders>
            <w:gridSpan w:val="22"/>
          </w:tcPr>
          <w:p>
            <w:pPr>
              <w:ind w:left="20"/>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reference to our Quarterly Report on Form 10-Q for the fiscal quarter ended December 31, 2019</w:t>
              </w:r>
            </w:hyperlink>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10.6*</w:t>
            </w:r>
          </w:p>
        </w:tc>
        <w:tc>
          <w:tcPr>
            <w:tcW w:w="10360" w:type="dxa"/>
            <w:vAlign w:val="bottom"/>
            <w:gridSpan w:val="44"/>
          </w:tcPr>
          <w:p>
            <w:pPr>
              <w:ind w:left="20"/>
              <w:spacing w:after="0"/>
              <w:rPr>
                <w:rFonts w:ascii="Arial" w:cs="Arial" w:eastAsia="Arial" w:hAnsi="Arial"/>
                <w:sz w:val="16"/>
                <w:szCs w:val="16"/>
                <w:color w:val="0000FF"/>
              </w:rPr>
            </w:pPr>
            <w:hyperlink r:id="rId147">
              <w:r>
                <w:rPr>
                  <w:rFonts w:ascii="Arial" w:cs="Arial" w:eastAsia="Arial" w:hAnsi="Arial"/>
                  <w:sz w:val="16"/>
                  <w:szCs w:val="16"/>
                  <w:color w:val="0000FF"/>
                </w:rPr>
                <w:t>Form of Performance Share Unit Agreement for members of our Board of Directors under our 2016 Performance Equity Plan is incorporated by</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60" w:type="dxa"/>
            <w:vAlign w:val="bottom"/>
            <w:tcBorders>
              <w:top w:val="single" w:sz="8" w:color="0000FF"/>
            </w:tcBorders>
            <w:gridSpan w:val="39"/>
          </w:tcPr>
          <w:p>
            <w:pPr>
              <w:ind w:left="20"/>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reference to our Quarterly Report on Form 10-Q for the fiscal quarter ended December 31,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10.7*</w:t>
            </w:r>
          </w:p>
        </w:tc>
        <w:tc>
          <w:tcPr>
            <w:tcW w:w="10360" w:type="dxa"/>
            <w:vAlign w:val="bottom"/>
            <w:gridSpan w:val="44"/>
          </w:tcPr>
          <w:p>
            <w:pPr>
              <w:ind w:left="20"/>
              <w:spacing w:after="0"/>
              <w:rPr>
                <w:rFonts w:ascii="Arial" w:cs="Arial" w:eastAsia="Arial" w:hAnsi="Arial"/>
                <w:sz w:val="16"/>
                <w:szCs w:val="16"/>
                <w:color w:val="0000FF"/>
              </w:rPr>
            </w:pPr>
            <w:hyperlink r:id="rId148">
              <w:r>
                <w:rPr>
                  <w:rFonts w:ascii="Arial" w:cs="Arial" w:eastAsia="Arial" w:hAnsi="Arial"/>
                  <w:sz w:val="16"/>
                  <w:szCs w:val="16"/>
                  <w:color w:val="0000FF"/>
                </w:rPr>
                <w:t>2020 Equity Incentive Plan, as amended, is incorporated by reference to our Current Report on Form 8-K filed with the SEC on November 25,</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ind w:left="20"/>
              <w:spacing w:after="0" w:line="142"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2024.</w:t>
              </w:r>
            </w:hyperlink>
          </w:p>
        </w:tc>
        <w:tc>
          <w:tcPr>
            <w:tcW w:w="9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10.8*</w:t>
            </w:r>
          </w:p>
        </w:tc>
        <w:tc>
          <w:tcPr>
            <w:tcW w:w="10360" w:type="dxa"/>
            <w:vAlign w:val="bottom"/>
            <w:gridSpan w:val="44"/>
          </w:tcPr>
          <w:p>
            <w:pPr>
              <w:ind w:left="20"/>
              <w:spacing w:after="0"/>
              <w:rPr>
                <w:rFonts w:ascii="Arial" w:cs="Arial" w:eastAsia="Arial" w:hAnsi="Arial"/>
                <w:sz w:val="16"/>
                <w:szCs w:val="16"/>
                <w:color w:val="0000FF"/>
              </w:rPr>
            </w:pPr>
            <w:hyperlink r:id="rId149">
              <w:r>
                <w:rPr>
                  <w:rFonts w:ascii="Arial" w:cs="Arial" w:eastAsia="Arial" w:hAnsi="Arial"/>
                  <w:sz w:val="16"/>
                  <w:szCs w:val="16"/>
                  <w:color w:val="0000FF"/>
                </w:rPr>
                <w:t>Form of Restricted Share Unit Agreement under our 2020 Equity Incentive Plan is incorporated by reference to our Quarterly Report on Form</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100" w:type="dxa"/>
            <w:vAlign w:val="bottom"/>
            <w:tcBorders>
              <w:top w:val="single" w:sz="8" w:color="0000FF"/>
            </w:tcBorders>
            <w:gridSpan w:val="34"/>
          </w:tcPr>
          <w:p>
            <w:pPr>
              <w:ind w:left="20"/>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10-Q for the fiscal quarter ended December 31, 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10.9*</w:t>
            </w:r>
          </w:p>
        </w:tc>
        <w:tc>
          <w:tcPr>
            <w:tcW w:w="10360" w:type="dxa"/>
            <w:vAlign w:val="bottom"/>
            <w:gridSpan w:val="44"/>
          </w:tcPr>
          <w:p>
            <w:pPr>
              <w:ind w:left="20"/>
              <w:spacing w:after="0"/>
              <w:rPr>
                <w:rFonts w:ascii="Arial" w:cs="Arial" w:eastAsia="Arial" w:hAnsi="Arial"/>
                <w:sz w:val="16"/>
                <w:szCs w:val="16"/>
                <w:color w:val="0000FF"/>
              </w:rPr>
            </w:pPr>
            <w:hyperlink r:id="rId150">
              <w:r>
                <w:rPr>
                  <w:rFonts w:ascii="Arial" w:cs="Arial" w:eastAsia="Arial" w:hAnsi="Arial"/>
                  <w:sz w:val="16"/>
                  <w:szCs w:val="16"/>
                  <w:color w:val="0000FF"/>
                </w:rPr>
                <w:t>Form of Performance Share Unit Agreement for employees and executives under our 2020 Equity Incentive Plan is incorporated by reference to</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80" w:type="dxa"/>
            <w:vAlign w:val="bottom"/>
            <w:tcBorders>
              <w:top w:val="single" w:sz="8" w:color="0000FF"/>
              <w:bottom w:val="single" w:sz="8" w:color="0000FF"/>
            </w:tcBorders>
            <w:gridSpan w:val="12"/>
          </w:tcPr>
          <w:p>
            <w:pPr>
              <w:ind w:left="20"/>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our Quarterly Report on Form 10-Q for the fiscal quarter ended December 31, 2020</w:t>
              </w:r>
            </w:hyperlink>
          </w:p>
        </w:tc>
        <w:tc>
          <w:tcPr>
            <w:tcW w:w="436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10.10*</w:t>
            </w:r>
          </w:p>
        </w:tc>
        <w:tc>
          <w:tcPr>
            <w:tcW w:w="10360" w:type="dxa"/>
            <w:vAlign w:val="bottom"/>
            <w:gridSpan w:val="44"/>
          </w:tcPr>
          <w:p>
            <w:pPr>
              <w:ind w:left="20"/>
              <w:spacing w:after="0"/>
              <w:rPr>
                <w:rFonts w:ascii="Arial" w:cs="Arial" w:eastAsia="Arial" w:hAnsi="Arial"/>
                <w:sz w:val="16"/>
                <w:szCs w:val="16"/>
                <w:color w:val="0000FF"/>
              </w:rPr>
            </w:pPr>
            <w:hyperlink r:id="rId151">
              <w:r>
                <w:rPr>
                  <w:rFonts w:ascii="Arial" w:cs="Arial" w:eastAsia="Arial" w:hAnsi="Arial"/>
                  <w:sz w:val="16"/>
                  <w:szCs w:val="16"/>
                  <w:color w:val="0000FF"/>
                </w:rPr>
                <w:t>Form of Performance Share Unit Agreement for our Chief Executive Officer under our 2020 Equity Incentive Plan is incorporated by reference</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13"/>
          </w:tcPr>
          <w:p>
            <w:pPr>
              <w:ind w:left="20"/>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to our Quarterly Report on Form 10-Q for the fiscal quarter ended December 31, 2020</w:t>
              </w:r>
            </w:hyperlink>
          </w:p>
        </w:tc>
        <w:tc>
          <w:tcPr>
            <w:tcW w:w="398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10.11*</w:t>
            </w:r>
          </w:p>
        </w:tc>
        <w:tc>
          <w:tcPr>
            <w:tcW w:w="10360" w:type="dxa"/>
            <w:vAlign w:val="bottom"/>
            <w:gridSpan w:val="44"/>
          </w:tcPr>
          <w:p>
            <w:pPr>
              <w:ind w:left="20"/>
              <w:spacing w:after="0"/>
              <w:rPr>
                <w:rFonts w:ascii="Arial" w:cs="Arial" w:eastAsia="Arial" w:hAnsi="Arial"/>
                <w:sz w:val="16"/>
                <w:szCs w:val="16"/>
                <w:color w:val="0000FF"/>
              </w:rPr>
            </w:pPr>
            <w:hyperlink r:id="rId152">
              <w:r>
                <w:rPr>
                  <w:rFonts w:ascii="Arial" w:cs="Arial" w:eastAsia="Arial" w:hAnsi="Arial"/>
                  <w:sz w:val="16"/>
                  <w:szCs w:val="16"/>
                  <w:color w:val="0000FF"/>
                </w:rPr>
                <w:t>Form of Performance Share Unit Agreement for our Board of Directors under our 2020 Equity Incentive Plan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80" w:type="dxa"/>
            <w:vAlign w:val="bottom"/>
            <w:tcBorders>
              <w:top w:val="single" w:sz="8" w:color="0000FF"/>
            </w:tcBorders>
            <w:gridSpan w:val="40"/>
          </w:tcPr>
          <w:p>
            <w:pPr>
              <w:ind w:left="20"/>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Quarterly Report on Form 10-Q for the fiscal quarter ended December 31,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10.12*</w:t>
            </w:r>
          </w:p>
        </w:tc>
        <w:tc>
          <w:tcPr>
            <w:tcW w:w="10360" w:type="dxa"/>
            <w:vAlign w:val="bottom"/>
            <w:gridSpan w:val="44"/>
          </w:tcPr>
          <w:p>
            <w:pPr>
              <w:ind w:left="20"/>
              <w:spacing w:after="0"/>
              <w:rPr>
                <w:rFonts w:ascii="Arial" w:cs="Arial" w:eastAsia="Arial" w:hAnsi="Arial"/>
                <w:sz w:val="16"/>
                <w:szCs w:val="16"/>
                <w:color w:val="0000FF"/>
              </w:rPr>
            </w:pPr>
            <w:hyperlink r:id="rId153">
              <w:r>
                <w:rPr>
                  <w:rFonts w:ascii="Arial" w:cs="Arial" w:eastAsia="Arial" w:hAnsi="Arial"/>
                  <w:sz w:val="16"/>
                  <w:szCs w:val="16"/>
                  <w:color w:val="0000FF"/>
                </w:rPr>
                <w:t>Form of Performance-Based Restricted Share Unit Agreement based on fiscal year 2024 Cimpress financial performance under the 2020</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5"/>
          </w:tcPr>
          <w:p>
            <w:pPr>
              <w:ind w:left="20"/>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Equity Incentive Plan is incorporated by reference to our Quarterly Report on Form 10-Q for the fiscal quarter ended September 30, 2023</w:t>
              </w:r>
            </w:hyperlink>
          </w:p>
        </w:tc>
        <w:tc>
          <w:tcPr>
            <w:tcW w:w="20" w:type="dxa"/>
            <w:vAlign w:val="bottom"/>
            <w:tcBorders>
              <w:top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10.13*</w:t>
            </w:r>
          </w:p>
        </w:tc>
        <w:tc>
          <w:tcPr>
            <w:tcW w:w="10360" w:type="dxa"/>
            <w:vAlign w:val="bottom"/>
            <w:gridSpan w:val="44"/>
          </w:tcPr>
          <w:p>
            <w:pPr>
              <w:ind w:left="20"/>
              <w:spacing w:after="0"/>
              <w:rPr>
                <w:rFonts w:ascii="Arial" w:cs="Arial" w:eastAsia="Arial" w:hAnsi="Arial"/>
                <w:sz w:val="16"/>
                <w:szCs w:val="16"/>
                <w:color w:val="0000FF"/>
              </w:rPr>
            </w:pPr>
            <w:hyperlink r:id="rId154">
              <w:r>
                <w:rPr>
                  <w:rFonts w:ascii="Arial" w:cs="Arial" w:eastAsia="Arial" w:hAnsi="Arial"/>
                  <w:sz w:val="16"/>
                  <w:szCs w:val="16"/>
                  <w:color w:val="0000FF"/>
                </w:rPr>
                <w:t>Form of Performance-Based Restricted Share Unit Agreement based on fiscal year 2024 Vista financial performance under the 2020 Equity</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00" w:type="dxa"/>
            <w:vAlign w:val="bottom"/>
            <w:tcBorders>
              <w:top w:val="single" w:sz="8" w:color="0000FF"/>
            </w:tcBorders>
            <w:gridSpan w:val="29"/>
          </w:tcPr>
          <w:p>
            <w:pPr>
              <w:ind w:left="20"/>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Incentive Plan is incorporated by reference to our Quarterly Report on Form 10-Q for the fiscal quarter ended September 30,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10.14*</w:t>
            </w:r>
          </w:p>
        </w:tc>
        <w:tc>
          <w:tcPr>
            <w:tcW w:w="10360" w:type="dxa"/>
            <w:vAlign w:val="bottom"/>
            <w:gridSpan w:val="44"/>
          </w:tcPr>
          <w:p>
            <w:pPr>
              <w:ind w:left="20"/>
              <w:spacing w:after="0"/>
              <w:rPr>
                <w:rFonts w:ascii="Arial" w:cs="Arial" w:eastAsia="Arial" w:hAnsi="Arial"/>
                <w:sz w:val="16"/>
                <w:szCs w:val="16"/>
                <w:color w:val="0000FF"/>
              </w:rPr>
            </w:pPr>
            <w:hyperlink r:id="rId155">
              <w:r>
                <w:rPr>
                  <w:rFonts w:ascii="Arial" w:cs="Arial" w:eastAsia="Arial" w:hAnsi="Arial"/>
                  <w:sz w:val="16"/>
                  <w:szCs w:val="16"/>
                  <w:color w:val="0000FF"/>
                </w:rPr>
                <w:t>Form of Deed of Indemnification between Cimpress plc and each of its directors is incorporated by reference to our Current Report on Form 8-K</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20" w:type="dxa"/>
            <w:vAlign w:val="bottom"/>
            <w:tcBorders>
              <w:top w:val="single" w:sz="8" w:color="0000FF"/>
              <w:bottom w:val="single" w:sz="8" w:color="0000FF"/>
            </w:tcBorders>
            <w:gridSpan w:val="4"/>
          </w:tcPr>
          <w:p>
            <w:pPr>
              <w:ind w:left="20"/>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filed with the SEC on January 29, 2020</w:t>
              </w:r>
            </w:hyperlink>
          </w:p>
        </w:tc>
        <w:tc>
          <w:tcPr>
            <w:tcW w:w="7500" w:type="dxa"/>
            <w:vAlign w:val="bottom"/>
            <w:tcBorders>
              <w:top w:val="single" w:sz="8" w:color="0000FF"/>
            </w:tcBorders>
            <w:gridSpan w:val="3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10.15*</w:t>
            </w:r>
          </w:p>
        </w:tc>
        <w:tc>
          <w:tcPr>
            <w:tcW w:w="10360" w:type="dxa"/>
            <w:vAlign w:val="bottom"/>
            <w:gridSpan w:val="44"/>
          </w:tcPr>
          <w:p>
            <w:pPr>
              <w:ind w:left="20"/>
              <w:spacing w:after="0"/>
              <w:rPr>
                <w:rFonts w:ascii="Arial" w:cs="Arial" w:eastAsia="Arial" w:hAnsi="Arial"/>
                <w:sz w:val="16"/>
                <w:szCs w:val="16"/>
                <w:color w:val="0000FF"/>
              </w:rPr>
            </w:pPr>
            <w:hyperlink r:id="rId156">
              <w:r>
                <w:rPr>
                  <w:rFonts w:ascii="Arial" w:cs="Arial" w:eastAsia="Arial" w:hAnsi="Arial"/>
                  <w:sz w:val="16"/>
                  <w:szCs w:val="16"/>
                  <w:color w:val="0000FF"/>
                </w:rPr>
                <w:t>Form of Deed of Indemnification between Cimpress plc and each executive officer is incorporated by reference to our Current Report on Form</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160" w:type="dxa"/>
            <w:vAlign w:val="bottom"/>
            <w:tcBorders>
              <w:top w:val="single" w:sz="8" w:color="0000FF"/>
            </w:tcBorders>
            <w:gridSpan w:val="36"/>
          </w:tcPr>
          <w:p>
            <w:pPr>
              <w:ind w:left="20"/>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8-K filed with the SEC on January 29, 2020</w:t>
              </w:r>
            </w:hyperlink>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10.16*</w:t>
            </w:r>
          </w:p>
        </w:tc>
        <w:tc>
          <w:tcPr>
            <w:tcW w:w="10360" w:type="dxa"/>
            <w:vAlign w:val="bottom"/>
            <w:gridSpan w:val="44"/>
          </w:tcPr>
          <w:p>
            <w:pPr>
              <w:ind w:left="20"/>
              <w:spacing w:after="0"/>
              <w:rPr>
                <w:rFonts w:ascii="Arial" w:cs="Arial" w:eastAsia="Arial" w:hAnsi="Arial"/>
                <w:sz w:val="16"/>
                <w:szCs w:val="16"/>
                <w:color w:val="0000FF"/>
              </w:rPr>
            </w:pPr>
            <w:hyperlink r:id="rId157">
              <w:r>
                <w:rPr>
                  <w:rFonts w:ascii="Arial" w:cs="Arial" w:eastAsia="Arial" w:hAnsi="Arial"/>
                  <w:sz w:val="16"/>
                  <w:szCs w:val="16"/>
                  <w:color w:val="0000FF"/>
                </w:rPr>
                <w:t>Form of Indemnification Agreement between Cimpress USA Incorporated and each director of Cimpress plc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9"/>
          </w:tcPr>
          <w:p>
            <w:pPr>
              <w:ind w:left="20"/>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Current Report on Form 8-K filed with the SEC on January 29, 2020</w:t>
              </w:r>
            </w:hyperlink>
          </w:p>
        </w:tc>
        <w:tc>
          <w:tcPr>
            <w:tcW w:w="5360" w:type="dxa"/>
            <w:vAlign w:val="bottom"/>
            <w:tcBorders>
              <w:top w:val="single" w:sz="8" w:color="0000FF"/>
            </w:tcBorders>
            <w:gridSpan w:val="29"/>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10.17*</w:t>
            </w:r>
          </w:p>
        </w:tc>
        <w:tc>
          <w:tcPr>
            <w:tcW w:w="10360" w:type="dxa"/>
            <w:vAlign w:val="bottom"/>
            <w:gridSpan w:val="44"/>
          </w:tcPr>
          <w:p>
            <w:pPr>
              <w:ind w:left="20"/>
              <w:spacing w:after="0"/>
              <w:rPr>
                <w:rFonts w:ascii="Arial" w:cs="Arial" w:eastAsia="Arial" w:hAnsi="Arial"/>
                <w:sz w:val="16"/>
                <w:szCs w:val="16"/>
                <w:color w:val="0000FF"/>
              </w:rPr>
            </w:pPr>
            <w:hyperlink r:id="rId158">
              <w:r>
                <w:rPr>
                  <w:rFonts w:ascii="Arial" w:cs="Arial" w:eastAsia="Arial" w:hAnsi="Arial"/>
                  <w:sz w:val="16"/>
                  <w:szCs w:val="16"/>
                  <w:color w:val="0000FF"/>
                </w:rPr>
                <w:t>Form of Indemnification Agreement between Cimpress USA Incorporated and each executive officer is incorporated by reference to our Current</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300" w:type="dxa"/>
            <w:vAlign w:val="bottom"/>
            <w:tcBorders>
              <w:top w:val="single" w:sz="8" w:color="0000FF"/>
            </w:tcBorders>
            <w:gridSpan w:val="41"/>
          </w:tcPr>
          <w:p>
            <w:pPr>
              <w:ind w:left="20"/>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Report on Form 8-K filed with the SEC on January 29, 2020</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10.18*</w:t>
            </w:r>
          </w:p>
        </w:tc>
        <w:tc>
          <w:tcPr>
            <w:tcW w:w="10360" w:type="dxa"/>
            <w:vAlign w:val="bottom"/>
            <w:gridSpan w:val="44"/>
          </w:tcPr>
          <w:p>
            <w:pPr>
              <w:ind w:left="20"/>
              <w:spacing w:after="0"/>
              <w:rPr>
                <w:rFonts w:ascii="Arial" w:cs="Arial" w:eastAsia="Arial" w:hAnsi="Arial"/>
                <w:sz w:val="16"/>
                <w:szCs w:val="16"/>
                <w:color w:val="0000FF"/>
              </w:rPr>
            </w:pPr>
            <w:hyperlink r:id="rId159">
              <w:r>
                <w:rPr>
                  <w:rFonts w:ascii="Arial" w:cs="Arial" w:eastAsia="Arial" w:hAnsi="Arial"/>
                  <w:sz w:val="16"/>
                  <w:szCs w:val="16"/>
                  <w:color w:val="0000FF"/>
                </w:rPr>
                <w:t>Second Amended and Restated Executive Retention Agreement dated as of February 20, 2023 between Cimpress plc and Robert Keane is</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16"/>
          </w:tcPr>
          <w:p>
            <w:pPr>
              <w:ind w:left="20"/>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incorporated by reference to our Current Report on Form 8-K filed with the SEC on February 23, 2023</w:t>
              </w:r>
            </w:hyperlink>
          </w:p>
        </w:tc>
        <w:tc>
          <w:tcPr>
            <w:tcW w:w="2760" w:type="dxa"/>
            <w:vAlign w:val="bottom"/>
            <w:tcBorders>
              <w:top w:val="single" w:sz="8" w:color="0000FF"/>
            </w:tcBorders>
            <w:gridSpan w:val="16"/>
          </w:tcPr>
          <w:p>
            <w:pPr>
              <w:spacing w:after="0"/>
              <w:rPr>
                <w:sz w:val="12"/>
                <w:szCs w:val="12"/>
                <w:color w:val="auto"/>
              </w:rPr>
            </w:pPr>
          </w:p>
        </w:tc>
        <w:tc>
          <w:tcPr>
            <w:tcW w:w="3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10.19*</w:t>
            </w:r>
          </w:p>
        </w:tc>
        <w:tc>
          <w:tcPr>
            <w:tcW w:w="10360" w:type="dxa"/>
            <w:vAlign w:val="bottom"/>
            <w:gridSpan w:val="44"/>
          </w:tcPr>
          <w:p>
            <w:pPr>
              <w:ind w:left="20"/>
              <w:spacing w:after="0"/>
              <w:rPr>
                <w:rFonts w:ascii="Arial" w:cs="Arial" w:eastAsia="Arial" w:hAnsi="Arial"/>
                <w:sz w:val="16"/>
                <w:szCs w:val="16"/>
                <w:color w:val="0000FF"/>
              </w:rPr>
            </w:pPr>
            <w:hyperlink r:id="rId160">
              <w:r>
                <w:rPr>
                  <w:rFonts w:ascii="Arial" w:cs="Arial" w:eastAsia="Arial" w:hAnsi="Arial"/>
                  <w:sz w:val="16"/>
                  <w:szCs w:val="16"/>
                  <w:color w:val="0000FF"/>
                </w:rPr>
                <w:t>Form of Amended and Restated Executive Retention Agreement between Cimpress plc and each of Sean Quinn and Maarten Wensveen is</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16"/>
          </w:tcPr>
          <w:p>
            <w:pPr>
              <w:ind w:left="20"/>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incorporated by reference to our Current Report on Form 8-K filed with the SEC on February 23, 2023</w:t>
              </w:r>
            </w:hyperlink>
          </w:p>
        </w:tc>
        <w:tc>
          <w:tcPr>
            <w:tcW w:w="27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10.20*</w:t>
            </w:r>
          </w:p>
        </w:tc>
        <w:tc>
          <w:tcPr>
            <w:tcW w:w="10360" w:type="dxa"/>
            <w:vAlign w:val="bottom"/>
            <w:gridSpan w:val="44"/>
          </w:tcPr>
          <w:p>
            <w:pPr>
              <w:ind w:left="20"/>
              <w:spacing w:after="0"/>
              <w:rPr>
                <w:rFonts w:ascii="Arial" w:cs="Arial" w:eastAsia="Arial" w:hAnsi="Arial"/>
                <w:sz w:val="16"/>
                <w:szCs w:val="16"/>
                <w:color w:val="0000FF"/>
              </w:rPr>
            </w:pPr>
            <w:hyperlink r:id="rId161">
              <w:r>
                <w:rPr>
                  <w:rFonts w:ascii="Arial" w:cs="Arial" w:eastAsia="Arial" w:hAnsi="Arial"/>
                  <w:sz w:val="16"/>
                  <w:szCs w:val="16"/>
                  <w:color w:val="0000FF"/>
                </w:rPr>
                <w:t>Executive Retention Agreement between Cimpress plc and Florian Baumgartner dated February 1, 2023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40" w:type="dxa"/>
            <w:vAlign w:val="bottom"/>
            <w:tcBorders>
              <w:top w:val="single" w:sz="8" w:color="0000FF"/>
            </w:tcBorders>
            <w:gridSpan w:val="31"/>
          </w:tcPr>
          <w:p>
            <w:pPr>
              <w:ind w:left="20"/>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Current Report on Form 8-K filed with the SEC on February 23, 2023</w:t>
              </w:r>
            </w:hyperlink>
          </w:p>
        </w:tc>
        <w:tc>
          <w:tcPr>
            <w:tcW w:w="32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40" w:type="dxa"/>
            <w:vAlign w:val="bottom"/>
            <w:gridSpan w:val="10"/>
            <w:shd w:val="clear" w:color="auto" w:fill="0000FF"/>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10.21*</w:t>
            </w:r>
          </w:p>
        </w:tc>
        <w:tc>
          <w:tcPr>
            <w:tcW w:w="10360" w:type="dxa"/>
            <w:vAlign w:val="bottom"/>
            <w:gridSpan w:val="44"/>
          </w:tcPr>
          <w:p>
            <w:pPr>
              <w:ind w:left="20"/>
              <w:spacing w:after="0"/>
              <w:rPr>
                <w:rFonts w:ascii="Arial" w:cs="Arial" w:eastAsia="Arial" w:hAnsi="Arial"/>
                <w:sz w:val="16"/>
                <w:szCs w:val="16"/>
                <w:color w:val="0000FF"/>
              </w:rPr>
            </w:pPr>
            <w:hyperlink r:id="rId162">
              <w:r>
                <w:rPr>
                  <w:rFonts w:ascii="Arial" w:cs="Arial" w:eastAsia="Arial" w:hAnsi="Arial"/>
                  <w:sz w:val="16"/>
                  <w:szCs w:val="16"/>
                  <w:color w:val="0000FF"/>
                </w:rPr>
                <w:t>Memorandum clarifying relative precedence of agreements dated May 6, 2010 between Cimpress plc (as successor to Cimpress N.V.) and</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940" w:type="dxa"/>
            <w:vAlign w:val="bottom"/>
            <w:tcBorders>
              <w:top w:val="single" w:sz="8" w:color="0000FF"/>
            </w:tcBorders>
            <w:gridSpan w:val="28"/>
          </w:tcPr>
          <w:p>
            <w:pPr>
              <w:ind w:left="20"/>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Robert Keane is incorporated by reference to our Annual Report on Form 10-K for the fiscal year ended June 30, 2010</w:t>
              </w:r>
            </w:hyperlink>
          </w:p>
        </w:tc>
        <w:tc>
          <w:tcPr>
            <w:tcW w:w="4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875"/>
        </w:trPr>
        <w:tc>
          <w:tcPr>
            <w:tcW w:w="880" w:type="dxa"/>
            <w:vAlign w:val="bottom"/>
          </w:tcPr>
          <w:p>
            <w:pPr>
              <w:spacing w:after="0"/>
              <w:rPr>
                <w:sz w:val="24"/>
                <w:szCs w:val="24"/>
                <w:color w:val="auto"/>
              </w:rPr>
            </w:pPr>
          </w:p>
        </w:tc>
        <w:tc>
          <w:tcPr>
            <w:tcW w:w="4880" w:type="dxa"/>
            <w:vAlign w:val="bottom"/>
            <w:tcBorders>
              <w:top w:val="single" w:sz="8" w:color="0000FF"/>
            </w:tcBorders>
            <w:gridSpan w:val="9"/>
          </w:tcPr>
          <w:p>
            <w:pPr>
              <w:ind w:left="4640"/>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9" w:name="page100"/>
    <w:bookmarkEnd w:id="99"/>
    <w:p>
      <w:pPr>
        <w:ind w:left="900" w:right="22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165">
        <w:r>
          <w:rPr>
            <w:rFonts w:ascii="Arial" w:cs="Arial" w:eastAsia="Arial" w:hAnsi="Arial"/>
            <w:sz w:val="16"/>
            <w:szCs w:val="16"/>
            <w:u w:val="single" w:color="auto"/>
            <w:color w:val="0000FF"/>
          </w:rPr>
          <w:t>Employment Agreement dated May 5, 2024 between Cimpress Puerto Rico LLC and Cimpress USA Incorporated, as employers, and Robert</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Keane, as employee, is incorporated by reference to our Annual Report on Form 10-K for the fiscal year ended June 30, 2024</w:t>
        </w:r>
      </w:hyperlink>
    </w:p>
    <w:p>
      <w:pPr>
        <w:spacing w:after="0" w:line="1" w:lineRule="exact"/>
        <w:rPr>
          <w:sz w:val="20"/>
          <w:szCs w:val="20"/>
          <w:color w:val="auto"/>
        </w:rPr>
      </w:pPr>
    </w:p>
    <w:p>
      <w:pPr>
        <w:ind w:left="900" w:right="1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166">
        <w:r>
          <w:rPr>
            <w:rFonts w:ascii="Arial" w:cs="Arial" w:eastAsia="Arial" w:hAnsi="Arial"/>
            <w:sz w:val="16"/>
            <w:szCs w:val="16"/>
            <w:u w:val="single" w:color="auto"/>
            <w:color w:val="0000FF"/>
          </w:rPr>
          <w:t>Employment Agreement between Cimpress Deutschland GmbH and Florian Baumgartner dated July 10, 2019 is incorporated by reference to</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our Quarterly Report on Form 10-Q for the fiscal quarter ended March 31, 2023</w:t>
        </w:r>
      </w:hyperlink>
    </w:p>
    <w:p>
      <w:pPr>
        <w:spacing w:after="0" w:line="1" w:lineRule="exact"/>
        <w:rPr>
          <w:sz w:val="20"/>
          <w:szCs w:val="20"/>
          <w:color w:val="auto"/>
        </w:rPr>
      </w:pPr>
    </w:p>
    <w:p>
      <w:pPr>
        <w:ind w:left="9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167">
        <w:r>
          <w:rPr>
            <w:rFonts w:ascii="Arial" w:cs="Arial" w:eastAsia="Arial" w:hAnsi="Arial"/>
            <w:sz w:val="16"/>
            <w:szCs w:val="16"/>
            <w:u w:val="single" w:color="auto"/>
            <w:color w:val="0000FF"/>
          </w:rPr>
          <w:t>Amendment to Employment Agreement between Cimpress Deutschland GmbH and Florian Baumgartner dated January 1, 2021 is incorporated</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by reference to our Quarterly Report on Form 10-Q for the fiscal quarter ended March 31, 2023</w:t>
        </w:r>
      </w:hyperlink>
    </w:p>
    <w:p>
      <w:pPr>
        <w:spacing w:after="0" w:line="1" w:lineRule="exact"/>
        <w:rPr>
          <w:sz w:val="20"/>
          <w:szCs w:val="20"/>
          <w:color w:val="auto"/>
        </w:rPr>
      </w:pPr>
    </w:p>
    <w:p>
      <w:pPr>
        <w:ind w:left="900" w:right="4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168">
        <w:r>
          <w:rPr>
            <w:rFonts w:ascii="Arial" w:cs="Arial" w:eastAsia="Arial" w:hAnsi="Arial"/>
            <w:sz w:val="16"/>
            <w:szCs w:val="16"/>
            <w:u w:val="single" w:color="auto"/>
            <w:color w:val="0000FF"/>
          </w:rPr>
          <w:t>Form of Invention and Non-Disclosure Agreement between Cimpress and each of Robert Keane, Sean Quinn, and Maarten Wensveen is</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incorporated by reference to our Registration Statement on Form S-1, as amended</w:t>
        </w:r>
      </w:hyperlink>
    </w:p>
    <w:p>
      <w:pPr>
        <w:spacing w:after="0" w:line="1" w:lineRule="exact"/>
        <w:rPr>
          <w:sz w:val="20"/>
          <w:szCs w:val="20"/>
          <w:color w:val="auto"/>
        </w:rPr>
      </w:pPr>
    </w:p>
    <w:p>
      <w:pPr>
        <w:ind w:left="900" w:right="6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69">
        <w:r>
          <w:rPr>
            <w:rFonts w:ascii="Arial" w:cs="Arial" w:eastAsia="Arial" w:hAnsi="Arial"/>
            <w:sz w:val="16"/>
            <w:szCs w:val="16"/>
            <w:u w:val="single" w:color="auto"/>
            <w:color w:val="0000FF"/>
          </w:rPr>
          <w:t>Form of Non-Competition and Non-Solicitation Agreement between Cimpress and each of Robert Keane, Sean Quinn, and Maarten Wensveen</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is incorporated by reference to our Registration Statement on Form S-1, as amended</w:t>
        </w:r>
      </w:hyperlink>
    </w:p>
    <w:p>
      <w:pPr>
        <w:spacing w:after="0" w:line="1" w:lineRule="exact"/>
        <w:rPr>
          <w:sz w:val="20"/>
          <w:szCs w:val="20"/>
          <w:color w:val="auto"/>
        </w:rPr>
      </w:pPr>
    </w:p>
    <w:p>
      <w:pPr>
        <w:ind w:left="900" w:right="140" w:hanging="863"/>
        <w:spacing w:after="0" w:line="22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170">
        <w:r>
          <w:rPr>
            <w:rFonts w:ascii="Arial" w:cs="Arial" w:eastAsia="Arial" w:hAnsi="Arial"/>
            <w:sz w:val="16"/>
            <w:szCs w:val="16"/>
            <w:u w:val="single" w:color="auto"/>
            <w:color w:val="0000FF"/>
          </w:rPr>
          <w:t>Amendment and Restatement Agreement dated as of May 17, 2021 among Cimpress plc, Vistaprint Limited, Cimpress Schweiz GmbH,</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Vistaprint B.V., Vistaprint Netherlands B.V., and Cimpress USA Incorporated, as borrowers (the "Borrowers"); the lenders named therein as</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lenders; and JPMorgan Chase Bank N.A., as administrative agent for the lenders (the “Administrative Agent”), which amends and restates the</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Credit Agreement dated as of October 21, 2011, as amended and restated as of February 8, 2013, and as further amended and restated as of</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July 13, 2017 (as amended and restated by the Amendment and Restatement Agreement, the "Credit Agreement"), is incorporated by</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reference to our Current Report on Form 8-K filed with the SEC on May 19, 2021</w:t>
        </w:r>
      </w:hyperlink>
    </w:p>
    <w:p>
      <w:pPr>
        <w:spacing w:after="0" w:line="5" w:lineRule="exact"/>
        <w:rPr>
          <w:rFonts w:ascii="Arial" w:cs="Arial" w:eastAsia="Arial" w:hAnsi="Arial"/>
          <w:sz w:val="16"/>
          <w:szCs w:val="16"/>
          <w:u w:val="single" w:color="auto"/>
          <w:color w:val="0000FF"/>
        </w:rPr>
      </w:pPr>
    </w:p>
    <w:p>
      <w:pPr>
        <w:ind w:left="900" w:right="6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171">
        <w:r>
          <w:rPr>
            <w:rFonts w:ascii="Arial" w:cs="Arial" w:eastAsia="Arial" w:hAnsi="Arial"/>
            <w:sz w:val="16"/>
            <w:szCs w:val="16"/>
            <w:u w:val="single" w:color="auto"/>
            <w:color w:val="0000FF"/>
          </w:rPr>
          <w:t>Amendment No. 1 (LIBOR Hardwire Transition Amendment) dated as of June 13, 2023 to the Credit Agreement is incorporated by reference to</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our Annual Report on Form 10-K for the fiscal year ended June 30, 2023</w:t>
        </w:r>
      </w:hyperlink>
    </w:p>
    <w:p>
      <w:pPr>
        <w:spacing w:after="0" w:line="1" w:lineRule="exact"/>
        <w:rPr>
          <w:sz w:val="20"/>
          <w:szCs w:val="20"/>
          <w:color w:val="auto"/>
        </w:rPr>
      </w:pPr>
    </w:p>
    <w:p>
      <w:pPr>
        <w:ind w:left="900" w:right="1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172">
        <w:r>
          <w:rPr>
            <w:rFonts w:ascii="Arial" w:cs="Arial" w:eastAsia="Arial" w:hAnsi="Arial"/>
            <w:sz w:val="16"/>
            <w:szCs w:val="16"/>
            <w:u w:val="single" w:color="auto"/>
            <w:color w:val="0000FF"/>
          </w:rPr>
          <w:t>Amendment No. 2 dated as of May 15, 2024 to the Credit Agreement is incorporated by reference to our Current Report on Form 8-K filed with</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the SEC on May 17, 2024</w:t>
        </w:r>
      </w:hyperlink>
    </w:p>
    <w:p>
      <w:pPr>
        <w:spacing w:after="0" w:line="1" w:lineRule="exact"/>
        <w:rPr>
          <w:sz w:val="20"/>
          <w:szCs w:val="20"/>
          <w:color w:val="auto"/>
        </w:rPr>
      </w:pPr>
    </w:p>
    <w:p>
      <w:pPr>
        <w:ind w:left="900" w:right="2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173">
        <w:r>
          <w:rPr>
            <w:rFonts w:ascii="Arial" w:cs="Arial" w:eastAsia="Arial" w:hAnsi="Arial"/>
            <w:sz w:val="16"/>
            <w:szCs w:val="16"/>
            <w:u w:val="single" w:color="auto"/>
            <w:color w:val="0000FF"/>
          </w:rPr>
          <w:t>Amendment No. 3 dated as of September 26, 2024 to the Credit Agreement is incorporated by reference to our Current Report on Form 8-K</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filed with the SEC on September 30, 2024</w:t>
        </w:r>
      </w:hyperlink>
    </w:p>
    <w:p>
      <w:pPr>
        <w:spacing w:after="0" w:line="1" w:lineRule="exact"/>
        <w:rPr>
          <w:sz w:val="20"/>
          <w:szCs w:val="20"/>
          <w:color w:val="auto"/>
        </w:rPr>
      </w:pPr>
    </w:p>
    <w:p>
      <w:pPr>
        <w:ind w:left="900" w:right="24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174">
        <w:r>
          <w:rPr>
            <w:rFonts w:ascii="Arial" w:cs="Arial" w:eastAsia="Arial" w:hAnsi="Arial"/>
            <w:sz w:val="16"/>
            <w:szCs w:val="16"/>
            <w:u w:val="single" w:color="auto"/>
            <w:color w:val="0000FF"/>
          </w:rPr>
          <w:t>Amendment No. 4, dated as of December 16, 2024, to the Credit Agreement is incorporated by reference to our Current Report on Form 8-K</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filed with the SEC on December 17, 2024</w:t>
        </w:r>
      </w:hyperlink>
    </w:p>
    <w:p>
      <w:pPr>
        <w:spacing w:after="0" w:line="1" w:lineRule="exact"/>
        <w:rPr>
          <w:sz w:val="20"/>
          <w:szCs w:val="20"/>
          <w:color w:val="auto"/>
        </w:rPr>
      </w:pPr>
    </w:p>
    <w:p>
      <w:pPr>
        <w:ind w:left="900" w:right="300" w:hanging="863"/>
        <w:spacing w:after="0" w:line="234"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175">
        <w:r>
          <w:rPr>
            <w:rFonts w:ascii="Arial" w:cs="Arial" w:eastAsia="Arial" w:hAnsi="Arial"/>
            <w:sz w:val="16"/>
            <w:szCs w:val="16"/>
            <w:u w:val="single" w:color="auto"/>
            <w:color w:val="0000FF"/>
          </w:rPr>
          <w:t>Second Amended and Restated Guaranty dated as of July 13, 2017 between Cimpress' subsidiary guarantors named therein as guarantors</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(the "Subsidiary Guarantors") and the Administrative Agent, which amends and restates the Amended and Restated Guaranty dated as of</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February 8, 2013, is incorporated by reference to our Current Report on Form 8-K filed with the SEC on July 14, 2017</w:t>
        </w:r>
      </w:hyperlink>
    </w:p>
    <w:p>
      <w:pPr>
        <w:spacing w:after="0" w:line="2" w:lineRule="exact"/>
        <w:rPr>
          <w:rFonts w:ascii="Arial" w:cs="Arial" w:eastAsia="Arial" w:hAnsi="Arial"/>
          <w:sz w:val="16"/>
          <w:szCs w:val="16"/>
          <w:u w:val="single" w:color="auto"/>
          <w:color w:val="0000FF"/>
        </w:rPr>
      </w:pPr>
    </w:p>
    <w:p>
      <w:pPr>
        <w:ind w:left="900" w:right="180" w:hanging="863"/>
        <w:spacing w:after="0" w:line="234"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176">
        <w:r>
          <w:rPr>
            <w:rFonts w:ascii="Arial" w:cs="Arial" w:eastAsia="Arial" w:hAnsi="Arial"/>
            <w:sz w:val="16"/>
            <w:szCs w:val="16"/>
            <w:u w:val="single" w:color="auto"/>
            <w:color w:val="0000FF"/>
          </w:rPr>
          <w:t>Amended and Restated Pledge and Security Agreement dated as of July 13, 2017 between certain Borrowers and Subsidiary Guarantors, on</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one hand, and the Administrative Agent, on the other hand, which amends and restates the Pledge and Security Agreement dated as of</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February 8, 2013, is incorporated by reference to our Current Report on Form 8-K filed with the SEC on July 14, 2017</w:t>
        </w:r>
      </w:hyperlink>
    </w:p>
    <w:p>
      <w:pPr>
        <w:spacing w:after="0" w:line="2" w:lineRule="exact"/>
        <w:rPr>
          <w:rFonts w:ascii="Arial" w:cs="Arial" w:eastAsia="Arial" w:hAnsi="Arial"/>
          <w:sz w:val="16"/>
          <w:szCs w:val="16"/>
          <w:u w:val="single" w:color="auto"/>
          <w:color w:val="0000FF"/>
        </w:rPr>
      </w:pPr>
    </w:p>
    <w:p>
      <w:pPr>
        <w:ind w:left="2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19.1</w:t>
      </w:r>
      <w:r>
        <w:rPr>
          <w:sz w:val="20"/>
          <w:szCs w:val="20"/>
          <w:color w:val="auto"/>
        </w:rPr>
        <w:tab/>
      </w:r>
      <w:hyperlink r:id="rId177">
        <w:r>
          <w:rPr>
            <w:rFonts w:ascii="Arial" w:cs="Arial" w:eastAsia="Arial" w:hAnsi="Arial"/>
            <w:sz w:val="16"/>
            <w:szCs w:val="16"/>
            <w:u w:val="single" w:color="auto"/>
            <w:color w:val="0000FF"/>
          </w:rPr>
          <w:t>Insider Trading Policy is incorporated by reference to our Annual Report on Form 10-K for the fiscal year ended June 30, 2023</w:t>
        </w:r>
      </w:hyperlink>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u w:val="single" w:color="auto"/>
          <w:color w:val="0000FF"/>
        </w:rPr>
        <w:t>Subsidiaries of Cimpress plc</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u w:val="single" w:color="auto"/>
          <w:color w:val="0000FF"/>
        </w:rPr>
        <w:t xml:space="preserve">Consent of PricewaterhouseCoopers LLP, Independent Registered Public Accounting Firm </w:t>
      </w:r>
      <w:r>
        <w:rPr>
          <w:rFonts w:ascii="Arial" w:cs="Arial" w:eastAsia="Arial" w:hAnsi="Arial"/>
          <w:sz w:val="16"/>
          <w:szCs w:val="16"/>
          <w:color w:val="000000"/>
        </w:rPr>
        <w:t>(PCAOB ID 238)</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pursuant to Section 302 of the Sarbanes-Oxley Act of 2002, Rule 13a-14(a)/15d-14(a), by Chief Executive Officer</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pursuant to Section 302 of the Sarbanes-Oxley Act of 2002, Rule 13a-14(a)/15d-14(a), by Chief Financial Officer</w:t>
      </w:r>
    </w:p>
    <w:p>
      <w:pPr>
        <w:spacing w:after="0" w:line="32" w:lineRule="exact"/>
        <w:rPr>
          <w:rFonts w:ascii="Arial" w:cs="Arial" w:eastAsia="Arial" w:hAnsi="Arial"/>
          <w:sz w:val="16"/>
          <w:szCs w:val="16"/>
          <w:u w:val="single" w:color="auto"/>
          <w:color w:val="0000FF"/>
        </w:rPr>
      </w:pPr>
    </w:p>
    <w:p>
      <w:pPr>
        <w:ind w:left="900" w:right="240" w:hanging="863"/>
        <w:spacing w:after="0" w:line="246" w:lineRule="auto"/>
        <w:tabs>
          <w:tab w:leader="none" w:pos="8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 pursuant to 18 U.S.C. Section 1350, as adopted pursuant to Section 906 of the Sarbanes-Oxley Act of 2002, by Chief Executive Officer and Chief Financial Officer</w:t>
      </w:r>
    </w:p>
    <w:p>
      <w:pPr>
        <w:spacing w:after="0" w:line="1" w:lineRule="exact"/>
        <w:rPr>
          <w:rFonts w:ascii="Arial" w:cs="Arial" w:eastAsia="Arial" w:hAnsi="Arial"/>
          <w:sz w:val="16"/>
          <w:szCs w:val="16"/>
          <w:u w:val="single" w:color="auto"/>
          <w:color w:val="0000FF"/>
        </w:rPr>
      </w:pPr>
    </w:p>
    <w:p>
      <w:pPr>
        <w:ind w:left="2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97.1</w:t>
      </w:r>
      <w:r>
        <w:rPr>
          <w:sz w:val="20"/>
          <w:szCs w:val="20"/>
          <w:color w:val="auto"/>
        </w:rPr>
        <w:tab/>
      </w:r>
      <w:hyperlink r:id="rId178">
        <w:r>
          <w:rPr>
            <w:rFonts w:ascii="Arial" w:cs="Arial" w:eastAsia="Arial" w:hAnsi="Arial"/>
            <w:sz w:val="16"/>
            <w:szCs w:val="16"/>
            <w:u w:val="single" w:color="auto"/>
            <w:color w:val="0000FF"/>
          </w:rPr>
          <w:t>Compensation Recovery Policy is incorporated by reference to our Annual Report on Form 10-K for the fiscal year ended June 30, 2023</w:t>
        </w:r>
      </w:hyperlink>
    </w:p>
    <w:p>
      <w:pPr>
        <w:spacing w:after="0" w:line="32" w:lineRule="exact"/>
        <w:rPr>
          <w:rFonts w:ascii="Arial" w:cs="Arial" w:eastAsia="Arial" w:hAnsi="Arial"/>
          <w:sz w:val="16"/>
          <w:szCs w:val="16"/>
          <w:u w:val="single" w:color="auto"/>
          <w:color w:val="0000FF"/>
        </w:rPr>
      </w:pPr>
    </w:p>
    <w:p>
      <w:pPr>
        <w:ind w:left="900" w:right="620" w:hanging="874"/>
        <w:spacing w:after="0" w:line="234"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 (v) Notes to Condensed Consolidated Financial Statements.</w:t>
      </w:r>
    </w:p>
    <w:p>
      <w:pPr>
        <w:spacing w:after="0" w:line="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iXBRL and contained in Exhibit 101)</w:t>
      </w:r>
    </w:p>
    <w:p>
      <w:pPr>
        <w:spacing w:after="0" w:line="18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__________________</w:t>
      </w:r>
    </w:p>
    <w:p>
      <w:pPr>
        <w:spacing w:after="0" w:line="10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19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2" w:lineRule="exact"/>
        <w:rPr>
          <w:rFonts w:ascii="Arial" w:cs="Arial" w:eastAsia="Arial" w:hAnsi="Arial"/>
          <w:sz w:val="16"/>
          <w:szCs w:val="16"/>
          <w:u w:val="single" w:color="auto"/>
          <w:color w:val="0000FF"/>
        </w:rPr>
      </w:pPr>
    </w:p>
    <w:p>
      <w:pPr>
        <w:ind w:left="200"/>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6"/>
          <w:szCs w:val="16"/>
          <w:u w:val="single" w:color="auto"/>
          <w:color w:val="0000FF"/>
        </w:rPr>
      </w:pPr>
    </w:p>
    <w:p>
      <w:pPr>
        <w:spacing w:after="0" w:line="363" w:lineRule="exact"/>
        <w:rPr>
          <w:rFonts w:ascii="Arial" w:cs="Arial" w:eastAsia="Arial" w:hAnsi="Arial"/>
          <w:sz w:val="16"/>
          <w:szCs w:val="16"/>
          <w:u w:val="single" w:color="auto"/>
          <w:color w:val="0000FF"/>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August 8, 2025</w:t>
      </w:r>
      <w:r>
        <w:rPr>
          <w:sz w:val="20"/>
          <w:szCs w:val="20"/>
          <w:color w:val="auto"/>
        </w:rPr>
        <w:tab/>
      </w:r>
      <w:r>
        <w:rPr>
          <w:rFonts w:ascii="Arial" w:cs="Arial" w:eastAsia="Arial" w:hAnsi="Arial"/>
          <w:sz w:val="17"/>
          <w:szCs w:val="17"/>
          <w:color w:val="auto"/>
        </w:rPr>
        <w:t>Cimpress plc</w:t>
      </w:r>
    </w:p>
    <w:p>
      <w:pPr>
        <w:spacing w:after="0" w:line="374" w:lineRule="exact"/>
        <w:rPr>
          <w:sz w:val="20"/>
          <w:szCs w:val="20"/>
          <w:color w:val="auto"/>
        </w:rPr>
      </w:pPr>
    </w:p>
    <w:p>
      <w:pPr>
        <w:ind w:left="54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33000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Founder and Chief Executive Officer</w:t>
      </w:r>
    </w:p>
    <w:p>
      <w:pPr>
        <w:spacing w:after="0" w:line="42"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(Principal Executive Officer)</w:t>
      </w:r>
    </w:p>
    <w:p>
      <w:pPr>
        <w:spacing w:after="0" w:line="34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360" w:type="dxa"/>
            <w:vAlign w:val="bottom"/>
          </w:tcPr>
          <w:p>
            <w:pPr>
              <w:jc w:val="center"/>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Date</w:t>
            </w:r>
          </w:p>
        </w:tc>
      </w:tr>
      <w:tr>
        <w:trPr>
          <w:trHeight w:val="223"/>
        </w:trPr>
        <w:tc>
          <w:tcPr>
            <w:tcW w:w="4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/s/ Robert S. Keane</w:t>
            </w:r>
          </w:p>
        </w:tc>
        <w:tc>
          <w:tcPr>
            <w:tcW w:w="10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Founder and Chief Executive Officer</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rPr>
              <w:t>Robert S. Keane</w:t>
            </w:r>
          </w:p>
        </w:tc>
        <w:tc>
          <w:tcPr>
            <w:tcW w:w="100" w:type="dxa"/>
            <w:vAlign w:val="bottom"/>
          </w:tcPr>
          <w:p>
            <w:pPr>
              <w:spacing w:after="0"/>
              <w:rPr>
                <w:sz w:val="18"/>
                <w:szCs w:val="18"/>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(Principal executive officer)</w:t>
            </w: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E. Quinn</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rPr>
              <w:t>Chief Financial Officer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rPr>
              <w:t>Sean E. Quinn</w:t>
            </w:r>
          </w:p>
        </w:tc>
        <w:tc>
          <w:tcPr>
            <w:tcW w:w="100" w:type="dxa"/>
            <w:vAlign w:val="bottom"/>
          </w:tcPr>
          <w:p>
            <w:pPr>
              <w:spacing w:after="0"/>
              <w:rPr>
                <w:sz w:val="18"/>
                <w:szCs w:val="18"/>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rPr>
              <w:t>(Principal financial and accounting officer)</w:t>
            </w: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Dessislava Temperley</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8"/>
              </w:rPr>
              <w:t>Dessislava Temperley</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Wayne Ting</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7"/>
              </w:rPr>
              <w:t>Wayne Ting</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Vassalluzzo</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8, 2025</w:t>
            </w:r>
          </w:p>
        </w:tc>
      </w:tr>
      <w:tr>
        <w:trPr>
          <w:trHeight w:val="232"/>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Scott Vassalluzzo</w:t>
            </w: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859"/>
        </w:trPr>
        <w:tc>
          <w:tcPr>
            <w:tcW w:w="4360" w:type="dxa"/>
            <w:vAlign w:val="bottom"/>
          </w:tcPr>
          <w:p>
            <w:pPr>
              <w:spacing w:after="0"/>
              <w:rPr>
                <w:sz w:val="24"/>
                <w:szCs w:val="24"/>
                <w:color w:val="auto"/>
              </w:rPr>
            </w:pPr>
          </w:p>
        </w:tc>
        <w:tc>
          <w:tcPr>
            <w:tcW w:w="4540" w:type="dxa"/>
            <w:vAlign w:val="bottom"/>
            <w:gridSpan w:val="2"/>
          </w:tcPr>
          <w:p>
            <w:pPr>
              <w:jc w:val="right"/>
              <w:ind w:right="31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20"/>
          </w:cols>
          <w:pgMar w:left="320" w:top="1106" w:right="3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DESCRIPTION OF REGISTERED SECURITIES OF CIMPRESS PLC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capital structure</w:t>
      </w:r>
    </w:p>
    <w:p>
      <w:pPr>
        <w:spacing w:after="0" w:line="291" w:lineRule="exact"/>
        <w:rPr>
          <w:sz w:val="20"/>
          <w:szCs w:val="20"/>
          <w:color w:val="auto"/>
        </w:rPr>
      </w:pPr>
    </w:p>
    <w:p>
      <w:pPr>
        <w:ind w:right="680"/>
        <w:spacing w:after="0" w:line="318" w:lineRule="auto"/>
        <w:rPr>
          <w:sz w:val="20"/>
          <w:szCs w:val="20"/>
          <w:color w:val="auto"/>
        </w:rPr>
      </w:pPr>
      <w:r>
        <w:rPr>
          <w:rFonts w:ascii="Arial" w:cs="Arial" w:eastAsia="Arial" w:hAnsi="Arial"/>
          <w:sz w:val="18"/>
          <w:szCs w:val="18"/>
          <w:color w:val="auto"/>
        </w:rPr>
        <w:t>Cimpress plc has an authorized share capital of €2,000,000 comprising 100,000,000 ordinary shares of €0.01 each and 100,000,000 preferred shares of €0.01 each.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Cimpress plc has registered its ordinary shares pursuant to Section 12(b) of the Securities Exchange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91" w:lineRule="exact"/>
        <w:rPr>
          <w:sz w:val="20"/>
          <w:szCs w:val="20"/>
          <w:color w:val="auto"/>
        </w:rPr>
      </w:pPr>
    </w:p>
    <w:p>
      <w:pPr>
        <w:ind w:right="440"/>
        <w:spacing w:after="0" w:line="318" w:lineRule="auto"/>
        <w:rPr>
          <w:sz w:val="20"/>
          <w:szCs w:val="20"/>
          <w:color w:val="auto"/>
        </w:rPr>
      </w:pPr>
      <w:r>
        <w:rPr>
          <w:rFonts w:ascii="Arial" w:cs="Arial" w:eastAsia="Arial" w:hAnsi="Arial"/>
          <w:sz w:val="18"/>
          <w:szCs w:val="18"/>
          <w:color w:val="auto"/>
        </w:rPr>
        <w:t>Each of our ordinary shares is entitled to one vote. Under our Constitution, holders of at least a simple majority of the shares issued and entitled to vote at a general meeting of shareholders constitute a quorum.</w:t>
      </w:r>
    </w:p>
    <w:p>
      <w:pPr>
        <w:spacing w:after="0" w:line="194" w:lineRule="exact"/>
        <w:rPr>
          <w:sz w:val="20"/>
          <w:szCs w:val="20"/>
          <w:color w:val="auto"/>
        </w:rPr>
      </w:pPr>
    </w:p>
    <w:p>
      <w:pPr>
        <w:jc w:val="both"/>
        <w:ind w:right="400"/>
        <w:spacing w:after="0" w:line="308" w:lineRule="auto"/>
        <w:rPr>
          <w:sz w:val="20"/>
          <w:szCs w:val="20"/>
          <w:color w:val="auto"/>
        </w:rPr>
      </w:pPr>
      <w:r>
        <w:rPr>
          <w:rFonts w:ascii="Arial" w:cs="Arial" w:eastAsia="Arial" w:hAnsi="Arial"/>
          <w:sz w:val="18"/>
          <w:szCs w:val="18"/>
          <w:color w:val="auto"/>
        </w:rPr>
        <w:t>Under the Irish Companies Act and our Constitution, certain matters require “ordinary resolutions,” which must be approved by at least a majority of the votes cast by shareholders at a general meeting, and certain other matters require “special resolutions,” which require the affirmative vote of at least 75% of the votes cast by shareholders at a general meeting.</w:t>
      </w:r>
    </w:p>
    <w:p>
      <w:pPr>
        <w:spacing w:after="0" w:line="189" w:lineRule="exact"/>
        <w:rPr>
          <w:sz w:val="20"/>
          <w:szCs w:val="20"/>
          <w:color w:val="auto"/>
        </w:rPr>
      </w:pPr>
    </w:p>
    <w:p>
      <w:pPr>
        <w:ind w:right="260"/>
        <w:spacing w:after="0" w:line="334" w:lineRule="auto"/>
        <w:rPr>
          <w:sz w:val="20"/>
          <w:szCs w:val="20"/>
          <w:color w:val="auto"/>
        </w:rPr>
      </w:pPr>
      <w:r>
        <w:rPr>
          <w:rFonts w:ascii="Arial" w:cs="Arial" w:eastAsia="Arial" w:hAnsi="Arial"/>
          <w:sz w:val="18"/>
          <w:szCs w:val="18"/>
          <w:color w:val="auto"/>
        </w:rPr>
        <w:t>An ordinary resolution is needed (among other matters) to: remove a director; provide, vary or renew the directors’ authority to allot shares and to appoint directors (where appointment is by shareholders).</w:t>
      </w:r>
    </w:p>
    <w:p>
      <w:pPr>
        <w:spacing w:after="0" w:line="180" w:lineRule="exact"/>
        <w:rPr>
          <w:sz w:val="20"/>
          <w:szCs w:val="20"/>
          <w:color w:val="auto"/>
        </w:rPr>
      </w:pPr>
    </w:p>
    <w:p>
      <w:pPr>
        <w:jc w:val="both"/>
        <w:ind w:right="220"/>
        <w:spacing w:after="0" w:line="308" w:lineRule="auto"/>
        <w:rPr>
          <w:sz w:val="20"/>
          <w:szCs w:val="20"/>
          <w:color w:val="auto"/>
        </w:rPr>
      </w:pPr>
      <w:r>
        <w:rPr>
          <w:rFonts w:ascii="Arial" w:cs="Arial" w:eastAsia="Arial" w:hAnsi="Arial"/>
          <w:sz w:val="18"/>
          <w:szCs w:val="18"/>
          <w:color w:val="auto"/>
        </w:rPr>
        <w:t>A special resolution is needed (among other matters) to: alter a company’s constitution, exclude statutory preemptive rights on allotment of securities for cash (up to five years); reduce a company’s share capital; re-register a public company as a private company (or vice versa); and approve a scheme of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291"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our shareholders have authorized our Board of Directors to opt out of these preemption rights with respect to ordinary shares with an aggregate nominal value amount up to a maximum of 20% of our issued and outstanding share capital. This authorization expires 18 months after our last annual general meeting of shareholders, and we generally seek renewal of the authorization for an additional 18 months at each annual general meeting of shareholders. Renewal of this authorization requires 75% of the votes cast at a general meeting of shareholders, and if the authorization is not renewed, our ordinary shares issued for cash must be offered to our existing shareholders on a pro rata basis to their existing shareholdings before our ordinary shares may be issued to any new shareholders.</w:t>
      </w:r>
    </w:p>
    <w:p>
      <w:pPr>
        <w:spacing w:after="0" w:line="204"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Rotating terms of Board of Directors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Board of Directors serve for rotating terms of up to three years.</w:t>
      </w:r>
    </w:p>
    <w:p>
      <w:pPr>
        <w:sectPr>
          <w:pgSz w:w="11900" w:h="16838" w:orient="portrait"/>
          <w:cols w:equalWidth="0" w:num="1">
            <w:col w:w="11240"/>
          </w:cols>
          <w:pgMar w:left="320" w:top="91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40" w:type="dxa"/>
            <w:vAlign w:val="bottom"/>
          </w:tcPr>
          <w:p>
            <w:pPr>
              <w:spacing w:after="0"/>
              <w:rPr>
                <w:sz w:val="21"/>
                <w:szCs w:val="21"/>
                <w:color w:val="auto"/>
              </w:rPr>
            </w:pPr>
          </w:p>
        </w:tc>
        <w:tc>
          <w:tcPr>
            <w:tcW w:w="72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CIMPRESS PLC</w:t>
            </w:r>
          </w:p>
        </w:tc>
      </w:tr>
      <w:tr>
        <w:trPr>
          <w:trHeight w:val="29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303"/>
        </w:trPr>
        <w:tc>
          <w:tcPr>
            <w:tcW w:w="3840" w:type="dxa"/>
            <w:vAlign w:val="bottom"/>
          </w:tcPr>
          <w:p>
            <w:pPr>
              <w:ind w:left="180"/>
              <w:spacing w:after="0"/>
              <w:rPr>
                <w:sz w:val="20"/>
                <w:szCs w:val="20"/>
                <w:color w:val="auto"/>
              </w:rPr>
            </w:pPr>
            <w:r>
              <w:rPr>
                <w:rFonts w:ascii="Arial" w:cs="Arial" w:eastAsia="Arial" w:hAnsi="Arial"/>
                <w:sz w:val="16"/>
                <w:szCs w:val="16"/>
                <w:color w:val="auto"/>
              </w:rPr>
              <w:t>99designs GmbH</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99Designs Pty Ltd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Araprint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Build A Sign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Australia Pty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Deutschland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90"/>
        </w:trPr>
        <w:tc>
          <w:tcPr>
            <w:tcW w:w="3840" w:type="dxa"/>
            <w:vAlign w:val="bottom"/>
          </w:tcPr>
          <w:p>
            <w:pPr>
              <w:ind w:left="180"/>
              <w:spacing w:after="0"/>
              <w:rPr>
                <w:sz w:val="20"/>
                <w:szCs w:val="20"/>
                <w:color w:val="auto"/>
              </w:rPr>
            </w:pPr>
            <w:r>
              <w:rPr>
                <w:rFonts w:ascii="Arial" w:cs="Arial" w:eastAsia="Arial" w:hAnsi="Arial"/>
                <w:sz w:val="16"/>
                <w:szCs w:val="16"/>
                <w:color w:val="auto"/>
              </w:rPr>
              <w:t>Cimpress Espa</w:t>
            </w:r>
            <w:r>
              <w:rPr>
                <w:rFonts w:ascii="Arial" w:cs="Arial" w:eastAsia="Arial" w:hAnsi="Arial"/>
                <w:sz w:val="17"/>
                <w:szCs w:val="17"/>
                <w:color w:val="auto"/>
              </w:rPr>
              <w:t>ñ</w:t>
            </w:r>
            <w:r>
              <w:rPr>
                <w:rFonts w:ascii="Arial" w:cs="Arial" w:eastAsia="Arial" w:hAnsi="Arial"/>
                <w:sz w:val="16"/>
                <w:szCs w:val="16"/>
                <w:color w:val="auto"/>
              </w:rPr>
              <w:t>a, S.L.</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64"/>
        </w:trPr>
        <w:tc>
          <w:tcPr>
            <w:tcW w:w="3840" w:type="dxa"/>
            <w:vAlign w:val="bottom"/>
          </w:tcPr>
          <w:p>
            <w:pPr>
              <w:ind w:left="180"/>
              <w:spacing w:after="0"/>
              <w:rPr>
                <w:sz w:val="20"/>
                <w:szCs w:val="20"/>
                <w:color w:val="auto"/>
              </w:rPr>
            </w:pPr>
            <w:r>
              <w:rPr>
                <w:rFonts w:ascii="Arial" w:cs="Arial" w:eastAsia="Arial" w:hAnsi="Arial"/>
                <w:sz w:val="16"/>
                <w:szCs w:val="16"/>
                <w:color w:val="auto"/>
              </w:rPr>
              <w:t>Cimpress France SARL</w:t>
            </w:r>
          </w:p>
        </w:tc>
        <w:tc>
          <w:tcPr>
            <w:tcW w:w="3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India Private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India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Investments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Ireland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Italy S.r.l.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Jamaica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Jamaica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Philippines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Philippines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Schweiz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Switzerland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Technology Czech Republic s.r.o.</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Czech Republic</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Tunisie SARL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UK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Manufacturing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Windsor Corporation</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Nova Scotia, Canada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Crello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EU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Inc.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Druck.at Druck- und Handelsgesellschaft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Austria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Productie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Exaprint SAS</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FL Print SAS</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FM Impressos Personalizados Ltda</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La Mougère SAS</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Co.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Czech s.r.o.</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Czech Republic</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Promotional Products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Tennessee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Tunisia SARL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NP Corporate Services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Pixartprinting S.p.A.</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Printdeal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The Netherlands</w:t>
            </w:r>
          </w:p>
        </w:tc>
      </w:tr>
    </w:tbl>
    <w:p>
      <w:pPr>
        <w:sectPr>
          <w:pgSz w:w="11900" w:h="16838" w:orient="portrait"/>
          <w:cols w:equalWidth="0" w:num="1">
            <w:col w:w="11160"/>
          </w:cols>
          <w:pgMar w:left="400" w:top="890"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Printi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Tradeprint Distribution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Canada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Corporate Solutions Incorporated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Manufacturing Texas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Netherlands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Ontario, 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440" w:space="720"/>
            <w:col w:w="2719"/>
          </w:cols>
          <w:pgMar w:left="580" w:top="1030" w:right="1440" w:bottom="1440" w:gutter="0" w:footer="0" w:header="0"/>
        </w:sectPr>
      </w:pPr>
    </w:p>
    <w:bookmarkStart w:id="104" w:name="page105"/>
    <w:bookmarkEnd w:id="104"/>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Georgia" w:cs="Georgia" w:eastAsia="Georgia" w:hAnsi="Georgia"/>
          <w:sz w:val="22"/>
          <w:szCs w:val="22"/>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line="233" w:lineRule="auto"/>
        <w:rPr>
          <w:sz w:val="20"/>
          <w:szCs w:val="20"/>
          <w:color w:val="auto"/>
        </w:rPr>
      </w:pPr>
      <w:r>
        <w:rPr>
          <w:rFonts w:ascii="Georgia" w:cs="Georgia" w:eastAsia="Georgia" w:hAnsi="Georgia"/>
          <w:sz w:val="22"/>
          <w:szCs w:val="22"/>
          <w:color w:val="auto"/>
        </w:rPr>
        <w:t>We hereby consent to the incorporation by reference in the Registration Statements on Form S-8 (No. 333-268689; 333-129912; 333-133797; 333-147753; 333-176421; 333-211743; 333-251176; and 333-286903) of Cimpress plc of our report dated August 8,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Georgia" w:cs="Georgia" w:eastAsia="Georgia" w:hAnsi="Georgia"/>
          <w:sz w:val="22"/>
          <w:szCs w:val="22"/>
          <w:color w:val="auto"/>
        </w:rPr>
        <w:t>/s/ PricewaterhouseCoopers LLP</w:t>
      </w:r>
    </w:p>
    <w:p>
      <w:pPr>
        <w:spacing w:after="0" w:line="221" w:lineRule="exact"/>
        <w:rPr>
          <w:sz w:val="20"/>
          <w:szCs w:val="20"/>
          <w:color w:val="auto"/>
        </w:rPr>
      </w:pPr>
    </w:p>
    <w:p>
      <w:pPr>
        <w:spacing w:after="0"/>
        <w:rPr>
          <w:sz w:val="20"/>
          <w:szCs w:val="20"/>
          <w:color w:val="auto"/>
        </w:rPr>
      </w:pPr>
      <w:r>
        <w:rPr>
          <w:rFonts w:ascii="Georgia" w:cs="Georgia" w:eastAsia="Georgia" w:hAnsi="Georgia"/>
          <w:sz w:val="22"/>
          <w:szCs w:val="22"/>
          <w:color w:val="auto"/>
        </w:rPr>
        <w:t>Boston, Massachusetts</w:t>
      </w:r>
    </w:p>
    <w:p>
      <w:pPr>
        <w:spacing w:after="0" w:line="234" w:lineRule="auto"/>
        <w:rPr>
          <w:sz w:val="20"/>
          <w:szCs w:val="20"/>
          <w:color w:val="auto"/>
        </w:rPr>
      </w:pPr>
      <w:r>
        <w:rPr>
          <w:rFonts w:ascii="Georgia" w:cs="Georgia" w:eastAsia="Georgia" w:hAnsi="Georgia"/>
          <w:sz w:val="22"/>
          <w:szCs w:val="22"/>
          <w:color w:val="auto"/>
        </w:rPr>
        <w:t>August 8, 2025</w:t>
      </w:r>
    </w:p>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17"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90" w:lineRule="exact"/>
        <w:rPr>
          <w:rFonts w:ascii="Arial" w:cs="Arial" w:eastAsia="Arial" w:hAnsi="Arial"/>
          <w:sz w:val="18"/>
          <w:szCs w:val="18"/>
          <w:color w:val="auto"/>
        </w:rPr>
      </w:pPr>
    </w:p>
    <w:p>
      <w:pPr>
        <w:ind w:left="660" w:right="80" w:hanging="328"/>
        <w:spacing w:after="0" w:line="238"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660" w:right="140" w:hanging="328"/>
        <w:spacing w:after="0" w:line="238"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1300" w:right="20" w:hanging="320"/>
        <w:spacing w:after="0" w:line="23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8" w:lineRule="exact"/>
        <w:rPr>
          <w:rFonts w:ascii="Arial" w:cs="Arial" w:eastAsia="Arial" w:hAnsi="Arial"/>
          <w:sz w:val="18"/>
          <w:szCs w:val="18"/>
          <w:color w:val="auto"/>
        </w:rPr>
      </w:pPr>
    </w:p>
    <w:p>
      <w:pPr>
        <w:ind w:left="1300" w:right="540" w:hanging="320"/>
        <w:spacing w:after="0" w:line="250" w:lineRule="auto"/>
        <w:tabs>
          <w:tab w:leader="none" w:pos="1288"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1300" w:right="300" w:hanging="320"/>
        <w:spacing w:after="0" w:line="238" w:lineRule="auto"/>
        <w:tabs>
          <w:tab w:leader="none" w:pos="12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8"/>
          <w:szCs w:val="18"/>
          <w:color w:val="auto"/>
        </w:rPr>
      </w:pPr>
    </w:p>
    <w:p>
      <w:pPr>
        <w:ind w:left="1300" w:right="60" w:hanging="320"/>
        <w:spacing w:after="0" w:line="238"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660" w:right="360" w:hanging="328"/>
        <w:spacing w:after="0" w:line="238"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8"/>
          <w:szCs w:val="18"/>
          <w:color w:val="auto"/>
        </w:rPr>
      </w:pPr>
    </w:p>
    <w:p>
      <w:pPr>
        <w:jc w:val="both"/>
        <w:ind w:left="1300" w:right="440" w:hanging="320"/>
        <w:spacing w:after="0" w:line="23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1300" w:right="780" w:hanging="320"/>
        <w:spacing w:after="0"/>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973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41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86"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103" w:lineRule="exact"/>
        <w:rPr>
          <w:rFonts w:ascii="Arial" w:cs="Arial" w:eastAsia="Arial" w:hAnsi="Arial"/>
          <w:sz w:val="18"/>
          <w:szCs w:val="18"/>
          <w:color w:val="auto"/>
        </w:rPr>
      </w:pPr>
    </w:p>
    <w:p>
      <w:pPr>
        <w:ind w:left="660" w:right="80" w:hanging="328"/>
        <w:spacing w:after="0" w:line="23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1300" w:right="20" w:hanging="320"/>
        <w:spacing w:after="0" w:line="238" w:lineRule="auto"/>
        <w:tabs>
          <w:tab w:leader="none" w:pos="12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5" w:lineRule="exact"/>
        <w:rPr>
          <w:rFonts w:ascii="Arial" w:cs="Arial" w:eastAsia="Arial" w:hAnsi="Arial"/>
          <w:sz w:val="18"/>
          <w:szCs w:val="18"/>
          <w:color w:val="auto"/>
        </w:rPr>
      </w:pPr>
    </w:p>
    <w:p>
      <w:pPr>
        <w:ind w:left="1300" w:right="540" w:hanging="320"/>
        <w:spacing w:after="0" w:line="258" w:lineRule="auto"/>
        <w:tabs>
          <w:tab w:leader="none" w:pos="128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320"/>
        <w:spacing w:after="0" w:line="238" w:lineRule="auto"/>
        <w:tabs>
          <w:tab w:leader="none" w:pos="1291"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300" w:right="60" w:hanging="320"/>
        <w:spacing w:after="0" w:line="233" w:lineRule="auto"/>
        <w:tabs>
          <w:tab w:leader="none" w:pos="12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8"/>
          <w:szCs w:val="18"/>
          <w:color w:val="auto"/>
        </w:rPr>
      </w:pPr>
    </w:p>
    <w:p>
      <w:pPr>
        <w:ind w:left="660" w:right="360" w:hanging="328"/>
        <w:spacing w:after="0" w:line="233"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8"/>
          <w:szCs w:val="18"/>
          <w:color w:val="auto"/>
        </w:rPr>
      </w:pPr>
    </w:p>
    <w:p>
      <w:pPr>
        <w:jc w:val="both"/>
        <w:ind w:left="1300" w:right="440" w:hanging="320"/>
        <w:spacing w:after="0" w:line="233" w:lineRule="auto"/>
        <w:tabs>
          <w:tab w:leader="none" w:pos="12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1300" w:right="780" w:hanging="320"/>
        <w:spacing w:after="0" w:line="256" w:lineRule="auto"/>
        <w:tabs>
          <w:tab w:leader="none" w:pos="12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8, 2025</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16973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Sean E. Quinn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60" w:firstLine="738"/>
        <w:spacing w:after="0" w:line="229" w:lineRule="auto"/>
        <w:rPr>
          <w:sz w:val="20"/>
          <w:szCs w:val="20"/>
          <w:color w:val="auto"/>
        </w:rPr>
      </w:pPr>
      <w:r>
        <w:rPr>
          <w:rFonts w:ascii="Arial" w:cs="Arial" w:eastAsia="Arial" w:hAnsi="Arial"/>
          <w:sz w:val="18"/>
          <w:szCs w:val="18"/>
          <w:color w:val="auto"/>
        </w:rPr>
        <w:t>In connection with the Annual Report on Form 10-K of Cimpress plc (the “Company”) for the year ended June 30, 2025 as filed with the Securities and Exchange Commission on the date hereof (the “Report”), the undersigned, Robert S. Keane, Chief Executive Officer, and</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Sean E. Quinn, Chief Financial Officer, of the Company, each hereby certifies, pursuant to 18 U.S.C. Section 1350, that, to his knowledge on the date hereof:</w:t>
      </w:r>
    </w:p>
    <w:p>
      <w:pPr>
        <w:spacing w:after="0" w:line="60"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235"/>
        </w:trPr>
        <w:tc>
          <w:tcPr>
            <w:tcW w:w="8140" w:type="dxa"/>
            <w:vAlign w:val="bottom"/>
          </w:tcPr>
          <w:p>
            <w:pPr>
              <w:spacing w:after="0"/>
              <w:rPr>
                <w:sz w:val="20"/>
                <w:szCs w:val="20"/>
                <w:color w:val="auto"/>
              </w:rPr>
            </w:pPr>
            <w:r>
              <w:rPr>
                <w:rFonts w:ascii="Arial" w:cs="Arial" w:eastAsia="Arial" w:hAnsi="Arial"/>
                <w:sz w:val="18"/>
                <w:szCs w:val="18"/>
                <w:color w:val="auto"/>
              </w:rPr>
              <w:t>Date: August 8,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 Keane</w:t>
            </w:r>
          </w:p>
        </w:tc>
      </w:tr>
      <w:tr>
        <w:trPr>
          <w:trHeight w:val="194"/>
        </w:trPr>
        <w:tc>
          <w:tcPr>
            <w:tcW w:w="814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203"/>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812"/>
        </w:trPr>
        <w:tc>
          <w:tcPr>
            <w:tcW w:w="8140" w:type="dxa"/>
            <w:vAlign w:val="bottom"/>
          </w:tcPr>
          <w:p>
            <w:pPr>
              <w:spacing w:after="0"/>
              <w:rPr>
                <w:sz w:val="20"/>
                <w:szCs w:val="20"/>
                <w:color w:val="auto"/>
              </w:rPr>
            </w:pPr>
            <w:r>
              <w:rPr>
                <w:rFonts w:ascii="Arial" w:cs="Arial" w:eastAsia="Arial" w:hAnsi="Arial"/>
                <w:sz w:val="18"/>
                <w:szCs w:val="18"/>
                <w:color w:val="auto"/>
              </w:rPr>
              <w:t>Date: August 8,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Quinn</w:t>
            </w:r>
          </w:p>
        </w:tc>
      </w:tr>
      <w:tr>
        <w:trPr>
          <w:trHeight w:val="194"/>
        </w:trPr>
        <w:tc>
          <w:tcPr>
            <w:tcW w:w="814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203"/>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3"/>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
      <w:numFmt w:val="bullet"/>
      <w:start w:val="1"/>
    </w:lvl>
    <w:lvl w:ilvl="1">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3"/>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lvl w:ilvl="1">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6"/>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0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39" Type="http://schemas.openxmlformats.org/officeDocument/2006/relationships/hyperlink" Target="https://www.sec.gov/Archives/edgar/data/1262976/000119312519257660/d756088ddefm14a.htm#toc756088_52" TargetMode="External"/><Relationship Id="rId140" Type="http://schemas.openxmlformats.org/officeDocument/2006/relationships/hyperlink" Target="https://www.sec.gov/Archives/edgar/data/1262976/000119312524228494/d884904dex41.htm" TargetMode="External"/><Relationship Id="rId141" Type="http://schemas.openxmlformats.org/officeDocument/2006/relationships/hyperlink" Target="https://www.sec.gov/Archives/edgar/data/1262976/000126297620000040/exh42formofwarrant.htm" TargetMode="External"/><Relationship Id="rId142" Type="http://schemas.openxmlformats.org/officeDocument/2006/relationships/hyperlink" Target="https://www.sec.gov/Archives/edgar/data/1262976/000119312519305373/d841671dex106.htm" TargetMode="External"/><Relationship Id="rId143" Type="http://schemas.openxmlformats.org/officeDocument/2006/relationships/hyperlink" Target="https://www.sec.gov/Archives/edgar/data/1262976/000119312509218946/dex104.htm" TargetMode="External"/><Relationship Id="rId144" Type="http://schemas.openxmlformats.org/officeDocument/2006/relationships/hyperlink" Target="https://www.sec.gov/Archives/edgar/data/1262976/000119312519305373/d841671dex103.htm" TargetMode="External"/><Relationship Id="rId145" Type="http://schemas.openxmlformats.org/officeDocument/2006/relationships/hyperlink" Target="https://www.sec.gov/Archives/edgar/data/1262976/000126297620000007/ex105psuagmtemployees.htm" TargetMode="External"/><Relationship Id="rId146" Type="http://schemas.openxmlformats.org/officeDocument/2006/relationships/hyperlink" Target="https://www.sec.gov/Archives/edgar/data/1262976/000126297620000007/ex106psuagmtceo.htm" TargetMode="External"/><Relationship Id="rId147" Type="http://schemas.openxmlformats.org/officeDocument/2006/relationships/hyperlink" Target="https://www.sec.gov/Archives/edgar/data/1262976/000126297620000007/ex107psuagmtbod.htm" TargetMode="External"/><Relationship Id="rId148" Type="http://schemas.openxmlformats.org/officeDocument/2006/relationships/hyperlink" Target="https://www.sec.gov/ix?doc=/Archives/edgar/data/0001262976/000126297624000139/cmpr-20241120.htm" TargetMode="External"/><Relationship Id="rId149" Type="http://schemas.openxmlformats.org/officeDocument/2006/relationships/hyperlink" Target="https://www.sec.gov/Archives/edgar/data/0001262976/000126297621000008/ex102rsuagreement.htm" TargetMode="External"/><Relationship Id="rId150" Type="http://schemas.openxmlformats.org/officeDocument/2006/relationships/hyperlink" Target="https://www.sec.gov/Archives/edgar/data/0001262976/000126297621000008/ex103employeepsuagreement.htm" TargetMode="External"/><Relationship Id="rId151" Type="http://schemas.openxmlformats.org/officeDocument/2006/relationships/hyperlink" Target="https://www.sec.gov/Archives/edgar/data/0001262976/000126297621000008/ex104ceopsuagreement.htm" TargetMode="External"/><Relationship Id="rId152" Type="http://schemas.openxmlformats.org/officeDocument/2006/relationships/hyperlink" Target="https://www.sec.gov/Archives/edgar/data/0001262976/000126297621000008/ex105bodpsuagreement.htm" TargetMode="External"/><Relationship Id="rId153" Type="http://schemas.openxmlformats.org/officeDocument/2006/relationships/hyperlink" Target="https://www.sec.gov/Archives/edgar/data/1262976/000126297623000079/ex101cimpressfy24financial.htm" TargetMode="External"/><Relationship Id="rId154" Type="http://schemas.openxmlformats.org/officeDocument/2006/relationships/hyperlink" Target="https://www.sec.gov/Archives/edgar/data/1262976/000126297623000079/ex102vistafy24financialpsu.htm" TargetMode="External"/><Relationship Id="rId155" Type="http://schemas.openxmlformats.org/officeDocument/2006/relationships/hyperlink" Target="https://www.sec.gov/Archives/edgar/data/1262976/000126297620000003/a101bodindemnification.htm" TargetMode="External"/><Relationship Id="rId156" Type="http://schemas.openxmlformats.org/officeDocument/2006/relationships/hyperlink" Target="https://www.sec.gov/Archives/edgar/data/1262976/000126297620000003/a102eoindemnificationd.htm" TargetMode="External"/><Relationship Id="rId157" Type="http://schemas.openxmlformats.org/officeDocument/2006/relationships/hyperlink" Target="https://www.sec.gov/Archives/edgar/data/1262976/000126297620000003/a103bodindemnification.htm" TargetMode="External"/><Relationship Id="rId158" Type="http://schemas.openxmlformats.org/officeDocument/2006/relationships/hyperlink" Target="https://www.sec.gov/Archives/edgar/data/1262976/000126297620000003/a104eoindemnificationa.htm" TargetMode="External"/><Relationship Id="rId159" Type="http://schemas.openxmlformats.org/officeDocument/2006/relationships/hyperlink" Target="https://www.sec.gov/Archives/edgar/data/1262976/000126297623000026/ex10_1.htm" TargetMode="External"/><Relationship Id="rId160" Type="http://schemas.openxmlformats.org/officeDocument/2006/relationships/hyperlink" Target="https://www.sec.gov/Archives/edgar/data/1262976/000126297623000026/ex10_2.htm" TargetMode="External"/><Relationship Id="rId161" Type="http://schemas.openxmlformats.org/officeDocument/2006/relationships/hyperlink" Target="https://www.sec.gov/Archives/edgar/data/1262976/000126297623000026/ex10_3.htm" TargetMode="External"/><Relationship Id="rId162" Type="http://schemas.openxmlformats.org/officeDocument/2006/relationships/hyperlink" Target="https://www.sec.gov/Archives/edgar/data/1262976/000095012310081849/b80590exv10w19.htm" TargetMode="External"/><Relationship Id="rId165" Type="http://schemas.openxmlformats.org/officeDocument/2006/relationships/hyperlink" Target="https://www.sec.gov/Archives/edgar/data/1262976/000126297624000064/ex1024rkeaneemploymentagmt.htm" TargetMode="External"/><Relationship Id="rId166" Type="http://schemas.openxmlformats.org/officeDocument/2006/relationships/hyperlink" Target="https://www.sec.gov/Archives/edgar/data/1262976/000126297623000036/ex104baumgartneremployment.htm" TargetMode="External"/><Relationship Id="rId167" Type="http://schemas.openxmlformats.org/officeDocument/2006/relationships/hyperlink" Target="https://www.sec.gov/Archives/edgar/data/1262976/000126297623000036/ex105baumgartneramendmentt.htm" TargetMode="External"/><Relationship Id="rId168" Type="http://schemas.openxmlformats.org/officeDocument/2006/relationships/hyperlink" Target="https://www.sec.gov/Archives/edgar/data/1262976/000119312505190875/dex1022.htm" TargetMode="External"/><Relationship Id="rId169" Type="http://schemas.openxmlformats.org/officeDocument/2006/relationships/hyperlink" Target="https://www.sec.gov/Archives/edgar/data/1262976/000119312505190875/dex1023.htm" TargetMode="External"/><Relationship Id="rId170" Type="http://schemas.openxmlformats.org/officeDocument/2006/relationships/hyperlink" Target="https://www.sec.gov/Archives/edgar/data/1262976/000119312521166594/d171281dex101.htm" TargetMode="External"/><Relationship Id="rId171" Type="http://schemas.openxmlformats.org/officeDocument/2006/relationships/hyperlink" Target="https://www.sec.gov/Archives/edgar/data/1262976/000126297623000051/ex1029-amendno1tocreditagr.htm" TargetMode="External"/><Relationship Id="rId172" Type="http://schemas.openxmlformats.org/officeDocument/2006/relationships/hyperlink" Target="https://www.sec.gov/Archives/edgar/data/1262976/000126297624000044/cimpress-2024amno2to2021.htm" TargetMode="External"/><Relationship Id="rId173" Type="http://schemas.openxmlformats.org/officeDocument/2006/relationships/hyperlink" Target="https://www.sec.gov/Archives/edgar/data/1262976/000119312524228494/d884904dex101.htm" TargetMode="External"/><Relationship Id="rId174" Type="http://schemas.openxmlformats.org/officeDocument/2006/relationships/hyperlink" Target="https://www.sec.gov/Archives/edgar/data/1262976/000126297624000143/cimpress-amno4to2021cred.htm" TargetMode="External"/><Relationship Id="rId175" Type="http://schemas.openxmlformats.org/officeDocument/2006/relationships/hyperlink" Target="https://www.sec.gov/Archives/edgar/data/1262976/000126297617000020/ex102secondarguaranty.htm" TargetMode="External"/><Relationship Id="rId176" Type="http://schemas.openxmlformats.org/officeDocument/2006/relationships/hyperlink" Target="https://www.sec.gov/Archives/edgar/data/1262976/000126297617000020/ex103pledgeandsecurityagre.htm" TargetMode="External"/><Relationship Id="rId177" Type="http://schemas.openxmlformats.org/officeDocument/2006/relationships/hyperlink" Target="https://www.sec.gov/Archives/edgar/data/1262976/000126297623000051/ex191-insidertradingpolicy.htm" TargetMode="External"/><Relationship Id="rId178" Type="http://schemas.openxmlformats.org/officeDocument/2006/relationships/hyperlink" Target="https://www.sec.gov/Archives/edgar/data/1262976/000126297623000051/ex971-executivecompensa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2025-08-08T12:36:56Z</dcterms:created>
  <dcterms:modified xsi:type="dcterms:W3CDTF">2025-08-08T12:36:56Z</dcterms:modified>
</cp:coreProperties>
</file>