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60"/>
        <w:spacing w:after="0"/>
        <w:rPr>
          <w:sz w:val="20"/>
          <w:szCs w:val="20"/>
          <w:color w:val="auto"/>
        </w:rPr>
      </w:pPr>
      <w:r>
        <w:rPr>
          <w:rFonts w:ascii="Arial" w:cs="Arial" w:eastAsia="Arial" w:hAnsi="Arial"/>
          <w:sz w:val="20"/>
          <w:szCs w:val="20"/>
          <w:b w:val="1"/>
          <w:bCs w:val="1"/>
          <w:color w:val="auto"/>
        </w:rPr>
        <w:t>UNITED STATES</w:t>
      </w:r>
    </w:p>
    <w:p>
      <w:pPr>
        <w:spacing w:after="0" w:line="33" w:lineRule="exact"/>
        <w:rPr>
          <w:sz w:val="24"/>
          <w:szCs w:val="24"/>
          <w:color w:val="auto"/>
        </w:rPr>
      </w:pPr>
    </w:p>
    <w:p>
      <w:pPr>
        <w:ind w:left="3520"/>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99"/>
        <w:spacing w:after="0"/>
        <w:rPr>
          <w:sz w:val="20"/>
          <w:szCs w:val="20"/>
          <w:color w:val="auto"/>
        </w:rPr>
      </w:pPr>
      <w:r>
        <w:rPr>
          <w:rFonts w:ascii="Arial" w:cs="Arial" w:eastAsia="Arial" w:hAnsi="Arial"/>
          <w:sz w:val="20"/>
          <w:szCs w:val="20"/>
          <w:b w:val="1"/>
          <w:bCs w:val="1"/>
          <w:color w:val="auto"/>
        </w:rPr>
        <w:t>WASHINGTON, DC 20549</w:t>
      </w:r>
    </w:p>
    <w:p>
      <w:pPr>
        <w:spacing w:after="0" w:line="167" w:lineRule="exact"/>
        <w:rPr>
          <w:sz w:val="24"/>
          <w:szCs w:val="24"/>
          <w:color w:val="auto"/>
        </w:rPr>
      </w:pPr>
    </w:p>
    <w:p>
      <w:pPr>
        <w:jc w:val="center"/>
        <w:ind w:right="-99"/>
        <w:spacing w:after="0"/>
        <w:rPr>
          <w:sz w:val="20"/>
          <w:szCs w:val="20"/>
          <w:color w:val="auto"/>
        </w:rPr>
      </w:pPr>
      <w:r>
        <w:rPr>
          <w:rFonts w:ascii="Arial" w:cs="Arial" w:eastAsia="Arial" w:hAnsi="Arial"/>
          <w:sz w:val="31"/>
          <w:szCs w:val="31"/>
          <w:b w:val="1"/>
          <w:bCs w:val="1"/>
          <w:color w:val="auto"/>
        </w:rPr>
        <w:t>SCHEDULE 14A</w:t>
      </w:r>
    </w:p>
    <w:p>
      <w:pPr>
        <w:spacing w:after="0" w:line="199"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(RULE 14a-101)</w:t>
      </w:r>
    </w:p>
    <w:p>
      <w:pPr>
        <w:spacing w:after="0" w:line="20"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INFORMATION REQUIRED IN PROXY STATEMENT</w:t>
      </w:r>
    </w:p>
    <w:p>
      <w:pPr>
        <w:spacing w:after="0" w:line="13"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SCHEDULE 14A INFORMATION</w:t>
      </w:r>
    </w:p>
    <w:p>
      <w:pPr>
        <w:jc w:val="center"/>
        <w:ind w:right="-99"/>
        <w:spacing w:after="0"/>
        <w:rPr>
          <w:sz w:val="20"/>
          <w:szCs w:val="20"/>
          <w:color w:val="auto"/>
        </w:rPr>
      </w:pPr>
      <w:r>
        <w:rPr>
          <w:rFonts w:ascii="Arial" w:cs="Arial" w:eastAsia="Arial" w:hAnsi="Arial"/>
          <w:sz w:val="20"/>
          <w:szCs w:val="20"/>
          <w:b w:val="1"/>
          <w:bCs w:val="1"/>
          <w:color w:val="auto"/>
        </w:rPr>
        <w:t>PROXY STATEMENT PURSUANT TO SECTION 14(a) OF THE SECURITIES</w:t>
      </w:r>
    </w:p>
    <w:p>
      <w:pPr>
        <w:spacing w:after="0" w:line="13"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EXCHANGE ACT OF 1934</w:t>
      </w:r>
    </w:p>
    <w:p>
      <w:pPr>
        <w:spacing w:after="0" w:line="79" w:lineRule="exact"/>
        <w:rPr>
          <w:sz w:val="24"/>
          <w:szCs w:val="24"/>
          <w:color w:val="auto"/>
        </w:rPr>
      </w:pPr>
    </w:p>
    <w:p>
      <w:pPr>
        <w:ind w:left="2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333" w:lineRule="exact"/>
        <w:rPr>
          <w:sz w:val="24"/>
          <w:szCs w:val="24"/>
          <w:color w:val="auto"/>
        </w:rPr>
      </w:pPr>
    </w:p>
    <w:p>
      <w:pPr>
        <w:ind w:left="20"/>
        <w:spacing w:after="0"/>
        <w:rPr>
          <w:sz w:val="20"/>
          <w:szCs w:val="20"/>
          <w:color w:val="auto"/>
        </w:rPr>
      </w:pPr>
      <w:r>
        <w:rPr>
          <w:rFonts w:ascii="Arial" w:cs="Arial" w:eastAsia="Arial" w:hAnsi="Arial"/>
          <w:sz w:val="18"/>
          <w:szCs w:val="18"/>
          <w:color w:val="auto"/>
        </w:rPr>
        <w:t xml:space="preserve">Filed by a Party other than the Registrant </w:t>
      </w:r>
      <w:r>
        <w:rPr>
          <w:rFonts w:ascii="Wingdings" w:cs="Wingdings" w:eastAsia="Wingdings" w:hAnsi="Wingdings"/>
          <w:sz w:val="18"/>
          <w:szCs w:val="18"/>
          <w:b w:val="1"/>
          <w:bCs w:val="1"/>
          <w:color w:val="auto"/>
        </w:rPr>
        <w:t>o</w:t>
      </w:r>
    </w:p>
    <w:p>
      <w:pPr>
        <w:spacing w:after="0" w:line="144"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293" w:lineRule="exact"/>
        <w:rPr>
          <w:sz w:val="24"/>
          <w:szCs w:val="24"/>
          <w:color w:val="auto"/>
        </w:rPr>
      </w:pPr>
    </w:p>
    <w:tbl>
      <w:tblPr>
        <w:tblLayout w:type="fixed"/>
        <w:tblInd w:w="20" w:type="dxa"/>
        <w:tblCellMar>
          <w:top w:w="0" w:type="dxa"/>
          <w:left w:w="0" w:type="dxa"/>
          <w:bottom w:w="0" w:type="dxa"/>
          <w:right w:w="0" w:type="dxa"/>
        </w:tblCellMar>
      </w:tblPr>
      <w:tr>
        <w:trPr>
          <w:trHeight w:val="221"/>
        </w:trPr>
        <w:tc>
          <w:tcPr>
            <w:tcW w:w="600" w:type="dxa"/>
            <w:vAlign w:val="bottom"/>
          </w:tcPr>
          <w:p>
            <w:pPr>
              <w:spacing w:after="0"/>
              <w:rPr>
                <w:sz w:val="20"/>
                <w:szCs w:val="20"/>
                <w:color w:val="auto"/>
              </w:rPr>
            </w:pPr>
            <w:r>
              <w:rPr>
                <w:rFonts w:ascii="Wingdings" w:cs="Wingdings" w:eastAsia="Wingdings" w:hAnsi="Wingdings"/>
                <w:sz w:val="18"/>
                <w:szCs w:val="18"/>
                <w:b w:val="1"/>
                <w:bCs w:val="1"/>
                <w:color w:val="auto"/>
              </w:rPr>
              <w:t>o</w:t>
            </w:r>
          </w:p>
        </w:tc>
        <w:tc>
          <w:tcPr>
            <w:tcW w:w="3920" w:type="dxa"/>
            <w:vAlign w:val="bottom"/>
          </w:tcPr>
          <w:p>
            <w:pPr>
              <w:ind w:left="420"/>
              <w:spacing w:after="0"/>
              <w:rPr>
                <w:sz w:val="20"/>
                <w:szCs w:val="20"/>
                <w:color w:val="auto"/>
              </w:rPr>
            </w:pPr>
            <w:r>
              <w:rPr>
                <w:rFonts w:ascii="Arial" w:cs="Arial" w:eastAsia="Arial" w:hAnsi="Arial"/>
                <w:sz w:val="18"/>
                <w:szCs w:val="18"/>
                <w:color w:val="auto"/>
              </w:rPr>
              <w:t>Preliminary Proxy Statement</w:t>
            </w:r>
          </w:p>
        </w:tc>
        <w:tc>
          <w:tcPr>
            <w:tcW w:w="1680" w:type="dxa"/>
            <w:vAlign w:val="bottom"/>
          </w:tcPr>
          <w:p>
            <w:pPr>
              <w:ind w:left="1220"/>
              <w:spacing w:after="0"/>
              <w:rPr>
                <w:sz w:val="20"/>
                <w:szCs w:val="20"/>
                <w:color w:val="auto"/>
              </w:rPr>
            </w:pPr>
            <w:r>
              <w:rPr>
                <w:rFonts w:ascii="Wingdings" w:cs="Wingdings" w:eastAsia="Wingdings" w:hAnsi="Wingdings"/>
                <w:sz w:val="18"/>
                <w:szCs w:val="18"/>
                <w:b w:val="1"/>
                <w:bCs w:val="1"/>
                <w:color w:val="auto"/>
              </w:rPr>
              <w:t>o</w:t>
            </w:r>
          </w:p>
        </w:tc>
        <w:tc>
          <w:tcPr>
            <w:tcW w:w="4560" w:type="dxa"/>
            <w:vAlign w:val="bottom"/>
          </w:tcPr>
          <w:p>
            <w:pPr>
              <w:ind w:left="320"/>
              <w:spacing w:after="0"/>
              <w:rPr>
                <w:sz w:val="20"/>
                <w:szCs w:val="20"/>
                <w:color w:val="auto"/>
              </w:rPr>
            </w:pPr>
            <w:r>
              <w:rPr>
                <w:rFonts w:ascii="Arial" w:cs="Arial" w:eastAsia="Arial" w:hAnsi="Arial"/>
                <w:sz w:val="18"/>
                <w:szCs w:val="18"/>
                <w:b w:val="1"/>
                <w:bCs w:val="1"/>
                <w:color w:val="auto"/>
                <w:w w:val="99"/>
              </w:rPr>
              <w:t>Confidential, For Use of the Commission Only (as</w:t>
            </w:r>
          </w:p>
        </w:tc>
        <w:tc>
          <w:tcPr>
            <w:tcW w:w="0" w:type="dxa"/>
            <w:vAlign w:val="bottom"/>
          </w:tcPr>
          <w:p>
            <w:pPr>
              <w:spacing w:after="0"/>
              <w:rPr>
                <w:sz w:val="1"/>
                <w:szCs w:val="1"/>
                <w:color w:val="auto"/>
              </w:rPr>
            </w:pPr>
          </w:p>
        </w:tc>
      </w:tr>
      <w:tr>
        <w:trPr>
          <w:trHeight w:val="247"/>
        </w:trPr>
        <w:tc>
          <w:tcPr>
            <w:tcW w:w="600" w:type="dxa"/>
            <w:vAlign w:val="bottom"/>
            <w:vMerge w:val="restart"/>
          </w:tcPr>
          <w:p>
            <w:pPr>
              <w:spacing w:after="0"/>
              <w:rPr>
                <w:sz w:val="20"/>
                <w:szCs w:val="20"/>
                <w:color w:val="auto"/>
              </w:rPr>
            </w:pPr>
            <w:r>
              <w:rPr>
                <w:rFonts w:ascii="Wingdings" w:cs="Wingdings" w:eastAsia="Wingdings" w:hAnsi="Wingdings"/>
                <w:sz w:val="18"/>
                <w:szCs w:val="18"/>
                <w:b w:val="1"/>
                <w:bCs w:val="1"/>
                <w:color w:val="auto"/>
              </w:rPr>
              <w:t>o</w:t>
            </w:r>
          </w:p>
        </w:tc>
        <w:tc>
          <w:tcPr>
            <w:tcW w:w="3920" w:type="dxa"/>
            <w:vAlign w:val="bottom"/>
            <w:vMerge w:val="restart"/>
          </w:tcPr>
          <w:p>
            <w:pPr>
              <w:ind w:left="420"/>
              <w:spacing w:after="0"/>
              <w:rPr>
                <w:sz w:val="20"/>
                <w:szCs w:val="20"/>
                <w:color w:val="auto"/>
              </w:rPr>
            </w:pPr>
            <w:r>
              <w:rPr>
                <w:rFonts w:ascii="Arial" w:cs="Arial" w:eastAsia="Arial" w:hAnsi="Arial"/>
                <w:sz w:val="18"/>
                <w:szCs w:val="18"/>
                <w:color w:val="auto"/>
              </w:rPr>
              <w:t>Definitive Proxy Statement</w:t>
            </w:r>
          </w:p>
        </w:tc>
        <w:tc>
          <w:tcPr>
            <w:tcW w:w="1680" w:type="dxa"/>
            <w:vAlign w:val="bottom"/>
          </w:tcPr>
          <w:p>
            <w:pPr>
              <w:spacing w:after="0"/>
              <w:rPr>
                <w:sz w:val="21"/>
                <w:szCs w:val="21"/>
                <w:color w:val="auto"/>
              </w:rPr>
            </w:pPr>
          </w:p>
        </w:tc>
        <w:tc>
          <w:tcPr>
            <w:tcW w:w="4560" w:type="dxa"/>
            <w:vAlign w:val="bottom"/>
          </w:tcPr>
          <w:p>
            <w:pPr>
              <w:ind w:left="320"/>
              <w:spacing w:after="0"/>
              <w:rPr>
                <w:sz w:val="20"/>
                <w:szCs w:val="20"/>
                <w:color w:val="auto"/>
              </w:rPr>
            </w:pPr>
            <w:r>
              <w:rPr>
                <w:rFonts w:ascii="Arial" w:cs="Arial" w:eastAsia="Arial" w:hAnsi="Arial"/>
                <w:sz w:val="18"/>
                <w:szCs w:val="18"/>
                <w:b w:val="1"/>
                <w:bCs w:val="1"/>
                <w:color w:val="auto"/>
              </w:rPr>
              <w:t>permitted by Rule 14a-6(e)(2))</w:t>
            </w:r>
          </w:p>
        </w:tc>
        <w:tc>
          <w:tcPr>
            <w:tcW w:w="0" w:type="dxa"/>
            <w:vAlign w:val="bottom"/>
          </w:tcPr>
          <w:p>
            <w:pPr>
              <w:spacing w:after="0"/>
              <w:rPr>
                <w:sz w:val="1"/>
                <w:szCs w:val="1"/>
                <w:color w:val="auto"/>
              </w:rPr>
            </w:pPr>
          </w:p>
        </w:tc>
      </w:tr>
      <w:tr>
        <w:trPr>
          <w:trHeight w:val="81"/>
        </w:trPr>
        <w:tc>
          <w:tcPr>
            <w:tcW w:w="600" w:type="dxa"/>
            <w:vAlign w:val="bottom"/>
            <w:vMerge w:val="continue"/>
          </w:tcPr>
          <w:p>
            <w:pPr>
              <w:spacing w:after="0"/>
              <w:rPr>
                <w:sz w:val="7"/>
                <w:szCs w:val="7"/>
                <w:color w:val="auto"/>
              </w:rPr>
            </w:pPr>
          </w:p>
        </w:tc>
        <w:tc>
          <w:tcPr>
            <w:tcW w:w="3920" w:type="dxa"/>
            <w:vAlign w:val="bottom"/>
            <w:vMerge w:val="continue"/>
          </w:tcPr>
          <w:p>
            <w:pPr>
              <w:spacing w:after="0"/>
              <w:rPr>
                <w:sz w:val="7"/>
                <w:szCs w:val="7"/>
                <w:color w:val="auto"/>
              </w:rPr>
            </w:pPr>
          </w:p>
        </w:tc>
        <w:tc>
          <w:tcPr>
            <w:tcW w:w="1680" w:type="dxa"/>
            <w:vAlign w:val="bottom"/>
          </w:tcPr>
          <w:p>
            <w:pPr>
              <w:spacing w:after="0"/>
              <w:rPr>
                <w:sz w:val="7"/>
                <w:szCs w:val="7"/>
                <w:color w:val="auto"/>
              </w:rPr>
            </w:pPr>
          </w:p>
        </w:tc>
        <w:tc>
          <w:tcPr>
            <w:tcW w:w="456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1040" w:hanging="1014"/>
        <w:spacing w:after="0"/>
        <w:tabs>
          <w:tab w:leader="none" w:pos="10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31" w:lineRule="exact"/>
        <w:rPr>
          <w:sz w:val="24"/>
          <w:szCs w:val="24"/>
          <w:color w:val="auto"/>
        </w:rPr>
      </w:pPr>
    </w:p>
    <w:p>
      <w:pPr>
        <w:ind w:left="1040" w:hanging="1014"/>
        <w:spacing w:after="0"/>
        <w:tabs>
          <w:tab w:leader="none" w:pos="1040" w:val="left"/>
        </w:tabs>
        <w:numPr>
          <w:ilvl w:val="0"/>
          <w:numId w:val="2"/>
        </w:numPr>
        <w:rPr>
          <w:rFonts w:ascii="Wingdings" w:cs="Wingdings" w:eastAsia="Wingdings" w:hAnsi="Wingdings"/>
          <w:sz w:val="18"/>
          <w:szCs w:val="18"/>
          <w:b w:val="1"/>
          <w:bCs w:val="1"/>
          <w:color w:val="auto"/>
        </w:rPr>
      </w:pPr>
      <w:r>
        <w:rPr>
          <w:rFonts w:ascii="Arial" w:cs="Arial" w:eastAsia="Arial" w:hAnsi="Arial"/>
          <w:sz w:val="18"/>
          <w:szCs w:val="18"/>
          <w:color w:val="auto"/>
        </w:rPr>
        <w:t>Soliciting Material Pursuant to Section 240.14a-12</w:t>
      </w:r>
    </w:p>
    <w:p>
      <w:pPr>
        <w:spacing w:after="0" w:line="318" w:lineRule="exact"/>
        <w:rPr>
          <w:sz w:val="24"/>
          <w:szCs w:val="24"/>
          <w:color w:val="auto"/>
        </w:rPr>
      </w:pPr>
    </w:p>
    <w:p>
      <w:pPr>
        <w:jc w:val="center"/>
        <w:ind w:right="-99"/>
        <w:spacing w:after="0"/>
        <w:rPr>
          <w:sz w:val="20"/>
          <w:szCs w:val="20"/>
          <w:color w:val="auto"/>
        </w:rPr>
      </w:pPr>
      <w:r>
        <w:rPr>
          <w:rFonts w:ascii="Arial" w:cs="Arial" w:eastAsia="Arial" w:hAnsi="Arial"/>
          <w:sz w:val="38"/>
          <w:szCs w:val="38"/>
          <w:b w:val="1"/>
          <w:bCs w:val="1"/>
          <w:color w:val="auto"/>
        </w:rPr>
        <w:t>CIMPRESS PLC</w:t>
      </w:r>
    </w:p>
    <w:p>
      <w:pPr>
        <w:spacing w:after="0" w:line="3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176"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44" w:lineRule="exact"/>
        <w:rPr>
          <w:sz w:val="24"/>
          <w:szCs w:val="24"/>
          <w:color w:val="auto"/>
        </w:rPr>
      </w:pPr>
    </w:p>
    <w:p>
      <w:pPr>
        <w:ind w:left="520" w:hanging="481"/>
        <w:spacing w:after="0"/>
        <w:tabs>
          <w:tab w:leader="none" w:pos="5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41" w:lineRule="exact"/>
        <w:rPr>
          <w:sz w:val="24"/>
          <w:szCs w:val="24"/>
          <w:color w:val="auto"/>
        </w:rPr>
      </w:pPr>
    </w:p>
    <w:p>
      <w:pPr>
        <w:ind w:left="520" w:hanging="481"/>
        <w:spacing w:after="0"/>
        <w:tabs>
          <w:tab w:leader="none" w:pos="520" w:val="left"/>
        </w:tabs>
        <w:numPr>
          <w:ilvl w:val="0"/>
          <w:numId w:val="4"/>
        </w:numPr>
        <w:rPr>
          <w:rFonts w:ascii="Wingdings" w:cs="Wingdings" w:eastAsia="Wingdings" w:hAnsi="Wingdings"/>
          <w:sz w:val="18"/>
          <w:szCs w:val="18"/>
          <w:b w:val="1"/>
          <w:bCs w:val="1"/>
          <w:color w:val="auto"/>
        </w:rPr>
      </w:pPr>
      <w:r>
        <w:rPr>
          <w:rFonts w:ascii="Arial" w:cs="Arial" w:eastAsia="Arial" w:hAnsi="Arial"/>
          <w:sz w:val="18"/>
          <w:szCs w:val="18"/>
          <w:color w:val="auto"/>
        </w:rPr>
        <w:t>Fee computed on table below per Exchange Act Rules 14a-6(i)(1) and 0-11.</w:t>
      </w:r>
    </w:p>
    <w:p>
      <w:pPr>
        <w:spacing w:after="0" w:line="13" w:lineRule="exact"/>
        <w:rPr>
          <w:rFonts w:ascii="Wingdings" w:cs="Wingdings" w:eastAsia="Wingdings" w:hAnsi="Wingdings"/>
          <w:sz w:val="18"/>
          <w:szCs w:val="18"/>
          <w:b w:val="1"/>
          <w:bCs w:val="1"/>
          <w:color w:val="auto"/>
        </w:rPr>
      </w:pPr>
    </w:p>
    <w:p>
      <w:pPr>
        <w:ind w:left="1020" w:hanging="495"/>
        <w:spacing w:after="0"/>
        <w:tabs>
          <w:tab w:leader="none" w:pos="10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40" w:lineRule="exact"/>
        <w:rPr>
          <w:rFonts w:ascii="Arial" w:cs="Arial" w:eastAsia="Arial" w:hAnsi="Arial"/>
          <w:sz w:val="18"/>
          <w:szCs w:val="18"/>
          <w:color w:val="auto"/>
        </w:rPr>
      </w:pPr>
    </w:p>
    <w:p>
      <w:pPr>
        <w:ind w:left="1020" w:hanging="495"/>
        <w:spacing w:after="0"/>
        <w:tabs>
          <w:tab w:leader="none" w:pos="10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49" w:lineRule="exact"/>
        <w:rPr>
          <w:rFonts w:ascii="Arial" w:cs="Arial" w:eastAsia="Arial" w:hAnsi="Arial"/>
          <w:sz w:val="18"/>
          <w:szCs w:val="18"/>
          <w:color w:val="auto"/>
        </w:rPr>
      </w:pPr>
    </w:p>
    <w:p>
      <w:pPr>
        <w:ind w:left="1020" w:right="180" w:hanging="495"/>
        <w:spacing w:after="0" w:line="180" w:lineRule="auto"/>
        <w:tabs>
          <w:tab w:leader="none" w:pos="1020" w:val="left"/>
        </w:tabs>
        <w:numPr>
          <w:ilvl w:val="1"/>
          <w:numId w:val="4"/>
        </w:numPr>
        <w:rPr>
          <w:rFonts w:ascii="Arial" w:cs="Arial" w:eastAsia="Arial" w:hAnsi="Arial"/>
          <w:sz w:val="32"/>
          <w:szCs w:val="32"/>
          <w:color w:val="auto"/>
          <w:vertAlign w:val="subscript"/>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31" w:lineRule="exact"/>
        <w:rPr>
          <w:rFonts w:ascii="Arial" w:cs="Arial" w:eastAsia="Arial" w:hAnsi="Arial"/>
          <w:sz w:val="32"/>
          <w:szCs w:val="32"/>
          <w:color w:val="auto"/>
          <w:vertAlign w:val="subscript"/>
        </w:rPr>
      </w:pPr>
    </w:p>
    <w:p>
      <w:pPr>
        <w:ind w:left="1020" w:hanging="495"/>
        <w:spacing w:after="0"/>
        <w:tabs>
          <w:tab w:leader="none" w:pos="10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49" w:lineRule="exact"/>
        <w:rPr>
          <w:rFonts w:ascii="Arial" w:cs="Arial" w:eastAsia="Arial" w:hAnsi="Arial"/>
          <w:sz w:val="18"/>
          <w:szCs w:val="18"/>
          <w:color w:val="auto"/>
        </w:rPr>
      </w:pPr>
    </w:p>
    <w:p>
      <w:pPr>
        <w:ind w:left="1020" w:hanging="495"/>
        <w:spacing w:after="0"/>
        <w:tabs>
          <w:tab w:leader="none" w:pos="10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346" w:lineRule="exact"/>
        <w:rPr>
          <w:rFonts w:ascii="Arial" w:cs="Arial" w:eastAsia="Arial" w:hAnsi="Arial"/>
          <w:sz w:val="18"/>
          <w:szCs w:val="18"/>
          <w:color w:val="auto"/>
        </w:rPr>
      </w:pPr>
    </w:p>
    <w:p>
      <w:pPr>
        <w:ind w:left="520" w:hanging="481"/>
        <w:spacing w:after="0"/>
        <w:tabs>
          <w:tab w:leader="none" w:pos="520" w:val="left"/>
        </w:tabs>
        <w:numPr>
          <w:ilvl w:val="0"/>
          <w:numId w:val="4"/>
        </w:numPr>
        <w:rPr>
          <w:rFonts w:ascii="Wingdings" w:cs="Wingdings" w:eastAsia="Wingdings" w:hAnsi="Wingdings"/>
          <w:sz w:val="18"/>
          <w:szCs w:val="18"/>
          <w:b w:val="1"/>
          <w:bCs w:val="1"/>
          <w:color w:val="auto"/>
        </w:rPr>
      </w:pPr>
      <w:r>
        <w:rPr>
          <w:rFonts w:ascii="Arial" w:cs="Arial" w:eastAsia="Arial" w:hAnsi="Arial"/>
          <w:sz w:val="18"/>
          <w:szCs w:val="18"/>
          <w:color w:val="auto"/>
        </w:rPr>
        <w:t>Fee paid previously with preliminary materials:</w:t>
      </w:r>
    </w:p>
    <w:p>
      <w:pPr>
        <w:spacing w:after="0" w:line="31" w:lineRule="exact"/>
        <w:rPr>
          <w:rFonts w:ascii="Wingdings" w:cs="Wingdings" w:eastAsia="Wingdings" w:hAnsi="Wingdings"/>
          <w:sz w:val="18"/>
          <w:szCs w:val="18"/>
          <w:b w:val="1"/>
          <w:bCs w:val="1"/>
          <w:color w:val="auto"/>
        </w:rPr>
      </w:pPr>
    </w:p>
    <w:p>
      <w:pPr>
        <w:ind w:left="520" w:hanging="481"/>
        <w:spacing w:after="0" w:line="234" w:lineRule="auto"/>
        <w:tabs>
          <w:tab w:leader="none" w:pos="520" w:val="left"/>
        </w:tabs>
        <w:numPr>
          <w:ilvl w:val="0"/>
          <w:numId w:val="4"/>
        </w:numPr>
        <w:rPr>
          <w:rFonts w:ascii="Wingdings" w:cs="Wingdings" w:eastAsia="Wingdings" w:hAnsi="Wingdings"/>
          <w:sz w:val="18"/>
          <w:szCs w:val="18"/>
          <w:b w:val="1"/>
          <w:bCs w:val="1"/>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5" w:lineRule="exact"/>
        <w:rPr>
          <w:rFonts w:ascii="Wingdings" w:cs="Wingdings" w:eastAsia="Wingdings" w:hAnsi="Wingdings"/>
          <w:sz w:val="18"/>
          <w:szCs w:val="18"/>
          <w:b w:val="1"/>
          <w:bCs w:val="1"/>
          <w:color w:val="auto"/>
        </w:rPr>
      </w:pPr>
    </w:p>
    <w:p>
      <w:pPr>
        <w:ind w:left="1020" w:hanging="495"/>
        <w:spacing w:after="0"/>
        <w:tabs>
          <w:tab w:leader="none" w:pos="10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49" w:lineRule="exact"/>
        <w:rPr>
          <w:rFonts w:ascii="Arial" w:cs="Arial" w:eastAsia="Arial" w:hAnsi="Arial"/>
          <w:sz w:val="18"/>
          <w:szCs w:val="18"/>
          <w:color w:val="auto"/>
        </w:rPr>
      </w:pPr>
    </w:p>
    <w:p>
      <w:pPr>
        <w:ind w:left="1020" w:hanging="495"/>
        <w:spacing w:after="0"/>
        <w:tabs>
          <w:tab w:leader="none" w:pos="102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49" w:lineRule="exact"/>
        <w:rPr>
          <w:rFonts w:ascii="Arial" w:cs="Arial" w:eastAsia="Arial" w:hAnsi="Arial"/>
          <w:sz w:val="18"/>
          <w:szCs w:val="18"/>
          <w:color w:val="auto"/>
        </w:rPr>
      </w:pPr>
    </w:p>
    <w:p>
      <w:pPr>
        <w:ind w:left="1020" w:hanging="495"/>
        <w:spacing w:after="0"/>
        <w:tabs>
          <w:tab w:leader="none" w:pos="102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49" w:lineRule="exact"/>
        <w:rPr>
          <w:rFonts w:ascii="Arial" w:cs="Arial" w:eastAsia="Arial" w:hAnsi="Arial"/>
          <w:sz w:val="18"/>
          <w:szCs w:val="18"/>
          <w:color w:val="auto"/>
        </w:rPr>
      </w:pPr>
    </w:p>
    <w:p>
      <w:pPr>
        <w:ind w:left="1020" w:hanging="495"/>
        <w:spacing w:after="0"/>
        <w:tabs>
          <w:tab w:leader="none" w:pos="102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321945</wp:posOffset>
            </wp:positionH>
            <wp:positionV relativeFrom="paragraph">
              <wp:posOffset>17780</wp:posOffset>
            </wp:positionV>
            <wp:extent cx="680656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6565" cy="17145"/>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-144780</wp:posOffset>
            </wp:positionV>
            <wp:extent cx="680656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6565" cy="17145"/>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-307340</wp:posOffset>
            </wp:positionV>
            <wp:extent cx="680656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06565" cy="17145"/>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-470535</wp:posOffset>
            </wp:positionV>
            <wp:extent cx="680656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06565" cy="17145"/>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-1233170</wp:posOffset>
            </wp:positionV>
            <wp:extent cx="680656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06565" cy="17145"/>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-1396365</wp:posOffset>
            </wp:positionV>
            <wp:extent cx="680656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06565" cy="17145"/>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-1558925</wp:posOffset>
            </wp:positionV>
            <wp:extent cx="680656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06565" cy="17145"/>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-1842135</wp:posOffset>
            </wp:positionV>
            <wp:extent cx="680656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06565" cy="17145"/>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-2004695</wp:posOffset>
            </wp:positionV>
            <wp:extent cx="680656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1160"/>
          </w:cols>
          <w:pgMar w:left="320" w:top="993" w:right="41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730885</wp:posOffset>
            </wp:positionH>
            <wp:positionV relativeFrom="page">
              <wp:posOffset>577850</wp:posOffset>
            </wp:positionV>
            <wp:extent cx="6086475" cy="78778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6086475" cy="7877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730885</wp:posOffset>
            </wp:positionH>
            <wp:positionV relativeFrom="page">
              <wp:posOffset>577215</wp:posOffset>
            </wp:positionV>
            <wp:extent cx="6086475" cy="78778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6086475" cy="78778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o"/>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o"/>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2026-10-27T16:29:37Z</dcterms:created>
  <dcterms:modified xsi:type="dcterms:W3CDTF">2026-10-27T16:29:37Z</dcterms:modified>
</cp:coreProperties>
</file>