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534670</wp:posOffset>
            </wp:positionH>
            <wp:positionV relativeFrom="page">
              <wp:posOffset>740410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654685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4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71" w:lineRule="exact"/>
        <w:rPr>
          <w:sz w:val="24"/>
          <w:szCs w:val="24"/>
          <w:color w:val="auto"/>
        </w:rPr>
      </w:pPr>
    </w:p>
    <w:p>
      <w:pPr>
        <w:ind w:left="840"/>
        <w:spacing w:after="0"/>
        <w:rPr>
          <w:sz w:val="20"/>
          <w:szCs w:val="20"/>
          <w:color w:val="auto"/>
        </w:rPr>
      </w:pPr>
      <w:r>
        <w:rPr>
          <w:rFonts w:ascii="Arial" w:cs="Arial" w:eastAsia="Arial" w:hAnsi="Arial"/>
          <w:sz w:val="15"/>
          <w:szCs w:val="15"/>
          <w:b w:val="1"/>
          <w:bCs w:val="1"/>
          <w:color w:val="auto"/>
        </w:rPr>
        <w:t>For the quarterly period ended March 31,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spacing w:after="0" w:line="44" w:lineRule="exact"/>
        <w:rPr>
          <w:sz w:val="24"/>
          <w:szCs w:val="24"/>
          <w:color w:val="auto"/>
        </w:rPr>
      </w:pPr>
    </w:p>
    <w:p>
      <w:pPr>
        <w:ind w:left="840" w:hanging="805"/>
        <w:spacing w:after="0"/>
        <w:tabs>
          <w:tab w:leader="none" w:pos="8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00"/>
          </w:cols>
          <w:pgMar w:left="240" w:top="1355" w:right="259" w:bottom="1440" w:gutter="0" w:footer="0" w:header="0"/>
        </w:sectPr>
      </w:pPr>
    </w:p>
    <w:p>
      <w:pPr>
        <w:spacing w:after="0" w:line="44" w:lineRule="exact"/>
        <w:rPr>
          <w:sz w:val="24"/>
          <w:szCs w:val="24"/>
          <w:color w:val="auto"/>
        </w:rPr>
      </w:pPr>
    </w:p>
    <w:p>
      <w:pPr>
        <w:ind w:left="840"/>
        <w:spacing w:after="0"/>
        <w:tabs>
          <w:tab w:leader="none" w:pos="36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00"/>
          </w:cols>
          <w:pgMar w:left="240" w:top="1355" w:right="25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Cimpress N.V.</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400"/>
          </w:cols>
          <w:pgMar w:left="240" w:top="1355" w:right="259" w:bottom="1440" w:gutter="0" w:footer="0" w:header="0"/>
          <w:type w:val="continuous"/>
        </w:sectPr>
      </w:pPr>
    </w:p>
    <w:p>
      <w:pPr>
        <w:spacing w:after="0" w:line="144"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The Netherlands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500" w:space="720"/>
            <w:col w:w="3180"/>
          </w:cols>
          <w:pgMar w:left="240" w:top="1355" w:right="25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280" w:space="720"/>
            <w:col w:w="3400"/>
          </w:cols>
          <w:pgMar w:left="240" w:top="1355"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Building D, Xerox Technology Park</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Dundalk, Co. Louth</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Ireland</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23" w:lineRule="exact"/>
        <w:rPr>
          <w:sz w:val="24"/>
          <w:szCs w:val="24"/>
          <w:color w:val="auto"/>
        </w:rPr>
      </w:pPr>
    </w:p>
    <w:p>
      <w:pPr>
        <w:ind w:left="6540"/>
        <w:spacing w:after="0"/>
        <w:rPr>
          <w:sz w:val="20"/>
          <w:szCs w:val="20"/>
          <w:color w:val="auto"/>
        </w:rPr>
      </w:pPr>
      <w:r>
        <w:rPr>
          <w:rFonts w:ascii="Arial" w:cs="Arial" w:eastAsia="Arial" w:hAnsi="Arial"/>
          <w:sz w:val="13"/>
          <w:szCs w:val="13"/>
          <w:color w:val="auto"/>
        </w:rPr>
        <w:t>_________________________________</w:t>
      </w:r>
    </w:p>
    <w:p>
      <w:pPr>
        <w:spacing w:after="0" w:line="280" w:lineRule="exact"/>
        <w:rPr>
          <w:sz w:val="24"/>
          <w:szCs w:val="24"/>
          <w:color w:val="auto"/>
        </w:rPr>
      </w:pPr>
    </w:p>
    <w:p>
      <w:pPr>
        <w:ind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680" w:firstLine="554"/>
        <w:spacing w:after="0" w:line="24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101" w:lineRule="exact"/>
        <w:rPr>
          <w:sz w:val="24"/>
          <w:szCs w:val="24"/>
          <w:color w:val="auto"/>
        </w:rPr>
      </w:pPr>
    </w:p>
    <w:p>
      <w:pPr>
        <w:ind w:right="20" w:firstLine="554"/>
        <w:spacing w:after="0" w:line="30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8" w:lineRule="exact"/>
        <w:rPr>
          <w:sz w:val="24"/>
          <w:szCs w:val="24"/>
          <w:color w:val="auto"/>
        </w:rPr>
      </w:pPr>
    </w:p>
    <w:p>
      <w:pPr>
        <w:ind w:left="1020"/>
        <w:spacing w:after="0" w:line="161" w:lineRule="exact"/>
        <w:tabs>
          <w:tab w:leader="none" w:pos="3780" w:val="left"/>
          <w:tab w:leader="none" w:pos="76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p>
    <w:p>
      <w:pPr>
        <w:spacing w:after="0" w:line="150"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Emerging growth company o</w:t>
      </w:r>
    </w:p>
    <w:p>
      <w:pPr>
        <w:spacing w:after="0" w:line="151" w:lineRule="exact"/>
        <w:rPr>
          <w:sz w:val="24"/>
          <w:szCs w:val="24"/>
          <w:color w:val="auto"/>
        </w:rPr>
      </w:pPr>
    </w:p>
    <w:p>
      <w:pPr>
        <w:ind w:right="260" w:firstLine="648"/>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1355" w:right="259" w:bottom="1440" w:gutter="0" w:footer="0" w:header="0"/>
          <w:type w:val="continuous"/>
        </w:sectPr>
      </w:pPr>
    </w:p>
    <w:p>
      <w:pPr>
        <w:spacing w:after="0" w:line="89" w:lineRule="exact"/>
        <w:rPr>
          <w:sz w:val="24"/>
          <w:szCs w:val="24"/>
          <w:color w:val="auto"/>
        </w:rPr>
      </w:pPr>
    </w:p>
    <w:p>
      <w:pPr>
        <w:jc w:val="center"/>
        <w:ind w:left="220"/>
        <w:spacing w:after="0"/>
        <w:rPr>
          <w:sz w:val="20"/>
          <w:szCs w:val="20"/>
          <w:color w:val="auto"/>
        </w:rPr>
      </w:pPr>
      <w:r>
        <w:rPr>
          <w:rFonts w:ascii="Arial" w:cs="Arial" w:eastAsia="Arial" w:hAnsi="Arial"/>
          <w:sz w:val="15"/>
          <w:szCs w:val="15"/>
          <w:color w:val="auto"/>
        </w:rPr>
        <w:t>Indicate by check mark whether the registrant is a shell company (as defined in Exchange Act Rule 12b-2). Yes 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2" w:lineRule="exact"/>
        <w:rPr>
          <w:sz w:val="24"/>
          <w:szCs w:val="24"/>
          <w:color w:val="auto"/>
        </w:rPr>
      </w:pPr>
    </w:p>
    <w:p>
      <w:pPr>
        <w:sectPr>
          <w:pgSz w:w="11900" w:h="16838" w:orient="portrait"/>
          <w:cols w:equalWidth="0" w:num="2">
            <w:col w:w="7900" w:space="200"/>
            <w:col w:w="3300"/>
          </w:cols>
          <w:pgMar w:left="240" w:top="1355"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400"/>
          </w:cols>
          <w:pgMar w:left="240" w:top="1355" w:right="259" w:bottom="1440" w:gutter="0" w:footer="0" w:header="0"/>
          <w:type w:val="continuous"/>
        </w:sectPr>
      </w:pPr>
    </w:p>
    <w:p>
      <w:pPr>
        <w:spacing w:after="0" w:line="241" w:lineRule="exact"/>
        <w:rPr>
          <w:sz w:val="24"/>
          <w:szCs w:val="24"/>
          <w:color w:val="auto"/>
        </w:rPr>
      </w:pPr>
    </w:p>
    <w:p>
      <w:pPr>
        <w:ind w:left="12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102" w:lineRule="exact"/>
        <w:rPr>
          <w:sz w:val="24"/>
          <w:szCs w:val="24"/>
          <w:color w:val="auto"/>
        </w:rPr>
      </w:pPr>
    </w:p>
    <w:p>
      <w:pPr>
        <w:sectPr>
          <w:pgSz w:w="11900" w:h="16838" w:orient="portrait"/>
          <w:cols w:equalWidth="0" w:num="3">
            <w:col w:w="4380" w:space="720"/>
            <w:col w:w="2480" w:space="720"/>
            <w:col w:w="3100"/>
          </w:cols>
          <w:pgMar w:left="240" w:top="1355" w:right="25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Ordinary Shares, par value of €0.01</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Arial" w:cs="Arial" w:eastAsia="Arial" w:hAnsi="Arial"/>
          <w:sz w:val="16"/>
          <w:szCs w:val="16"/>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89" w:lineRule="exact"/>
        <w:rPr>
          <w:sz w:val="24"/>
          <w:szCs w:val="24"/>
          <w:color w:val="auto"/>
        </w:rPr>
      </w:pPr>
    </w:p>
    <w:p>
      <w:pPr>
        <w:sectPr>
          <w:pgSz w:w="11900" w:h="16838" w:orient="portrait"/>
          <w:cols w:equalWidth="0" w:num="3">
            <w:col w:w="4700" w:space="720"/>
            <w:col w:w="2260" w:space="720"/>
            <w:col w:w="3000"/>
          </w:cols>
          <w:pgMar w:left="240" w:top="1355" w:right="25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As of April 29, 2019, there were 30,705,206 Cimpress N.V.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458470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372745</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ectPr>
          <w:pgSz w:w="11900" w:h="16838" w:orient="portrait"/>
          <w:cols w:equalWidth="0" w:num="1">
            <w:col w:w="11400"/>
          </w:cols>
          <w:pgMar w:left="240" w:top="1355"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Nine Months Ended March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0" w:type="dxa"/>
            <w:vAlign w:val="bottom"/>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290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w w:val="98"/>
              </w:rPr>
              <w:t>PART I FINANCIAL INFORMATION</w:t>
            </w:r>
          </w:p>
        </w:tc>
        <w:tc>
          <w:tcPr>
            <w:tcW w:w="7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91"/>
        </w:trPr>
        <w:tc>
          <w:tcPr>
            <w:tcW w:w="10700" w:type="dxa"/>
            <w:vAlign w:val="bottom"/>
            <w:gridSpan w:val="4"/>
          </w:tcPr>
          <w:p>
            <w:pPr>
              <w:spacing w:after="0"/>
              <w:rPr>
                <w:sz w:val="20"/>
                <w:szCs w:val="20"/>
                <w:color w:val="auto"/>
              </w:rPr>
            </w:pPr>
            <w:r>
              <w:rPr>
                <w:rFonts w:ascii="Arial" w:cs="Arial" w:eastAsia="Arial" w:hAnsi="Arial"/>
                <w:sz w:val="18"/>
                <w:szCs w:val="18"/>
                <w:color w:val="auto"/>
              </w:rPr>
              <w:t>Item 1. Financial Statements (unaudited)</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Balance Sheets as of March 31, 2019 and June 30, 2018</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Operations for the three and nine months ended March 31, 2019 and 2018</w:t>
            </w:r>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Comprehensive Income (Loss) for the three and nine months ended March 31, 2019 and 2018</w:t>
            </w:r>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Shareholders' Equity for the nine months ended March 31, 2019 and 2018</w:t>
            </w: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Cash Flows for the nine months ended March 31, 2019 and 2018</w:t>
            </w: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8</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4.</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540"/>
        </w:trPr>
        <w:tc>
          <w:tcPr>
            <w:tcW w:w="10700" w:type="dxa"/>
            <w:vAlign w:val="bottom"/>
            <w:gridSpan w:val="4"/>
          </w:tcPr>
          <w:p>
            <w:pPr>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r>
      <w:tr>
        <w:trPr>
          <w:trHeight w:val="291"/>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1A. Risk Factors</w:t>
            </w:r>
          </w:p>
        </w:tc>
        <w:tc>
          <w:tcPr>
            <w:tcW w:w="810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6.</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Exhibits</w:t>
            </w:r>
          </w:p>
        </w:tc>
        <w:tc>
          <w:tcPr>
            <w:tcW w:w="68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68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67</w:t>
              </w:r>
            </w:hyperlink>
          </w:p>
        </w:tc>
      </w:tr>
    </w:tbl>
    <w:p>
      <w:pPr>
        <w:sectPr>
          <w:pgSz w:w="11900" w:h="16838" w:orient="portrait"/>
          <w:cols w:equalWidth="0" w:num="1">
            <w:col w:w="11380"/>
          </w:cols>
          <w:pgMar w:left="280" w:top="54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CIMPRESS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$7,236 and $6,898, respectively</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70,095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55,621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60,602</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92,048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78,846</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273,604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239,296</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498,324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483,664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 and website development costs, net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64,882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56,199</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57,885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67,087</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720,734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520,843</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273,831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230,201</w:t>
            </w:r>
          </w:p>
        </w:tc>
      </w:tr>
      <w:tr>
        <w:trPr>
          <w:trHeight w:val="24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32,022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54,927</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1,921,282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2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noncontrolling interests and shareholders’ equity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167,611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152,436</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207,918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186,661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27,697</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Short-term debt</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64,516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59,259</w:t>
            </w: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42,866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54,971</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517,852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481,024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51,243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111,956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102,743</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1,010,599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767,585</w:t>
            </w:r>
          </w:p>
        </w:tc>
      </w:t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53,916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69,524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1,739,979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1,472,119</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52,366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86,151</w:t>
            </w:r>
          </w:p>
        </w:tc>
      </w:tr>
      <w:tr>
        <w:trPr>
          <w:trHeight w:val="227"/>
        </w:trPr>
        <w:tc>
          <w:tcPr>
            <w:tcW w:w="83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shares, par value €0.01 per share, 100,000,000 shares authorized; none issued and outstanding</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8340" w:type="dxa"/>
            <w:vAlign w:val="bottom"/>
          </w:tcPr>
          <w:p>
            <w:pPr>
              <w:ind w:left="280"/>
              <w:spacing w:after="0"/>
              <w:rPr>
                <w:sz w:val="20"/>
                <w:szCs w:val="20"/>
                <w:color w:val="auto"/>
              </w:rPr>
            </w:pPr>
            <w:r>
              <w:rPr>
                <w:rFonts w:ascii="Arial" w:cs="Arial" w:eastAsia="Arial" w:hAnsi="Arial"/>
                <w:sz w:val="16"/>
                <w:szCs w:val="16"/>
                <w:color w:val="auto"/>
              </w:rPr>
              <w:t>Ordinary shares, par value €0.01 per share, 100,000,000 shares authorized; 44,080,627 shares issued; and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4"/>
        </w:trPr>
        <w:tc>
          <w:tcPr>
            <w:tcW w:w="8340" w:type="dxa"/>
            <w:vAlign w:val="bottom"/>
          </w:tcPr>
          <w:p>
            <w:pPr>
              <w:ind w:left="280"/>
              <w:spacing w:after="0"/>
              <w:rPr>
                <w:sz w:val="20"/>
                <w:szCs w:val="20"/>
                <w:color w:val="auto"/>
              </w:rPr>
            </w:pPr>
            <w:r>
              <w:rPr>
                <w:rFonts w:ascii="Arial" w:cs="Arial" w:eastAsia="Arial" w:hAnsi="Arial"/>
                <w:sz w:val="16"/>
                <w:szCs w:val="16"/>
                <w:color w:val="auto"/>
              </w:rPr>
              <w:t>30,704,788 and 30,876,193 shares outstanding, respectively</w:t>
            </w:r>
          </w:p>
        </w:tc>
        <w:tc>
          <w:tcPr>
            <w:tcW w:w="2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shares, at cost, 13,375,839 and 13,204,434 shares, respectively</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(685,577)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403,989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395,682</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503,275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452,756</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(69,814)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shareholders’ equity attributable to Cimpress N.V.</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128,937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93,662</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26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5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128,937</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93,947</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1,921,282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92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661,814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636,069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2,076,362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1,961,407</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36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342,700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319,209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1,056,667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963,249</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58,274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61,267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170,742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182,598</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36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171,584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179,591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566,335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546,469</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37,753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119,145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127,869</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36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14,022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12,941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40,169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38,132</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color w:val="auto"/>
              </w:rPr>
              <w:t>(Gain) on sale of subsidiaries</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(47,545)</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29,615</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16,627</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114,242</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135,949</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17,386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(25,602)</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(47,372)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(38,263)</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10,333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84,256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72,084</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4,091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4,019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23,971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19,657</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52,427</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Net loss (income) attributable to noncontrolling interest</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8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attributable to Cimpress N.V.</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6,530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60,905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51,033</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(loss) per share attributable to Cimpress N.V.</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Diluted net income (loss) per share attributable to Cimpress N.V. $</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30,763,055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30,724,018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30,837,207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30,992,066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31,514,793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30,724,018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31,781,141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32,276,520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Share-based compensation is allocated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ind w:left="640"/>
              <w:spacing w:after="0"/>
              <w:rPr>
                <w:sz w:val="20"/>
                <w:szCs w:val="20"/>
                <w:color w:val="auto"/>
              </w:rPr>
            </w:pPr>
            <w:r>
              <w:rPr>
                <w:rFonts w:ascii="Arial" w:cs="Arial" w:eastAsia="Arial" w:hAnsi="Arial"/>
                <w:sz w:val="14"/>
                <w:szCs w:val="14"/>
                <w:b w:val="1"/>
                <w:bCs w:val="1"/>
                <w:color w:val="auto"/>
              </w:rPr>
              <w:t>Nine Months Ended March 31,</w:t>
            </w:r>
          </w:p>
        </w:tc>
        <w:tc>
          <w:tcPr>
            <w:tcW w:w="600" w:type="dxa"/>
            <w:vAlign w:val="bottom"/>
          </w:tcPr>
          <w:p>
            <w:pPr>
              <w:spacing w:after="0"/>
              <w:rPr>
                <w:sz w:val="16"/>
                <w:szCs w:val="16"/>
                <w:color w:val="auto"/>
              </w:rPr>
            </w:pPr>
          </w:p>
        </w:tc>
      </w:tr>
      <w:tr>
        <w:trPr>
          <w:trHeight w:val="39"/>
        </w:trPr>
        <w:tc>
          <w:tcPr>
            <w:tcW w:w="47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4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7,916</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4,981</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7,289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7,707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19,254</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1,327</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 March 31,</w:t>
            </w:r>
          </w:p>
        </w:tc>
      </w:tr>
      <w:tr>
        <w:trPr>
          <w:trHeight w:val="39"/>
        </w:trPr>
        <w:tc>
          <w:tcPr>
            <w:tcW w:w="51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6,242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60,285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52,427</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gains (losses), net of hedges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30,335</w:t>
            </w:r>
          </w:p>
        </w:tc>
      </w:tr>
      <w:tr>
        <w:trPr>
          <w:trHeight w:val="218"/>
        </w:trPr>
        <w:tc>
          <w:tcPr>
            <w:tcW w:w="5160" w:type="dxa"/>
            <w:vAlign w:val="bottom"/>
          </w:tcPr>
          <w:p>
            <w:pPr>
              <w:ind w:left="280"/>
              <w:spacing w:after="0"/>
              <w:rPr>
                <w:sz w:val="20"/>
                <w:szCs w:val="20"/>
                <w:color w:val="auto"/>
              </w:rPr>
            </w:pPr>
            <w:r>
              <w:rPr>
                <w:rFonts w:ascii="Arial" w:cs="Arial" w:eastAsia="Arial" w:hAnsi="Arial"/>
                <w:sz w:val="16"/>
                <w:szCs w:val="16"/>
                <w:color w:val="auto"/>
              </w:rPr>
              <w:t>Net unrealized (losses) gains on derivative instruments designated</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and qualifying as cash flow hedges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(7,375)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8,408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15,138</w:t>
            </w:r>
          </w:p>
        </w:tc>
      </w:tr>
      <w:tr>
        <w:trPr>
          <w:trHeight w:val="22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to net income (loss) on derivative instruments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920" w:type="dxa"/>
            <w:vAlign w:val="bottom"/>
          </w:tcPr>
          <w:p>
            <w:pPr>
              <w:spacing w:after="0"/>
              <w:rPr>
                <w:sz w:val="21"/>
                <w:szCs w:val="21"/>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4,043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54,794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91,350</w:t>
            </w:r>
          </w:p>
        </w:tc>
      </w:tr>
      <w:tr>
        <w:trPr>
          <w:trHeight w:val="22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 Comprehensive loss (income) attributable to noncontrolling</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(7,077)</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 comprehensive income (loss) attributable to Cimpress N.V.</w:t>
            </w:r>
          </w:p>
        </w:tc>
        <w:tc>
          <w:tcPr>
            <w:tcW w:w="92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5,048</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59,915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84,273</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ind w:left="5020"/>
        <w:spacing w:after="0"/>
        <w:rPr>
          <w:sz w:val="20"/>
          <w:szCs w:val="20"/>
          <w:color w:val="auto"/>
        </w:rPr>
      </w:pPr>
      <w:r>
        <w:rPr>
          <w:rFonts w:ascii="Arial" w:cs="Arial" w:eastAsia="Arial" w:hAnsi="Arial"/>
          <w:sz w:val="18"/>
          <w:szCs w:val="18"/>
          <w:b w:val="1"/>
          <w:bCs w:val="1"/>
          <w:color w:val="auto"/>
        </w:rPr>
        <w:t>CIMPRESS N.V.</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20" w:type="dxa"/>
            <w:vAlign w:val="bottom"/>
          </w:tcPr>
          <w:p>
            <w:pPr>
              <w:spacing w:after="0"/>
              <w:rPr>
                <w:sz w:val="13"/>
                <w:szCs w:val="13"/>
                <w:color w:val="auto"/>
              </w:rPr>
            </w:pPr>
          </w:p>
        </w:tc>
        <w:tc>
          <w:tcPr>
            <w:tcW w:w="1980" w:type="dxa"/>
            <w:vAlign w:val="bottom"/>
            <w:gridSpan w:val="5"/>
          </w:tcPr>
          <w:p>
            <w:pPr>
              <w:ind w:left="480"/>
              <w:spacing w:after="0"/>
              <w:rPr>
                <w:sz w:val="20"/>
                <w:szCs w:val="20"/>
                <w:color w:val="auto"/>
              </w:rPr>
            </w:pPr>
            <w:r>
              <w:rPr>
                <w:rFonts w:ascii="Arial" w:cs="Arial" w:eastAsia="Arial" w:hAnsi="Arial"/>
                <w:sz w:val="12"/>
                <w:szCs w:val="12"/>
                <w:b w:val="1"/>
                <w:bCs w:val="1"/>
                <w:color w:val="auto"/>
              </w:rPr>
              <w:t>Ordinary Shares</w:t>
            </w:r>
          </w:p>
        </w:tc>
        <w:tc>
          <w:tcPr>
            <w:tcW w:w="20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Treasury Shares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4"/>
        </w:trPr>
        <w:tc>
          <w:tcPr>
            <w:tcW w:w="2620" w:type="dxa"/>
            <w:vAlign w:val="bottom"/>
          </w:tcPr>
          <w:p>
            <w:pPr>
              <w:spacing w:after="0"/>
              <w:rPr>
                <w:sz w:val="12"/>
                <w:szCs w:val="1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Number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Accumulated Other</w:t>
            </w:r>
          </w:p>
        </w:tc>
        <w:tc>
          <w:tcPr>
            <w:tcW w:w="140" w:type="dxa"/>
            <w:vAlign w:val="bottom"/>
          </w:tcPr>
          <w:p>
            <w:pPr>
              <w:spacing w:after="0"/>
              <w:rPr>
                <w:sz w:val="12"/>
                <w:szCs w:val="12"/>
                <w:color w:val="auto"/>
              </w:rPr>
            </w:pPr>
          </w:p>
        </w:tc>
        <w:tc>
          <w:tcPr>
            <w:tcW w:w="980" w:type="dxa"/>
            <w:vAlign w:val="bottom"/>
          </w:tcPr>
          <w:p>
            <w:pPr>
              <w:jc w:val="center"/>
              <w:ind w:right="89"/>
              <w:spacing w:after="0"/>
              <w:rPr>
                <w:sz w:val="20"/>
                <w:szCs w:val="20"/>
                <w:color w:val="auto"/>
              </w:rPr>
            </w:pPr>
            <w:r>
              <w:rPr>
                <w:rFonts w:ascii="Arial" w:cs="Arial" w:eastAsia="Arial" w:hAnsi="Arial"/>
                <w:sz w:val="12"/>
                <w:szCs w:val="12"/>
                <w:b w:val="1"/>
                <w:bCs w:val="1"/>
                <w:color w:val="auto"/>
                <w:w w:val="90"/>
              </w:rPr>
              <w:t>Total</w:t>
            </w:r>
          </w:p>
        </w:tc>
      </w:tr>
      <w:tr>
        <w:trPr>
          <w:trHeight w:val="135"/>
        </w:trPr>
        <w:tc>
          <w:tcPr>
            <w:tcW w:w="26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of</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5"/>
              </w:rPr>
              <w:t>Comprehensive</w:t>
            </w:r>
          </w:p>
        </w:tc>
        <w:tc>
          <w:tcPr>
            <w:tcW w:w="140" w:type="dxa"/>
            <w:vAlign w:val="bottom"/>
          </w:tcPr>
          <w:p>
            <w:pPr>
              <w:spacing w:after="0"/>
              <w:rPr>
                <w:sz w:val="11"/>
                <w:szCs w:val="11"/>
                <w:color w:val="auto"/>
              </w:rPr>
            </w:pPr>
          </w:p>
        </w:tc>
        <w:tc>
          <w:tcPr>
            <w:tcW w:w="980" w:type="dxa"/>
            <w:vAlign w:val="bottom"/>
          </w:tcPr>
          <w:p>
            <w:pPr>
              <w:jc w:val="center"/>
              <w:ind w:right="89"/>
              <w:spacing w:after="0" w:line="135" w:lineRule="exact"/>
              <w:rPr>
                <w:sz w:val="20"/>
                <w:szCs w:val="20"/>
                <w:color w:val="auto"/>
              </w:rPr>
            </w:pPr>
            <w:r>
              <w:rPr>
                <w:rFonts w:ascii="Arial" w:cs="Arial" w:eastAsia="Arial" w:hAnsi="Arial"/>
                <w:sz w:val="12"/>
                <w:szCs w:val="12"/>
                <w:b w:val="1"/>
                <w:bCs w:val="1"/>
                <w:color w:val="auto"/>
                <w:w w:val="97"/>
              </w:rPr>
              <w:t>Shareholders’</w:t>
            </w:r>
          </w:p>
        </w:tc>
      </w:tr>
      <w:tr>
        <w:trPr>
          <w:trHeight w:val="154"/>
        </w:trPr>
        <w:tc>
          <w:tcPr>
            <w:tcW w:w="262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Issued</w:t>
            </w:r>
          </w:p>
        </w:tc>
        <w:tc>
          <w:tcPr>
            <w:tcW w:w="1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Shares</w:t>
            </w:r>
          </w:p>
        </w:tc>
        <w:tc>
          <w:tcPr>
            <w:tcW w:w="20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Loss</w:t>
            </w:r>
          </w:p>
        </w:tc>
        <w:tc>
          <w:tcPr>
            <w:tcW w:w="140" w:type="dxa"/>
            <w:vAlign w:val="bottom"/>
          </w:tcPr>
          <w:p>
            <w:pPr>
              <w:spacing w:after="0"/>
              <w:rPr>
                <w:sz w:val="13"/>
                <w:szCs w:val="13"/>
                <w:color w:val="auto"/>
              </w:rPr>
            </w:pPr>
          </w:p>
        </w:tc>
        <w:tc>
          <w:tcPr>
            <w:tcW w:w="980" w:type="dxa"/>
            <w:vAlign w:val="bottom"/>
          </w:tcPr>
          <w:p>
            <w:pPr>
              <w:jc w:val="center"/>
              <w:ind w:right="69"/>
              <w:spacing w:after="0"/>
              <w:rPr>
                <w:sz w:val="20"/>
                <w:szCs w:val="20"/>
                <w:color w:val="auto"/>
              </w:rPr>
            </w:pPr>
            <w:r>
              <w:rPr>
                <w:rFonts w:ascii="Arial" w:cs="Arial" w:eastAsia="Arial" w:hAnsi="Arial"/>
                <w:sz w:val="12"/>
                <w:szCs w:val="12"/>
                <w:b w:val="1"/>
                <w:bCs w:val="1"/>
                <w:color w:val="auto"/>
                <w:w w:val="98"/>
              </w:rPr>
              <w:t>Equity</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2018</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(13,206)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395,682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452,756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93,662</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shares withheld for taxes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(1,469)</w:t>
            </w:r>
          </w:p>
        </w:tc>
      </w:tr>
      <w:tr>
        <w:trPr>
          <w:trHeight w:val="27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 of restricted share awards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264"/>
        </w:trPr>
        <w:tc>
          <w:tcPr>
            <w:tcW w:w="262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8,856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8,856</w:t>
            </w:r>
          </w:p>
        </w:tc>
      </w:tr>
      <w:tr>
        <w:trPr>
          <w:trHeight w:val="27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Cimpress N.V.</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(14,639)</w:t>
            </w:r>
          </w:p>
        </w:tc>
      </w:tr>
      <w:tr>
        <w:trPr>
          <w:trHeight w:val="264"/>
        </w:trPr>
        <w:tc>
          <w:tcPr>
            <w:tcW w:w="2620" w:type="dxa"/>
            <w:vAlign w:val="bottom"/>
          </w:tcPr>
          <w:p>
            <w:pPr>
              <w:ind w:left="20"/>
              <w:spacing w:after="0"/>
              <w:rPr>
                <w:sz w:val="20"/>
                <w:szCs w:val="20"/>
                <w:color w:val="auto"/>
              </w:rPr>
            </w:pPr>
            <w:r>
              <w:rPr>
                <w:rFonts w:ascii="Arial" w:cs="Arial" w:eastAsia="Arial" w:hAnsi="Arial"/>
                <w:sz w:val="14"/>
                <w:szCs w:val="14"/>
                <w:color w:val="auto"/>
              </w:rPr>
              <w:t>Adoption of new accounting standard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(3,246)</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cash flow 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1,413</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hedges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(2,185)</w:t>
            </w:r>
          </w:p>
        </w:tc>
      </w:tr>
      <w:tr>
        <w:trPr>
          <w:trHeight w:val="25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(13,188)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(685,801)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403,005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434,871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(70,586)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82,104</w:t>
            </w:r>
          </w:p>
        </w:tc>
      </w:tr>
      <w:tr>
        <w:trPr>
          <w:trHeight w:val="174"/>
        </w:trPr>
        <w:tc>
          <w:tcPr>
            <w:tcW w:w="2620" w:type="dxa"/>
            <w:vAlign w:val="bottom"/>
          </w:tcPr>
          <w:p>
            <w:pPr>
              <w:ind w:left="2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withheld for taxes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2,442</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Grant of restricted share awards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312</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Purchase of ordinary shares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(14,043)</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N.V.</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69,014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69,014</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Adjustment to noncontrolling interest for</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share forfeiture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591</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accretion to</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Net unrealized loss on derivative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as cash flow hedges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(4,623)</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5,887</w:t>
            </w:r>
          </w:p>
        </w:tc>
      </w:tr>
      <w:tr>
        <w:trPr>
          <w:trHeight w:val="21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(13,238)</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(696,499)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396,648</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496,745</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(69,322)</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128,187</w:t>
            </w:r>
          </w:p>
        </w:tc>
      </w:tr>
      <w:tr>
        <w:trPr>
          <w:trHeight w:val="18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317</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shares withheld for taxes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7,754</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Purchase of ordinary shares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(12,074)</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N.V.</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6,530</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Net unrealized loss on derivative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as cash flow hedges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(6,001)</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4,521</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Balance at March 31, 2019</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(13,376)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(708,140)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403,989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503,275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(70,802)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128,937</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630" w:right="259" w:bottom="1440" w:gutter="0" w:footer="0" w:header="0"/>
        </w:sectPr>
      </w:pPr>
    </w:p>
    <w:bookmarkStart w:id="6" w:name="page7"/>
    <w:bookmarkEnd w:id="6"/>
    <w:p>
      <w:pPr>
        <w:ind w:left="5020"/>
        <w:spacing w:after="0"/>
        <w:rPr>
          <w:sz w:val="20"/>
          <w:szCs w:val="20"/>
          <w:color w:val="auto"/>
        </w:rPr>
      </w:pPr>
      <w:r>
        <w:rPr>
          <w:rFonts w:ascii="Arial" w:cs="Arial" w:eastAsia="Arial" w:hAnsi="Arial"/>
          <w:sz w:val="18"/>
          <w:szCs w:val="18"/>
          <w:b w:val="1"/>
          <w:bCs w:val="1"/>
          <w:color w:val="auto"/>
        </w:rPr>
        <w:t>CIMPRESS N.V.</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20" w:type="dxa"/>
            <w:vAlign w:val="bottom"/>
          </w:tcPr>
          <w:p>
            <w:pPr>
              <w:spacing w:after="0"/>
              <w:rPr>
                <w:sz w:val="13"/>
                <w:szCs w:val="13"/>
                <w:color w:val="auto"/>
              </w:rPr>
            </w:pPr>
          </w:p>
        </w:tc>
        <w:tc>
          <w:tcPr>
            <w:tcW w:w="1980" w:type="dxa"/>
            <w:vAlign w:val="bottom"/>
            <w:gridSpan w:val="5"/>
          </w:tcPr>
          <w:p>
            <w:pPr>
              <w:ind w:left="480"/>
              <w:spacing w:after="0"/>
              <w:rPr>
                <w:sz w:val="20"/>
                <w:szCs w:val="20"/>
                <w:color w:val="auto"/>
              </w:rPr>
            </w:pPr>
            <w:r>
              <w:rPr>
                <w:rFonts w:ascii="Arial" w:cs="Arial" w:eastAsia="Arial" w:hAnsi="Arial"/>
                <w:sz w:val="12"/>
                <w:szCs w:val="12"/>
                <w:b w:val="1"/>
                <w:bCs w:val="1"/>
                <w:color w:val="auto"/>
              </w:rPr>
              <w:t>Ordinary Shares</w:t>
            </w:r>
          </w:p>
        </w:tc>
        <w:tc>
          <w:tcPr>
            <w:tcW w:w="20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Treasury Shares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4"/>
        </w:trPr>
        <w:tc>
          <w:tcPr>
            <w:tcW w:w="2620" w:type="dxa"/>
            <w:vAlign w:val="bottom"/>
          </w:tcPr>
          <w:p>
            <w:pPr>
              <w:spacing w:after="0"/>
              <w:rPr>
                <w:sz w:val="12"/>
                <w:szCs w:val="1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Number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Accumulated Other</w:t>
            </w:r>
          </w:p>
        </w:tc>
        <w:tc>
          <w:tcPr>
            <w:tcW w:w="140" w:type="dxa"/>
            <w:vAlign w:val="bottom"/>
          </w:tcPr>
          <w:p>
            <w:pPr>
              <w:spacing w:after="0"/>
              <w:rPr>
                <w:sz w:val="12"/>
                <w:szCs w:val="12"/>
                <w:color w:val="auto"/>
              </w:rPr>
            </w:pPr>
          </w:p>
        </w:tc>
        <w:tc>
          <w:tcPr>
            <w:tcW w:w="980" w:type="dxa"/>
            <w:vAlign w:val="bottom"/>
          </w:tcPr>
          <w:p>
            <w:pPr>
              <w:jc w:val="center"/>
              <w:ind w:right="89"/>
              <w:spacing w:after="0"/>
              <w:rPr>
                <w:sz w:val="20"/>
                <w:szCs w:val="20"/>
                <w:color w:val="auto"/>
              </w:rPr>
            </w:pPr>
            <w:r>
              <w:rPr>
                <w:rFonts w:ascii="Arial" w:cs="Arial" w:eastAsia="Arial" w:hAnsi="Arial"/>
                <w:sz w:val="12"/>
                <w:szCs w:val="12"/>
                <w:b w:val="1"/>
                <w:bCs w:val="1"/>
                <w:color w:val="auto"/>
                <w:w w:val="90"/>
              </w:rPr>
              <w:t>Total</w:t>
            </w:r>
          </w:p>
        </w:tc>
      </w:tr>
      <w:tr>
        <w:trPr>
          <w:trHeight w:val="135"/>
        </w:trPr>
        <w:tc>
          <w:tcPr>
            <w:tcW w:w="26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of</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5"/>
              </w:rPr>
              <w:t>Comprehensive</w:t>
            </w:r>
          </w:p>
        </w:tc>
        <w:tc>
          <w:tcPr>
            <w:tcW w:w="140" w:type="dxa"/>
            <w:vAlign w:val="bottom"/>
          </w:tcPr>
          <w:p>
            <w:pPr>
              <w:spacing w:after="0"/>
              <w:rPr>
                <w:sz w:val="11"/>
                <w:szCs w:val="11"/>
                <w:color w:val="auto"/>
              </w:rPr>
            </w:pPr>
          </w:p>
        </w:tc>
        <w:tc>
          <w:tcPr>
            <w:tcW w:w="980" w:type="dxa"/>
            <w:vAlign w:val="bottom"/>
          </w:tcPr>
          <w:p>
            <w:pPr>
              <w:jc w:val="center"/>
              <w:ind w:right="89"/>
              <w:spacing w:after="0" w:line="135" w:lineRule="exact"/>
              <w:rPr>
                <w:sz w:val="20"/>
                <w:szCs w:val="20"/>
                <w:color w:val="auto"/>
              </w:rPr>
            </w:pPr>
            <w:r>
              <w:rPr>
                <w:rFonts w:ascii="Arial" w:cs="Arial" w:eastAsia="Arial" w:hAnsi="Arial"/>
                <w:sz w:val="12"/>
                <w:szCs w:val="12"/>
                <w:b w:val="1"/>
                <w:bCs w:val="1"/>
                <w:color w:val="auto"/>
                <w:w w:val="97"/>
              </w:rPr>
              <w:t>Shareholders’</w:t>
            </w:r>
          </w:p>
        </w:tc>
      </w:tr>
      <w:tr>
        <w:trPr>
          <w:trHeight w:val="154"/>
        </w:trPr>
        <w:tc>
          <w:tcPr>
            <w:tcW w:w="262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Issued</w:t>
            </w:r>
          </w:p>
        </w:tc>
        <w:tc>
          <w:tcPr>
            <w:tcW w:w="1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Shares</w:t>
            </w:r>
          </w:p>
        </w:tc>
        <w:tc>
          <w:tcPr>
            <w:tcW w:w="20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Loss</w:t>
            </w:r>
          </w:p>
        </w:tc>
        <w:tc>
          <w:tcPr>
            <w:tcW w:w="140" w:type="dxa"/>
            <w:vAlign w:val="bottom"/>
          </w:tcPr>
          <w:p>
            <w:pPr>
              <w:spacing w:after="0"/>
              <w:rPr>
                <w:sz w:val="13"/>
                <w:szCs w:val="13"/>
                <w:color w:val="auto"/>
              </w:rPr>
            </w:pPr>
          </w:p>
        </w:tc>
        <w:tc>
          <w:tcPr>
            <w:tcW w:w="980" w:type="dxa"/>
            <w:vAlign w:val="bottom"/>
          </w:tcPr>
          <w:p>
            <w:pPr>
              <w:jc w:val="center"/>
              <w:ind w:right="69"/>
              <w:spacing w:after="0"/>
              <w:rPr>
                <w:sz w:val="20"/>
                <w:szCs w:val="20"/>
                <w:color w:val="auto"/>
              </w:rPr>
            </w:pPr>
            <w:r>
              <w:rPr>
                <w:rFonts w:ascii="Arial" w:cs="Arial" w:eastAsia="Arial" w:hAnsi="Arial"/>
                <w:sz w:val="12"/>
                <w:szCs w:val="12"/>
                <w:b w:val="1"/>
                <w:bCs w:val="1"/>
                <w:color w:val="auto"/>
                <w:w w:val="98"/>
              </w:rPr>
              <w:t>Equity</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2017</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361,376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414,771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74,999</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withheld for taxes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1,700</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Grant of restricted share awards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7,001</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Purchase of ordinary shares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(40,674)</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N.V.</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23,366</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Adoption of new accounting standard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(5,864)</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cash flow 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807</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hedges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24,266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24,266</w:t>
            </w: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2017</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(13,061)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(627,002)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366,684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432,273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84,245</w:t>
            </w:r>
          </w:p>
        </w:tc>
      </w:tr>
      <w:tr>
        <w:trPr>
          <w:trHeight w:val="174"/>
        </w:trPr>
        <w:tc>
          <w:tcPr>
            <w:tcW w:w="2620" w:type="dxa"/>
            <w:vAlign w:val="bottom"/>
          </w:tcPr>
          <w:p>
            <w:pPr>
              <w:ind w:left="2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withheld for taxes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2,948</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12,450</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ordinary shares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(14,465)</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N.V.</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29,932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29,932</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cash flow 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1,789</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hedges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3,443</w:t>
            </w: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(638,414)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378,121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462,205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119,434</w:t>
            </w:r>
          </w:p>
        </w:tc>
      </w:tr>
      <w:tr>
        <w:trPr>
          <w:trHeight w:val="174"/>
        </w:trPr>
        <w:tc>
          <w:tcPr>
            <w:tcW w:w="2620" w:type="dxa"/>
            <w:vAlign w:val="bottom"/>
          </w:tcPr>
          <w:p>
            <w:pPr>
              <w:ind w:left="2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withheld for taxes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2,497</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13,599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13,599</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ordinary shares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(39,571)</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Net loss attributable to Cimpress N.V.</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(2,265)</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cash flow 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3,676</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hedges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(3,059)</w:t>
            </w: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2018</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(13,367)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(675,536)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390,758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459,940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93,301</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63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CIMPRESS N.V.</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60" w:type="dxa"/>
            <w:vAlign w:val="bottom"/>
            <w:gridSpan w:val="4"/>
          </w:tcPr>
          <w:p>
            <w:pPr>
              <w:jc w:val="right"/>
              <w:ind w:right="479"/>
              <w:spacing w:after="0"/>
              <w:rPr>
                <w:sz w:val="20"/>
                <w:szCs w:val="20"/>
                <w:color w:val="auto"/>
              </w:rPr>
            </w:pPr>
            <w:r>
              <w:rPr>
                <w:rFonts w:ascii="Arial" w:cs="Arial" w:eastAsia="Arial" w:hAnsi="Arial"/>
                <w:sz w:val="15"/>
                <w:szCs w:val="15"/>
                <w:b w:val="1"/>
                <w:bCs w:val="1"/>
                <w:color w:val="auto"/>
              </w:rPr>
              <w:t>Nine Months Ended March 31,</w:t>
            </w:r>
          </w:p>
        </w:tc>
      </w:tr>
      <w:tr>
        <w:trPr>
          <w:trHeight w:val="103"/>
        </w:trPr>
        <w:tc>
          <w:tcPr>
            <w:tcW w:w="8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r>
        <w:trPr>
          <w:trHeight w:val="219"/>
        </w:trPr>
        <w:tc>
          <w:tcPr>
            <w:tcW w:w="8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2018</w:t>
            </w:r>
          </w:p>
        </w:tc>
      </w:tr>
      <w:tr>
        <w:trPr>
          <w:trHeight w:val="24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60,285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52,427</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129,554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127,120</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compensation expense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33,718</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(9,552)</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subsidiaries</w:t>
            </w:r>
          </w:p>
        </w:tc>
        <w:tc>
          <w:tcPr>
            <w:tcW w:w="3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(47,545)</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Change in contingent earn-out liability</w:t>
            </w:r>
          </w:p>
        </w:tc>
        <w:tc>
          <w:tcPr>
            <w:tcW w:w="3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1,774</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derivatives not designated as hedging instruments included in net income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9,246</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3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5,211</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contingent consideration in excess of acquisition date fair value</w:t>
            </w:r>
          </w:p>
        </w:tc>
        <w:tc>
          <w:tcPr>
            <w:tcW w:w="3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Other non-cash items</w:t>
            </w:r>
          </w:p>
        </w:tc>
        <w:tc>
          <w:tcPr>
            <w:tcW w:w="3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2,129</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812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(14,696)</w:t>
            </w:r>
          </w:p>
        </w:tc>
      </w:tr>
      <w:tr>
        <w:trPr>
          <w:trHeight w:val="253"/>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(12,104)</w:t>
            </w:r>
          </w:p>
        </w:tc>
      </w:tr>
      <w:tr>
        <w:trPr>
          <w:trHeight w:val="233"/>
        </w:trPr>
        <w:tc>
          <w:tcPr>
            <w:tcW w:w="812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253"/>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18,448</w:t>
            </w:r>
          </w:p>
        </w:tc>
      </w:tr>
      <w:tr>
        <w:trPr>
          <w:trHeight w:val="237"/>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25,382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(17,040)</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222,470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144,633</w:t>
            </w:r>
          </w:p>
        </w:tc>
      </w:tr>
      <w:tr>
        <w:trPr>
          <w:trHeight w:val="22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(47,441)</w:t>
            </w: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93,779</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intangible assets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(29,476)</w:t>
            </w: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the sale of assets</w:t>
            </w:r>
          </w:p>
        </w:tc>
        <w:tc>
          <w:tcPr>
            <w:tcW w:w="3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485</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(381,554)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13,979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borrowings of debt</w:t>
            </w:r>
          </w:p>
        </w:tc>
        <w:tc>
          <w:tcPr>
            <w:tcW w:w="3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926,378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590,508</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debt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(681,032)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(656,153)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(3,251)</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3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Payments of withholding taxes in connection with equity awards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capital lease obligations</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Purchase of ordinary shares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(94,710)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3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35,390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issuance of ordinary shares</w:t>
            </w:r>
          </w:p>
        </w:tc>
        <w:tc>
          <w:tcPr>
            <w:tcW w:w="3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11,516</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loans</w:t>
            </w:r>
          </w:p>
        </w:tc>
        <w:tc>
          <w:tcPr>
            <w:tcW w:w="3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161,900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(152,164)</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5,691</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cash held for sale</w:t>
            </w:r>
          </w:p>
        </w:tc>
        <w:tc>
          <w:tcPr>
            <w:tcW w:w="3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12,042</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24,181</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25,697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44,258</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3810</wp:posOffset>
            </wp:positionV>
            <wp:extent cx="2101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18" w:right="239" w:bottom="6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638"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3300" w:type="dxa"/>
            <w:vAlign w:val="bottom"/>
            <w:gridSpan w:val="5"/>
          </w:tcPr>
          <w:p>
            <w:pPr>
              <w:jc w:val="right"/>
              <w:ind w:right="480"/>
              <w:spacing w:after="0"/>
              <w:rPr>
                <w:sz w:val="20"/>
                <w:szCs w:val="20"/>
                <w:color w:val="auto"/>
              </w:rPr>
            </w:pPr>
            <w:r>
              <w:rPr>
                <w:rFonts w:ascii="Arial" w:cs="Arial" w:eastAsia="Arial" w:hAnsi="Arial"/>
                <w:sz w:val="15"/>
                <w:szCs w:val="15"/>
                <w:b w:val="1"/>
                <w:bCs w:val="1"/>
                <w:color w:val="auto"/>
              </w:rPr>
              <w:t>Nine Months Ended March 31,</w:t>
            </w:r>
          </w:p>
        </w:tc>
      </w:tr>
      <w:tr>
        <w:trPr>
          <w:trHeight w:val="35"/>
        </w:trPr>
        <w:tc>
          <w:tcPr>
            <w:tcW w:w="8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0"/>
        </w:trPr>
        <w:tc>
          <w:tcPr>
            <w:tcW w:w="8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5"/>
                <w:szCs w:val="15"/>
                <w:b w:val="1"/>
                <w:bCs w:val="1"/>
                <w:color w:val="auto"/>
              </w:rPr>
              <w:t>2018</w:t>
            </w:r>
          </w:p>
        </w:tc>
      </w:tr>
      <w:tr>
        <w:trPr>
          <w:trHeight w:val="26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Interest</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33,856</w:t>
            </w:r>
          </w:p>
        </w:tc>
      </w:tr>
      <w:tr>
        <w:trPr>
          <w:trHeight w:val="260"/>
        </w:trPr>
        <w:tc>
          <w:tcPr>
            <w:tcW w:w="812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16,123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17,888</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Capitalization of construction costs related to financing lease obligation</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12,272</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and equipment acquired under capital leases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color w:val="auto"/>
              </w:rPr>
              <w:t>Amounts accrued related to business acquisitions</w:t>
            </w:r>
          </w:p>
        </w:tc>
        <w:tc>
          <w:tcPr>
            <w:tcW w:w="98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5,564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3,864</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Mass customization is a core element of the business model of each Cimpress business.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239" w:lineRule="exact"/>
        <w:rPr>
          <w:sz w:val="20"/>
          <w:szCs w:val="20"/>
          <w:color w:val="auto"/>
        </w:rPr>
      </w:pPr>
    </w:p>
    <w:p>
      <w:pPr>
        <w:ind w:right="7400" w:firstLine="8"/>
        <w:spacing w:after="0" w:line="498"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firstLine="648"/>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(“GAAP”) for interim financial information and, accordingly, do not include all of the information and footnotes required by GAAP for complete financial statements. In the opinion of management, all adjustments, consisting primarily of normal recurring accruals, considered necessary for fair presentation of the results of operations for the interim periods reported and of our financial condition as of the date of the interim balance sheet have been included.</w:t>
      </w:r>
    </w:p>
    <w:p>
      <w:pPr>
        <w:spacing w:after="0" w:line="20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consolidated financial statements include the accounts of Cimpress N.V.,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the related equity securities do not have a readily determinable fair value, are accounted for using the cost method and are included in other assets on the consolidated balance sheets.</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Operating results for the three and nine months ended March 31, 2019 are not necessarily indicative of the results that may be expected for the year ending June 30, 2019 or for any other period. The consolidated balance sheet at June 30, 2018 has been derived from our audited consolidated financial statements at that date but does not include all of the information and notes required by GAAP for complete financial statements. These unaudited consolidated financial statements should be read in conjunction with the audited consolidated financial statements for the year ended June 30, 2018 included in our Annual Report on Form 10-K filed with the United States Securities and Exchange Commission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Adoption of ASC 606</w:t>
      </w:r>
    </w:p>
    <w:p>
      <w:pPr>
        <w:spacing w:after="0" w:line="2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July 1, 2018, we adopted ASC 606, Revenue from Contracts with Customers, using the modified retrospective transition approach. Under the modified retrospective approach, we applied the new standard for any contracts that were not complete as of the adoption date and recognized any cumulative impacts as of the adoption date within retained earnings on our consolidated balance sheet. We did not adjust the prior comparable period.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0" w:right="27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following table summarizes the cumulative effect of adopting the new revenue standard as of the adoption date of July 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Balance Sheet</w:t>
            </w:r>
          </w:p>
        </w:tc>
        <w:tc>
          <w:tcPr>
            <w:tcW w:w="26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reported at</w:t>
            </w:r>
          </w:p>
        </w:tc>
        <w:tc>
          <w:tcPr>
            <w:tcW w:w="160" w:type="dxa"/>
            <w:vAlign w:val="bottom"/>
          </w:tcPr>
          <w:p>
            <w:pPr>
              <w:spacing w:after="0"/>
              <w:rPr>
                <w:sz w:val="14"/>
                <w:szCs w:val="14"/>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ASC 606 adjustments</w:t>
            </w:r>
          </w:p>
        </w:tc>
        <w:tc>
          <w:tcPr>
            <w:tcW w:w="160" w:type="dxa"/>
            <w:vAlign w:val="bottom"/>
          </w:tcPr>
          <w:p>
            <w:pPr>
              <w:spacing w:after="0"/>
              <w:rPr>
                <w:sz w:val="14"/>
                <w:szCs w:val="14"/>
                <w:color w:val="auto"/>
              </w:rPr>
            </w:pPr>
          </w:p>
        </w:tc>
        <w:tc>
          <w:tcPr>
            <w:tcW w:w="1660" w:type="dxa"/>
            <w:vAlign w:val="bottom"/>
          </w:tcPr>
          <w:p>
            <w:pPr>
              <w:jc w:val="right"/>
              <w:ind w:right="182"/>
              <w:spacing w:after="0"/>
              <w:rPr>
                <w:sz w:val="20"/>
                <w:szCs w:val="20"/>
                <w:color w:val="auto"/>
              </w:rPr>
            </w:pPr>
            <w:r>
              <w:rPr>
                <w:rFonts w:ascii="Arial" w:cs="Arial" w:eastAsia="Arial" w:hAnsi="Arial"/>
                <w:sz w:val="14"/>
                <w:szCs w:val="14"/>
                <w:b w:val="1"/>
                <w:bCs w:val="1"/>
                <w:color w:val="auto"/>
              </w:rPr>
              <w:t>Adjusted balance at</w:t>
            </w:r>
          </w:p>
        </w:tc>
        <w:tc>
          <w:tcPr>
            <w:tcW w:w="0" w:type="dxa"/>
            <w:vAlign w:val="bottom"/>
          </w:tcPr>
          <w:p>
            <w:pPr>
              <w:spacing w:after="0"/>
              <w:rPr>
                <w:sz w:val="1"/>
                <w:szCs w:val="1"/>
                <w:color w:val="auto"/>
              </w:rPr>
            </w:pPr>
          </w:p>
        </w:tc>
      </w:tr>
      <w:tr>
        <w:trPr>
          <w:trHeight w:val="109"/>
        </w:trPr>
        <w:tc>
          <w:tcPr>
            <w:tcW w:w="5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July 1, 2018</w:t>
            </w:r>
          </w:p>
        </w:tc>
        <w:tc>
          <w:tcPr>
            <w:tcW w:w="0" w:type="dxa"/>
            <w:vAlign w:val="bottom"/>
          </w:tcPr>
          <w:p>
            <w:pPr>
              <w:spacing w:after="0"/>
              <w:rPr>
                <w:sz w:val="1"/>
                <w:szCs w:val="1"/>
                <w:color w:val="auto"/>
              </w:rPr>
            </w:pPr>
          </w:p>
        </w:tc>
      </w:tr>
      <w:tr>
        <w:trPr>
          <w:trHeight w:val="87"/>
        </w:trPr>
        <w:tc>
          <w:tcPr>
            <w:tcW w:w="5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78,846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75,108</w:t>
            </w: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2"/>
                <w:szCs w:val="22"/>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67,087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67,682</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27,697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27,800</w:t>
            </w: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452,756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449,510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The following table summarizes the impact as of and for the three and nine months ended March 31, 2019 from adopting the new revenue standard as compared to the previous revenue standard:</w:t>
      </w:r>
    </w:p>
    <w:p>
      <w:pPr>
        <w:sectPr>
          <w:pgSz w:w="11900" w:h="16838" w:orient="portrait"/>
          <w:cols w:equalWidth="0" w:num="1">
            <w:col w:w="11420"/>
          </w:cols>
          <w:pgMar w:left="240" w:top="490" w:right="239" w:bottom="1440" w:gutter="0" w:footer="0" w:header="0"/>
        </w:sectPr>
      </w:pPr>
    </w:p>
    <w:p>
      <w:pPr>
        <w:spacing w:after="0" w:line="13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As reported</w:t>
      </w:r>
    </w:p>
    <w:p>
      <w:pPr>
        <w:spacing w:after="0" w:line="19"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(current revenue</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166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2" w:lineRule="exact"/>
        <w:rPr>
          <w:sz w:val="20"/>
          <w:szCs w:val="20"/>
          <w:color w:val="auto"/>
        </w:rPr>
      </w:pPr>
    </w:p>
    <w:p>
      <w:pPr>
        <w:ind w:left="40" w:right="2020"/>
        <w:spacing w:after="0" w:line="286" w:lineRule="auto"/>
        <w:rPr>
          <w:sz w:val="20"/>
          <w:szCs w:val="20"/>
          <w:color w:val="auto"/>
        </w:rPr>
      </w:pPr>
      <w:r>
        <w:rPr>
          <w:rFonts w:ascii="Arial" w:cs="Arial" w:eastAsia="Arial" w:hAnsi="Arial"/>
          <w:sz w:val="16"/>
          <w:szCs w:val="16"/>
          <w:b w:val="1"/>
          <w:bCs w:val="1"/>
          <w:color w:val="auto"/>
        </w:rPr>
        <w:t>Consolidated Statement of Operations for the Three Months Ended March 31, 2019</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Current period</w:t>
            </w: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81"/>
        </w:trPr>
        <w:tc>
          <w:tcPr>
            <w:tcW w:w="194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(previous revenue</w:t>
            </w:r>
          </w:p>
        </w:tc>
        <w:tc>
          <w:tcPr>
            <w:tcW w:w="0" w:type="dxa"/>
            <w:vAlign w:val="bottom"/>
          </w:tcPr>
          <w:p>
            <w:pPr>
              <w:spacing w:after="0"/>
              <w:rPr>
                <w:sz w:val="1"/>
                <w:szCs w:val="1"/>
                <w:color w:val="auto"/>
              </w:rPr>
            </w:pPr>
          </w:p>
        </w:tc>
      </w:tr>
      <w:tr>
        <w:trPr>
          <w:trHeight w:val="81"/>
        </w:trPr>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adjustments</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940" w:type="dxa"/>
            <w:vAlign w:val="bottom"/>
            <w:gridSpan w:val="2"/>
            <w:vMerge w:val="continue"/>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standard)</w:t>
            </w:r>
          </w:p>
        </w:tc>
        <w:tc>
          <w:tcPr>
            <w:tcW w:w="0" w:type="dxa"/>
            <w:vAlign w:val="bottom"/>
          </w:tcPr>
          <w:p>
            <w:pPr>
              <w:spacing w:after="0"/>
              <w:rPr>
                <w:sz w:val="1"/>
                <w:szCs w:val="1"/>
                <w:color w:val="auto"/>
              </w:rPr>
            </w:pPr>
          </w:p>
        </w:tc>
      </w:tr>
      <w:tr>
        <w:trPr>
          <w:trHeight w:val="87"/>
        </w:trPr>
        <w:tc>
          <w:tcPr>
            <w:tcW w:w="1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60" w:lineRule="exact"/>
        <w:rPr>
          <w:sz w:val="20"/>
          <w:szCs w:val="20"/>
          <w:color w:val="auto"/>
        </w:rPr>
      </w:pPr>
    </w:p>
    <w:p>
      <w:pPr>
        <w:sectPr>
          <w:pgSz w:w="11900" w:h="16838" w:orient="portrait"/>
          <w:cols w:equalWidth="0" w:num="2">
            <w:col w:w="7200" w:space="460"/>
            <w:col w:w="3760"/>
          </w:cols>
          <w:pgMar w:left="240" w:top="490"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680" w:type="dxa"/>
            <w:vAlign w:val="bottom"/>
          </w:tcPr>
          <w:p>
            <w:pPr>
              <w:ind w:left="180"/>
              <w:spacing w:after="0"/>
              <w:rPr>
                <w:sz w:val="20"/>
                <w:szCs w:val="20"/>
                <w:color w:val="auto"/>
              </w:rPr>
            </w:pPr>
            <w:r>
              <w:rPr>
                <w:rFonts w:ascii="Arial" w:cs="Arial" w:eastAsia="Arial" w:hAnsi="Arial"/>
                <w:sz w:val="16"/>
                <w:szCs w:val="16"/>
                <w:color w:val="auto"/>
              </w:rPr>
              <w:t>Marketing and selling expense (1)</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171,584</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1,486</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173,070</w:t>
            </w:r>
          </w:p>
        </w:tc>
      </w:tr>
      <w:tr>
        <w:trPr>
          <w:trHeight w:val="280"/>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6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4,091</w:t>
            </w:r>
          </w:p>
        </w:tc>
        <w:tc>
          <w:tcPr>
            <w:tcW w:w="7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4,008</w:t>
            </w:r>
          </w:p>
        </w:tc>
      </w:tr>
      <w:tr>
        <w:trPr>
          <w:trHeight w:val="251"/>
        </w:trPr>
        <w:tc>
          <w:tcPr>
            <w:tcW w:w="56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68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6,242</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(1,403)</w:t>
            </w:r>
          </w:p>
        </w:tc>
        <w:tc>
          <w:tcPr>
            <w:tcW w:w="7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4,839</w:t>
            </w:r>
          </w:p>
        </w:tc>
      </w:tr>
      <w:tr>
        <w:trPr>
          <w:trHeight w:val="218"/>
        </w:trPr>
        <w:tc>
          <w:tcPr>
            <w:tcW w:w="568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 of Operations for the Nine Months Ended March</w:t>
            </w: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4"/>
        </w:trPr>
        <w:tc>
          <w:tcPr>
            <w:tcW w:w="5680" w:type="dxa"/>
            <w:vAlign w:val="bottom"/>
          </w:tcPr>
          <w:p>
            <w:pPr>
              <w:ind w:left="40"/>
              <w:spacing w:after="0"/>
              <w:rPr>
                <w:sz w:val="20"/>
                <w:szCs w:val="20"/>
                <w:color w:val="auto"/>
              </w:rPr>
            </w:pPr>
            <w:r>
              <w:rPr>
                <w:rFonts w:ascii="Arial" w:cs="Arial" w:eastAsia="Arial" w:hAnsi="Arial"/>
                <w:sz w:val="16"/>
                <w:szCs w:val="16"/>
                <w:b w:val="1"/>
                <w:bCs w:val="1"/>
                <w:color w:val="auto"/>
              </w:rPr>
              <w:t>31, 2019</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0"/>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Marketing and selling expense (1)</w:t>
            </w:r>
          </w:p>
        </w:tc>
        <w:tc>
          <w:tcPr>
            <w:tcW w:w="6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566,335</w:t>
            </w:r>
          </w:p>
        </w:tc>
        <w:tc>
          <w:tcPr>
            <w:tcW w:w="7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565,849</w:t>
            </w:r>
          </w:p>
        </w:tc>
      </w:tr>
      <w:tr>
        <w:trPr>
          <w:trHeight w:val="260"/>
        </w:trPr>
        <w:tc>
          <w:tcPr>
            <w:tcW w:w="568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68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23,971</w:t>
            </w:r>
          </w:p>
        </w:tc>
        <w:tc>
          <w:tcPr>
            <w:tcW w:w="780" w:type="dxa"/>
            <w:vAlign w:val="bottom"/>
          </w:tcPr>
          <w:p>
            <w:pPr>
              <w:spacing w:after="0"/>
              <w:rPr>
                <w:sz w:val="22"/>
                <w:szCs w:val="22"/>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7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24,057</w:t>
            </w:r>
          </w:p>
        </w:tc>
      </w:tr>
      <w:tr>
        <w:trPr>
          <w:trHeight w:val="280"/>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60,285</w:t>
            </w:r>
          </w:p>
        </w:tc>
        <w:tc>
          <w:tcPr>
            <w:tcW w:w="7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60,685</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as of March 31, 2019</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0"/>
        </w:trPr>
        <w:tc>
          <w:tcPr>
            <w:tcW w:w="56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92,048</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4,224</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96,272</w:t>
            </w:r>
          </w:p>
        </w:tc>
      </w:tr>
      <w:tr>
        <w:trPr>
          <w:trHeight w:val="280"/>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6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57,885</w:t>
            </w:r>
          </w:p>
        </w:tc>
        <w:tc>
          <w:tcPr>
            <w:tcW w:w="7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57,764</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6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207,918</w:t>
            </w:r>
          </w:p>
        </w:tc>
        <w:tc>
          <w:tcPr>
            <w:tcW w:w="7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207,953</w:t>
            </w:r>
          </w:p>
        </w:tc>
      </w:tr>
      <w:tr>
        <w:trPr>
          <w:trHeight w:val="260"/>
        </w:trPr>
        <w:tc>
          <w:tcPr>
            <w:tcW w:w="568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68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34,941</w:t>
            </w:r>
          </w:p>
        </w:tc>
        <w:tc>
          <w:tcPr>
            <w:tcW w:w="7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w:t>
            </w:r>
          </w:p>
        </w:tc>
        <w:tc>
          <w:tcPr>
            <w:tcW w:w="7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34,838</w:t>
            </w:r>
          </w:p>
        </w:tc>
      </w:tr>
      <w:tr>
        <w:trPr>
          <w:trHeight w:val="280"/>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6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503,275</w:t>
            </w:r>
          </w:p>
        </w:tc>
        <w:tc>
          <w:tcPr>
            <w:tcW w:w="7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4,171</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507,446</w:t>
            </w:r>
          </w:p>
        </w:tc>
      </w:tr>
      <w:tr>
        <w:trPr>
          <w:trHeight w:val="182"/>
        </w:trPr>
        <w:tc>
          <w:tcPr>
            <w:tcW w:w="5680" w:type="dxa"/>
            <w:vAlign w:val="bottom"/>
          </w:tcPr>
          <w:p>
            <w:pPr>
              <w:spacing w:after="0"/>
              <w:rPr>
                <w:sz w:val="20"/>
                <w:szCs w:val="20"/>
                <w:color w:val="auto"/>
              </w:rPr>
            </w:pPr>
            <w:r>
              <w:rPr>
                <w:rFonts w:ascii="Arial" w:cs="Arial" w:eastAsia="Arial" w:hAnsi="Arial"/>
                <w:sz w:val="14"/>
                <w:szCs w:val="14"/>
                <w:color w:val="auto"/>
              </w:rPr>
              <w:t>_____________________</w:t>
            </w: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39" w:lineRule="exact"/>
        <w:rPr>
          <w:sz w:val="20"/>
          <w:szCs w:val="20"/>
          <w:color w:val="auto"/>
        </w:rPr>
      </w:pPr>
    </w:p>
    <w:p>
      <w:pPr>
        <w:ind w:left="260" w:right="20" w:hanging="252"/>
        <w:spacing w:after="0" w:line="247" w:lineRule="auto"/>
        <w:tabs>
          <w:tab w:leader="none" w:pos="233"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three and nine months ended March 31, 2019, the adjustment to marketing and selling expense was the impact from National Pen's direct mail costs that resulted in lower expense of $1,486 and higher expense of $486, respectively. The timing of the expense recognition would have been different under the previous revenue standard since they would have been capitalized within prepaid expense and other current assets and amortized over the customer response period to marketing and selling expense. As of July 1, 2018, we recognized a cumulative effect adjustment within retained earnings of $3,738.</w:t>
      </w:r>
    </w:p>
    <w:p>
      <w:pPr>
        <w:spacing w:after="0" w:line="169"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material impact of our adoption of ASC 606 is related to the timing for recognizing direct-response advertising costs, which were costs previously capitalized and expensed based on the guidance outlined in ASC 340 - "Other Assets and Deferred Assets". The guidance included in ASC 340 is eliminated by ASC 606, and under the new revenue standard these costs are expensed as incurred because they do not meet the requirements for capitalization since they are not direct and incremental to obtaining a contract. Historically the direct mail costs were capitalized and amortized over the customer response period (typically 3-4 months) and now costs are recognized when the direct mail is sent to the customers. This creates volatility in our quarterly profitability but should not have a significant impact on an annual basis and has no impact on cash flow. By applying the modified retrospective approach for implementing the standard, we adjusted the cumulative impact of capitalized costs of $3,738, resulting in a decrease to prepaid expenses and other current assets and a decrease to retained earnings, as well as the related tax impact of $595, resulting in an increase to deferred tax assets and an increase to retained earnings on July 1, 2018.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0" w:right="239" w:bottom="1440" w:gutter="0" w:footer="0" w:header="0"/>
          <w:type w:val="continuous"/>
        </w:sectPr>
      </w:pPr>
    </w:p>
    <w:bookmarkStart w:id="11" w:name="page12"/>
    <w:bookmarkEnd w:id="11"/>
    <w:p>
      <w:pPr>
        <w:ind w:right="500" w:firstLine="648"/>
        <w:spacing w:after="0" w:line="253" w:lineRule="auto"/>
        <w:rPr>
          <w:sz w:val="20"/>
          <w:szCs w:val="20"/>
          <w:color w:val="auto"/>
        </w:rPr>
      </w:pPr>
      <w:r>
        <w:rPr>
          <w:rFonts w:ascii="Arial" w:cs="Arial" w:eastAsia="Arial" w:hAnsi="Arial"/>
          <w:sz w:val="18"/>
          <w:szCs w:val="18"/>
          <w:color w:val="auto"/>
        </w:rPr>
        <w:t>We also identified an impact related to customer loyalty programs that are offered by several of our businesses. Under the new revenue standard, the rewards associated with these programs are recognized as an additional performance obligation, resulting in an allocation of the transaction price and deferral of revenue until the subsequent reward redemption. By applying the modified retrospective approach for implementing the standard, we adjusted the cumulative impact of $103, resulting in an increase to deferred revenue and a decrease to retained earnings on July 1, 2018. All other impacts during the current periods were not considered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Policy</w:t>
      </w:r>
    </w:p>
    <w:p>
      <w:pPr>
        <w:spacing w:after="0" w:line="216" w:lineRule="exact"/>
        <w:rPr>
          <w:sz w:val="20"/>
          <w:szCs w:val="20"/>
          <w:color w:val="auto"/>
        </w:rPr>
      </w:pPr>
    </w:p>
    <w:p>
      <w:pPr>
        <w:ind w:right="20" w:firstLine="662"/>
        <w:spacing w:after="0" w:line="253" w:lineRule="auto"/>
        <w:rPr>
          <w:sz w:val="20"/>
          <w:szCs w:val="20"/>
          <w:color w:val="auto"/>
        </w:rPr>
      </w:pPr>
      <w:r>
        <w:rPr>
          <w:rFonts w:ascii="Arial" w:cs="Arial" w:eastAsia="Arial" w:hAnsi="Arial"/>
          <w:sz w:val="18"/>
          <w:szCs w:val="18"/>
          <w:color w:val="auto"/>
        </w:rPr>
        <w:t>We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w:t>
      </w:r>
    </w:p>
    <w:p>
      <w:pPr>
        <w:spacing w:after="0" w:line="179" w:lineRule="exact"/>
        <w:rPr>
          <w:sz w:val="20"/>
          <w:szCs w:val="20"/>
          <w:color w:val="auto"/>
        </w:rPr>
      </w:pPr>
    </w:p>
    <w:p>
      <w:pPr>
        <w:ind w:firstLine="662"/>
        <w:spacing w:after="0" w:line="253" w:lineRule="auto"/>
        <w:rPr>
          <w:sz w:val="20"/>
          <w:szCs w:val="20"/>
          <w:color w:val="auto"/>
        </w:rPr>
      </w:pPr>
      <w:r>
        <w:rPr>
          <w:rFonts w:ascii="Arial" w:cs="Arial" w:eastAsia="Arial" w:hAnsi="Arial"/>
          <w:sz w:val="18"/>
          <w:szCs w:val="18"/>
          <w:color w:val="auto"/>
        </w:rPr>
        <w:t>We recognize revenue upon shipment of the fulfilled orders, which generally occurs upon delivery to the shipping carrier, but certain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179" w:lineRule="exact"/>
        <w:rPr>
          <w:sz w:val="20"/>
          <w:szCs w:val="20"/>
          <w:color w:val="auto"/>
        </w:rPr>
      </w:pPr>
    </w:p>
    <w:p>
      <w:pPr>
        <w:ind w:right="280" w:firstLine="662"/>
        <w:spacing w:after="0" w:line="256"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our deferred revenue balance as revenue within three months subsequent to March 31, 2019.</w:t>
      </w:r>
    </w:p>
    <w:p>
      <w:pPr>
        <w:spacing w:after="0" w:line="175" w:lineRule="exact"/>
        <w:rPr>
          <w:sz w:val="20"/>
          <w:szCs w:val="20"/>
          <w:color w:val="auto"/>
        </w:rPr>
      </w:pPr>
    </w:p>
    <w:p>
      <w:pPr>
        <w:ind w:right="280" w:firstLine="662"/>
        <w:spacing w:after="0" w:line="253"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79" w:lineRule="exact"/>
        <w:rPr>
          <w:sz w:val="20"/>
          <w:szCs w:val="20"/>
          <w:color w:val="auto"/>
        </w:rPr>
      </w:pPr>
    </w:p>
    <w:p>
      <w:pPr>
        <w:ind w:right="140" w:firstLine="662"/>
        <w:spacing w:after="0" w:line="256"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revenue disaggregation disclosure requirements resulting from the adoption of ASC 606 are included in Note 13.</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0"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Total share-based compensation expense was $ 7,754 and $13,950 for the three and nine months ended March 31, 2019, respectively, and $13,492 and $33,718 for the three and nine months ended March 31, 2018, respectively.</w:t>
      </w:r>
    </w:p>
    <w:p>
      <w:pPr>
        <w:spacing w:after="0" w:line="169"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During the first quarter of fiscal 2018, we issued supplemental performance share units ("supplemental PSUs") to certain members of management (excluding Robert Keane, our Chairman and CEO) that were incremental to our typical long-term incentive award grants. The supplemental PSUs are subject to a three-year cumulative financial performance condition intended to provide a stretch goal for participants in addition to service vesting and share price performance conditions. The evaluation of achievement of the performance condition is at the discretion of the Compensation Committee and, therefore, the awards are subject to mark-to-market accounting throughout the performance vesting period. Beginning in the second quarter of fiscal 2018, we concluded that the achievement of the performance condition was probable and recognized $15,397 of expense cumulatively through the first quarter of fiscal 2019. In the second quarter of fiscal 2019, which is seasonally significant, we concluded that the achievement of the three-year cumulative performance condition was no longer probable, and we reversed the previously recognized expense of $15,397. As of March 31, 2019 we continued to consider achievement of the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1" w:right="259" w:bottom="1440" w:gutter="0" w:footer="0" w:header="0"/>
        </w:sectPr>
      </w:pPr>
    </w:p>
    <w:bookmarkStart w:id="12" w:name="page13"/>
    <w:bookmarkEnd w:id="12"/>
    <w:p>
      <w:pPr>
        <w:ind w:right="140"/>
        <w:spacing w:after="0" w:line="262" w:lineRule="auto"/>
        <w:rPr>
          <w:sz w:val="20"/>
          <w:szCs w:val="20"/>
          <w:color w:val="auto"/>
        </w:rPr>
      </w:pPr>
      <w:r>
        <w:rPr>
          <w:rFonts w:ascii="Arial" w:cs="Arial" w:eastAsia="Arial" w:hAnsi="Arial"/>
          <w:sz w:val="18"/>
          <w:szCs w:val="18"/>
          <w:color w:val="auto"/>
        </w:rPr>
        <w:t>performance condition to not be probable. If, in a future period, we determine that it is probable that the financial performance condition will be achieved based on our financial performance, we will cumulatively catch up the expense in that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(expense) income, net in our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3"/>
                <w:szCs w:val="13"/>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instruments (1)</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19,802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w:t>
            </w:r>
          </w:p>
        </w:tc>
        <w:tc>
          <w:tcPr>
            <w:tcW w:w="0" w:type="dxa"/>
            <w:vAlign w:val="bottom"/>
          </w:tcPr>
          <w:p>
            <w:pPr>
              <w:spacing w:after="0"/>
              <w:rPr>
                <w:sz w:val="1"/>
                <w:szCs w:val="1"/>
                <w:color w:val="auto"/>
              </w:rPr>
            </w:pPr>
          </w:p>
        </w:tc>
      </w:tr>
      <w:tr>
        <w:trPr>
          <w:trHeight w:val="233"/>
        </w:trPr>
        <w:tc>
          <w:tcPr>
            <w:tcW w:w="4700" w:type="dxa"/>
            <w:vAlign w:val="bottom"/>
          </w:tcPr>
          <w:p>
            <w:pPr>
              <w:ind w:left="40"/>
              <w:spacing w:after="0"/>
              <w:rPr>
                <w:sz w:val="20"/>
                <w:szCs w:val="20"/>
                <w:color w:val="auto"/>
              </w:rPr>
            </w:pPr>
            <w:r>
              <w:rPr>
                <w:rFonts w:ascii="Arial" w:cs="Arial" w:eastAsia="Arial" w:hAnsi="Arial"/>
                <w:sz w:val="16"/>
                <w:szCs w:val="16"/>
                <w:color w:val="auto"/>
              </w:rPr>
              <w:t>Currency-related (losses) gains, net (2)</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7,519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(7,133)</w:t>
            </w:r>
          </w:p>
        </w:tc>
        <w:tc>
          <w:tcPr>
            <w:tcW w:w="0" w:type="dxa"/>
            <w:vAlign w:val="bottom"/>
          </w:tcPr>
          <w:p>
            <w:pPr>
              <w:spacing w:after="0"/>
              <w:rPr>
                <w:sz w:val="1"/>
                <w:szCs w:val="1"/>
                <w:color w:val="auto"/>
              </w:rPr>
            </w:pPr>
          </w:p>
        </w:tc>
      </w:tr>
      <w:tr>
        <w:trPr>
          <w:trHeight w:val="24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other (expense) income, net</w:t>
            </w:r>
          </w:p>
        </w:tc>
        <w:tc>
          <w:tcPr>
            <w:tcW w:w="1000" w:type="dxa"/>
            <w:vAlign w:val="bottom"/>
            <w:tcBorders>
              <w:bottom w:val="single" w:sz="8" w:color="auto"/>
            </w:tcBorders>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8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17,386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gains (losses) on derivative currency forward and option contracts not designated as hedging instruments.</w:t>
      </w:r>
    </w:p>
    <w:p>
      <w:pPr>
        <w:spacing w:after="0" w:line="82" w:lineRule="exact"/>
        <w:rPr>
          <w:rFonts w:ascii="Arial" w:cs="Arial" w:eastAsia="Arial" w:hAnsi="Arial"/>
          <w:sz w:val="14"/>
          <w:szCs w:val="14"/>
          <w:color w:val="auto"/>
        </w:rPr>
      </w:pPr>
    </w:p>
    <w:p>
      <w:pPr>
        <w:ind w:left="260" w:right="80" w:hanging="252"/>
        <w:spacing w:after="0" w:line="245" w:lineRule="auto"/>
        <w:tabs>
          <w:tab w:leader="none" w:pos="233"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that we may change at times and are subject to currency exchange rate volatility. The currency-related (losses) gains, net for the three and nine months ended March 31, 2019 and 2018 are primarily driven by this intercompany activity. In addition, we have certain cross-currency swaps designated as cash flow hedges, which hedge the remeasurement of certain intercompany loans, both presented in the same component above. Unrealized gains related to cross-currency swaps were $2,146 and $3,389 for the three and nine months ended March 31, 2019, respectively, as compared to unrealized losses of $3,582 and $9,708 for the three and nine months ended March 31, 2018,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Cimpress N.V.</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Basic net income (loss) per share attributable to Cimpress N.V. is computed by dividing net income (loss) attributable to Cimpress N.V. by the weighted-average number of ordinary shares outstanding for the respective period. Diluted net income (loss) per share attributable to Cimpress N.V. gives effect to all potentially dilutive securities, including share options, restricted share units (“RSUs”), restricted share awards ("RSAs")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20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Three Months Ended March 31,</w:t>
            </w:r>
          </w:p>
        </w:tc>
        <w:tc>
          <w:tcPr>
            <w:tcW w:w="3060" w:type="dxa"/>
            <w:vAlign w:val="bottom"/>
            <w:gridSpan w:val="3"/>
          </w:tcPr>
          <w:p>
            <w:pPr>
              <w:jc w:val="right"/>
              <w:ind w:right="543"/>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5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30,763,055</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30,724,018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30,837,207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30,992,066</w:t>
            </w:r>
          </w:p>
        </w:tc>
        <w:tc>
          <w:tcPr>
            <w:tcW w:w="0" w:type="dxa"/>
            <w:vAlign w:val="bottom"/>
          </w:tcPr>
          <w:p>
            <w:pPr>
              <w:spacing w:after="0"/>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6"/>
                <w:szCs w:val="16"/>
                <w:color w:val="auto"/>
              </w:rPr>
              <w:t>Weighted average shares issuable upon exercise/vesting of</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40"/>
              <w:spacing w:after="0"/>
              <w:rPr>
                <w:sz w:val="20"/>
                <w:szCs w:val="20"/>
                <w:color w:val="auto"/>
              </w:rPr>
            </w:pPr>
            <w:r>
              <w:rPr>
                <w:rFonts w:ascii="Arial" w:cs="Arial" w:eastAsia="Arial" w:hAnsi="Arial"/>
                <w:sz w:val="16"/>
                <w:szCs w:val="16"/>
                <w:color w:val="auto"/>
              </w:rPr>
              <w:t>outstanding share options/RSUs/RSAs</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751,738</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5"/>
              <w:spacing w:after="0"/>
              <w:rPr>
                <w:sz w:val="20"/>
                <w:szCs w:val="20"/>
                <w:color w:val="auto"/>
              </w:rPr>
            </w:pPr>
            <w:r>
              <w:rPr>
                <w:rFonts w:ascii="Arial" w:cs="Arial" w:eastAsia="Arial" w:hAnsi="Arial"/>
                <w:sz w:val="16"/>
                <w:szCs w:val="16"/>
                <w:color w:val="auto"/>
              </w:rPr>
              <w:t>943,934</w:t>
            </w:r>
          </w:p>
        </w:tc>
        <w:tc>
          <w:tcPr>
            <w:tcW w:w="10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1,284,454</w:t>
            </w:r>
          </w:p>
        </w:tc>
        <w:tc>
          <w:tcPr>
            <w:tcW w:w="0" w:type="dxa"/>
            <w:vAlign w:val="bottom"/>
          </w:tcPr>
          <w:p>
            <w:pPr>
              <w:spacing w:after="0"/>
              <w:rPr>
                <w:sz w:val="1"/>
                <w:szCs w:val="1"/>
                <w:color w:val="auto"/>
              </w:rPr>
            </w:pPr>
          </w:p>
        </w:tc>
      </w:tr>
      <w:tr>
        <w:trPr>
          <w:trHeight w:val="204"/>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income (loss) per share</w:t>
            </w:r>
          </w:p>
        </w:tc>
        <w:tc>
          <w:tcPr>
            <w:tcW w:w="1500" w:type="dxa"/>
            <w:vAlign w:val="bottom"/>
            <w:tcBorders>
              <w:top w:val="single" w:sz="8" w:color="auto"/>
            </w:tcBorders>
            <w:vMerge w:val="restart"/>
            <w:shd w:val="clear" w:color="auto" w:fill="CCEEFF"/>
          </w:tcPr>
          <w:p>
            <w:pPr>
              <w:jc w:val="right"/>
              <w:ind w:right="45"/>
              <w:spacing w:after="0"/>
              <w:rPr>
                <w:sz w:val="20"/>
                <w:szCs w:val="20"/>
                <w:color w:val="auto"/>
              </w:rPr>
            </w:pPr>
            <w:r>
              <w:rPr>
                <w:rFonts w:ascii="Arial" w:cs="Arial" w:eastAsia="Arial" w:hAnsi="Arial"/>
                <w:sz w:val="16"/>
                <w:szCs w:val="16"/>
                <w:color w:val="auto"/>
              </w:rPr>
              <w:t>31,514,793</w:t>
            </w: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30,724,018</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31,781,141</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32,276,520</w:t>
            </w:r>
          </w:p>
        </w:tc>
        <w:tc>
          <w:tcPr>
            <w:tcW w:w="0" w:type="dxa"/>
            <w:vAlign w:val="bottom"/>
          </w:tcPr>
          <w:p>
            <w:pPr>
              <w:spacing w:after="0"/>
              <w:rPr>
                <w:sz w:val="1"/>
                <w:szCs w:val="1"/>
                <w:color w:val="auto"/>
              </w:rPr>
            </w:pPr>
          </w:p>
        </w:tc>
      </w:tr>
      <w:tr>
        <w:trPr>
          <w:trHeight w:val="19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Cimpress N.V.</w:t>
            </w:r>
          </w:p>
        </w:tc>
        <w:tc>
          <w:tcPr>
            <w:tcW w:w="15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40"/>
              <w:spacing w:after="0"/>
              <w:rPr>
                <w:sz w:val="20"/>
                <w:szCs w:val="20"/>
                <w:color w:val="auto"/>
              </w:rPr>
            </w:pPr>
            <w:r>
              <w:rPr>
                <w:rFonts w:ascii="Arial" w:cs="Arial" w:eastAsia="Arial" w:hAnsi="Arial"/>
                <w:sz w:val="16"/>
                <w:szCs w:val="16"/>
                <w:color w:val="auto"/>
              </w:rPr>
              <w:t>income (loss) per share attributable to Cimpress N.V. (1)</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1,448,530</w:t>
            </w:r>
          </w:p>
        </w:tc>
        <w:tc>
          <w:tcPr>
            <w:tcW w:w="10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(1) In the periods in which a net loss is recognized, the impact of share options, RSUs, and RSAs is not included as they are anti-dilutive.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Build-to-Suit Lease Arrangements</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accounting purposes, we were deemed to be the owner of two projects during their respective construction periods: the Waltham, Massachusetts office building lease and a lease executed during the first quarter of fiscal 2019 for a production facility in Dallas, Texas. For both build-to-suit leases, property, plant and equipment, net, was $121,108 and $ 111,926 as of March 31, 2019 and June 30, 2018, respectively, related to the buildings. The financing lease obligation and deferred rent credit related to the buildings on our consolidated balance sheets was $124,526 and $115,312 as of March 31, 2019 and June 30, 2018, respectively. All additions during the current period were capitalized construction costs related to the Dallas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 May 2017, the FASB issued Accounting Standards Update No. 2017-09, "Compensation - Stock Compensation (Topic 718)," (ASU 2017-09), which clarifies the application of Topic 718 when accounting for changes in the terms and conditions of a share-based payment award. Under the new standard, changes to the terms or conditions of a share-based payment award are to be accounted for under modification accounting unless there is no change to the fair value, vesting conditions and classification of the award after modification. We adopted the amendment on its effective date of July 1, 2018. The amendment is applied prospectively, and the new standard did not have a material impact on our consolidated financial statements.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which requires that a statement of cash flows explain the change during the period in the total of cash, cash equivalents, and amounts generally described as restricted cash or restricted cash equivalents. Therefore, amounts generally described as restricted cash should be included with cash and cash equivalents when reconciling the beginning-of-period and end-of-period total amounts shown on the statement of cash flows. We adopted the new standard on July 1, 2018. The new standard did not have a material effect on our consolidated financial statements.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2016-04, "Liabilities - Extinguishment of Liabilities (Subtopic 405-20): Recognition of Breakage for Certain Prepaid Stored-Value Products" (ASU 2016-04), which requires an entity to recognize breakage for a liability resulting from the sale of a prepaid stored-value product in proportion to the pattern of rights expected to be exercised by the product holder only to the extent that it is probable that a significant reversal of the recognized breakage amount will not subsequently occur. The new standard is effective for us on July 1, 2018. The standard should be applied either retrospectively to each period presented or by means of a cumulative adjustment to retained earnings as of the beginning of the fiscal year adopted. We adopted the new standard on July 1, 2018. The new standard did not have a material effect on our consolidated financial statements.</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requires an entity to recognize the amount of revenue to which it expects to be entitled for the transfer of promised goods or services to customers. This guidance replaced most existing revenue recognition guidance in U.S. GAAP. The new standard is effective for us as of July 1, 2018. The standard permits the use of either the retrospective or modified retrospective method. We adopted the new standard during the first quarter of fiscal 2019. Refer to the information above for additional details of the adoption.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49"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August 2018, the FASB issued Accounting Standards Update No. 2018-15 "Intangibles—Goodwill and Other—Internal-Use Software (Subtopic 350-40)" (ASU 2018-15), which requires a customer in a cloud computing arrangement that is a service contract to follow the internal use software guidance in ASC 350-40 to determine which implementation costs to capitalize as assets or expense as incurred. The new standard is effective for us on July 1, 2020. We are currently evaluating the requirements of the standard, and we have not yet determined the impact of adoption on our consolidated financial statements.</w:t>
      </w:r>
    </w:p>
    <w:p>
      <w:pPr>
        <w:spacing w:after="0" w:line="17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The amendment is effective for us on July 1, 2019 and permits early adoption, including adoption in an interim period. The standard requires a modified retrospective transition approach, in which we will recognize the cumulative effect of the change on the opening balance of each affected component of equity in the statement of financial position as of the date of adoption. We do not expect this standard to have material impact on our consolidated financial statements.</w:t>
      </w:r>
    </w:p>
    <w:p>
      <w:pPr>
        <w:spacing w:after="0" w:line="16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2016-02, "Leases (Topic 842)" (ASU 2016-02), which requires the recognition of lease assets and lease liabilities by lessees for those leases currently classified as operating leases. The standard also retains a distinction between finance leases and operating leases. The new standard is effective for us on July 1, 2019 and we expect to adopt the new standard using the modified retrospective approach. We also plan to use the transition relief package, in which we will not reassess the classification of our existing leases, whether any expired or existing contracts contain leases and if our existing leases have any initial direct costs. We have substantially completed the process of collecting our existing lease contracts and we are currently implementing changes to our systems and processes. While we expect the new standard to have a material impact on our consolidated balance sheet, we have not yet determined the full impact of adoption on our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and inputs that are observable for the asset or liability, either directly or indirectly, for substantially the full term of the financial instrument.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900"/>
              <w:spacing w:after="0"/>
              <w:rPr>
                <w:sz w:val="20"/>
                <w:szCs w:val="20"/>
                <w:color w:val="auto"/>
              </w:rPr>
            </w:pPr>
            <w:r>
              <w:rPr>
                <w:rFonts w:ascii="Arial" w:cs="Arial" w:eastAsia="Arial" w:hAnsi="Arial"/>
                <w:sz w:val="13"/>
                <w:szCs w:val="13"/>
                <w:b w:val="1"/>
                <w:bCs w:val="1"/>
                <w:color w:val="auto"/>
              </w:rPr>
              <w:t>March 31, 2019</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2,329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12,483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i w:val="1"/>
                <w:iCs w:val="1"/>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12,483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i w:val="1"/>
                <w:iCs w:val="1"/>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i w:val="1"/>
                <w:i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6,238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i w:val="1"/>
                <w:iCs w:val="1"/>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21,050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21,050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(3,223)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(3,223)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17"/>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13,370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13,370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9,202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24,354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(25,348)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(25,348)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00" w:firstLine="648"/>
        <w:spacing w:after="0" w:line="262" w:lineRule="auto"/>
        <w:rPr>
          <w:sz w:val="20"/>
          <w:szCs w:val="20"/>
          <w:color w:val="auto"/>
        </w:rPr>
      </w:pPr>
      <w:r>
        <w:rPr>
          <w:rFonts w:ascii="Arial" w:cs="Arial" w:eastAsia="Arial" w:hAnsi="Arial"/>
          <w:sz w:val="18"/>
          <w:szCs w:val="18"/>
          <w:color w:val="auto"/>
        </w:rPr>
        <w:t>During the quarter ended March 31, 2019 and year ended June 30, 2018, there were no significant transfers in or out of Level 1, Level 2 and Level 3 classifications.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March 31, 2019,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3" w:right="239" w:bottom="1440" w:gutter="0" w:footer="0" w:header="0"/>
        </w:sectPr>
      </w:pPr>
    </w:p>
    <w:bookmarkStart w:id="16" w:name="page17"/>
    <w:bookmarkEnd w:id="16"/>
    <w:p>
      <w:pPr>
        <w:ind w:firstLine="648"/>
        <w:spacing w:after="0" w:line="252" w:lineRule="auto"/>
        <w:rPr>
          <w:sz w:val="20"/>
          <w:szCs w:val="20"/>
          <w:color w:val="auto"/>
        </w:rPr>
      </w:pPr>
      <w:r>
        <w:rPr>
          <w:rFonts w:ascii="Arial" w:cs="Arial" w:eastAsia="Arial" w:hAnsi="Arial"/>
          <w:sz w:val="18"/>
          <w:szCs w:val="18"/>
          <w:color w:val="auto"/>
        </w:rPr>
        <w:t>As of March 31, 2019 and June 30, 2018, the carrying amounts of our cash and cash equivalents, accounts receivable, accounts payable, and other current liabilities approximated their estimated fair values. As of March 31, 2019 and June 30, 2018 the carrying value of our debt, excluding debt issuance costs and debt discounts, was $1,087,603 and $ 839,429, respectively, and the fair value was $1,073,602 and $847,520, respectively. Our debt at March 31, 2019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The estimated fair value of assets and liabilities disclosed above may not be representative of actual values that could have been or will be realized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effective portion of changes in the fair value of the derivative is recorded in accumulated other comprehensive loss and is subsequently reclassified into earnings in the period the hedged forecasted transaction affects earnings. If a derivative is deemed to be ineffective, then the ineffective portion of the change in fair value of the derivative is recognized directly in earnings. The change in the fair value of derivatives not designated as hedges is recognized directly in earnings, as a component of other (expense)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 portion of five of our interest rate swap contracts was deemed to be ineffective during the three and nine months ended March 31, 2019 and during the three and nine months ended March 31, 2018, a portion of seven of our interest rate swap contracts was deemed to be ineffective.</w:t>
      </w:r>
    </w:p>
    <w:p>
      <w:pPr>
        <w:spacing w:after="0" w:line="17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as interest payments are accrued or made on our variable-rate debt. As of March 31, 2019, we estimate that $786 of income will be reclassified from accumulated other comprehensive loss to interest expense during the twelve months ending March 31, 2020. As of March 31, 2019, we had ten outstanding interest rate swap contracts indexed to USD LIBOR. These instruments were designated as cash flow hedges of interest rate risk and have varying start dates and maturity dates through December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 rate swap contracts outstanding:</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Notional Amounts</w:t>
            </w:r>
          </w:p>
        </w:tc>
      </w:tr>
      <w:tr>
        <w:trPr>
          <w:trHeight w:val="256"/>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March 31,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440,000</w:t>
            </w:r>
          </w:p>
        </w:tc>
      </w:tr>
      <w:tr>
        <w:trPr>
          <w:trHeight w:val="264"/>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90,000</w:t>
            </w:r>
          </w:p>
        </w:tc>
      </w:tr>
      <w:tr>
        <w:trPr>
          <w:trHeight w:val="24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530,000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27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8" w:right="239" w:bottom="1440" w:gutter="0" w:footer="0" w:header="0"/>
        </w:sectPr>
      </w:pPr>
    </w:p>
    <w:bookmarkStart w:id="17" w:name="page18"/>
    <w:bookmarkEnd w:id="17"/>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March 31, 2019, we had two outstanding cross-currency swap contracts designated as cash flow hedges with a total notional amount of $120,011, both maturing during June 2019. We entered into the two cross-currency swap contracts to hedge the risk of changes in one Euro-denominated intercompany loan entered into with one of our consolidated subsidiaries that has the Euro as its functional currency.</w:t>
      </w:r>
    </w:p>
    <w:p>
      <w:pPr>
        <w:spacing w:after="0" w:line="236"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(expense) income, net as interest payments are accrued or paid and upon remeasuring the intercompany loan. As of March 31, 2019, we estimate that $453 will be reclassified from accumulated other comprehensive loss to interest expense, net during the twelve months ending March 31, 2020.</w:t>
      </w:r>
    </w:p>
    <w:p>
      <w:pPr>
        <w:spacing w:after="0" w:line="22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March 31, 2019, we had two outstanding cross-currency swap contracts that we de-designated as net investment hedges with a total notional amount of $122,969, both maturing during April 2019. Our de-designated hedges were replaced by forward contracts that we executed during the current quarter and were designated as net investment hedges.</w:t>
      </w:r>
    </w:p>
    <w:p>
      <w:pPr>
        <w:spacing w:after="0" w:line="233" w:lineRule="exact"/>
        <w:rPr>
          <w:sz w:val="20"/>
          <w:szCs w:val="20"/>
          <w:color w:val="auto"/>
        </w:rPr>
      </w:pPr>
    </w:p>
    <w:p>
      <w:pPr>
        <w:ind w:right="540" w:firstLine="648"/>
        <w:spacing w:after="0" w:line="481" w:lineRule="auto"/>
        <w:rPr>
          <w:sz w:val="20"/>
          <w:szCs w:val="20"/>
          <w:color w:val="auto"/>
        </w:rPr>
      </w:pPr>
      <w:r>
        <w:rPr>
          <w:rFonts w:ascii="Arial" w:cs="Arial" w:eastAsia="Arial" w:hAnsi="Arial"/>
          <w:sz w:val="18"/>
          <w:szCs w:val="18"/>
          <w:color w:val="auto"/>
        </w:rPr>
        <w:t xml:space="preserve">We did not hold any ineffective or de-designated cross-currency swaps during the three and nine months ended March 31, 2018. </w:t>
      </w:r>
      <w:r>
        <w:rPr>
          <w:rFonts w:ascii="Arial" w:cs="Arial" w:eastAsia="Arial" w:hAnsi="Arial"/>
          <w:sz w:val="18"/>
          <w:szCs w:val="18"/>
          <w:i w:val="1"/>
          <w:iCs w:val="1"/>
          <w:color w:val="auto"/>
        </w:rPr>
        <w:t>Other Currency Contracts</w:t>
      </w:r>
    </w:p>
    <w:p>
      <w:pPr>
        <w:spacing w:after="0" w:line="62"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69"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As of March 31, 2019, we had ten currency forward contracts designated as net investment hedges with a total notional amount of $326,718, maturing during various dates through April 2024. We entered into these contracts to hedge the risk of changes in the U.S. Dollar equivalent value of a portion of our net investment in two consolidated subsidiaries that have Euro as their functional currency. Amounts reported in accumulated other comprehensive loss are recognized as a component of our cumulative translation adjustment.</w:t>
      </w:r>
    </w:p>
    <w:p>
      <w:pPr>
        <w:spacing w:after="0" w:line="17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three and nine months ended March 31, 2019 and 2018, we have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8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As of March 31, 2019, we had the following outstanding currency derivative contracts that were not designated for hedge accounting and were used to hedge fluctuations in the U.S. Dollar value of forecasted transactions denominated in Australian Dollar, British Pound, Canadian Dollar, Danish Krone, Euro, Indian Rupee, Mexican Peso, New Zealand Dollar, Norwegian Krone, Philippine Peso and Swedish Krona: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Borders>
              <w:bottom w:val="single" w:sz="8" w:color="CCEEFF"/>
            </w:tcBorders>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Instruments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17"/>
        </w:trPr>
        <w:tc>
          <w:tcPr>
            <w:tcW w:w="1840" w:type="dxa"/>
            <w:vAlign w:val="bottom"/>
            <w:vMerge w:val="restart"/>
            <w:shd w:val="clear" w:color="auto" w:fill="CCEEFF"/>
          </w:tcPr>
          <w:p>
            <w:pPr>
              <w:jc w:val="right"/>
              <w:ind w:right="503"/>
              <w:spacing w:after="0"/>
              <w:rPr>
                <w:sz w:val="20"/>
                <w:szCs w:val="20"/>
                <w:color w:val="auto"/>
              </w:rPr>
            </w:pPr>
            <w:r>
              <w:rPr>
                <w:rFonts w:ascii="Arial" w:cs="Arial" w:eastAsia="Arial" w:hAnsi="Arial"/>
                <w:sz w:val="16"/>
                <w:szCs w:val="16"/>
                <w:color w:val="auto"/>
              </w:rPr>
              <w:t>$719,830</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December 2017 through March</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Various dates through March</w:t>
            </w:r>
          </w:p>
        </w:tc>
        <w:tc>
          <w:tcPr>
            <w:tcW w:w="2160" w:type="dxa"/>
            <w:vAlign w:val="bottom"/>
            <w:vMerge w:val="restart"/>
            <w:shd w:val="clear" w:color="auto" w:fill="CCEEFF"/>
          </w:tcPr>
          <w:p>
            <w:pPr>
              <w:jc w:val="right"/>
              <w:ind w:right="883"/>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00"/>
        </w:trPr>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8"/>
                <w:szCs w:val="8"/>
                <w:color w:val="auto"/>
              </w:rPr>
            </w:pP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March 31, 2019 and June 30, 2018. Our derivative asset and liability balances will fluctuate with interest rate and currency exchange rate volatility.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March 31, 2019</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2,329</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2,329</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(3,378)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4,194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4,194</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74"/>
        </w:trPr>
        <w:tc>
          <w:tcPr>
            <w:tcW w:w="3000" w:type="dxa"/>
            <w:vAlign w:val="bottom"/>
            <w:gridSpan w:val="4"/>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6,523</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6,523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(9,467)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30"/>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(8,675)</w:t>
            </w:r>
          </w:p>
        </w:tc>
        <w:tc>
          <w:tcPr>
            <w:tcW w:w="0" w:type="dxa"/>
            <w:vAlign w:val="bottom"/>
          </w:tcPr>
          <w:p>
            <w:pPr>
              <w:spacing w:after="0"/>
              <w:rPr>
                <w:sz w:val="1"/>
                <w:szCs w:val="1"/>
                <w:color w:val="auto"/>
              </w:rPr>
            </w:pPr>
          </w:p>
        </w:tc>
      </w:tr>
      <w:tr>
        <w:trPr>
          <w:trHeight w:val="171"/>
        </w:trPr>
        <w:tc>
          <w:tcPr>
            <w:tcW w:w="178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(7,512)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(7,512)</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12,385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8,289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6,238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6,238</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18,623</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(4,096)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14,527</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(7,756)</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4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12,215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10,984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18"/>
          <w:szCs w:val="18"/>
          <w:color w:val="auto"/>
        </w:rPr>
        <w:t>The following table presents the effect of the effective portion of our derivative financial instruments designated as hedging instruments and their classification within comprehensive income (loss) for the three and nine months ended March 31, 2019 and 2018:</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6720" w:type="dxa"/>
            <w:vAlign w:val="bottom"/>
            <w:tcBorders>
              <w:bottom w:val="single" w:sz="8" w:color="auto"/>
            </w:tcBorders>
            <w:gridSpan w:val="11"/>
          </w:tcPr>
          <w:p>
            <w:pPr>
              <w:jc w:val="right"/>
              <w:ind w:right="202"/>
              <w:spacing w:after="0"/>
              <w:rPr>
                <w:sz w:val="20"/>
                <w:szCs w:val="20"/>
                <w:color w:val="auto"/>
              </w:rPr>
            </w:pPr>
            <w:r>
              <w:rPr>
                <w:rFonts w:ascii="Arial" w:cs="Arial" w:eastAsia="Arial" w:hAnsi="Arial"/>
                <w:sz w:val="13"/>
                <w:szCs w:val="13"/>
                <w:b w:val="1"/>
                <w:bCs w:val="1"/>
                <w:color w:val="auto"/>
              </w:rPr>
              <w:t>Amount of Gain (Loss) Recognized in Comprehensive Income (Loss) on Derivatives (Effective Portion)</w:t>
            </w:r>
          </w:p>
        </w:tc>
      </w:tr>
      <w:tr>
        <w:trPr>
          <w:trHeight w:val="264"/>
        </w:trPr>
        <w:tc>
          <w:tcPr>
            <w:tcW w:w="4700" w:type="dxa"/>
            <w:vAlign w:val="bottom"/>
          </w:tcPr>
          <w:p>
            <w:pPr>
              <w:spacing w:after="0"/>
              <w:rPr>
                <w:sz w:val="22"/>
                <w:szCs w:val="22"/>
                <w:color w:val="auto"/>
              </w:rPr>
            </w:pPr>
          </w:p>
        </w:tc>
        <w:tc>
          <w:tcPr>
            <w:tcW w:w="27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3"/>
                <w:szCs w:val="13"/>
                <w:b w:val="1"/>
                <w:bCs w:val="1"/>
                <w:color w:val="auto"/>
              </w:rPr>
              <w:t>Three Months Ended March 31,</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47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Interest rate swaps</w:t>
            </w:r>
          </w:p>
        </w:tc>
        <w:tc>
          <w:tcPr>
            <w:tcW w:w="1000" w:type="dxa"/>
            <w:vAlign w:val="bottom"/>
          </w:tcPr>
          <w:p>
            <w:pPr>
              <w:jc w:val="right"/>
              <w:ind w:right="81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(6,102)</w:t>
            </w:r>
          </w:p>
        </w:tc>
        <w:tc>
          <w:tcPr>
            <w:tcW w:w="100" w:type="dxa"/>
            <w:vAlign w:val="bottom"/>
          </w:tcPr>
          <w:p>
            <w:pPr>
              <w:spacing w:after="0"/>
              <w:rPr>
                <w:sz w:val="22"/>
                <w:szCs w:val="22"/>
                <w:color w:val="auto"/>
              </w:rPr>
            </w:pPr>
          </w:p>
        </w:tc>
        <w:tc>
          <w:tcPr>
            <w:tcW w:w="980" w:type="dxa"/>
            <w:vAlign w:val="bottom"/>
          </w:tcPr>
          <w:p>
            <w:pPr>
              <w:jc w:val="right"/>
              <w:ind w:right="785"/>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6,087</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(10,916)</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7,330</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5,492</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6,557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(10,307)</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7,050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14,369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(13,935)</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7,354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2" w:right="239" w:bottom="1440" w:gutter="0" w:footer="0" w:header="0"/>
        </w:sectPr>
      </w:pPr>
    </w:p>
    <w:bookmarkStart w:id="20" w:name="page21"/>
    <w:bookmarkEnd w:id="20"/>
    <w:p>
      <w:pPr>
        <w:ind w:right="20" w:firstLine="648"/>
        <w:spacing w:after="0" w:line="262"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three and nine months ended March 31, 2019 and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78"/>
        </w:trPr>
        <w:tc>
          <w:tcPr>
            <w:tcW w:w="2520" w:type="dxa"/>
            <w:vAlign w:val="bottom"/>
          </w:tcPr>
          <w:p>
            <w:pPr>
              <w:spacing w:after="0"/>
              <w:rPr>
                <w:sz w:val="15"/>
                <w:szCs w:val="15"/>
                <w:color w:val="auto"/>
              </w:rPr>
            </w:pPr>
          </w:p>
        </w:tc>
        <w:tc>
          <w:tcPr>
            <w:tcW w:w="6740" w:type="dxa"/>
            <w:vAlign w:val="bottom"/>
            <w:tcBorders>
              <w:bottom w:val="single" w:sz="8" w:color="auto"/>
            </w:tcBorders>
            <w:gridSpan w:val="11"/>
          </w:tcPr>
          <w:p>
            <w:pPr>
              <w:jc w:val="right"/>
              <w:ind w:right="322"/>
              <w:spacing w:after="0"/>
              <w:rPr>
                <w:sz w:val="20"/>
                <w:szCs w:val="20"/>
                <w:color w:val="auto"/>
              </w:rPr>
            </w:pPr>
            <w:r>
              <w:rPr>
                <w:rFonts w:ascii="Arial" w:cs="Arial" w:eastAsia="Arial" w:hAnsi="Arial"/>
                <w:sz w:val="13"/>
                <w:szCs w:val="13"/>
                <w:b w:val="1"/>
                <w:bCs w:val="1"/>
                <w:color w:val="auto"/>
              </w:rPr>
              <w:t>Amount of Net Gain (Loss) Reclassified from Accumulated Other Comprehensive Loss into Income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264"/>
        </w:trPr>
        <w:tc>
          <w:tcPr>
            <w:tcW w:w="2520" w:type="dxa"/>
            <w:vAlign w:val="bottom"/>
          </w:tcPr>
          <w:p>
            <w:pPr>
              <w:spacing w:after="0"/>
              <w:rPr>
                <w:sz w:val="22"/>
                <w:szCs w:val="22"/>
                <w:color w:val="auto"/>
              </w:rPr>
            </w:pPr>
          </w:p>
        </w:tc>
        <w:tc>
          <w:tcPr>
            <w:tcW w:w="27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3"/>
                <w:szCs w:val="13"/>
                <w:b w:val="1"/>
                <w:bCs w:val="1"/>
                <w:color w:val="auto"/>
              </w:rPr>
              <w:t>Three Months Ended March 31,</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3"/>
                <w:szCs w:val="13"/>
                <w:b w:val="1"/>
                <w:bCs w:val="1"/>
                <w:color w:val="auto"/>
              </w:rPr>
              <w:t>Nine Months Ended March 31,</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64"/>
        </w:trPr>
        <w:tc>
          <w:tcPr>
            <w:tcW w:w="2520" w:type="dxa"/>
            <w:vAlign w:val="bottom"/>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Derivatives in cash flow hedging</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96"/>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relationships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Interest expense, net</w:t>
            </w: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Cross-currency swaps</w:t>
            </w:r>
          </w:p>
        </w:tc>
        <w:tc>
          <w:tcPr>
            <w:tcW w:w="1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5,920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(8,756)</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(expense) income, net</w:t>
            </w: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before income tax</w:t>
            </w: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5,815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(8,762)</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Income before income taxes</w:t>
            </w: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w:t>
            </w:r>
          </w:p>
        </w:tc>
        <w:tc>
          <w:tcPr>
            <w:tcW w:w="1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 tax expense (benefit)</w:t>
            </w:r>
          </w:p>
        </w:tc>
      </w:tr>
      <w:tr>
        <w:trPr>
          <w:trHeight w:val="24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4,361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derivative instruments for which we did not elect hedge accounting, as well as the effect of the ineffective portion and de-designated derivative financial instruments that no longer qualify as hedging instruments in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78"/>
        </w:trPr>
        <w:tc>
          <w:tcPr>
            <w:tcW w:w="25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w w:val="98"/>
              </w:rPr>
              <w:t>Amount of Gain (Loss) Recognized in Net Income (Loss)</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264"/>
        </w:trPr>
        <w:tc>
          <w:tcPr>
            <w:tcW w:w="2520" w:type="dxa"/>
            <w:vAlign w:val="bottom"/>
          </w:tcPr>
          <w:p>
            <w:pPr>
              <w:spacing w:after="0"/>
              <w:rPr>
                <w:sz w:val="22"/>
                <w:szCs w:val="22"/>
                <w:color w:val="auto"/>
              </w:rPr>
            </w:pPr>
          </w:p>
        </w:tc>
        <w:tc>
          <w:tcPr>
            <w:tcW w:w="272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Three Months Ended March 31,</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3"/>
                <w:szCs w:val="13"/>
                <w:b w:val="1"/>
                <w:bCs w:val="1"/>
                <w:color w:val="auto"/>
              </w:rPr>
              <w:t>Nine Months Ended March 31,</w:t>
            </w:r>
          </w:p>
        </w:tc>
        <w:tc>
          <w:tcPr>
            <w:tcW w:w="100" w:type="dxa"/>
            <w:vAlign w:val="bottom"/>
            <w:tcBorders>
              <w:bottom w:val="single" w:sz="8" w:color="auto"/>
            </w:tcBorders>
          </w:tcPr>
          <w:p>
            <w:pPr>
              <w:spacing w:after="0"/>
              <w:rPr>
                <w:sz w:val="22"/>
                <w:szCs w:val="22"/>
                <w:color w:val="auto"/>
              </w:rPr>
            </w:pPr>
          </w:p>
        </w:tc>
        <w:tc>
          <w:tcPr>
            <w:tcW w:w="2060" w:type="dxa"/>
            <w:vAlign w:val="bottom"/>
          </w:tcPr>
          <w:p>
            <w:pPr>
              <w:spacing w:after="0"/>
              <w:rPr>
                <w:sz w:val="22"/>
                <w:szCs w:val="22"/>
                <w:color w:val="auto"/>
              </w:rPr>
            </w:pPr>
          </w:p>
        </w:tc>
      </w:tr>
      <w:tr>
        <w:trPr>
          <w:trHeight w:val="264"/>
        </w:trPr>
        <w:tc>
          <w:tcPr>
            <w:tcW w:w="25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contracts</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1,258</w:t>
            </w:r>
          </w:p>
        </w:tc>
        <w:tc>
          <w:tcPr>
            <w:tcW w:w="1080" w:type="dxa"/>
            <w:vAlign w:val="bottom"/>
            <w:gridSpan w:val="2"/>
            <w:shd w:val="clear" w:color="auto" w:fill="CCEEFF"/>
          </w:tcPr>
          <w:p>
            <w:pPr>
              <w:jc w:val="right"/>
              <w:ind w:right="797"/>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19,802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(19,382)</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(expense) income, net</w:t>
            </w: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w:t>
            </w:r>
          </w:p>
        </w:tc>
        <w:tc>
          <w:tcPr>
            <w:tcW w:w="1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(expense) income, net</w:t>
            </w:r>
          </w:p>
        </w:tc>
      </w:tr>
      <w:tr>
        <w:trPr>
          <w:trHeight w:val="24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1,287</w:t>
            </w:r>
          </w:p>
        </w:tc>
        <w:tc>
          <w:tcPr>
            <w:tcW w:w="1080" w:type="dxa"/>
            <w:vAlign w:val="bottom"/>
            <w:gridSpan w:val="2"/>
            <w:shd w:val="clear" w:color="auto" w:fill="CCEEFF"/>
          </w:tcPr>
          <w:p>
            <w:pPr>
              <w:jc w:val="right"/>
              <w:ind w:right="797"/>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19,617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$4,566 for the nine months ended March 31,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4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08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cash flow hedges (1)</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hedges (2)</w:t>
            </w:r>
          </w:p>
        </w:tc>
        <w:tc>
          <w:tcPr>
            <w:tcW w:w="320" w:type="dxa"/>
            <w:vAlign w:val="bottom"/>
          </w:tcPr>
          <w:p>
            <w:pPr>
              <w:spacing w:after="0"/>
              <w:rPr>
                <w:sz w:val="15"/>
                <w:szCs w:val="15"/>
                <w:color w:val="auto"/>
              </w:rPr>
            </w:pPr>
          </w:p>
        </w:tc>
        <w:tc>
          <w:tcPr>
            <w:tcW w:w="1040" w:type="dxa"/>
            <w:vAlign w:val="bottom"/>
          </w:tcPr>
          <w:p>
            <w:pPr>
              <w:jc w:val="right"/>
              <w:ind w:right="4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8,195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(69,814)</w:t>
            </w:r>
          </w:p>
        </w:tc>
        <w:tc>
          <w:tcPr>
            <w:tcW w:w="0" w:type="dxa"/>
            <w:vAlign w:val="bottom"/>
          </w:tcPr>
          <w:p>
            <w:pPr>
              <w:spacing w:after="0"/>
              <w:rPr>
                <w:sz w:val="1"/>
                <w:szCs w:val="1"/>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Other comprehensive (loss) income before reclassifications</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8,223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(5,349)</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 comprehensive loss to net income (loss)</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(9,211)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8,223</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(70,802)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60" w:hanging="252"/>
        <w:spacing w:after="0" w:line="258" w:lineRule="auto"/>
        <w:tabs>
          <w:tab w:leader="none" w:pos="23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March 31, 2019 and June 30, 2018, the translation adjustment is inclusive of the effects of our net investment hedges, of which, unrealized losses of $1,089 and $22,014, respectively, net of tax, have been included in accumulated other comprehensive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March 31, 2019 and June 30, 2018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Vistaprint</w:t>
            </w:r>
          </w:p>
        </w:tc>
        <w:tc>
          <w:tcPr>
            <w:tcW w:w="12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Upload and Print</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All Other</w:t>
            </w:r>
          </w:p>
        </w:tc>
        <w:tc>
          <w:tcPr>
            <w:tcW w:w="300" w:type="dxa"/>
            <w:vAlign w:val="bottom"/>
          </w:tcPr>
          <w:p>
            <w:pPr>
              <w:spacing w:after="0"/>
              <w:rPr>
                <w:sz w:val="13"/>
                <w:szCs w:val="13"/>
                <w:color w:val="auto"/>
              </w:rPr>
            </w:pPr>
          </w:p>
        </w:tc>
        <w:tc>
          <w:tcPr>
            <w:tcW w:w="960" w:type="dxa"/>
            <w:vAlign w:val="bottom"/>
            <w:vMerge w:val="restart"/>
          </w:tcPr>
          <w:p>
            <w:pPr>
              <w:jc w:val="right"/>
              <w:ind w:right="4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1"/>
        </w:trPr>
        <w:tc>
          <w:tcPr>
            <w:tcW w:w="4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Businesses</w:t>
            </w:r>
          </w:p>
        </w:tc>
        <w:tc>
          <w:tcPr>
            <w:tcW w:w="3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146,207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328,771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34,434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11,431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520,843</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Acquisitions (1)</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212,105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214,791</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adjustments (2)</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Balance as of March 31, 2019</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144,606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318,158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34,434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223,536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720,734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200" w:hanging="252"/>
        <w:spacing w:after="0" w:line="258"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Note 7 for additional details related to our acquisitions of BuildASign and VIDA. We also recognized goodwill related to a small acquisition of a supplier by one of our businesses within our Upload and Print reportable segment.</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89"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Acquired intangible assets amortization expense for the three and nine months ended March 31, 2019 was $14,022 and $40,169</w:t>
      </w:r>
      <w:r>
        <w:rPr>
          <w:rFonts w:ascii="Arial" w:cs="Arial" w:eastAsia="Arial" w:hAnsi="Arial"/>
          <w:sz w:val="18"/>
          <w:szCs w:val="18"/>
          <w:color w:val="661DE8"/>
        </w:rPr>
        <w:t>,</w:t>
      </w:r>
      <w:r>
        <w:rPr>
          <w:rFonts w:ascii="Arial" w:cs="Arial" w:eastAsia="Arial" w:hAnsi="Arial"/>
          <w:sz w:val="18"/>
          <w:szCs w:val="18"/>
          <w:color w:val="auto"/>
        </w:rPr>
        <w:t xml:space="preserve"> respectively, compared to $12,941 and $38,132 for the prior comparable periods, respectively.</w:t>
      </w:r>
    </w:p>
    <w:p>
      <w:pPr>
        <w:spacing w:after="0" w:line="174" w:lineRule="exact"/>
        <w:rPr>
          <w:sz w:val="20"/>
          <w:szCs w:val="20"/>
          <w:color w:val="auto"/>
        </w:rPr>
      </w:pPr>
    </w:p>
    <w:p>
      <w:pPr>
        <w:ind w:right="8700" w:firstLine="8"/>
        <w:spacing w:after="0" w:line="544" w:lineRule="auto"/>
        <w:tabs>
          <w:tab w:leader="none" w:pos="2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Acquisition of Build A Sign LLC</w:t>
      </w:r>
    </w:p>
    <w:p>
      <w:pPr>
        <w:ind w:left="660"/>
        <w:spacing w:after="0"/>
        <w:rPr>
          <w:sz w:val="20"/>
          <w:szCs w:val="20"/>
          <w:color w:val="auto"/>
        </w:rPr>
      </w:pPr>
      <w:r>
        <w:rPr>
          <w:rFonts w:ascii="Arial" w:cs="Arial" w:eastAsia="Arial" w:hAnsi="Arial"/>
          <w:sz w:val="18"/>
          <w:szCs w:val="18"/>
          <w:color w:val="auto"/>
        </w:rPr>
        <w:t>On October 1, 2018, we completed the acquisition of Build A Sign LLC ("BuildASign"), a vertically integrated U.S. web-to-print canvas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wall dècor and signage company. We acquired approximately 99% of the outstanding equity interests of BuildASign for a purchase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$275,079 in cash, which includes a post-closing adjustment paid during the second quarter of fiscal 2019 and was based on BuildASign's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and working capital position as of the acquisition date.</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The acquisition supports our strategy of investing in and building customer-focused, entrepreneurial, mass customization businesses for the long term, which we manage in a decentralized and autonomous manner. BuildASign brings strong talent, a customer-centric culture, low-cost production operations and strong e-commerce capabilities that work seamlessly together to serve customers with market-leading prices, fast delivery and great customer service.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At the closing, Build A Sign Management Pool, LLC (the "Management Pool"), one of the sellers, retained approximately 1% of the outstanding equity interests of BuildASign for the benefit of certain BuildASign employees who hold equity interests in the Management Pool. We entered into a put and call option agreement with respect to the retained BuildASign equity interests, which provides the holders of the Management Pool the right to sell to us all or any portion of their shares, beginning with our fiscal year ending June 30, 2022 and for each fiscal year thereafter. We have the right to buy all (but not less than all) of the retained equity interest of any holder that is no longer an active employee of the company, beginning with our fiscal year ending June 30, 2022. The put and call purchase price is based on BuildASign's revenue growth and EBITDA for the fiscal year in which the option is exercised. Due to the presence of the put arrangement, the noncontrolling interest is presented as redeemable noncontrolling interest as redemption is not solely within our control. We initially recognized the noncontrolling interest at fair value of $ 3,356 and will adjust the balance for the pro rata impact of the BuildASign earnings or loss, as well as adjustments to increase the balance to the redemption value, if necessary.</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excess purchase price over the fair value of BuildASign's net assets was recorded as goodwill, which is primarily attributable to the value of its workforce, its manufacturing and marketing processes and know-how, as well as synergies which include leveraging Cimpress' scale-based sourcing channels. Goodwill is deductible for tax purposes and has been attributed to the All Other Businesses reportable segment.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49"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 fair value of the assets acquired and liabilities assumed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right"/>
              <w:ind w:right="401"/>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8"/>
        </w:trPr>
        <w:tc>
          <w:tcPr>
            <w:tcW w:w="72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Useful Life in Years</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assets acquired and liabilities assumed:</w:t>
            </w: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132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4,093</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 (1)</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12,080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Accrued expenses (1)</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(11,334)</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Long-term liabilities</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(3,949)</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Identifiable intangible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200" w:type="dxa"/>
            <w:vAlign w:val="bottom"/>
          </w:tcPr>
          <w:p>
            <w:pPr>
              <w:ind w:left="380"/>
              <w:spacing w:after="0"/>
              <w:rPr>
                <w:sz w:val="20"/>
                <w:szCs w:val="20"/>
                <w:color w:val="auto"/>
              </w:rPr>
            </w:pPr>
            <w:r>
              <w:rPr>
                <w:rFonts w:ascii="Arial" w:cs="Arial" w:eastAsia="Arial" w:hAnsi="Arial"/>
                <w:sz w:val="16"/>
                <w:szCs w:val="16"/>
                <w:color w:val="auto"/>
              </w:rPr>
              <w:t>Trade name</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47,600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15 years</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Developed technology</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28,900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3 - 7 years</w:t>
            </w:r>
          </w:p>
        </w:tc>
        <w:tc>
          <w:tcPr>
            <w:tcW w:w="0" w:type="dxa"/>
            <w:vAlign w:val="bottom"/>
          </w:tcPr>
          <w:p>
            <w:pPr>
              <w:spacing w:after="0"/>
              <w:rPr>
                <w:sz w:val="1"/>
                <w:szCs w:val="1"/>
                <w:color w:val="auto"/>
              </w:rPr>
            </w:pPr>
          </w:p>
        </w:tc>
      </w:tr>
      <w:tr>
        <w:trPr>
          <w:trHeight w:val="260"/>
        </w:trPr>
        <w:tc>
          <w:tcPr>
            <w:tcW w:w="7200" w:type="dxa"/>
            <w:vAlign w:val="bottom"/>
          </w:tcPr>
          <w:p>
            <w:pPr>
              <w:ind w:left="380"/>
              <w:spacing w:after="0"/>
              <w:rPr>
                <w:sz w:val="20"/>
                <w:szCs w:val="20"/>
                <w:color w:val="auto"/>
              </w:rPr>
            </w:pPr>
            <w:r>
              <w:rPr>
                <w:rFonts w:ascii="Arial" w:cs="Arial" w:eastAsia="Arial" w:hAnsi="Arial"/>
                <w:sz w:val="16"/>
                <w:szCs w:val="16"/>
                <w:color w:val="auto"/>
              </w:rPr>
              <w:t>Customer relationships</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12,430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2 - 5 years</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Goodwill (2)</w:t>
            </w:r>
          </w:p>
        </w:tc>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186,088</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1320" w:type="dxa"/>
            <w:vAlign w:val="bottom"/>
            <w:tcBorders>
              <w:bottom w:val="single" w:sz="8" w:color="auto"/>
            </w:tcBorders>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275,079</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2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hanging="252"/>
        <w:spacing w:after="0" w:line="250" w:lineRule="auto"/>
        <w:tabs>
          <w:tab w:leader="none" w:pos="2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connection with the BuildASign acquisition, we recorded an indemnification asset of $5,433, which represents the seller's obligation under the merger agreement to indemnify us for a portion of their potential contingent liabilities related to certain tax matters. We also recognized a contingent liability of $8,925, which represents our estimate based on guidance within ASC 450 - "Contingencies," as of the acquisition date.</w:t>
      </w:r>
    </w:p>
    <w:p>
      <w:pPr>
        <w:spacing w:after="0" w:line="64" w:lineRule="exact"/>
        <w:rPr>
          <w:rFonts w:ascii="Arial" w:cs="Arial" w:eastAsia="Arial" w:hAnsi="Arial"/>
          <w:sz w:val="14"/>
          <w:szCs w:val="14"/>
          <w:color w:val="auto"/>
        </w:rPr>
      </w:pPr>
    </w:p>
    <w:p>
      <w:pPr>
        <w:ind w:left="260" w:right="220" w:hanging="252"/>
        <w:spacing w:after="0" w:line="258" w:lineRule="auto"/>
        <w:tabs>
          <w:tab w:leader="none" w:pos="2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third quarter of fiscal 2019, we recorded immaterial measurement period adjustments, which related primarily to the contingent liabilities, as discussed above, and resulted in a decrease to goodwill of $482.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BuildASign Pro Forma Financial Information</w:t>
      </w:r>
    </w:p>
    <w:p>
      <w:pPr>
        <w:spacing w:after="0" w:line="2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BuildASign has been included in our consolidated financial statements starting on its acquisition date. The following unaudited pro forma financial information presents our results as if the BuildASign acquisition had occurred on July 1, 2017. The pro forma financial information for all periods presented adjusts for the effects of material business combination items, including estimated amortization of acquired intangible assets, interest associated with debt used to finance the acquisition, and transaction related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2018</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 forma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2,108,492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2,053,678</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Pro forma net income attributable to Cimpress N.V.</w:t>
            </w: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6"/>
                <w:szCs w:val="16"/>
                <w:color w:val="auto"/>
              </w:rPr>
              <w:t>53,285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40,540</w:t>
            </w:r>
          </w:p>
        </w:tc>
      </w:tr>
    </w:tbl>
    <w:p>
      <w:pPr>
        <w:spacing w:after="0" w:line="208"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We utilized proceeds from our credit facility in order to finance the acquisition. In connection with the acquisition, we incurred $1,047 and $1,140 in general and administrative expenses during the three and nine months ended March 31, 2019, primarily related to legal, financial, and other professional services.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Acquisition of VIDA Group Co.</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July 2, 2018, we acquired approximately 73% of the shares of VIDA Group Co. ("VIDA"), a U.S.-based startup, with options to increase our ownership beginning in fiscal 2023. For the noncontrolling interest, we entered into put and call options with each employee who holds shares, which become exercisable starting in fiscal 2023, or earlier if the employee terminates their employment. The total consideration was $20,548, net of cash acquired. VIDA brings manufacturing access and an e-commerce marketplace to artists, thereby enabling artists to convert ideas in beautiful, original products for customers, ranging from fashion, jewelry and accessories to home accent pieces. This investment supports our strategy to build a competitively differentiated portfolio of focused brands by providing access to the textiles marketplace.</w:t>
      </w:r>
    </w:p>
    <w:p>
      <w:pPr>
        <w:spacing w:after="0" w:line="207"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We recognized the assets, liabilities and noncontrolling interest on the basis of their fair values at the date of the acquisition, with any excess of the purchase price paid over the fair value of the net assets recorded as goodwill. The aggregate allocation to goodwill, net liabilities and noncontrolling interest was $26,017, $647, and $5,705, respectively.</w:t>
      </w:r>
    </w:p>
    <w:p>
      <w:pPr>
        <w:spacing w:after="0" w:line="202"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revenue and earnings included in our consolidated financial statements for the three and nine months ended March 31, 2019 are not material. We utilized proceeds from our credit facility to finance the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4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March 31, 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costs</w:t>
            </w:r>
          </w:p>
        </w:tc>
        <w:tc>
          <w:tcPr>
            <w:tcW w:w="3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57,688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57,024</w:t>
            </w:r>
          </w:p>
        </w:tc>
        <w:tc>
          <w:tcPr>
            <w:tcW w:w="0" w:type="dxa"/>
            <w:vAlign w:val="bottom"/>
          </w:tcPr>
          <w:p>
            <w:pPr>
              <w:spacing w:after="0"/>
              <w:rPr>
                <w:sz w:val="1"/>
                <w:szCs w:val="1"/>
                <w:color w:val="auto"/>
              </w:rPr>
            </w:pPr>
          </w:p>
        </w:tc>
      </w:tr>
      <w:tr>
        <w:trPr>
          <w:trHeight w:val="260"/>
        </w:trPr>
        <w:tc>
          <w:tcPr>
            <w:tcW w:w="4940" w:type="dxa"/>
            <w:vAlign w:val="bottom"/>
          </w:tcPr>
          <w:p>
            <w:pPr>
              <w:ind w:left="40"/>
              <w:spacing w:after="0"/>
              <w:rPr>
                <w:sz w:val="20"/>
                <w:szCs w:val="20"/>
                <w:color w:val="auto"/>
              </w:rPr>
            </w:pPr>
            <w:r>
              <w:rPr>
                <w:rFonts w:ascii="Arial" w:cs="Arial" w:eastAsia="Arial" w:hAnsi="Arial"/>
                <w:sz w:val="16"/>
                <w:szCs w:val="16"/>
                <w:color w:val="auto"/>
              </w:rPr>
              <w:t>Income and indirect taxes</w:t>
            </w:r>
          </w:p>
        </w:tc>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46,771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33,557</w:t>
            </w:r>
          </w:p>
        </w:tc>
        <w:tc>
          <w:tcPr>
            <w:tcW w:w="0" w:type="dxa"/>
            <w:vAlign w:val="bottom"/>
          </w:tcPr>
          <w:p>
            <w:pPr>
              <w:spacing w:after="0"/>
              <w:rPr>
                <w:sz w:val="1"/>
                <w:szCs w:val="1"/>
                <w:color w:val="auto"/>
              </w:rPr>
            </w:pPr>
          </w:p>
        </w:tc>
      </w:tr>
      <w:tr>
        <w:trPr>
          <w:trHeight w:val="28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costs</w:t>
            </w: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26,572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28,140</w:t>
            </w:r>
          </w:p>
        </w:tc>
        <w:tc>
          <w:tcPr>
            <w:tcW w:w="0" w:type="dxa"/>
            <w:vAlign w:val="bottom"/>
          </w:tcPr>
          <w:p>
            <w:pPr>
              <w:spacing w:after="0"/>
              <w:rPr>
                <w:sz w:val="1"/>
                <w:szCs w:val="1"/>
                <w:color w:val="auto"/>
              </w:rPr>
            </w:pPr>
          </w:p>
        </w:tc>
      </w:tr>
      <w:tr>
        <w:trPr>
          <w:trHeight w:val="260"/>
        </w:trPr>
        <w:tc>
          <w:tcPr>
            <w:tcW w:w="4940" w:type="dxa"/>
            <w:vAlign w:val="bottom"/>
          </w:tcPr>
          <w:p>
            <w:pPr>
              <w:ind w:left="40"/>
              <w:spacing w:after="0"/>
              <w:rPr>
                <w:sz w:val="20"/>
                <w:szCs w:val="20"/>
                <w:color w:val="auto"/>
              </w:rPr>
            </w:pPr>
            <w:r>
              <w:rPr>
                <w:rFonts w:ascii="Arial" w:cs="Arial" w:eastAsia="Arial" w:hAnsi="Arial"/>
                <w:sz w:val="16"/>
                <w:szCs w:val="16"/>
                <w:color w:val="auto"/>
              </w:rPr>
              <w:t>Production costs</w:t>
            </w:r>
          </w:p>
        </w:tc>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11,289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8,903</w:t>
            </w:r>
          </w:p>
        </w:tc>
        <w:tc>
          <w:tcPr>
            <w:tcW w:w="0" w:type="dxa"/>
            <w:vAlign w:val="bottom"/>
          </w:tcPr>
          <w:p>
            <w:pPr>
              <w:spacing w:after="0"/>
              <w:rPr>
                <w:sz w:val="1"/>
                <w:szCs w:val="1"/>
                <w:color w:val="auto"/>
              </w:rPr>
            </w:pPr>
          </w:p>
        </w:tc>
      </w:tr>
      <w:tr>
        <w:trPr>
          <w:trHeight w:val="28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Shipping costs</w:t>
            </w: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60"/>
        </w:trPr>
        <w:tc>
          <w:tcPr>
            <w:tcW w:w="4940" w:type="dxa"/>
            <w:vAlign w:val="bottom"/>
          </w:tcPr>
          <w:p>
            <w:pPr>
              <w:ind w:left="40"/>
              <w:spacing w:after="0"/>
              <w:rPr>
                <w:sz w:val="20"/>
                <w:szCs w:val="20"/>
                <w:color w:val="auto"/>
              </w:rPr>
            </w:pPr>
            <w:r>
              <w:rPr>
                <w:rFonts w:ascii="Arial" w:cs="Arial" w:eastAsia="Arial" w:hAnsi="Arial"/>
                <w:sz w:val="16"/>
                <w:szCs w:val="16"/>
                <w:color w:val="auto"/>
              </w:rPr>
              <w:t>Sales returns</w:t>
            </w:r>
          </w:p>
        </w:tc>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6,051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8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4,489</w:t>
            </w:r>
          </w:p>
        </w:tc>
        <w:tc>
          <w:tcPr>
            <w:tcW w:w="0" w:type="dxa"/>
            <w:vAlign w:val="bottom"/>
          </w:tcPr>
          <w:p>
            <w:pPr>
              <w:spacing w:after="0"/>
              <w:rPr>
                <w:sz w:val="1"/>
                <w:szCs w:val="1"/>
                <w:color w:val="auto"/>
              </w:rPr>
            </w:pPr>
          </w:p>
        </w:tc>
      </w:tr>
      <w:tr>
        <w:trPr>
          <w:trHeight w:val="260"/>
        </w:trPr>
        <w:tc>
          <w:tcPr>
            <w:tcW w:w="494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2,898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28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payable</w:t>
            </w: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39,087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38,776</w:t>
            </w:r>
          </w:p>
        </w:tc>
        <w:tc>
          <w:tcPr>
            <w:tcW w:w="0" w:type="dxa"/>
            <w:vAlign w:val="bottom"/>
          </w:tcPr>
          <w:p>
            <w:pPr>
              <w:spacing w:after="0"/>
              <w:rPr>
                <w:sz w:val="1"/>
                <w:szCs w:val="1"/>
                <w:color w:val="auto"/>
              </w:rPr>
            </w:pPr>
          </w:p>
        </w:tc>
      </w:tr>
      <w:tr>
        <w:trPr>
          <w:trHeight w:val="24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accrued expenses</w:t>
            </w:r>
          </w:p>
        </w:tc>
        <w:tc>
          <w:tcPr>
            <w:tcW w:w="3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207,918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186,661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Other current liabilities included the following:</w:t>
            </w:r>
          </w:p>
        </w:tc>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94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9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March 31, 2019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4940" w:type="dxa"/>
            <w:vAlign w:val="bottom"/>
          </w:tcPr>
          <w:p>
            <w:pPr>
              <w:ind w:left="40"/>
              <w:spacing w:after="0"/>
              <w:rPr>
                <w:sz w:val="20"/>
                <w:szCs w:val="20"/>
                <w:color w:val="auto"/>
              </w:rPr>
            </w:pPr>
            <w:r>
              <w:rPr>
                <w:rFonts w:ascii="Arial" w:cs="Arial" w:eastAsia="Arial" w:hAnsi="Arial"/>
                <w:sz w:val="16"/>
                <w:szCs w:val="16"/>
                <w:color w:val="auto"/>
              </w:rPr>
              <w:t>Short-term derivative liabilities</w:t>
            </w:r>
          </w:p>
        </w:tc>
        <w:tc>
          <w:tcPr>
            <w:tcW w:w="3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16,141</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31,054</w:t>
            </w:r>
          </w:p>
        </w:tc>
        <w:tc>
          <w:tcPr>
            <w:tcW w:w="0" w:type="dxa"/>
            <w:vAlign w:val="bottom"/>
          </w:tcPr>
          <w:p>
            <w:pPr>
              <w:spacing w:after="0"/>
              <w:rPr>
                <w:sz w:val="1"/>
                <w:szCs w:val="1"/>
                <w:color w:val="auto"/>
              </w:rPr>
            </w:pPr>
          </w:p>
        </w:tc>
      </w:tr>
      <w:tr>
        <w:trPr>
          <w:trHeight w:val="28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portion of lease financing obligation</w:t>
            </w: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12,569</w:t>
            </w:r>
          </w:p>
        </w:tc>
        <w:tc>
          <w:tcPr>
            <w:tcW w:w="0" w:type="dxa"/>
            <w:vAlign w:val="bottom"/>
          </w:tcPr>
          <w:p>
            <w:pPr>
              <w:spacing w:after="0"/>
              <w:rPr>
                <w:sz w:val="1"/>
                <w:szCs w:val="1"/>
                <w:color w:val="auto"/>
              </w:rPr>
            </w:pPr>
          </w:p>
        </w:tc>
      </w:tr>
      <w:tr>
        <w:trPr>
          <w:trHeight w:val="260"/>
        </w:trPr>
        <w:tc>
          <w:tcPr>
            <w:tcW w:w="4940" w:type="dxa"/>
            <w:vAlign w:val="bottom"/>
          </w:tcPr>
          <w:p>
            <w:pPr>
              <w:ind w:left="40"/>
              <w:spacing w:after="0"/>
              <w:rPr>
                <w:sz w:val="20"/>
                <w:szCs w:val="20"/>
                <w:color w:val="auto"/>
              </w:rPr>
            </w:pPr>
            <w:r>
              <w:rPr>
                <w:rFonts w:ascii="Arial" w:cs="Arial" w:eastAsia="Arial" w:hAnsi="Arial"/>
                <w:sz w:val="16"/>
                <w:szCs w:val="16"/>
                <w:color w:val="auto"/>
              </w:rPr>
              <w:t>Current portion of capital lease obligations</w:t>
            </w:r>
          </w:p>
        </w:tc>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11,171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10,747</w:t>
            </w:r>
          </w:p>
        </w:tc>
        <w:tc>
          <w:tcPr>
            <w:tcW w:w="0" w:type="dxa"/>
            <w:vAlign w:val="bottom"/>
          </w:tcPr>
          <w:p>
            <w:pPr>
              <w:spacing w:after="0"/>
              <w:rPr>
                <w:sz w:val="1"/>
                <w:szCs w:val="1"/>
                <w:color w:val="auto"/>
              </w:rPr>
            </w:pPr>
          </w:p>
        </w:tc>
      </w:tr>
      <w:tr>
        <w:trPr>
          <w:trHeight w:val="273"/>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9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2,985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Total other current liabilities</w:t>
            </w:r>
          </w:p>
        </w:tc>
        <w:tc>
          <w:tcPr>
            <w:tcW w:w="3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42,866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54,971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960" w:type="dxa"/>
            <w:vAlign w:val="bottom"/>
            <w:vMerge w:val="restart"/>
          </w:tcPr>
          <w:p>
            <w:pPr>
              <w:jc w:val="right"/>
              <w:ind w:right="1997"/>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24" w:name="page25"/>
    <w:bookmarkEnd w:id="24"/>
    <w:p>
      <w:pPr>
        <w:ind w:left="720"/>
        <w:spacing w:after="0"/>
        <w:rPr>
          <w:sz w:val="20"/>
          <w:szCs w:val="20"/>
          <w:color w:val="auto"/>
        </w:rPr>
      </w:pPr>
      <w:r>
        <w:rPr>
          <w:rFonts w:ascii="Arial" w:cs="Arial" w:eastAsia="Arial" w:hAnsi="Arial"/>
          <w:sz w:val="18"/>
          <w:szCs w:val="18"/>
          <w:color w:val="auto"/>
        </w:rPr>
        <w:t>Other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2019</w:t>
            </w:r>
          </w:p>
        </w:tc>
        <w:tc>
          <w:tcPr>
            <w:tcW w:w="28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Long-term capital lease obligations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17,969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16,883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derivative liabilities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10,080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Liability-based equity award (1)</w:t>
            </w:r>
          </w:p>
        </w:tc>
        <w:tc>
          <w:tcPr>
            <w:tcW w:w="260" w:type="dxa"/>
            <w:vAlign w:val="bottom"/>
          </w:tcPr>
          <w:p>
            <w:pPr>
              <w:spacing w:after="0"/>
              <w:rPr>
                <w:sz w:val="22"/>
                <w:szCs w:val="22"/>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6,791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15,464</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Mandatorily redeemable noncontrolling interest (1)</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4,366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21,048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22,731</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53,916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69,524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9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60" w:hanging="252"/>
        <w:spacing w:after="0" w:line="245" w:lineRule="auto"/>
        <w:tabs>
          <w:tab w:leader="none" w:pos="2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liabilities relate to share-based compensation awards and mandatorily redeemable noncontrolling interest associated with our Printi business. During the third quarter of fiscal 2019, we recognized a decrease to these liabilities due to a reduction in the estimated present value of the future settlement amount, which is calculated based on certain contractual financial measures in the period we expect the put or call option to be exercised. As the estimated contractual settlement value has decreased, we have reclassified $14,531 of the aggregate liability to a contra-asset as a reserve against the associated loan receivable asset that represents prepayments for these obligations. Refer to Note 12 for additional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2019</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671,914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432,414</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7.0% Senior unsecured notes due 2026</w:t>
            </w:r>
          </w:p>
        </w:tc>
        <w:tc>
          <w:tcPr>
            <w:tcW w:w="220" w:type="dxa"/>
            <w:vAlign w:val="bottom"/>
          </w:tcPr>
          <w:p>
            <w:pPr>
              <w:spacing w:after="0"/>
              <w:rPr>
                <w:sz w:val="22"/>
                <w:szCs w:val="22"/>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15,689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7,015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Debt issuance costs and debt discounts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debt outstanding, net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1,075,115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826,844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short-term debt (1)</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64,516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59,259</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1,010,599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767,585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March 31, 2019 and June 30, 2018 are inclusive of short-term debt issuance costs and debt discounts of $2,398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w:t>
      </w:r>
    </w:p>
    <w:p>
      <w:pPr>
        <w:spacing w:after="0" w:line="247" w:lineRule="exact"/>
        <w:rPr>
          <w:sz w:val="20"/>
          <w:szCs w:val="20"/>
          <w:color w:val="auto"/>
        </w:rPr>
      </w:pPr>
    </w:p>
    <w:p>
      <w:pPr>
        <w:ind w:left="60" w:right="60" w:firstLine="648"/>
        <w:spacing w:after="0" w:line="262"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March 31, 2019, we were in compliance with all financial and other covenants related to our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43"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On January 7, 2019, we amended the terms of our senior secured credit facility, resulting in an increase in loan commitments to both our revolving loans and term loans. The terms and covenants of the senior secured credit facility remain unchanged. As of March 31, 2019, we had a committed credit facility of $1,602,819 as follows:</w:t>
      </w:r>
    </w:p>
    <w:p>
      <w:pPr>
        <w:spacing w:after="0" w:line="17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Revolving loans of $1,087,257 with a maturity date of June 14, 2023</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 loans of $515,562 amortizing over the loan period, with a final maturity date of June 14, 2023</w:t>
      </w:r>
    </w:p>
    <w:p>
      <w:pPr>
        <w:spacing w:after="0" w:line="27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Under the terms of our credit agreement, borrowings bear interest at a variable rate of interest based on LIBOR plus 1.375% to 2.0%. Interest rates depend on our leverage ratio, which is the ratio of our consolidated total indebtedness to our consolidated EBITDA, as defined by the credit agreement. As of March 31, 2019, the weighted-average interest rate on outstanding borrowings was 3.94%, inclusive of interest rate swap rates. We are also required to pay a commitment fee on unused balances of 0.225% to 0.35% depending on our leverage ratio. We have pledged the assets and/or share capital of a number of our subsidiaries as collateral for our outstanding debt as of March 31, 2019.</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Indenture and Senior Unsecured Notes</w:t>
      </w:r>
    </w:p>
    <w:p>
      <w:pPr>
        <w:spacing w:after="0" w:line="324" w:lineRule="exact"/>
        <w:rPr>
          <w:sz w:val="20"/>
          <w:szCs w:val="20"/>
          <w:color w:val="auto"/>
        </w:rPr>
      </w:pPr>
    </w:p>
    <w:p>
      <w:pPr>
        <w:ind w:left="60" w:firstLine="648"/>
        <w:spacing w:after="0" w:line="253" w:lineRule="auto"/>
        <w:rPr>
          <w:sz w:val="20"/>
          <w:szCs w:val="20"/>
          <w:color w:val="auto"/>
        </w:rPr>
      </w:pPr>
      <w:r>
        <w:rPr>
          <w:rFonts w:ascii="Arial" w:cs="Arial" w:eastAsia="Arial" w:hAnsi="Arial"/>
          <w:sz w:val="18"/>
          <w:szCs w:val="18"/>
          <w:color w:val="auto"/>
        </w:rPr>
        <w:t>On June 15, 2018, we completed a private placement of $ 400,000 in aggregate principal amount of 7.0% senior unsecured notes due 2026 (the “2026 Notes”). We issued the 2026 Notes pursuant to a senior notes indenture dated as of June 15, 2018, among Cimpress N.V., our subsidiary guarantors, and MUFG Union Bank, N.A., as trustee (the "Indenture"). We used the net proceeds from the 2026 Notes during fiscal 2018 to redeem all of the outstanding 7.0% senior unsecured notes due 2022, repay a portion of the indebtedness outstanding under our revolving credit facility and pay all related fees and expenses.</w:t>
      </w:r>
    </w:p>
    <w:p>
      <w:pPr>
        <w:spacing w:after="0" w:line="206"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The 2026 Notes bear interest at a rate of 7.0% per annum and mature on June 15, 2026. Interest on the Notes is payable semi-annually on June 15 and December 15 of each year, commencing on December 15, 2018, to the holders of record of the 2026 Notes at the close of business on June 1 and December 1, respectively, preceding such interest payment date.</w:t>
      </w:r>
    </w:p>
    <w:p>
      <w:pPr>
        <w:spacing w:after="0" w:line="20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2026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will guarantee the 2026 Notes.</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indenture under which the 2026 Notes are issued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the right to redeem, at any time prior to June 15, 2021, some or all of the 2026 Notes at a redemption price equal to 100% of the principal amount redeemed, plus a make-whole amount as set forth in the Indenture, plus, in each case, accrued and unpaid interest to, but not including, the redemption date. In addition, we have the right to redeem, at any time prior to June 15, 2021, up to 40% of the aggregate outstanding principal amount of the 2026 Notes at a redemption price equal to 107% of the principal amount thereof, plus accrued and unpaid interest to, but not including, the redemption date, with the net proceeds of certain equity offerings by Cimpress. At any time on or after June 15, 2021, we may redeem some or all of the Notes at the redemption prices specified in the Indenture, plus accrued and unpaid interest to, but not including, the redemption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Other debt consists primarily of term loans acquired through our various acquisitions or used to fund certain capital investments. As of March 31, 2019 and June 30, 2018 we had $15,689 and $7,015, respectively, outstanding for those obligations that are payable through March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income tax expense was $4,091 and $23,971 for the three and nine months ended March 31, 2019, as compared to $4,019 and $19,657 for the prior comparable periods. The increase in tax expense is primarily attributable to increased pre-tax income for the three and nine months ended March 31, 2019 as compared to the same prior year periods. There were no significant discrete tax adjustments recognized during the three months ended March 31, 2019. However, earlier this year we recognized a decrease in deferred tax assets related to guidance issued by the Internal Revenue Service regarding limitations on tax deductions for compensation granted to certain executives, which increased our tax expense by $5,574 for the nine months ended March 31, 2019 as compared to increased tax expense of $4,701 related to the impacts of U.S. tax reform recognized in the same prior year period. We also recognized "Patent Box" tax benefits of $3,547 granted to our Pixartprinting business in Italy during the nine months ended March 31, 2019. Additionally, we have recognized lower excess tax benefits from share based compensation for the nine months ended March 31, 2019 as compared to the same prior period. Excluding the effect of these discrete tax adjustments, our estimated annual effective tax rate is lower for fiscal 2019 as compared to fiscal 2018 primarily due to an expectation of a more favorable geographical mix of</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53" w:right="259" w:bottom="1440" w:gutter="0" w:footer="0" w:header="0"/>
        </w:sectPr>
      </w:pPr>
    </w:p>
    <w:bookmarkStart w:id="26" w:name="page27"/>
    <w:bookmarkEnd w:id="26"/>
    <w:p>
      <w:pPr>
        <w:ind w:right="480"/>
        <w:spacing w:after="0" w:line="262" w:lineRule="auto"/>
        <w:rPr>
          <w:sz w:val="20"/>
          <w:szCs w:val="20"/>
          <w:color w:val="auto"/>
        </w:rPr>
      </w:pPr>
      <w:r>
        <w:rPr>
          <w:rFonts w:ascii="Arial" w:cs="Arial" w:eastAsia="Arial" w:hAnsi="Arial"/>
          <w:sz w:val="18"/>
          <w:szCs w:val="18"/>
          <w:color w:val="auto"/>
        </w:rPr>
        <w:t>consolidated earnings. Our effective tax rate continues to be negatively impacted by losses in certain jurisdictions where we are unable to recognize a full tax benefit in the current period.</w:t>
      </w:r>
    </w:p>
    <w:p>
      <w:pPr>
        <w:spacing w:after="0" w:line="196"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On February 12, 2019, our parent company, Cimpress N.V., moved its place of management and control from the Netherlands to Ireland for tax purposes. From this date forward, Cimpress N.V. is a tax resident in Ireland and no longer considered to be a resident of the Netherlands for Dutch tax purposes. This change is not expected to have a material effect on our fiscal 2019 tax provision.</w:t>
      </w:r>
    </w:p>
    <w:p>
      <w:pPr>
        <w:spacing w:after="0" w:line="20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As of March 31, 2019, we had a liability for unrecognized tax benefits included in the balance sheet of $4,859, including accrued interest and penalties of $462. We recognize interest and, if applicable, penalties related to unrecognized tax benefits in the provision for income taxes. If recognized, the entire liability for unrecognized tax benefits would reduce our tax expense. It is reasonably possible that a reduction in unrecognized tax benefits may occur within the next twelve months in the range of $600 to $700 related to the lapse of applicable statutes of limitations. We believe we have appropriately provided for all tax uncertainties.</w:t>
      </w:r>
    </w:p>
    <w:p>
      <w:pPr>
        <w:spacing w:after="0" w:line="20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2016 through 2018 remain open for examination by the IRS and the years 2013 through 2018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Interests</w:t>
      </w:r>
    </w:p>
    <w:p>
      <w:pPr>
        <w:spacing w:after="0" w:line="20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certain of our strategic investments we own a controlling equity stake, but a third party owns a minority portion of the equity. The balance sheet and operating activity of these entities are included in our consolidated financial statements and we adjust the net income (loss)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 We recognize redeemable noncontrolling interests at fair value on the sale or acquisition date and adjust to the redemption value on a periodic basis, if that amount exceeds the fair value. If the formulaic redemption value exceeds the fair value of the noncontrolling interest, then the accretion to redemption value is offset to the net (income) loss attributable to noncontrolling interest in our consolidated statement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December 20, 2018, we purchased the 12% equity interest of our WIRmachenDRUCK subsidiary that was held by third parties for €36,173 ($41,177 based on the exchange rate as of the redemption date). During the second quarter of fiscal 2019, we increased the carrying amount of the redeemable noncontrolling interest by $7,133, to reflect the change in the redemption value, offset to retained earnings, since the redemption value remained below the fair value.</w:t>
      </w:r>
    </w:p>
    <w:p>
      <w:pPr>
        <w:spacing w:after="0" w:line="204"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On October 1, 2018, we acquired approximately 99% of the outstanding equity interests of Build A Sign LLC. The remaining 1% is considered a redeemable noncontrolling equity interest, as it is redeemable for cash based on future financial results through put and call rights and not solely within our control. On the acquisition date, we recognized the redeemable noncontrolling interest at fair value of $3,356. As</w:t>
      </w:r>
    </w:p>
    <w:p>
      <w:pPr>
        <w:spacing w:after="0" w:line="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of March 31, 2019, the redemption value was less than the carrying value, and therefore no adjustment was required. Refer to Note 7 for additional details.</w:t>
      </w:r>
    </w:p>
    <w:p>
      <w:pPr>
        <w:spacing w:after="0" w:line="196"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On July 2, 2018, we acquired approximately 73% of the shares of VIDA Group Co. The remaining 27% is considered a redeemable noncontrolling equity interest, as it is redeemable in the future not solely within our control. The shares we hold include certain liquidation preferences to all other share classes, and therefore the noncontrolling interest will bear any losses until the recoverable value of our investment declines below the stated redemption value. As of March 31, 2019, the redemption value is less than the carrying value and therefore no adjustment has been made. Refer to Note 7 for additional details.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7" w:name="page28"/>
    <w:bookmarkEnd w:id="27"/>
    <w:p>
      <w:pPr>
        <w:ind w:right="140" w:firstLine="648"/>
        <w:spacing w:after="0" w:line="254" w:lineRule="auto"/>
        <w:rPr>
          <w:sz w:val="20"/>
          <w:szCs w:val="20"/>
          <w:color w:val="auto"/>
        </w:rPr>
      </w:pPr>
      <w:r>
        <w:rPr>
          <w:rFonts w:ascii="Arial" w:cs="Arial" w:eastAsia="Arial" w:hAnsi="Arial"/>
          <w:sz w:val="18"/>
          <w:szCs w:val="18"/>
          <w:color w:val="auto"/>
        </w:rPr>
        <w:t>On April 15, 2015, we acquired 70% of the outstanding shares of Exagroup SAS. The remaining 30% is considered a redeemable noncontrolling equity interest, as it is redeemable in the future and not solely within our control. The first redemption date in which a put option can be exercised is April 15, 2019. The Exagroup noncontrolling interest is redeemable at a fixed amount of €39,000. As of March 31, 2019, the redemption value was less than the carrying value, and therefore no adjustment was required.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Redeemable</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120" w:type="dxa"/>
            <w:vAlign w:val="bottom"/>
          </w:tcPr>
          <w:p>
            <w:pPr>
              <w:spacing w:after="0"/>
              <w:rPr>
                <w:sz w:val="15"/>
                <w:szCs w:val="15"/>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noncontrolling interests</w:t>
            </w:r>
          </w:p>
        </w:tc>
        <w:tc>
          <w:tcPr>
            <w:tcW w:w="160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Noncontrolling interest</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8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86,151</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Acquisition of noncontrolling interest (1)</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9,061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to redeemable noncontrolling interest (2)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Accretion to redemption value recognized in retained earnings (3)</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7,133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 (4)</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Shares forfeited by noncontrolling interest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Balance as of March 31, 2019</w:t>
            </w:r>
          </w:p>
        </w:tc>
        <w:tc>
          <w:tcPr>
            <w:tcW w:w="2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52,366</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noncontrolling interests related to our VIDA and BuildASign acquisitions. Refer to Note 7 for additional details.</w:t>
      </w:r>
    </w:p>
    <w:p>
      <w:pPr>
        <w:spacing w:after="0" w:line="55" w:lineRule="exact"/>
        <w:rPr>
          <w:rFonts w:ascii="Arial" w:cs="Arial" w:eastAsia="Arial" w:hAnsi="Arial"/>
          <w:sz w:val="14"/>
          <w:szCs w:val="14"/>
          <w:color w:val="auto"/>
        </w:rPr>
      </w:pPr>
    </w:p>
    <w:p>
      <w:pPr>
        <w:ind w:left="260" w:right="840" w:hanging="252"/>
        <w:spacing w:after="0" w:line="258" w:lineRule="auto"/>
        <w:tabs>
          <w:tab w:leader="none" w:pos="2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the first quarter of fiscal 2019, we amended our agreement with one noncontrolling interest holder and agreed to put and call options related to their existing noncontrolling interest. As such, we reclassified the noncontrolling interest to redeemable noncontrolling interest since the exercise is not solely within our control.</w:t>
      </w:r>
    </w:p>
    <w:p>
      <w:pPr>
        <w:spacing w:after="0" w:line="32" w:lineRule="exact"/>
        <w:rPr>
          <w:rFonts w:ascii="Arial" w:cs="Arial" w:eastAsia="Arial" w:hAnsi="Arial"/>
          <w:sz w:val="14"/>
          <w:szCs w:val="14"/>
          <w:color w:val="auto"/>
        </w:rPr>
      </w:pPr>
    </w:p>
    <w:p>
      <w:pPr>
        <w:ind w:left="260" w:right="460" w:hanging="252"/>
        <w:spacing w:after="0" w:line="258" w:lineRule="auto"/>
        <w:tabs>
          <w:tab w:leader="none" w:pos="2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the redemption amount estimated to be greater than carrying value but less than fair value.</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the second quarter of fiscal 2019, we purchased the WIRmachenDRUCK noncontrolling interest for $41,177.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Entity ("VIE")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Printi LLC</w:t>
      </w:r>
    </w:p>
    <w:p>
      <w:pPr>
        <w:spacing w:after="0" w:line="216"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On August 7, 2014, we made a capital investment in Printi LLC, which operates in Brazil. This investment provided us access to a new market and the opportunity to drive longer-term growth in Brazil. The shareholders of Printi share profits and voting control on a pro-rata basis and as of March 31, 2019, we have a 53.7% equity interest in Printi.</w:t>
      </w:r>
    </w:p>
    <w:p>
      <w:pPr>
        <w:spacing w:after="0" w:line="16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For accounting purposes, of the remaining equity interests, 36.2% are liability-based equity awards and 10.1% are mandatorily redeemable noncontrolling interests. We agreed to acquire all of the remaining equity interests in Printi through a reciprocal put and call structure, contractually exercisable from April 1, 2021 through a mandatory redemption date of July 31, 2023. The liability-based equity awards represent Printi restricted equity held by Printi employees that are now fully vested and marked to market each reporting period until cash settlement. As of March 31, 2019 and June 30, 2018, our estimated redemption value for the liability-based awards was $6,791 and $15,464, respectively. The mandatorily redeemable noncontrolling interest is within the scope of ASC 480 - "Distinguishing Liabilities from Equity" and is required to be presented as a liability on our consolidated balance sheet. We adjust the liability to its estimated redemption value each reporting period and recognize any changes within interest expense, net in our consolidated statement of operations. As of March 31, 2019 and June 30, 2018, we recognized a liability for the mandatorily redeemable noncontrolling interest of $2,630 and $4,366, respectively. In May 2017, we entered into an arrangement with two Printi equity holders to provide loans, which represent prepayments for our future purchase of their equity interests. The loans are payable on the date the put or call option is exercised and the loan proceeds will be used to offset our purchase of their remaining outstanding equity interest, which also serves as collateral. As of March 31, 2019, the gross loan receivable includes $21,000 of loans and accrued interest of $2,660, a portion of the interest which is due and payable in the fourth quarter of fiscal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8" w:name="page29"/>
    <w:bookmarkEnd w:id="28"/>
    <w:p>
      <w:pPr>
        <w:ind w:right="140" w:firstLine="648"/>
        <w:spacing w:after="0" w:line="252" w:lineRule="auto"/>
        <w:rPr>
          <w:sz w:val="20"/>
          <w:szCs w:val="20"/>
          <w:color w:val="auto"/>
        </w:rPr>
      </w:pPr>
      <w:r>
        <w:rPr>
          <w:rFonts w:ascii="Arial" w:cs="Arial" w:eastAsia="Arial" w:hAnsi="Arial"/>
          <w:sz w:val="18"/>
          <w:szCs w:val="18"/>
          <w:color w:val="auto"/>
        </w:rPr>
        <w:t>During the third quarter of fiscal 2019, we reassessed the estimated redemption value for the liability-based equity awards and mandatorily redeemable noncontrolling interest to reflect a change to the period in which we expect to exercise our call option. We now intend to exercise our call option in April 2021, which is earlier than previously expected. Given the earlier call date, we now expect the estimated redemption value for both the liability-based equity awards and mandatorily redeemable noncontrolling interest to be lower than the related gross loan receivable. The estimated redemption value is calculated based on certain contractual financial measures in the period the put or call option is exercised. During the current quarter, we recognized a reserve against the gross loan receivable of $15,138, through the reclassification of a portion of the related liabilities of $14,531 and expense recognized in general and administrative expense in our consolidated statement of operations of $607.</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0" w:lineRule="exact"/>
        <w:rPr>
          <w:sz w:val="20"/>
          <w:szCs w:val="20"/>
          <w:color w:val="auto"/>
        </w:rPr>
      </w:pPr>
    </w:p>
    <w:p>
      <w:pPr>
        <w:jc w:val="both"/>
        <w:ind w:right="360" w:firstLine="648"/>
        <w:spacing w:after="0" w:line="256"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75"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As of March 31, 2019, we have numerous operating segments under our management reporting structure which are reported in the following four reportable segments:</w:t>
      </w:r>
    </w:p>
    <w:p>
      <w:pPr>
        <w:spacing w:after="0" w:line="151" w:lineRule="exact"/>
        <w:rPr>
          <w:sz w:val="20"/>
          <w:szCs w:val="20"/>
          <w:color w:val="auto"/>
        </w:rPr>
      </w:pPr>
    </w:p>
    <w:p>
      <w:pPr>
        <w:jc w:val="both"/>
        <w:ind w:left="660" w:right="5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Vistaprint websites focused on the North America, Europe, Australia and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our Webs-branded business, which is managed with the Vistaprint-branded digital business in the previously listed geographies.</w:t>
      </w:r>
    </w:p>
    <w:p>
      <w:pPr>
        <w:spacing w:after="0" w:line="149" w:lineRule="exact"/>
        <w:rPr>
          <w:rFonts w:ascii="Arial" w:cs="Arial" w:eastAsia="Arial" w:hAnsi="Arial"/>
          <w:sz w:val="18"/>
          <w:szCs w:val="18"/>
          <w:color w:val="auto"/>
        </w:rPr>
      </w:pPr>
    </w:p>
    <w:p>
      <w:pPr>
        <w:ind w:left="660" w:right="154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Upload and Print </w:t>
      </w:r>
      <w:r>
        <w:rPr>
          <w:rFonts w:ascii="Arial" w:cs="Arial" w:eastAsia="Arial" w:hAnsi="Arial"/>
          <w:sz w:val="18"/>
          <w:szCs w:val="18"/>
          <w:color w:val="auto"/>
        </w:rPr>
        <w:t>- Includes the results of our druck.at, Easyflyer, Exagroup, Pixartprinting, Printdeal, Tradeprint,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WIRmachenDRUCK businesses.</w:t>
      </w:r>
    </w:p>
    <w:p>
      <w:pPr>
        <w:spacing w:after="0" w:line="134" w:lineRule="exact"/>
        <w:rPr>
          <w:rFonts w:ascii="Arial" w:cs="Arial" w:eastAsia="Arial" w:hAnsi="Arial"/>
          <w:sz w:val="18"/>
          <w:szCs w:val="18"/>
          <w:color w:val="auto"/>
        </w:rPr>
      </w:pPr>
    </w:p>
    <w:p>
      <w:pPr>
        <w:ind w:left="660" w:right="88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businesses, which manufacture and market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a collection of businesses grouped together based on materiality:</w:t>
      </w:r>
    </w:p>
    <w:p>
      <w:pPr>
        <w:spacing w:after="0" w:line="129" w:lineRule="exact"/>
        <w:rPr>
          <w:rFonts w:ascii="Arial" w:cs="Arial" w:eastAsia="Arial" w:hAnsi="Arial"/>
          <w:sz w:val="18"/>
          <w:szCs w:val="18"/>
          <w:i w:val="1"/>
          <w:iCs w:val="1"/>
          <w:color w:val="auto"/>
        </w:rPr>
      </w:pPr>
    </w:p>
    <w:p>
      <w:pPr>
        <w:ind w:left="1300" w:right="120" w:hanging="320"/>
        <w:spacing w:after="0" w:line="26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BuildASign, acquired on October 1, 2018, is an internet-based provider of canvas-print wall décor, business signage and other large-format printed products, based in Austin, Texas.</w:t>
      </w:r>
    </w:p>
    <w:p>
      <w:pPr>
        <w:spacing w:after="0" w:line="35" w:lineRule="exact"/>
        <w:rPr>
          <w:rFonts w:ascii="Arial" w:cs="Arial" w:eastAsia="Arial" w:hAnsi="Arial"/>
          <w:sz w:val="17"/>
          <w:szCs w:val="17"/>
          <w:color w:val="auto"/>
        </w:rPr>
      </w:pPr>
    </w:p>
    <w:p>
      <w:pPr>
        <w:ind w:left="1300" w:right="40" w:hanging="320"/>
        <w:spacing w:after="0" w:line="26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Printi is an online printing leader in Brazil, which offers a superior customer experience with transparent and attractive pricing, reliable service and quality.</w:t>
      </w:r>
    </w:p>
    <w:p>
      <w:pPr>
        <w:spacing w:after="0" w:line="35" w:lineRule="exact"/>
        <w:rPr>
          <w:rFonts w:ascii="Arial" w:cs="Arial" w:eastAsia="Arial" w:hAnsi="Arial"/>
          <w:sz w:val="17"/>
          <w:szCs w:val="17"/>
          <w:color w:val="auto"/>
        </w:rPr>
      </w:pPr>
    </w:p>
    <w:p>
      <w:pPr>
        <w:ind w:left="1300" w:right="80" w:hanging="320"/>
        <w:spacing w:after="0" w:line="254"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VIDA, acquired on July 2, 2018, is an innovative startup that brings manufacturing access and an e-commerce marketplace to artists, thereby enabling artists to convert ideas into beautiful, original products for customers, ranging from custom fashion, jewelry and accessories to home accent pieces.</w:t>
      </w:r>
    </w:p>
    <w:p>
      <w:pPr>
        <w:spacing w:after="0" w:line="41" w:lineRule="exact"/>
        <w:rPr>
          <w:rFonts w:ascii="Arial" w:cs="Arial" w:eastAsia="Arial" w:hAnsi="Arial"/>
          <w:sz w:val="17"/>
          <w:szCs w:val="17"/>
          <w:color w:val="auto"/>
        </w:rPr>
      </w:pPr>
    </w:p>
    <w:p>
      <w:pPr>
        <w:ind w:left="1300" w:hanging="320"/>
        <w:spacing w:after="0" w:line="26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Vistaprint Corporate Solutions serves medium-sized businesses and large corporations, as well as a legacy revenue stream with retail partners and franchise businesses.</w:t>
      </w:r>
    </w:p>
    <w:p>
      <w:pPr>
        <w:spacing w:after="0" w:line="35" w:lineRule="exact"/>
        <w:rPr>
          <w:rFonts w:ascii="Arial" w:cs="Arial" w:eastAsia="Arial" w:hAnsi="Arial"/>
          <w:sz w:val="17"/>
          <w:szCs w:val="17"/>
          <w:color w:val="auto"/>
        </w:rPr>
      </w:pPr>
    </w:p>
    <w:p>
      <w:pPr>
        <w:ind w:left="1300" w:right="400" w:hanging="320"/>
        <w:spacing w:after="0" w:line="26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Vistaprint India operates a derivative of the Vistaprint business model, albeit with higher service levels and quality, fully domestic, Indian content, pricing that is a slight premium to many traditional offline alternatives, and almost no discounting.</w:t>
      </w:r>
    </w:p>
    <w:p>
      <w:pPr>
        <w:spacing w:after="0" w:line="35" w:lineRule="exact"/>
        <w:rPr>
          <w:rFonts w:ascii="Arial" w:cs="Arial" w:eastAsia="Arial" w:hAnsi="Arial"/>
          <w:sz w:val="17"/>
          <w:szCs w:val="17"/>
          <w:color w:val="auto"/>
        </w:rPr>
      </w:pPr>
    </w:p>
    <w:p>
      <w:pPr>
        <w:ind w:left="1300" w:right="160" w:hanging="320"/>
        <w:spacing w:after="0" w:line="26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Vistaprint Japan operates a derivative of the Vistaprint business model with a differentiated position relative to competitors who tend to focus on upload and print, not the self-service, micro-business customer which Vistaprint Japan serves.</w:t>
      </w:r>
    </w:p>
    <w:p>
      <w:pPr>
        <w:spacing w:after="0" w:line="35" w:lineRule="exact"/>
        <w:rPr>
          <w:rFonts w:ascii="Arial" w:cs="Arial" w:eastAsia="Arial" w:hAnsi="Arial"/>
          <w:sz w:val="17"/>
          <w:szCs w:val="17"/>
          <w:color w:val="auto"/>
        </w:rPr>
      </w:pPr>
    </w:p>
    <w:p>
      <w:pPr>
        <w:ind w:left="1300" w:hanging="320"/>
        <w:spacing w:after="0"/>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Albumprinter through its divestiture date of August 31, 2017.</w:t>
      </w:r>
    </w:p>
    <w:p>
      <w:pPr>
        <w:spacing w:after="0" w:line="215"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In the fourth quarter of fiscal 2019, we revised our internal organizational and reporting structure resulting in changes to our Upload and Print reportable segment. Due to the organizational changes, our Upload and Print reportable segment will be split into two separate operating and reportable segments. These changes in reporting structure are intended to position leaders closer to operations of the businesses, to lower costs, and to drive culture, priorities and technologies that improve customer and financial outcomes.</w:t>
      </w:r>
    </w:p>
    <w:p>
      <w:pPr>
        <w:spacing w:after="0" w:line="177" w:lineRule="exact"/>
        <w:rPr>
          <w:sz w:val="20"/>
          <w:szCs w:val="20"/>
          <w:color w:val="auto"/>
        </w:rPr>
      </w:pPr>
    </w:p>
    <w:p>
      <w:pPr>
        <w:jc w:val="both"/>
        <w:ind w:right="580" w:firstLine="648"/>
        <w:spacing w:after="0" w:line="254"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82" w:right="239" w:bottom="1440" w:gutter="0" w:footer="0" w:header="0"/>
        </w:sectPr>
      </w:pPr>
    </w:p>
    <w:bookmarkStart w:id="29" w:name="page30"/>
    <w:bookmarkEnd w:id="29"/>
    <w:p>
      <w:pPr>
        <w:ind w:right="160"/>
        <w:spacing w:after="0" w:line="262" w:lineRule="auto"/>
        <w:rPr>
          <w:sz w:val="20"/>
          <w:szCs w:val="20"/>
          <w:color w:val="auto"/>
        </w:rPr>
      </w:pPr>
      <w:r>
        <w:rPr>
          <w:rFonts w:ascii="Arial" w:cs="Arial" w:eastAsia="Arial" w:hAnsi="Arial"/>
          <w:sz w:val="18"/>
          <w:szCs w:val="18"/>
          <w:color w:val="auto"/>
        </w:rPr>
        <w:t>team members necessary for managing corporate activities, such as treasury, tax, capital allocation, financial consolidation, internal audit and legal. These costs also include certain unallocated share-based compensation costs.</w:t>
      </w:r>
    </w:p>
    <w:p>
      <w:pPr>
        <w:spacing w:after="0" w:line="16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 All expense or benefit associated with our supplemental performance share units is recognized within Central and corporate costs.</w:t>
      </w:r>
    </w:p>
    <w:p>
      <w:pPr>
        <w:spacing w:after="0" w:line="17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Segment profit (loss) is the primary profitability metric by which our CODM measures segment financial performance and allocates resources. Certain items are excluded from segment profit (loss), such as acquisition-related amortization and depreciation,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A portion of the interest expense associated with our Waltham, Massachusetts lease is included as expense in segment profit (loss) and allocated based on headcount to the appropriate business or corporate and global function. The interest expense represents a portion of the cash rent payment and is considered an operating expense for purposes of measuring our segment performance. We do not allocate non-operating income to our segment results.</w:t>
      </w:r>
    </w:p>
    <w:p>
      <w:pPr>
        <w:spacing w:after="0" w:line="179"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Our All Other Businesses reportable segment includes businesses that have operating losses as they are in the early stage of investment relative to the scale of the underlying businesses, which may limit its comparability to other segments regarding profit (loss).</w:t>
      </w:r>
    </w:p>
    <w:p>
      <w:pPr>
        <w:spacing w:after="0" w:line="169" w:lineRule="exact"/>
        <w:rPr>
          <w:sz w:val="20"/>
          <w:szCs w:val="20"/>
          <w:color w:val="auto"/>
        </w:rPr>
      </w:pPr>
    </w:p>
    <w:p>
      <w:pPr>
        <w:ind w:right="100" w:firstLine="662"/>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segments, as well as disaggregation of revenue by major geographic regions and reportable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15"/>
                <w:szCs w:val="15"/>
                <w:color w:val="auto"/>
              </w:rPr>
            </w:pPr>
          </w:p>
        </w:tc>
        <w:tc>
          <w:tcPr>
            <w:tcW w:w="2700" w:type="dxa"/>
            <w:vAlign w:val="bottom"/>
            <w:gridSpan w:val="4"/>
          </w:tcPr>
          <w:p>
            <w:pPr>
              <w:jc w:val="right"/>
              <w:ind w:right="541"/>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Vistaprint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349,901</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357,606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1,121,156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1,105,557</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 (2)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188,135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183,768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564,099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536,685</w:t>
            </w:r>
          </w:p>
        </w:tc>
        <w:tc>
          <w:tcPr>
            <w:tcW w:w="0" w:type="dxa"/>
            <w:vAlign w:val="bottom"/>
          </w:tcPr>
          <w:p>
            <w:pPr>
              <w:spacing w:after="0"/>
              <w:rPr>
                <w:sz w:val="1"/>
                <w:szCs w:val="1"/>
                <w:color w:val="auto"/>
              </w:rPr>
            </w:pP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National Pen (3)</w:t>
            </w:r>
          </w:p>
        </w:tc>
        <w:tc>
          <w:tcPr>
            <w:tcW w:w="36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79,721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81,545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278,643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267,360</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 (4)</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50,109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18,865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130,824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67,913</w:t>
            </w:r>
          </w:p>
        </w:tc>
        <w:tc>
          <w:tcPr>
            <w:tcW w:w="0" w:type="dxa"/>
            <w:vAlign w:val="bottom"/>
          </w:tcPr>
          <w:p>
            <w:pPr>
              <w:spacing w:after="0"/>
              <w:rPr>
                <w:sz w:val="1"/>
                <w:szCs w:val="1"/>
                <w:color w:val="auto"/>
              </w:rPr>
            </w:pPr>
          </w:p>
        </w:tc>
      </w:tr>
      <w:tr>
        <w:trPr>
          <w:trHeight w:val="247"/>
        </w:trPr>
        <w:tc>
          <w:tcPr>
            <w:tcW w:w="5160" w:type="dxa"/>
            <w:vAlign w:val="bottom"/>
          </w:tcPr>
          <w:p>
            <w:pPr>
              <w:ind w:left="720"/>
              <w:spacing w:after="0"/>
              <w:rPr>
                <w:sz w:val="20"/>
                <w:szCs w:val="20"/>
                <w:color w:val="auto"/>
              </w:rPr>
            </w:pPr>
            <w:r>
              <w:rPr>
                <w:rFonts w:ascii="Arial" w:cs="Arial" w:eastAsia="Arial" w:hAnsi="Arial"/>
                <w:sz w:val="16"/>
                <w:szCs w:val="16"/>
                <w:color w:val="auto"/>
              </w:rPr>
              <w:t>Total segment revenue</w:t>
            </w:r>
          </w:p>
        </w:tc>
        <w:tc>
          <w:tcPr>
            <w:tcW w:w="360" w:type="dxa"/>
            <w:vAlign w:val="bottom"/>
          </w:tcPr>
          <w:p>
            <w:pPr>
              <w:spacing w:after="0"/>
              <w:rPr>
                <w:sz w:val="21"/>
                <w:szCs w:val="21"/>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667,866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641,784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2,094,722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1,977,515</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Inter-segment eliminations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(16,108)</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Total consolidated revenue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661,814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636,069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2,076,362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1,961,407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2"/>
        <w:spacing w:after="0" w:line="241"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$3,198 and $9,463 for the three and nine months ended March 31, 2019, respectively, and $2,747 and $7,753 for the prior comparative periods, respectively.</w:t>
      </w:r>
    </w:p>
    <w:p>
      <w:pPr>
        <w:ind w:left="260" w:right="120" w:hanging="252"/>
        <w:spacing w:after="0" w:line="241"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Upload and Print segment revenues include inter-segment revenue of $159 and $887 for the three and nine months ended March 31, 2019, respectively and $329 and $1,137 for the prior comparative periods, respectively.</w:t>
      </w:r>
    </w:p>
    <w:p>
      <w:pPr>
        <w:ind w:left="260" w:right="100" w:hanging="252"/>
        <w:spacing w:after="0" w:line="241"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$1,280 and $2,784 for the three and nine months ended March 31, 2019, respectively, and $805 and $2,275 for the prior comparative periods, respectively.</w:t>
      </w:r>
    </w:p>
    <w:p>
      <w:pPr>
        <w:ind w:left="260" w:right="20" w:hanging="252"/>
        <w:spacing w:after="0" w:line="248"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$1,415 and $5,226 for the three and nine months ended March 31, 2019, respectively, and $1,834 and $4,943 for the prior comparative periods, respectively. The All Other Businesses segment includes the revenue of the VIDA and BuildASign's businesses since its acquisition of July 2, 2018 and October 1, 2018, respectively, as well as the Albumprinter business during the nine months ended March 31, 2018 until the sale completion date of August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8"/>
        </w:trPr>
        <w:tc>
          <w:tcPr>
            <w:tcW w:w="2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6"/>
          </w:tcPr>
          <w:p>
            <w:pPr>
              <w:jc w:val="center"/>
              <w:ind w:right="380"/>
              <w:spacing w:after="0"/>
              <w:rPr>
                <w:sz w:val="20"/>
                <w:szCs w:val="20"/>
                <w:color w:val="auto"/>
              </w:rPr>
            </w:pPr>
            <w:r>
              <w:rPr>
                <w:rFonts w:ascii="Arial" w:cs="Arial" w:eastAsia="Arial" w:hAnsi="Arial"/>
                <w:sz w:val="13"/>
                <w:szCs w:val="13"/>
                <w:b w:val="1"/>
                <w:bCs w:val="1"/>
                <w:color w:val="auto"/>
                <w:w w:val="97"/>
              </w:rPr>
              <w:t>Three Months Ended March 31, 2019</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4"/>
        </w:trPr>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Vistaprint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Upload and Print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National Pen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8"/>
                <w:szCs w:val="18"/>
                <w:color w:val="auto"/>
              </w:rPr>
            </w:pPr>
          </w:p>
        </w:tc>
      </w:tr>
      <w:tr>
        <w:trPr>
          <w:trHeight w:val="57"/>
        </w:trPr>
        <w:tc>
          <w:tcPr>
            <w:tcW w:w="260" w:type="dxa"/>
            <w:vAlign w:val="bottom"/>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260" w:type="dxa"/>
            <w:vAlign w:val="bottom"/>
          </w:tcPr>
          <w:p>
            <w:pPr>
              <w:spacing w:after="0"/>
              <w:rPr>
                <w:sz w:val="22"/>
                <w:szCs w:val="22"/>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41,697</w:t>
            </w:r>
          </w:p>
        </w:tc>
        <w:tc>
          <w:tcPr>
            <w:tcW w:w="40" w:type="dxa"/>
            <w:vAlign w:val="bottom"/>
            <w:shd w:val="clear" w:color="auto" w:fill="CCEEFF"/>
          </w:tcPr>
          <w:p>
            <w:pPr>
              <w:spacing w:after="0"/>
              <w:rPr>
                <w:sz w:val="22"/>
                <w:szCs w:val="22"/>
                <w:color w:val="auto"/>
              </w:rPr>
            </w:pP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38,279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324,806</w:t>
            </w:r>
          </w:p>
        </w:tc>
        <w:tc>
          <w:tcPr>
            <w:tcW w:w="20" w:type="dxa"/>
            <w:vAlign w:val="bottom"/>
          </w:tcPr>
          <w:p>
            <w:pPr>
              <w:spacing w:after="0"/>
              <w:rPr>
                <w:sz w:val="22"/>
                <w:szCs w:val="22"/>
                <w:color w:val="auto"/>
              </w:rPr>
            </w:pPr>
          </w:p>
        </w:tc>
      </w:tr>
      <w:tr>
        <w:trPr>
          <w:trHeight w:val="260"/>
        </w:trPr>
        <w:tc>
          <w:tcPr>
            <w:tcW w:w="260" w:type="dxa"/>
            <w:vAlign w:val="bottom"/>
          </w:tcPr>
          <w:p>
            <w:pPr>
              <w:spacing w:after="0"/>
              <w:rPr>
                <w:sz w:val="22"/>
                <w:szCs w:val="22"/>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187,976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29,895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304,202</w:t>
            </w:r>
          </w:p>
        </w:tc>
        <w:tc>
          <w:tcPr>
            <w:tcW w:w="20" w:type="dxa"/>
            <w:vAlign w:val="bottom"/>
          </w:tcPr>
          <w:p>
            <w:pPr>
              <w:spacing w:after="0"/>
              <w:rPr>
                <w:sz w:val="22"/>
                <w:szCs w:val="22"/>
                <w:color w:val="auto"/>
              </w:rPr>
            </w:pPr>
          </w:p>
        </w:tc>
      </w:tr>
      <w:tr>
        <w:trPr>
          <w:trHeight w:val="280"/>
        </w:trPr>
        <w:tc>
          <w:tcPr>
            <w:tcW w:w="260" w:type="dxa"/>
            <w:vAlign w:val="bottom"/>
          </w:tcPr>
          <w:p>
            <w:pPr>
              <w:spacing w:after="0"/>
              <w:rPr>
                <w:sz w:val="24"/>
                <w:szCs w:val="24"/>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6,849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9,659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32,806</w:t>
            </w:r>
          </w:p>
        </w:tc>
        <w:tc>
          <w:tcPr>
            <w:tcW w:w="20" w:type="dxa"/>
            <w:vAlign w:val="bottom"/>
          </w:tcPr>
          <w:p>
            <w:pPr>
              <w:spacing w:after="0"/>
              <w:rPr>
                <w:sz w:val="24"/>
                <w:szCs w:val="24"/>
                <w:color w:val="auto"/>
              </w:rPr>
            </w:pPr>
          </w:p>
        </w:tc>
      </w:tr>
      <w:tr>
        <w:trPr>
          <w:trHeight w:val="264"/>
        </w:trPr>
        <w:tc>
          <w:tcPr>
            <w:tcW w:w="260" w:type="dxa"/>
            <w:vAlign w:val="bottom"/>
          </w:tcPr>
          <w:p>
            <w:pPr>
              <w:spacing w:after="0"/>
              <w:rPr>
                <w:sz w:val="22"/>
                <w:szCs w:val="22"/>
                <w:color w:val="auto"/>
              </w:rPr>
            </w:pPr>
          </w:p>
        </w:tc>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6,052</w:t>
            </w:r>
          </w:p>
        </w:tc>
        <w:tc>
          <w:tcPr>
            <w:tcW w:w="20" w:type="dxa"/>
            <w:vAlign w:val="bottom"/>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349,901</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188,135</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79,721</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50,109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667,866</w:t>
            </w:r>
          </w:p>
        </w:tc>
        <w:tc>
          <w:tcPr>
            <w:tcW w:w="20" w:type="dxa"/>
            <w:vAlign w:val="bottom"/>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inter-segment elimination</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(3,198)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(6,052)</w:t>
            </w:r>
          </w:p>
        </w:tc>
        <w:tc>
          <w:tcPr>
            <w:tcW w:w="20" w:type="dxa"/>
            <w:vAlign w:val="bottom"/>
          </w:tcPr>
          <w:p>
            <w:pPr>
              <w:spacing w:after="0"/>
              <w:rPr>
                <w:sz w:val="22"/>
                <w:szCs w:val="22"/>
                <w:color w:val="auto"/>
              </w:rPr>
            </w:pPr>
          </w:p>
        </w:tc>
      </w:tr>
      <w:tr>
        <w:trPr>
          <w:trHeight w:val="240"/>
        </w:trPr>
        <w:tc>
          <w:tcPr>
            <w:tcW w:w="260" w:type="dxa"/>
            <w:vAlign w:val="bottom"/>
          </w:tcPr>
          <w:p>
            <w:pPr>
              <w:spacing w:after="0"/>
              <w:rPr>
                <w:sz w:val="20"/>
                <w:szCs w:val="20"/>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external revenue</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346,703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187,976</w:t>
            </w:r>
          </w:p>
        </w:tc>
        <w:tc>
          <w:tcPr>
            <w:tcW w:w="80" w:type="dxa"/>
            <w:vAlign w:val="bottom"/>
            <w:shd w:val="clear" w:color="auto" w:fill="CCEEFF"/>
          </w:tcPr>
          <w:p>
            <w:pPr>
              <w:spacing w:after="0"/>
              <w:rPr>
                <w:sz w:val="20"/>
                <w:szCs w:val="20"/>
                <w:color w:val="auto"/>
              </w:rPr>
            </w:pP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78,441</w:t>
            </w:r>
          </w:p>
        </w:tc>
        <w:tc>
          <w:tcPr>
            <w:tcW w:w="4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48,694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661,814</w:t>
            </w:r>
          </w:p>
        </w:tc>
        <w:tc>
          <w:tcPr>
            <w:tcW w:w="20" w:type="dxa"/>
            <w:vAlign w:val="bottom"/>
          </w:tcPr>
          <w:p>
            <w:pPr>
              <w:spacing w:after="0"/>
              <w:rPr>
                <w:sz w:val="20"/>
                <w:szCs w:val="20"/>
                <w:color w:val="auto"/>
              </w:rPr>
            </w:pPr>
          </w:p>
        </w:tc>
      </w:tr>
      <w:tr>
        <w:trPr>
          <w:trHeight w:val="20"/>
        </w:trPr>
        <w:tc>
          <w:tcPr>
            <w:tcW w:w="2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2"/>
          </w:tcPr>
          <w:p>
            <w:pPr>
              <w:jc w:val="center"/>
              <w:ind w:left="441"/>
              <w:spacing w:after="0"/>
              <w:rPr>
                <w:sz w:val="20"/>
                <w:szCs w:val="20"/>
                <w:color w:val="auto"/>
              </w:rPr>
            </w:pPr>
            <w:r>
              <w:rPr>
                <w:rFonts w:ascii="Arial" w:cs="Arial" w:eastAsia="Arial" w:hAnsi="Arial"/>
                <w:sz w:val="13"/>
                <w:szCs w:val="13"/>
                <w:b w:val="1"/>
                <w:bCs w:val="1"/>
                <w:color w:val="auto"/>
                <w:w w:val="97"/>
              </w:rPr>
              <w:t>Three Months Ended March 31, 2018</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4"/>
        </w:trPr>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9"/>
              </w:rPr>
              <w:t>Vistaprint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Upload and Print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National Pen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8"/>
                <w:szCs w:val="18"/>
                <w:color w:val="auto"/>
              </w:rPr>
            </w:pPr>
          </w:p>
        </w:tc>
      </w:tr>
      <w:tr>
        <w:trPr>
          <w:trHeight w:val="57"/>
        </w:trPr>
        <w:tc>
          <w:tcPr>
            <w:tcW w:w="260" w:type="dxa"/>
            <w:vAlign w:val="bottom"/>
            <w:tcBorders>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244,561</w:t>
            </w:r>
          </w:p>
        </w:tc>
        <w:tc>
          <w:tcPr>
            <w:tcW w:w="100" w:type="dxa"/>
            <w:vAlign w:val="bottom"/>
            <w:shd w:val="clear" w:color="auto" w:fill="CCEEFF"/>
          </w:tcPr>
          <w:p>
            <w:pPr>
              <w:spacing w:after="0"/>
              <w:rPr>
                <w:sz w:val="21"/>
                <w:szCs w:val="21"/>
                <w:color w:val="auto"/>
              </w:rPr>
            </w:pPr>
          </w:p>
        </w:tc>
        <w:tc>
          <w:tcPr>
            <w:tcW w:w="1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21"/>
                <w:szCs w:val="21"/>
                <w:color w:val="auto"/>
              </w:rPr>
            </w:pP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40,813</w:t>
            </w:r>
          </w:p>
        </w:tc>
        <w:tc>
          <w:tcPr>
            <w:tcW w:w="40" w:type="dxa"/>
            <w:vAlign w:val="bottom"/>
            <w:shd w:val="clear" w:color="auto" w:fill="CCEEFF"/>
          </w:tcPr>
          <w:p>
            <w:pPr>
              <w:spacing w:after="0"/>
              <w:rPr>
                <w:sz w:val="21"/>
                <w:szCs w:val="21"/>
                <w:color w:val="auto"/>
              </w:rPr>
            </w:pPr>
          </w:p>
        </w:tc>
        <w:tc>
          <w:tcPr>
            <w:tcW w:w="4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291,427</w:t>
            </w:r>
          </w:p>
        </w:tc>
        <w:tc>
          <w:tcPr>
            <w:tcW w:w="20" w:type="dxa"/>
            <w:vAlign w:val="bottom"/>
            <w:shd w:val="clear" w:color="auto" w:fill="CCEEFF"/>
          </w:tcPr>
          <w:p>
            <w:pPr>
              <w:spacing w:after="0"/>
              <w:rPr>
                <w:sz w:val="21"/>
                <w:szCs w:val="21"/>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92,305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183,394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31,983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308,258</w:t>
            </w: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17,993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7,944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10,447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36,384</w:t>
            </w:r>
          </w:p>
        </w:tc>
        <w:tc>
          <w:tcPr>
            <w:tcW w:w="20" w:type="dxa"/>
            <w:vAlign w:val="bottom"/>
            <w:shd w:val="clear" w:color="auto" w:fill="CCEEFF"/>
          </w:tcPr>
          <w:p>
            <w:pPr>
              <w:spacing w:after="0"/>
              <w:rPr>
                <w:sz w:val="24"/>
                <w:szCs w:val="24"/>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2,747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329</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805</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1,834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5,715</w:t>
            </w:r>
          </w:p>
        </w:tc>
        <w:tc>
          <w:tcPr>
            <w:tcW w:w="20" w:type="dxa"/>
            <w:vAlign w:val="bottom"/>
            <w:tcBorders>
              <w:bottom w:val="single" w:sz="8" w:color="auto"/>
            </w:tcBorders>
          </w:tcPr>
          <w:p>
            <w:pPr>
              <w:spacing w:after="0"/>
              <w:rPr>
                <w:sz w:val="22"/>
                <w:szCs w:val="22"/>
                <w:color w:val="auto"/>
              </w:rPr>
            </w:pPr>
          </w:p>
        </w:tc>
      </w:tr>
      <w:tr>
        <w:trPr>
          <w:trHeight w:val="250"/>
        </w:trPr>
        <w:tc>
          <w:tcPr>
            <w:tcW w:w="4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357,606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183,768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81,545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18,865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641,784</w:t>
            </w:r>
          </w:p>
        </w:tc>
        <w:tc>
          <w:tcPr>
            <w:tcW w:w="20" w:type="dxa"/>
            <w:vAlign w:val="bottom"/>
            <w:tcBorders>
              <w:bottom w:val="single" w:sz="8" w:color="auto"/>
            </w:tcBorders>
            <w:shd w:val="clear" w:color="auto" w:fill="CCEEFF"/>
          </w:tcPr>
          <w:p>
            <w:pPr>
              <w:spacing w:after="0"/>
              <w:rPr>
                <w:sz w:val="21"/>
                <w:szCs w:val="21"/>
                <w:color w:val="auto"/>
              </w:rPr>
            </w:pPr>
          </w:p>
        </w:tc>
      </w:tr>
      <w:tr>
        <w:trPr>
          <w:trHeight w:val="25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inter-segment elimination</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w:t>
            </w:r>
          </w:p>
        </w:tc>
        <w:tc>
          <w:tcPr>
            <w:tcW w:w="20" w:type="dxa"/>
            <w:vAlign w:val="bottom"/>
            <w:tcBorders>
              <w:bottom w:val="single" w:sz="8" w:color="auto"/>
            </w:tcBorders>
          </w:tcPr>
          <w:p>
            <w:pPr>
              <w:spacing w:after="0"/>
              <w:rPr>
                <w:sz w:val="21"/>
                <w:szCs w:val="21"/>
                <w:color w:val="auto"/>
              </w:rPr>
            </w:pP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external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354,859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183,439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80,740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17,031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636,069</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36"/>
        </w:trPr>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6"/>
          </w:tcPr>
          <w:p>
            <w:pPr>
              <w:jc w:val="center"/>
              <w:ind w:right="340"/>
              <w:spacing w:after="0"/>
              <w:rPr>
                <w:sz w:val="20"/>
                <w:szCs w:val="20"/>
                <w:color w:val="auto"/>
              </w:rPr>
            </w:pPr>
            <w:r>
              <w:rPr>
                <w:rFonts w:ascii="Arial" w:cs="Arial" w:eastAsia="Arial" w:hAnsi="Arial"/>
                <w:sz w:val="13"/>
                <w:szCs w:val="13"/>
                <w:b w:val="1"/>
                <w:bCs w:val="1"/>
                <w:color w:val="auto"/>
                <w:w w:val="96"/>
              </w:rPr>
              <w:t>Nine Months Ended March 31, 2019</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4"/>
        </w:trPr>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Vistaprint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3"/>
                <w:szCs w:val="13"/>
                <w:b w:val="1"/>
                <w:bCs w:val="1"/>
                <w:color w:val="auto"/>
              </w:rPr>
              <w:t>Upload and Print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National Pen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8"/>
                <w:szCs w:val="18"/>
                <w:color w:val="auto"/>
              </w:rPr>
            </w:pPr>
          </w:p>
        </w:tc>
      </w:tr>
      <w:tr>
        <w:trPr>
          <w:trHeight w:val="57"/>
        </w:trPr>
        <w:tc>
          <w:tcPr>
            <w:tcW w:w="260" w:type="dxa"/>
            <w:vAlign w:val="bottom"/>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0"/>
        </w:trPr>
        <w:tc>
          <w:tcPr>
            <w:tcW w:w="260" w:type="dxa"/>
            <w:vAlign w:val="bottom"/>
          </w:tcPr>
          <w:p>
            <w:pPr>
              <w:spacing w:after="0"/>
              <w:rPr>
                <w:sz w:val="21"/>
                <w:szCs w:val="21"/>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765,684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137,603</w:t>
            </w:r>
          </w:p>
        </w:tc>
        <w:tc>
          <w:tcPr>
            <w:tcW w:w="40" w:type="dxa"/>
            <w:vAlign w:val="bottom"/>
            <w:shd w:val="clear" w:color="auto" w:fill="CCEEFF"/>
          </w:tcPr>
          <w:p>
            <w:pPr>
              <w:spacing w:after="0"/>
              <w:rPr>
                <w:sz w:val="21"/>
                <w:szCs w:val="21"/>
                <w:color w:val="auto"/>
              </w:rPr>
            </w:pPr>
          </w:p>
        </w:tc>
        <w:tc>
          <w:tcPr>
            <w:tcW w:w="4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92,490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995,777</w:t>
            </w:r>
          </w:p>
        </w:tc>
        <w:tc>
          <w:tcPr>
            <w:tcW w:w="20" w:type="dxa"/>
            <w:vAlign w:val="bottom"/>
            <w:shd w:val="clear" w:color="auto" w:fill="CCEEFF"/>
          </w:tcPr>
          <w:p>
            <w:pPr>
              <w:spacing w:after="0"/>
              <w:rPr>
                <w:sz w:val="21"/>
                <w:szCs w:val="21"/>
                <w:color w:val="auto"/>
              </w:rPr>
            </w:pPr>
          </w:p>
        </w:tc>
      </w:tr>
      <w:tr>
        <w:trPr>
          <w:trHeight w:val="260"/>
        </w:trPr>
        <w:tc>
          <w:tcPr>
            <w:tcW w:w="26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291,506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563,212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113,404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2,226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970,348</w:t>
            </w:r>
          </w:p>
        </w:tc>
        <w:tc>
          <w:tcPr>
            <w:tcW w:w="20" w:type="dxa"/>
            <w:vAlign w:val="bottom"/>
          </w:tcPr>
          <w:p>
            <w:pPr>
              <w:spacing w:after="0"/>
              <w:rPr>
                <w:sz w:val="22"/>
                <w:szCs w:val="22"/>
                <w:color w:val="auto"/>
              </w:rPr>
            </w:pPr>
          </w:p>
        </w:tc>
      </w:tr>
      <w:tr>
        <w:trPr>
          <w:trHeight w:val="280"/>
        </w:trPr>
        <w:tc>
          <w:tcPr>
            <w:tcW w:w="260" w:type="dxa"/>
            <w:vAlign w:val="bottom"/>
          </w:tcPr>
          <w:p>
            <w:pPr>
              <w:spacing w:after="0"/>
              <w:rPr>
                <w:sz w:val="24"/>
                <w:szCs w:val="24"/>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30,882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110,237</w:t>
            </w:r>
          </w:p>
        </w:tc>
        <w:tc>
          <w:tcPr>
            <w:tcW w:w="20" w:type="dxa"/>
            <w:vAlign w:val="bottom"/>
            <w:shd w:val="clear" w:color="auto" w:fill="CCEEFF"/>
          </w:tcPr>
          <w:p>
            <w:pPr>
              <w:spacing w:after="0"/>
              <w:rPr>
                <w:sz w:val="24"/>
                <w:szCs w:val="24"/>
                <w:color w:val="auto"/>
              </w:rPr>
            </w:pPr>
          </w:p>
        </w:tc>
      </w:tr>
      <w:tr>
        <w:trPr>
          <w:trHeight w:val="264"/>
        </w:trPr>
        <w:tc>
          <w:tcPr>
            <w:tcW w:w="260" w:type="dxa"/>
            <w:vAlign w:val="bottom"/>
          </w:tcPr>
          <w:p>
            <w:pPr>
              <w:spacing w:after="0"/>
              <w:rPr>
                <w:sz w:val="22"/>
                <w:szCs w:val="22"/>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9,463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5,226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18,360</w:t>
            </w:r>
          </w:p>
        </w:tc>
        <w:tc>
          <w:tcPr>
            <w:tcW w:w="20" w:type="dxa"/>
            <w:vAlign w:val="bottom"/>
            <w:tcBorders>
              <w:bottom w:val="single" w:sz="8" w:color="auto"/>
            </w:tcBorders>
          </w:tcPr>
          <w:p>
            <w:pPr>
              <w:spacing w:after="0"/>
              <w:rPr>
                <w:sz w:val="22"/>
                <w:szCs w:val="22"/>
                <w:color w:val="auto"/>
              </w:rPr>
            </w:pPr>
          </w:p>
        </w:tc>
      </w:tr>
      <w:tr>
        <w:trPr>
          <w:trHeight w:val="250"/>
        </w:trPr>
        <w:tc>
          <w:tcPr>
            <w:tcW w:w="260" w:type="dxa"/>
            <w:vAlign w:val="bottom"/>
          </w:tcPr>
          <w:p>
            <w:pPr>
              <w:spacing w:after="0"/>
              <w:rPr>
                <w:sz w:val="21"/>
                <w:szCs w:val="21"/>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1,121,156</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564,099</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278,643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130,824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2,094,722</w:t>
            </w:r>
          </w:p>
        </w:tc>
        <w:tc>
          <w:tcPr>
            <w:tcW w:w="20" w:type="dxa"/>
            <w:vAlign w:val="bottom"/>
            <w:tcBorders>
              <w:bottom w:val="single" w:sz="8" w:color="auto"/>
            </w:tcBorders>
            <w:shd w:val="clear" w:color="auto" w:fill="CCEEFF"/>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(9,463)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(887)</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(18,360)</w:t>
            </w:r>
          </w:p>
        </w:tc>
        <w:tc>
          <w:tcPr>
            <w:tcW w:w="20" w:type="dxa"/>
            <w:vAlign w:val="bottom"/>
            <w:tcBorders>
              <w:bottom w:val="single" w:sz="8" w:color="auto"/>
            </w:tcBorders>
          </w:tcPr>
          <w:p>
            <w:pPr>
              <w:spacing w:after="0"/>
              <w:rPr>
                <w:sz w:val="21"/>
                <w:szCs w:val="21"/>
                <w:color w:val="auto"/>
              </w:rPr>
            </w:pPr>
          </w:p>
        </w:tc>
      </w:tr>
      <w:tr>
        <w:trPr>
          <w:trHeight w:val="240"/>
        </w:trPr>
        <w:tc>
          <w:tcPr>
            <w:tcW w:w="260" w:type="dxa"/>
            <w:vAlign w:val="bottom"/>
          </w:tcPr>
          <w:p>
            <w:pPr>
              <w:spacing w:after="0"/>
              <w:rPr>
                <w:sz w:val="20"/>
                <w:szCs w:val="20"/>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1,111,693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563,212</w:t>
            </w:r>
          </w:p>
        </w:tc>
        <w:tc>
          <w:tcPr>
            <w:tcW w:w="80" w:type="dxa"/>
            <w:vAlign w:val="bottom"/>
            <w:shd w:val="clear" w:color="auto" w:fill="CCEEFF"/>
          </w:tcPr>
          <w:p>
            <w:pPr>
              <w:spacing w:after="0"/>
              <w:rPr>
                <w:sz w:val="20"/>
                <w:szCs w:val="20"/>
                <w:color w:val="auto"/>
              </w:rPr>
            </w:pP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275,859</w:t>
            </w:r>
          </w:p>
        </w:tc>
        <w:tc>
          <w:tcPr>
            <w:tcW w:w="4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125,598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2,076,362</w:t>
            </w:r>
          </w:p>
        </w:tc>
        <w:tc>
          <w:tcPr>
            <w:tcW w:w="20" w:type="dxa"/>
            <w:vAlign w:val="bottom"/>
            <w:shd w:val="clear" w:color="auto" w:fill="CCEEFF"/>
          </w:tcPr>
          <w:p>
            <w:pPr>
              <w:spacing w:after="0"/>
              <w:rPr>
                <w:sz w:val="20"/>
                <w:szCs w:val="20"/>
                <w:color w:val="auto"/>
              </w:rPr>
            </w:pPr>
          </w:p>
        </w:tc>
      </w:tr>
      <w:tr>
        <w:trPr>
          <w:trHeight w:val="20"/>
        </w:trPr>
        <w:tc>
          <w:tcPr>
            <w:tcW w:w="2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3"/>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3"/>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36"/>
        </w:trPr>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6"/>
          </w:tcPr>
          <w:p>
            <w:pPr>
              <w:jc w:val="center"/>
              <w:ind w:right="340"/>
              <w:spacing w:after="0"/>
              <w:rPr>
                <w:sz w:val="20"/>
                <w:szCs w:val="20"/>
                <w:color w:val="auto"/>
              </w:rPr>
            </w:pPr>
            <w:r>
              <w:rPr>
                <w:rFonts w:ascii="Arial" w:cs="Arial" w:eastAsia="Arial" w:hAnsi="Arial"/>
                <w:sz w:val="13"/>
                <w:szCs w:val="13"/>
                <w:b w:val="1"/>
                <w:bCs w:val="1"/>
                <w:color w:val="auto"/>
                <w:w w:val="96"/>
              </w:rPr>
              <w:t>Nine Months Ended March 31, 2018</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4"/>
        </w:trPr>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Vistaprint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3"/>
                <w:szCs w:val="13"/>
                <w:b w:val="1"/>
                <w:bCs w:val="1"/>
                <w:color w:val="auto"/>
              </w:rPr>
              <w:t>Upload and Print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National Pen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8"/>
                <w:szCs w:val="18"/>
                <w:color w:val="auto"/>
              </w:rPr>
            </w:pPr>
          </w:p>
        </w:tc>
      </w:tr>
      <w:tr>
        <w:trPr>
          <w:trHeight w:val="57"/>
        </w:trPr>
        <w:tc>
          <w:tcPr>
            <w:tcW w:w="260" w:type="dxa"/>
            <w:vAlign w:val="bottom"/>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0"/>
        </w:trPr>
        <w:tc>
          <w:tcPr>
            <w:tcW w:w="260" w:type="dxa"/>
            <w:vAlign w:val="bottom"/>
          </w:tcPr>
          <w:p>
            <w:pPr>
              <w:spacing w:after="0"/>
              <w:rPr>
                <w:sz w:val="21"/>
                <w:szCs w:val="21"/>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738,921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80" w:type="dxa"/>
            <w:vAlign w:val="bottom"/>
            <w:shd w:val="clear" w:color="auto" w:fill="CCEEFF"/>
          </w:tcPr>
          <w:p>
            <w:pPr>
              <w:spacing w:after="0"/>
              <w:rPr>
                <w:sz w:val="21"/>
                <w:szCs w:val="21"/>
                <w:color w:val="auto"/>
              </w:rPr>
            </w:pP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131,100</w:t>
            </w:r>
          </w:p>
        </w:tc>
        <w:tc>
          <w:tcPr>
            <w:tcW w:w="40" w:type="dxa"/>
            <w:vAlign w:val="bottom"/>
            <w:shd w:val="clear" w:color="auto" w:fill="CCEEFF"/>
          </w:tcPr>
          <w:p>
            <w:pPr>
              <w:spacing w:after="0"/>
              <w:rPr>
                <w:sz w:val="21"/>
                <w:szCs w:val="21"/>
                <w:color w:val="auto"/>
              </w:rPr>
            </w:pPr>
          </w:p>
        </w:tc>
        <w:tc>
          <w:tcPr>
            <w:tcW w:w="4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14,928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887,090</w:t>
            </w:r>
          </w:p>
        </w:tc>
        <w:tc>
          <w:tcPr>
            <w:tcW w:w="20" w:type="dxa"/>
            <w:vAlign w:val="bottom"/>
            <w:shd w:val="clear" w:color="auto" w:fill="CCEEFF"/>
          </w:tcPr>
          <w:p>
            <w:pPr>
              <w:spacing w:after="0"/>
              <w:rPr>
                <w:sz w:val="21"/>
                <w:szCs w:val="21"/>
                <w:color w:val="auto"/>
              </w:rPr>
            </w:pPr>
          </w:p>
        </w:tc>
      </w:tr>
      <w:tr>
        <w:trPr>
          <w:trHeight w:val="260"/>
        </w:trPr>
        <w:tc>
          <w:tcPr>
            <w:tcW w:w="26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300,477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533,407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112,261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14,251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960,396</w:t>
            </w:r>
          </w:p>
        </w:tc>
        <w:tc>
          <w:tcPr>
            <w:tcW w:w="20" w:type="dxa"/>
            <w:vAlign w:val="bottom"/>
          </w:tcPr>
          <w:p>
            <w:pPr>
              <w:spacing w:after="0"/>
              <w:rPr>
                <w:sz w:val="22"/>
                <w:szCs w:val="22"/>
                <w:color w:val="auto"/>
              </w:rPr>
            </w:pPr>
          </w:p>
        </w:tc>
      </w:tr>
      <w:tr>
        <w:trPr>
          <w:trHeight w:val="280"/>
        </w:trPr>
        <w:tc>
          <w:tcPr>
            <w:tcW w:w="260" w:type="dxa"/>
            <w:vAlign w:val="bottom"/>
          </w:tcPr>
          <w:p>
            <w:pPr>
              <w:spacing w:after="0"/>
              <w:rPr>
                <w:sz w:val="24"/>
                <w:szCs w:val="24"/>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33,791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113,921</w:t>
            </w:r>
          </w:p>
        </w:tc>
        <w:tc>
          <w:tcPr>
            <w:tcW w:w="20" w:type="dxa"/>
            <w:vAlign w:val="bottom"/>
            <w:shd w:val="clear" w:color="auto" w:fill="CCEEFF"/>
          </w:tcPr>
          <w:p>
            <w:pPr>
              <w:spacing w:after="0"/>
              <w:rPr>
                <w:sz w:val="24"/>
                <w:szCs w:val="24"/>
                <w:color w:val="auto"/>
              </w:rPr>
            </w:pPr>
          </w:p>
        </w:tc>
      </w:tr>
      <w:tr>
        <w:trPr>
          <w:trHeight w:val="264"/>
        </w:trPr>
        <w:tc>
          <w:tcPr>
            <w:tcW w:w="260" w:type="dxa"/>
            <w:vAlign w:val="bottom"/>
          </w:tcPr>
          <w:p>
            <w:pPr>
              <w:spacing w:after="0"/>
              <w:rPr>
                <w:sz w:val="22"/>
                <w:szCs w:val="22"/>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7,753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4,943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16,108</w:t>
            </w:r>
          </w:p>
        </w:tc>
        <w:tc>
          <w:tcPr>
            <w:tcW w:w="20" w:type="dxa"/>
            <w:vAlign w:val="bottom"/>
            <w:tcBorders>
              <w:bottom w:val="single" w:sz="8" w:color="auto"/>
            </w:tcBorders>
          </w:tcPr>
          <w:p>
            <w:pPr>
              <w:spacing w:after="0"/>
              <w:rPr>
                <w:sz w:val="22"/>
                <w:szCs w:val="22"/>
                <w:color w:val="auto"/>
              </w:rPr>
            </w:pPr>
          </w:p>
        </w:tc>
      </w:tr>
      <w:tr>
        <w:trPr>
          <w:trHeight w:val="250"/>
        </w:trPr>
        <w:tc>
          <w:tcPr>
            <w:tcW w:w="260" w:type="dxa"/>
            <w:vAlign w:val="bottom"/>
          </w:tcPr>
          <w:p>
            <w:pPr>
              <w:spacing w:after="0"/>
              <w:rPr>
                <w:sz w:val="21"/>
                <w:szCs w:val="21"/>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1,105,557</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536,685</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267,360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67,913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1,977,515</w:t>
            </w:r>
          </w:p>
        </w:tc>
        <w:tc>
          <w:tcPr>
            <w:tcW w:w="20" w:type="dxa"/>
            <w:vAlign w:val="bottom"/>
            <w:tcBorders>
              <w:bottom w:val="single" w:sz="8" w:color="auto"/>
            </w:tcBorders>
            <w:shd w:val="clear" w:color="auto" w:fill="CCEEFF"/>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(7,753)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(1,137)</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(16,108)</w:t>
            </w:r>
          </w:p>
        </w:tc>
        <w:tc>
          <w:tcPr>
            <w:tcW w:w="20" w:type="dxa"/>
            <w:vAlign w:val="bottom"/>
            <w:tcBorders>
              <w:bottom w:val="single" w:sz="8" w:color="auto"/>
            </w:tcBorders>
          </w:tcPr>
          <w:p>
            <w:pPr>
              <w:spacing w:after="0"/>
              <w:rPr>
                <w:sz w:val="21"/>
                <w:szCs w:val="21"/>
                <w:color w:val="auto"/>
              </w:rPr>
            </w:pPr>
          </w:p>
        </w:tc>
      </w:tr>
      <w:tr>
        <w:trPr>
          <w:trHeight w:val="240"/>
        </w:trPr>
        <w:tc>
          <w:tcPr>
            <w:tcW w:w="260" w:type="dxa"/>
            <w:vAlign w:val="bottom"/>
          </w:tcPr>
          <w:p>
            <w:pPr>
              <w:spacing w:after="0"/>
              <w:rPr>
                <w:sz w:val="20"/>
                <w:szCs w:val="20"/>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1,097,804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535,548</w:t>
            </w:r>
          </w:p>
        </w:tc>
        <w:tc>
          <w:tcPr>
            <w:tcW w:w="80" w:type="dxa"/>
            <w:vAlign w:val="bottom"/>
            <w:shd w:val="clear" w:color="auto" w:fill="CCEEFF"/>
          </w:tcPr>
          <w:p>
            <w:pPr>
              <w:spacing w:after="0"/>
              <w:rPr>
                <w:sz w:val="20"/>
                <w:szCs w:val="20"/>
                <w:color w:val="auto"/>
              </w:rPr>
            </w:pP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265,085</w:t>
            </w:r>
          </w:p>
        </w:tc>
        <w:tc>
          <w:tcPr>
            <w:tcW w:w="4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62,970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1,961,407</w:t>
            </w:r>
          </w:p>
        </w:tc>
        <w:tc>
          <w:tcPr>
            <w:tcW w:w="20" w:type="dxa"/>
            <w:vAlign w:val="bottom"/>
            <w:shd w:val="clear" w:color="auto" w:fill="CCEEFF"/>
          </w:tcPr>
          <w:p>
            <w:pPr>
              <w:spacing w:after="0"/>
              <w:rPr>
                <w:sz w:val="20"/>
                <w:szCs w:val="20"/>
                <w:color w:val="auto"/>
              </w:rPr>
            </w:pPr>
          </w:p>
        </w:tc>
      </w:tr>
      <w:tr>
        <w:trPr>
          <w:trHeight w:val="20"/>
        </w:trPr>
        <w:tc>
          <w:tcPr>
            <w:tcW w:w="2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58"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following table includes segment profit (loss) by reportable segment, total income from operations and total income before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 (loss):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60" w:type="dxa"/>
            <w:vAlign w:val="bottom"/>
          </w:tcPr>
          <w:p>
            <w:pPr>
              <w:jc w:val="right"/>
              <w:ind w:right="768"/>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69,713</w:t>
            </w:r>
          </w:p>
        </w:tc>
        <w:tc>
          <w:tcPr>
            <w:tcW w:w="100" w:type="dxa"/>
            <w:vAlign w:val="bottom"/>
          </w:tcPr>
          <w:p>
            <w:pPr>
              <w:spacing w:after="0"/>
              <w:rPr>
                <w:sz w:val="22"/>
                <w:szCs w:val="22"/>
                <w:color w:val="auto"/>
              </w:rPr>
            </w:pPr>
          </w:p>
        </w:tc>
        <w:tc>
          <w:tcPr>
            <w:tcW w:w="9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57,661</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200,765</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187,605</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9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17,865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56,498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54,605</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 (1)</w:t>
            </w:r>
          </w:p>
        </w:tc>
        <w:tc>
          <w:tcPr>
            <w:tcW w:w="9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5,113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19,185</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9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segment profit</w:t>
            </w:r>
          </w:p>
        </w:tc>
        <w:tc>
          <w:tcPr>
            <w:tcW w:w="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78,901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66,041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238,259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235,936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9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(28,499)</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(35,891)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(76,540)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(97,558)</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Acquisition-related amortization and depreciation</w:t>
            </w:r>
          </w:p>
        </w:tc>
        <w:tc>
          <w:tcPr>
            <w:tcW w:w="9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(14,089)</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(13,030)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(40,372)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(38,330)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Earn-out related charges (2)</w:t>
            </w:r>
          </w:p>
        </w:tc>
        <w:tc>
          <w:tcPr>
            <w:tcW w:w="9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18"/>
        </w:trPr>
        <w:tc>
          <w:tcPr>
            <w:tcW w:w="4700" w:type="dxa"/>
            <w:vAlign w:val="bottom"/>
          </w:tcPr>
          <w:p>
            <w:pPr>
              <w:ind w:left="380"/>
              <w:spacing w:after="0"/>
              <w:rPr>
                <w:sz w:val="20"/>
                <w:szCs w:val="20"/>
                <w:color w:val="auto"/>
              </w:rPr>
            </w:pPr>
            <w:r>
              <w:rPr>
                <w:rFonts w:ascii="Arial" w:cs="Arial" w:eastAsia="Arial" w:hAnsi="Arial"/>
                <w:sz w:val="16"/>
                <w:szCs w:val="16"/>
                <w:color w:val="auto"/>
              </w:rPr>
              <w:t>Share-based compensation related to investment</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380"/>
              <w:spacing w:after="0"/>
              <w:rPr>
                <w:sz w:val="20"/>
                <w:szCs w:val="20"/>
                <w:color w:val="auto"/>
              </w:rPr>
            </w:pPr>
            <w:r>
              <w:rPr>
                <w:rFonts w:ascii="Arial" w:cs="Arial" w:eastAsia="Arial" w:hAnsi="Arial"/>
                <w:sz w:val="16"/>
                <w:szCs w:val="16"/>
                <w:color w:val="auto"/>
              </w:rPr>
              <w:t>consideration</w:t>
            </w:r>
          </w:p>
        </w:tc>
        <w:tc>
          <w:tcPr>
            <w:tcW w:w="9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Certain impairments and other adjustments (3)</w:t>
            </w:r>
          </w:p>
        </w:tc>
        <w:tc>
          <w:tcPr>
            <w:tcW w:w="9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Restructuring-related charges</w:t>
            </w:r>
          </w:p>
        </w:tc>
        <w:tc>
          <w:tcPr>
            <w:tcW w:w="9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(7,866)</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(14,686)</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 for Waltham, MA lease</w:t>
            </w:r>
          </w:p>
        </w:tc>
        <w:tc>
          <w:tcPr>
            <w:tcW w:w="9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5,457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5,645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6"/>
                <w:szCs w:val="16"/>
                <w:color w:val="auto"/>
              </w:rPr>
              <w:t>Gain on the purchase or sale of subsidiaries (4)</w:t>
            </w:r>
          </w:p>
        </w:tc>
        <w:tc>
          <w:tcPr>
            <w:tcW w:w="9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48,380</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income from operations</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29,615</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16,627</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114,242</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135,949</w:t>
            </w:r>
          </w:p>
        </w:tc>
        <w:tc>
          <w:tcPr>
            <w:tcW w:w="0" w:type="dxa"/>
            <w:vAlign w:val="bottom"/>
          </w:tcPr>
          <w:p>
            <w:pPr>
              <w:spacing w:after="0"/>
              <w:rPr>
                <w:sz w:val="1"/>
                <w:szCs w:val="1"/>
                <w:color w:val="auto"/>
              </w:rPr>
            </w:pPr>
          </w:p>
        </w:tc>
      </w:tr>
      <w:tr>
        <w:trPr>
          <w:trHeight w:val="247"/>
        </w:trPr>
        <w:tc>
          <w:tcPr>
            <w:tcW w:w="4700" w:type="dxa"/>
            <w:vAlign w:val="bottom"/>
          </w:tcPr>
          <w:p>
            <w:pPr>
              <w:ind w:left="380"/>
              <w:spacing w:after="0"/>
              <w:rPr>
                <w:sz w:val="20"/>
                <w:szCs w:val="20"/>
                <w:color w:val="auto"/>
              </w:rPr>
            </w:pPr>
            <w:r>
              <w:rPr>
                <w:rFonts w:ascii="Arial" w:cs="Arial" w:eastAsia="Arial" w:hAnsi="Arial"/>
                <w:sz w:val="16"/>
                <w:szCs w:val="16"/>
                <w:color w:val="auto"/>
              </w:rPr>
              <w:t>Other (expense) income, net</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17,386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(25,602)</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 net</w:t>
            </w:r>
          </w:p>
        </w:tc>
        <w:tc>
          <w:tcPr>
            <w:tcW w:w="9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(16,787)</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(12,652)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auto"/>
            </w:tcBorders>
          </w:tcPr>
          <w:p>
            <w:pPr>
              <w:jc w:val="right"/>
              <w:ind w:right="76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10,333</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2,417</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84,256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72,084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20" w:hanging="252"/>
        <w:spacing w:after="0" w:line="241"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the first quarter of fiscal 2019, we adopted ASC 606, Revenue from Contracts with Customers, which is the new revenue standard described in Note 2 of the accompanying consolidated financial statements. We applied the new standard under the modified retrospective method, in which we did not apply the new standard to the prior comparable period. The adoption of the new standard resulted in lower direct mail advertising costs within our National Pen business during the three months ended March 31, 2019 of $1,486, as compared to the prior comparative period, due to the earlier recognition of costs during the first quarter of fiscal 2019. During the nine months ended March 31, 2019, the new standard had a negative impact on operating income and adjusted net operating profit of $486, as compared to the prior comparative period. Direct mail advertising costs were previously capitalized and amortized over the customer response period (typically 3-4 months) and now costs are recognized when the direct mail is sent to the customers.</w:t>
      </w:r>
    </w:p>
    <w:p>
      <w:pPr>
        <w:spacing w:after="0" w:line="164" w:lineRule="exact"/>
        <w:rPr>
          <w:rFonts w:ascii="Arial" w:cs="Arial" w:eastAsia="Arial" w:hAnsi="Arial"/>
          <w:sz w:val="14"/>
          <w:szCs w:val="14"/>
          <w:color w:val="auto"/>
        </w:rPr>
      </w:pPr>
    </w:p>
    <w:p>
      <w:pPr>
        <w:ind w:left="260" w:right="100" w:hanging="252"/>
        <w:spacing w:after="0" w:line="241"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ind w:left="260" w:right="180" w:hanging="252"/>
        <w:spacing w:after="0" w:line="241"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the impact of certain impairments of goodwill and other long-lived assets as defined by ASC 350 - "Intangibles - Goodwill and Other", as well as reserves recognized for loans as defined by ASC 326 - "Financial Instruments - Credit Losses."</w:t>
      </w:r>
    </w:p>
    <w:p>
      <w:pPr>
        <w:ind w:left="260" w:right="220" w:hanging="252"/>
        <w:spacing w:after="0" w:line="258"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that was recognized in general and administrative expense in our consolidated statement of operations during the nine months ended March 31,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47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80" w:type="dxa"/>
            <w:vAlign w:val="bottom"/>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16,317</w:t>
            </w:r>
          </w:p>
        </w:tc>
        <w:tc>
          <w:tcPr>
            <w:tcW w:w="100" w:type="dxa"/>
            <w:vAlign w:val="bottom"/>
          </w:tcPr>
          <w:p>
            <w:pPr>
              <w:spacing w:after="0"/>
              <w:rPr>
                <w:sz w:val="22"/>
                <w:szCs w:val="22"/>
                <w:color w:val="auto"/>
              </w:rPr>
            </w:pPr>
          </w:p>
        </w:tc>
        <w:tc>
          <w:tcPr>
            <w:tcW w:w="96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16,460</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48,185</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48,943</w:t>
            </w: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12,702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40,196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45,426</w:t>
            </w: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9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5,371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15,814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15,742</w:t>
            </w: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6,935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15,587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6,981</w:t>
            </w: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9,772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10,028</w:t>
            </w:r>
          </w:p>
        </w:tc>
      </w:tr>
      <w:tr>
        <w:trPr>
          <w:trHeight w:val="24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depreciation and amortization</w:t>
            </w:r>
          </w:p>
        </w:tc>
        <w:tc>
          <w:tcPr>
            <w:tcW w:w="98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44,334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43,437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129,554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127,120</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80" w:type="dxa"/>
            <w:vAlign w:val="bottom"/>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4,628</w:t>
            </w:r>
          </w:p>
        </w:tc>
        <w:tc>
          <w:tcPr>
            <w:tcW w:w="100" w:type="dxa"/>
            <w:vAlign w:val="bottom"/>
          </w:tcPr>
          <w:p>
            <w:pPr>
              <w:spacing w:after="0"/>
              <w:rPr>
                <w:sz w:val="22"/>
                <w:szCs w:val="22"/>
                <w:color w:val="auto"/>
              </w:rPr>
            </w:pPr>
          </w:p>
        </w:tc>
        <w:tc>
          <w:tcPr>
            <w:tcW w:w="96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4,843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25,860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29,342</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8,111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11,270</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9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7,780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4,891</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12,228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purchases of property, plant and equipment</w:t>
            </w:r>
          </w:p>
        </w:tc>
        <w:tc>
          <w:tcPr>
            <w:tcW w:w="98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19,167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57,934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47,441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70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80" w:type="dxa"/>
            <w:vAlign w:val="bottom"/>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6,659</w:t>
            </w:r>
          </w:p>
        </w:tc>
        <w:tc>
          <w:tcPr>
            <w:tcW w:w="100" w:type="dxa"/>
            <w:vAlign w:val="bottom"/>
          </w:tcPr>
          <w:p>
            <w:pPr>
              <w:spacing w:after="0"/>
              <w:rPr>
                <w:sz w:val="22"/>
                <w:szCs w:val="22"/>
                <w:color w:val="auto"/>
              </w:rPr>
            </w:pPr>
          </w:p>
        </w:tc>
        <w:tc>
          <w:tcPr>
            <w:tcW w:w="96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7,186</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19,274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18,266</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9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2,543</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5,791</w:t>
            </w: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capitalization of software and website</w:t>
            </w:r>
          </w:p>
        </w:tc>
        <w:tc>
          <w:tcPr>
            <w:tcW w:w="980" w:type="dxa"/>
            <w:vAlign w:val="bottom"/>
            <w:vMerge w:val="restart"/>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12,716</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11,362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34,637</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29,476</w:t>
            </w:r>
          </w:p>
        </w:tc>
        <w:tc>
          <w:tcPr>
            <w:tcW w:w="0" w:type="dxa"/>
            <w:vAlign w:val="bottom"/>
          </w:tcPr>
          <w:p>
            <w:pPr>
              <w:spacing w:after="0"/>
              <w:rPr>
                <w:sz w:val="1"/>
                <w:szCs w:val="1"/>
                <w:color w:val="auto"/>
              </w:rPr>
            </w:pPr>
          </w:p>
        </w:tc>
      </w:tr>
      <w:tr>
        <w:trPr>
          <w:trHeight w:val="198"/>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development costs</w:t>
            </w: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420" w:type="dxa"/>
            <w:vAlign w:val="bottom"/>
            <w:gridSpan w:val="4"/>
          </w:tcPr>
          <w:p>
            <w:pPr>
              <w:ind w:left="660"/>
              <w:spacing w:after="0"/>
              <w:rPr>
                <w:sz w:val="20"/>
                <w:szCs w:val="20"/>
                <w:color w:val="auto"/>
              </w:rPr>
            </w:pPr>
            <w:r>
              <w:rPr>
                <w:rFonts w:ascii="Arial" w:cs="Arial" w:eastAsia="Arial" w:hAnsi="Arial"/>
                <w:sz w:val="18"/>
                <w:szCs w:val="18"/>
                <w:color w:val="auto"/>
              </w:rPr>
              <w:t>The following table sets forth long-lived assets by geographic area:</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 2019</w:t>
            </w:r>
          </w:p>
        </w:tc>
        <w:tc>
          <w:tcPr>
            <w:tcW w:w="26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Netherlands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84,313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109,556</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Canada</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75,427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81,334</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57,492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45,709</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55,976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52,523</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Italy</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41,475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Jamaica</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21,741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21,720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Australia</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21,504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22,418</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France</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19,277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20,131</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Japan</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19,117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79,140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67,842</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474,114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482,864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60" w:hanging="252"/>
        <w:spacing w:after="0" w:line="258" w:lineRule="auto"/>
        <w:tabs>
          <w:tab w:leader="none" w:pos="233"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goodwill of $720,734 and $520,843, intangible assets, net of $273,831 and $230,201, build-to-suit lease assets of $121,108 and $111,926, and deferred tax assets of $57,885 and $67,087 as of March 31, 2019 and June 30,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16" w:lineRule="exact"/>
        <w:rPr>
          <w:sz w:val="20"/>
          <w:szCs w:val="20"/>
          <w:color w:val="auto"/>
        </w:rPr>
      </w:pPr>
    </w:p>
    <w:p>
      <w:pPr>
        <w:jc w:val="both"/>
        <w:ind w:right="80" w:firstLine="662"/>
        <w:spacing w:after="0" w:line="256" w:lineRule="auto"/>
        <w:rPr>
          <w:sz w:val="20"/>
          <w:szCs w:val="20"/>
          <w:color w:val="auto"/>
        </w:rPr>
      </w:pPr>
      <w:r>
        <w:rPr>
          <w:rFonts w:ascii="Arial" w:cs="Arial" w:eastAsia="Arial" w:hAnsi="Arial"/>
          <w:sz w:val="18"/>
          <w:szCs w:val="18"/>
          <w:color w:val="auto"/>
        </w:rPr>
        <w:t>We have commitments under operating leases for our facilities that expire on various dates through 2026. Total lease expense, net of sublease income, for the three and nine months ended March 31, 2019 was $4,311 and $13,075, respectively, and $4,340 and $10,527 for the three and nine months ended March 31, 2018, respectively.</w:t>
      </w:r>
    </w:p>
    <w:p>
      <w:pPr>
        <w:spacing w:after="0" w:line="175" w:lineRule="exact"/>
        <w:rPr>
          <w:sz w:val="20"/>
          <w:szCs w:val="20"/>
          <w:color w:val="auto"/>
        </w:rPr>
      </w:pPr>
    </w:p>
    <w:p>
      <w:pPr>
        <w:ind w:right="140" w:firstLine="662"/>
        <w:spacing w:after="0" w:line="254" w:lineRule="auto"/>
        <w:rPr>
          <w:sz w:val="20"/>
          <w:szCs w:val="20"/>
          <w:color w:val="auto"/>
        </w:rPr>
      </w:pPr>
      <w:r>
        <w:rPr>
          <w:rFonts w:ascii="Arial" w:cs="Arial" w:eastAsia="Arial" w:hAnsi="Arial"/>
          <w:sz w:val="18"/>
          <w:szCs w:val="18"/>
          <w:color w:val="auto"/>
        </w:rPr>
        <w:t>We lease certain machinery and plant equipment, as well as buildings, under both capital and operating lease agreements that expire at various dates through 2027. The aggregate carrying value of the leased buildings and equipment under capital leases included in property, plant and equipment, net in our consolidated balance sheet at March 31, 2019, is $34,566, net of accumulated depreciation of $39,931; the present value of 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04" w:right="239" w:bottom="1440" w:gutter="0" w:footer="0" w:header="0"/>
        </w:sectPr>
      </w:pPr>
    </w:p>
    <w:bookmarkStart w:id="33" w:name="page34"/>
    <w:bookmarkEnd w:id="33"/>
    <w:p>
      <w:pPr>
        <w:ind w:right="100"/>
        <w:spacing w:after="0" w:line="262" w:lineRule="auto"/>
        <w:rPr>
          <w:sz w:val="20"/>
          <w:szCs w:val="20"/>
          <w:color w:val="auto"/>
        </w:rPr>
      </w:pPr>
      <w:r>
        <w:rPr>
          <w:rFonts w:ascii="Arial" w:cs="Arial" w:eastAsia="Arial" w:hAnsi="Arial"/>
          <w:sz w:val="18"/>
          <w:szCs w:val="18"/>
          <w:color w:val="auto"/>
        </w:rPr>
        <w:t>installments not yet due included in other current liabilities and other liabilities in our consolidated balance sheet at March 31, 2019 amounts to $29,140.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At March 31, 2019, we had unrecorded commitments under contract of $41,847, including inventory and third-party fulfillment purchase commitments of $15,184 and third-party web services of $9,755. In addition, we had purchase commitments for production and computer equipment purchases of approximately $5,148, commitments for advertising campaigns of $288, professional and consulting fees of $993, and other unrecorded purchase commitments of $10,479.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We deferred payments for several of our acquisitions resulting in the recognition of a liability of $5,564 in aggregate. In addition, we have an outstanding installment obligation of $526 related to the fiscal 2012 intra-entity transfer of the intellectual property of our subsidiary Webs, Inc., which results in tax being paid over a 7.5-year term and has been classified as a deferred tax liability in our consolidated balance sheet as of March 31,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Charges</w:t>
      </w:r>
    </w:p>
    <w:p>
      <w:pPr>
        <w:spacing w:after="0" w:line="247" w:lineRule="exact"/>
        <w:rPr>
          <w:sz w:val="20"/>
          <w:szCs w:val="20"/>
          <w:color w:val="auto"/>
        </w:rPr>
      </w:pPr>
    </w:p>
    <w:p>
      <w:pPr>
        <w:jc w:val="both"/>
        <w:ind w:right="60" w:firstLine="648"/>
        <w:spacing w:after="0" w:line="265" w:lineRule="auto"/>
        <w:rPr>
          <w:sz w:val="20"/>
          <w:szCs w:val="20"/>
          <w:color w:val="auto"/>
        </w:rPr>
      </w:pPr>
      <w:r>
        <w:rPr>
          <w:rFonts w:ascii="Arial" w:cs="Arial" w:eastAsia="Arial" w:hAnsi="Arial"/>
          <w:sz w:val="17"/>
          <w:szCs w:val="17"/>
          <w:color w:val="auto"/>
        </w:rPr>
        <w:t>Restructuring costs include one-time employee termination benefits, acceleration of share-based compensation, write-off of assets and other related costs including third-party professional and outplacement services. During the three and nine months ended March 31, 2019, we recognized restructuring charges of $7,866 and $9,062, respectively, primarily related to a restructuring action within our Vistaprint business.</w:t>
      </w:r>
    </w:p>
    <w:p>
      <w:pPr>
        <w:spacing w:after="0" w:line="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Vistaprint action included changes to the leadership team, as well as other reductions in headcount and associated costs. We expect to recognize additional restructuring charges during the fourth quarter of fiscal 2019 for employees that have been retained and will continue to provide service during the transition period.</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three and nine months ended March 31, 2018, we recognized restructuring charges of $2,331 and $14,686, respectively, which primarily related to Vistaprint's November 2017 restructuring action.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nine months ended March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Related</w:t>
            </w: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Benefits</w:t>
            </w: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 Restructuring Costs</w:t>
            </w:r>
          </w:p>
        </w:tc>
        <w:tc>
          <w:tcPr>
            <w:tcW w:w="400" w:type="dxa"/>
            <w:vAlign w:val="bottom"/>
          </w:tcPr>
          <w:p>
            <w:pPr>
              <w:spacing w:after="0"/>
              <w:rPr>
                <w:sz w:val="15"/>
                <w:szCs w:val="15"/>
                <w:color w:val="auto"/>
              </w:rPr>
            </w:pPr>
          </w:p>
        </w:tc>
        <w:tc>
          <w:tcPr>
            <w:tcW w:w="1300" w:type="dxa"/>
            <w:vAlign w:val="bottom"/>
          </w:tcPr>
          <w:p>
            <w:pPr>
              <w:jc w:val="right"/>
              <w:ind w:right="62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1,385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charges (1)</w:t>
            </w:r>
          </w:p>
        </w:tc>
        <w:tc>
          <w:tcPr>
            <w:tcW w:w="140" w:type="dxa"/>
            <w:vAlign w:val="bottom"/>
          </w:tcPr>
          <w:p>
            <w:pPr>
              <w:spacing w:after="0"/>
              <w:rPr>
                <w:sz w:val="22"/>
                <w:szCs w:val="22"/>
                <w:color w:val="auto"/>
              </w:rPr>
            </w:pP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8,758</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9,062</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Non-cash charges (2)</w:t>
            </w: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4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March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2,144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0" w:firstLine="8"/>
        <w:spacing w:after="0" w:line="247" w:lineRule="auto"/>
        <w:tabs>
          <w:tab w:leader="none" w:pos="2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the three and nine months ended March 31, 2019, Vistaprint recognized restructuring charges of $7,225 and $7,539, respectively, related primarily to the action discussed above. All Other Businesses incurred immaterial restructuring charges of $630 and $731, respectively. Upload and Print recognized restructuring charges of $593 for the nine months ended March 31, 2019, related to an immaterial action during the second quarter of fiscal 2019. For the three and nine months ended March 31, 2019, our Central and Corporate cost center incurred restructuring charges of $11 and $199, respectively, related to a prior year action.</w:t>
      </w:r>
    </w:p>
    <w:p>
      <w:pPr>
        <w:spacing w:after="0" w:line="39"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Non-cash charges primarily include acceleration of share-based compensation expenses.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anticipated growth and development of certain of our businesses, expected effects of accounting changes, sufficiency of our tax reserves, sufficiency of our cash, legal proceedings, anticipated competitive position of certain of our businesses, and the impact of exchange rate and currency volatility.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82" w:lineRule="exact"/>
        <w:rPr>
          <w:sz w:val="20"/>
          <w:szCs w:val="20"/>
          <w:color w:val="auto"/>
        </w:rPr>
      </w:pPr>
    </w:p>
    <w:p>
      <w:pPr>
        <w:ind w:right="500" w:firstLine="648"/>
        <w:spacing w:after="0" w:line="254" w:lineRule="auto"/>
        <w:rPr>
          <w:sz w:val="20"/>
          <w:szCs w:val="20"/>
          <w:color w:val="auto"/>
        </w:rPr>
      </w:pPr>
      <w:r>
        <w:rPr>
          <w:rFonts w:ascii="Arial" w:cs="Arial" w:eastAsia="Arial" w:hAnsi="Arial"/>
          <w:sz w:val="18"/>
          <w:szCs w:val="18"/>
          <w:color w:val="auto"/>
        </w:rPr>
        <w:t>As of March 31, 2019, we have numerous operating segments under our management reporting structure that are reported in the following four reportable segments: Vistaprint, Upload and Print, National Pen, and All Other Businesses. Refer to Note 13 in our accompanying consolidated financial statements for additional information relating to our reportable segments and our segment financial measures.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free cash flow prior to cash interest costs; however, in evaluating the financial condition and operating performance of our business, management considers a number of metrics including revenue growth, constant-currency revenue growth, operating income, adjusted net operating profit, cash flow from operations and free cash flow. A summary of these key financial metrics for the three and nine months ended March 31, 2019 as compared to the three and nine months ended March 31, 2018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Fiscal 2019</w:t>
      </w:r>
    </w:p>
    <w:p>
      <w:pPr>
        <w:spacing w:after="0" w:line="13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increased by 4% to $661.8 million.</w:t>
      </w:r>
    </w:p>
    <w:p>
      <w:pPr>
        <w:spacing w:after="0" w:line="117" w:lineRule="exact"/>
        <w:rPr>
          <w:rFonts w:ascii="Arial" w:cs="Arial" w:eastAsia="Arial" w:hAnsi="Arial"/>
          <w:sz w:val="18"/>
          <w:szCs w:val="18"/>
          <w:color w:val="auto"/>
        </w:rPr>
      </w:pPr>
    </w:p>
    <w:p>
      <w:pPr>
        <w:ind w:left="980" w:right="100" w:hanging="324"/>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constant-currency revenue (a non-GAAP financial measure) increased by 9% and, excluding acquisitions completed in the last four quarters, increased by 3%.</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income increased by $13.0 million to $29.6 million.</w:t>
      </w:r>
    </w:p>
    <w:p>
      <w:pPr>
        <w:spacing w:after="0" w:line="117" w:lineRule="exact"/>
        <w:rPr>
          <w:rFonts w:ascii="Arial" w:cs="Arial" w:eastAsia="Arial" w:hAnsi="Arial"/>
          <w:sz w:val="18"/>
          <w:szCs w:val="18"/>
          <w:color w:val="auto"/>
        </w:rPr>
      </w:pPr>
    </w:p>
    <w:p>
      <w:pPr>
        <w:ind w:left="980" w:right="400" w:hanging="324"/>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operating profit (a non-GAAP financial measure which we refer to as adjusted NOP) increased by $29.9 million to $55.2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 Fiscal 2019</w:t>
      </w:r>
    </w:p>
    <w:p>
      <w:pPr>
        <w:spacing w:after="0" w:line="13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increased by 6% to $2,076.4 million.</w:t>
      </w:r>
    </w:p>
    <w:p>
      <w:pPr>
        <w:spacing w:after="0" w:line="117" w:lineRule="exact"/>
        <w:rPr>
          <w:rFonts w:ascii="Arial" w:cs="Arial" w:eastAsia="Arial" w:hAnsi="Arial"/>
          <w:sz w:val="18"/>
          <w:szCs w:val="18"/>
          <w:color w:val="auto"/>
        </w:rPr>
      </w:pPr>
    </w:p>
    <w:p>
      <w:pPr>
        <w:ind w:left="980" w:right="260" w:hanging="324"/>
        <w:spacing w:after="0" w:line="262"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constant-currency revenue increased by 9% and, excluding acquisitions and divestitures completed in the last four quarters, increased by 6%.</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68" w:right="239" w:bottom="1440" w:gutter="0" w:footer="0" w:header="0"/>
        </w:sectPr>
      </w:pPr>
    </w:p>
    <w:bookmarkStart w:id="35" w:name="page36"/>
    <w:bookmarkEnd w:id="35"/>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decreased by $21.7 million to $114.2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NOP increased by $46.2 million to $175.6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provided by operating activities increased by $77.8 million to $222.5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Free cash flow (a non-GAAP financial measure) increased by $13.2 million to $129.9 million.</w:t>
      </w:r>
    </w:p>
    <w:p>
      <w:pPr>
        <w:spacing w:after="0" w:line="198"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For the third quarter of fiscal 2019, the increase in reported revenue is primarily due to the addition of the revenue of our BuildASign business acquired on October 1, 2018, as well as continued growth in our Upload and Print reportable segment. Currency exchange rate fluctuations negatively impacted revenue during the quarter. Constant-currency revenue growth continued to slow in our Vistaprint business, primarily due to planned reductions in advertising spend while we rebuild our tools to ensure strong returns and improved customer conversion rates. Our National Pen business also reported lower constant-currency revenue growth, due to a reduction in new customer prospecting activities, as well as operational delays in the supply chain for direct-marketing mailings.</w:t>
      </w:r>
    </w:p>
    <w:p>
      <w:pPr>
        <w:spacing w:after="0" w:line="18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For the third quarter of fiscal 2019, operating income increased $13.0 million due primarily to improved profitability in our Vistaprint business driven by a reduction in advertising expense, as well as a decrease in share-based compensation expense. The decrease in share-based compensation expense is due to no recognition of expense for our supplemental PSUs in the current quarter since we continued to consider achievement of the performance condition to not be probable, as well as reduced board compensation with the changes we made in November 2018 that reduced the number of directors on our board of directors. These increases in operating income were partially offset by an increase in restructuring charges of $5.5 million, related primarily to actions taken in our Vistaprint business. During the nine months ended March 31, 2019, operating income declined primarily due to the prior year gain of $47.5 million on the sale of Albumprinter, which did not recur during the current period.</w:t>
      </w:r>
    </w:p>
    <w:p>
      <w:pPr>
        <w:spacing w:after="0" w:line="17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the third quarter of fiscal 2019, adjusted NOP increased year over year primarily due to the same reasons as operating income mentioned above, as well as the addition of the profit from our BuildASign business acquired on October 1, 2018, which positively influenced adjusted NOP to a greater degree than operating income because adjusted NOP excludes acquisition-related amortization expense. Adjusted NOP excludes the year-over-year impact from higher restructuring charges and acquisition-related charges, and includes realized gains or losses on our currency hedges. The net year over year impact of currency on adjusted NOP was positive for the three months ended March 31,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301"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Our businesses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For additional discussion relating to segment revenue results, refer to the "Reportable Segment Results" section included below.</w:t>
      </w:r>
    </w:p>
    <w:p>
      <w:pPr>
        <w:spacing w:after="0" w:line="177" w:lineRule="exact"/>
        <w:rPr>
          <w:sz w:val="20"/>
          <w:szCs w:val="20"/>
          <w:color w:val="auto"/>
        </w:rPr>
      </w:pPr>
    </w:p>
    <w:p>
      <w:pPr>
        <w:ind w:right="60" w:firstLine="662"/>
        <w:spacing w:after="0" w:line="262" w:lineRule="auto"/>
        <w:rPr>
          <w:sz w:val="20"/>
          <w:szCs w:val="20"/>
          <w:color w:val="auto"/>
        </w:rPr>
      </w:pPr>
      <w:r>
        <w:rPr>
          <w:rFonts w:ascii="Arial" w:cs="Arial" w:eastAsia="Arial" w:hAnsi="Arial"/>
          <w:sz w:val="18"/>
          <w:szCs w:val="18"/>
          <w:color w:val="auto"/>
        </w:rPr>
        <w:t>Total revenue and revenue growth by reportable segment for the three and nine months ended March 31, 2019 and 2018 are shown in the following tables: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6"/>
                <w:szCs w:val="16"/>
                <w:color w:val="auto"/>
              </w:rPr>
            </w:pPr>
          </w:p>
        </w:tc>
        <w:tc>
          <w:tcPr>
            <w:tcW w:w="2280" w:type="dxa"/>
            <w:vAlign w:val="bottom"/>
            <w:gridSpan w:val="4"/>
            <w:vMerge w:val="restart"/>
          </w:tcPr>
          <w:p>
            <w:pPr>
              <w:jc w:val="right"/>
              <w:ind w:right="242"/>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Constant-</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Impact:</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tcPr>
          <w:p>
            <w:pPr>
              <w:jc w:val="center"/>
              <w:ind w:left="42"/>
              <w:spacing w:after="0" w:line="135" w:lineRule="exact"/>
              <w:rPr>
                <w:sz w:val="20"/>
                <w:szCs w:val="20"/>
                <w:color w:val="auto"/>
              </w:rPr>
            </w:pPr>
            <w:r>
              <w:rPr>
                <w:rFonts w:ascii="Arial" w:cs="Arial" w:eastAsia="Arial" w:hAnsi="Arial"/>
                <w:sz w:val="13"/>
                <w:szCs w:val="13"/>
                <w:b w:val="1"/>
                <w:bCs w:val="1"/>
                <w:color w:val="auto"/>
                <w:w w:val="86"/>
              </w:rPr>
              <w:t>%</w:t>
            </w: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349,901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357,606</w:t>
            </w:r>
          </w:p>
        </w:tc>
        <w:tc>
          <w:tcPr>
            <w:tcW w:w="90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24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188,135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183,768</w:t>
            </w:r>
          </w:p>
        </w:tc>
        <w:tc>
          <w:tcPr>
            <w:tcW w:w="900" w:type="dxa"/>
            <w:vAlign w:val="bottom"/>
            <w:gridSpan w:val="2"/>
          </w:tcPr>
          <w:p>
            <w:pPr>
              <w:jc w:val="center"/>
              <w:ind w:left="42"/>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8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79,721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81,545</w:t>
            </w:r>
          </w:p>
        </w:tc>
        <w:tc>
          <w:tcPr>
            <w:tcW w:w="90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24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50,109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18,865</w:t>
            </w:r>
          </w:p>
        </w:tc>
        <w:tc>
          <w:tcPr>
            <w:tcW w:w="900" w:type="dxa"/>
            <w:vAlign w:val="bottom"/>
            <w:gridSpan w:val="2"/>
          </w:tcPr>
          <w:p>
            <w:pPr>
              <w:jc w:val="center"/>
              <w:ind w:left="42"/>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8"/>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661,814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636,069</w:t>
            </w:r>
          </w:p>
        </w:tc>
        <w:tc>
          <w:tcPr>
            <w:tcW w:w="900" w:type="dxa"/>
            <w:vAlign w:val="bottom"/>
            <w:gridSpan w:val="2"/>
          </w:tcPr>
          <w:p>
            <w:pPr>
              <w:jc w:val="center"/>
              <w:ind w:left="42"/>
              <w:spacing w:after="0"/>
              <w:rPr>
                <w:sz w:val="20"/>
                <w:szCs w:val="20"/>
                <w:color w:val="auto"/>
              </w:rPr>
            </w:pPr>
            <w:r>
              <w:rPr>
                <w:rFonts w:ascii="Arial" w:cs="Arial" w:eastAsia="Arial" w:hAnsi="Arial"/>
                <w:sz w:val="16"/>
                <w:szCs w:val="16"/>
                <w:color w:val="auto"/>
                <w:w w:val="94"/>
              </w:rPr>
              <w:t>4%</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9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1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6"/>
                <w:szCs w:val="16"/>
                <w:color w:val="auto"/>
              </w:rPr>
            </w:pPr>
          </w:p>
        </w:tc>
        <w:tc>
          <w:tcPr>
            <w:tcW w:w="2320" w:type="dxa"/>
            <w:vAlign w:val="bottom"/>
            <w:gridSpan w:val="4"/>
            <w:vMerge w:val="restart"/>
          </w:tcPr>
          <w:p>
            <w:pPr>
              <w:jc w:val="right"/>
              <w:ind w:right="302"/>
              <w:spacing w:after="0"/>
              <w:rPr>
                <w:sz w:val="20"/>
                <w:szCs w:val="20"/>
                <w:color w:val="auto"/>
              </w:rPr>
            </w:pPr>
            <w:r>
              <w:rPr>
                <w:rFonts w:ascii="Arial" w:cs="Arial" w:eastAsia="Arial" w:hAnsi="Arial"/>
                <w:sz w:val="13"/>
                <w:szCs w:val="13"/>
                <w:b w:val="1"/>
                <w:bCs w:val="1"/>
                <w:color w:val="auto"/>
              </w:rPr>
              <w:t>Nine Months Ended March 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Constant-</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Impact:</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tcPr>
          <w:p>
            <w:pPr>
              <w:jc w:val="center"/>
              <w:ind w:left="42"/>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1,121,156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1,105,557</w:t>
            </w:r>
          </w:p>
        </w:tc>
        <w:tc>
          <w:tcPr>
            <w:tcW w:w="88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26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564,099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536,685</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278,643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267,360</w:t>
            </w:r>
          </w:p>
        </w:tc>
        <w:tc>
          <w:tcPr>
            <w:tcW w:w="88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26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130,824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67,913</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93%</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2,076,362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1,961,407</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20" w:hanging="252"/>
        <w:spacing w:after="0" w:line="250"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64" w:lineRule="exact"/>
        <w:rPr>
          <w:rFonts w:ascii="Arial" w:cs="Arial" w:eastAsia="Arial" w:hAnsi="Arial"/>
          <w:sz w:val="14"/>
          <w:szCs w:val="14"/>
          <w:color w:val="auto"/>
        </w:rPr>
      </w:pPr>
    </w:p>
    <w:p>
      <w:pPr>
        <w:ind w:left="260" w:right="180" w:hanging="252"/>
        <w:spacing w:after="0" w:line="258"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w:t>
      </w:r>
    </w:p>
    <w:p>
      <w:pPr>
        <w:spacing w:after="0" w:line="59" w:lineRule="exact"/>
        <w:rPr>
          <w:rFonts w:ascii="Arial" w:cs="Arial" w:eastAsia="Arial" w:hAnsi="Arial"/>
          <w:sz w:val="14"/>
          <w:szCs w:val="14"/>
          <w:color w:val="auto"/>
        </w:rPr>
      </w:pPr>
    </w:p>
    <w:p>
      <w:pPr>
        <w:ind w:left="260" w:right="60" w:hanging="252"/>
        <w:spacing w:after="0" w:line="250"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VIDA revenue from its acquisition date of July 2, 2018, and BuildASign revenue from its acquisition date of October 1, 2018. Constant-currency revenue growth excluding acquisitions/divestitures, excludes the revenue results for VIDA and BuildASign since their acquisition dates and Albumprinter through the divestiture date.</w:t>
      </w:r>
    </w:p>
    <w:p>
      <w:pPr>
        <w:spacing w:after="0" w:line="145" w:lineRule="exact"/>
        <w:rPr>
          <w:sz w:val="20"/>
          <w:szCs w:val="20"/>
          <w:color w:val="auto"/>
        </w:rPr>
      </w:pPr>
    </w:p>
    <w:p>
      <w:pPr>
        <w:ind w:left="260"/>
        <w:spacing w:after="0" w:line="250"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30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our businesses sell. Cost of revenue as a percent of revenue increased during the three and nine months ended March 31, 2019, compared to the prior year, primarily due to lower gross margins in our Vistaprint business, resulting from unfavorable product mix that shifted to lower margin products, as well as decreased pricing resulting from higher discounting. Several of our businesses also recognized increasing paper costs during these periods.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0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9"/>
                <w:szCs w:val="19"/>
                <w:color w:val="auto"/>
              </w:rPr>
            </w:pPr>
          </w:p>
        </w:tc>
        <w:tc>
          <w:tcPr>
            <w:tcW w:w="290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19"/>
                <w:szCs w:val="19"/>
                <w:color w:val="auto"/>
              </w:rPr>
            </w:pPr>
          </w:p>
        </w:tc>
        <w:tc>
          <w:tcPr>
            <w:tcW w:w="2800" w:type="dxa"/>
            <w:vAlign w:val="bottom"/>
            <w:gridSpan w:val="4"/>
          </w:tcPr>
          <w:p>
            <w:pPr>
              <w:jc w:val="right"/>
              <w:ind w:right="605"/>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50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2018</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342,700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319,209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1,056,667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963,249</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49.1%</w:t>
            </w:r>
          </w:p>
        </w:tc>
      </w:tr>
    </w:tbl>
    <w:p>
      <w:pPr>
        <w:spacing w:after="0" w:line="289" w:lineRule="exact"/>
        <w:rPr>
          <w:sz w:val="20"/>
          <w:szCs w:val="20"/>
          <w:color w:val="auto"/>
        </w:rPr>
      </w:pPr>
    </w:p>
    <w:p>
      <w:pPr>
        <w:ind w:firstLine="662"/>
        <w:spacing w:after="0" w:line="252" w:lineRule="auto"/>
        <w:rPr>
          <w:sz w:val="20"/>
          <w:szCs w:val="20"/>
          <w:color w:val="auto"/>
        </w:rPr>
      </w:pPr>
      <w:r>
        <w:rPr>
          <w:rFonts w:ascii="Arial" w:cs="Arial" w:eastAsia="Arial" w:hAnsi="Arial"/>
          <w:sz w:val="18"/>
          <w:szCs w:val="18"/>
          <w:color w:val="auto"/>
        </w:rPr>
        <w:t>Cost of revenue for the three and nine months ended March 31, 2019 increased by $ 23.5 million and $93.4 million, respectively, partially due to the addition of cost of revenue of $16.6 million and $36.4 million, respectively, from our BuildASign business, which was acquired on October 1, 2018 and is therefore not included in the comparable periods. Vistaprint's cost of revenue increased by $2.4 million and $29.3 million, respectively, from the prior comparable periods, primarily due to changes in product mix and volume increases. The cost of revenue for our Upload and Print businesses increased by $ 3.7 million and $20.3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primarily driven by revenue growth in our Pixartprinting and WIRmachenDRUCK businesses, partially offset by favorable currency impact. We also recognized an increase of $1.8 million and $8.6 million, respectively, of costs within our National Pen business primarily due to increased volume.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0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w w:val="97"/>
              </w:rPr>
              <w:t>Three Months Ended March 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ind w:left="840"/>
              <w:spacing w:after="0"/>
              <w:rPr>
                <w:sz w:val="20"/>
                <w:szCs w:val="20"/>
                <w:color w:val="auto"/>
              </w:rPr>
            </w:pPr>
            <w:r>
              <w:rPr>
                <w:rFonts w:ascii="Arial" w:cs="Arial" w:eastAsia="Arial" w:hAnsi="Arial"/>
                <w:sz w:val="13"/>
                <w:szCs w:val="13"/>
                <w:b w:val="1"/>
                <w:bCs w:val="1"/>
                <w:color w:val="auto"/>
              </w:rPr>
              <w:t>Nine Months Ended March 31,</w:t>
            </w:r>
          </w:p>
        </w:tc>
        <w:tc>
          <w:tcPr>
            <w:tcW w:w="1060" w:type="dxa"/>
            <w:vAlign w:val="bottom"/>
            <w:tcBorders>
              <w:bottom w:val="single" w:sz="8" w:color="auto"/>
            </w:tcBorders>
          </w:tcPr>
          <w:p>
            <w:pPr>
              <w:spacing w:after="0"/>
              <w:rPr>
                <w:sz w:val="21"/>
                <w:szCs w:val="21"/>
                <w:color w:val="auto"/>
              </w:rPr>
            </w:pPr>
          </w:p>
        </w:tc>
      </w:tr>
      <w:tr>
        <w:trPr>
          <w:trHeight w:val="264"/>
        </w:trPr>
        <w:tc>
          <w:tcPr>
            <w:tcW w:w="2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6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6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2019 vs. 2018</w:t>
            </w:r>
          </w:p>
        </w:tc>
        <w:tc>
          <w:tcPr>
            <w:tcW w:w="320" w:type="dxa"/>
            <w:vAlign w:val="bottom"/>
          </w:tcPr>
          <w:p>
            <w:pPr>
              <w:spacing w:after="0"/>
              <w:rPr>
                <w:sz w:val="22"/>
                <w:szCs w:val="22"/>
                <w:color w:val="auto"/>
              </w:rPr>
            </w:pPr>
          </w:p>
        </w:tc>
        <w:tc>
          <w:tcPr>
            <w:tcW w:w="1020" w:type="dxa"/>
            <w:vAlign w:val="bottom"/>
          </w:tcPr>
          <w:p>
            <w:pPr>
              <w:jc w:val="right"/>
              <w:ind w:right="44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48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102"/>
              <w:spacing w:after="0"/>
              <w:rPr>
                <w:sz w:val="20"/>
                <w:szCs w:val="20"/>
                <w:color w:val="auto"/>
              </w:rPr>
            </w:pPr>
            <w:r>
              <w:rPr>
                <w:rFonts w:ascii="Arial" w:cs="Arial" w:eastAsia="Arial" w:hAnsi="Arial"/>
                <w:sz w:val="13"/>
                <w:szCs w:val="13"/>
                <w:b w:val="1"/>
                <w:bCs w:val="1"/>
                <w:color w:val="auto"/>
              </w:rPr>
              <w:t>2019 vs. 2018</w:t>
            </w:r>
          </w:p>
        </w:tc>
      </w:tr>
      <w:tr>
        <w:trPr>
          <w:trHeight w:val="184"/>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w:t>
            </w: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3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58,274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61,267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170,742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182,598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9.3 %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171,584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179,591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566,335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546,469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27.9 %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37,753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44,103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119,145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127,869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6.5 %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14,022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12,941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40,169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38,132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7,866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9,062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14,686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0.7 %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(47,545)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51"/>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i w:val="1"/>
                <w:iCs w:val="1"/>
                <w:color w:val="auto"/>
              </w:rPr>
              <w:t>—%</w:t>
            </w:r>
          </w:p>
        </w:tc>
        <w:tc>
          <w:tcPr>
            <w:tcW w:w="320" w:type="dxa"/>
            <w:vAlign w:val="bottom"/>
          </w:tcPr>
          <w:p>
            <w:pPr>
              <w:spacing w:after="0"/>
              <w:rPr>
                <w:sz w:val="21"/>
                <w:szCs w:val="21"/>
                <w:color w:val="auto"/>
              </w:rPr>
            </w:pPr>
          </w:p>
        </w:tc>
        <w:tc>
          <w:tcPr>
            <w:tcW w:w="1240" w:type="dxa"/>
            <w:vAlign w:val="bottom"/>
            <w:gridSpan w:val="3"/>
          </w:tcPr>
          <w:p>
            <w:pPr>
              <w:ind w:left="680"/>
              <w:spacing w:after="0"/>
              <w:rPr>
                <w:sz w:val="20"/>
                <w:szCs w:val="20"/>
                <w:color w:val="auto"/>
              </w:rPr>
            </w:pPr>
            <w:r>
              <w:rPr>
                <w:rFonts w:ascii="Arial" w:cs="Arial" w:eastAsia="Arial" w:hAnsi="Arial"/>
                <w:sz w:val="16"/>
                <w:szCs w:val="16"/>
                <w:i w:val="1"/>
                <w:iCs w:val="1"/>
                <w:color w:val="auto"/>
              </w:rPr>
              <w:t>—%</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i w:val="1"/>
                <w:iCs w:val="1"/>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260" w:firstLine="662"/>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7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the three and nine months ended March 31, 2019, technology and development expenses decreased by $3.0 million and $11.9 million, respectively, as compared to the prior periods. The decrease during both periods was primarily due to a decrease in share-based compensation costs of $1.9 million and $5.9 million, respectively, which is due to the reversal of cumulative supplemental PSU expense during the second quarter of fiscal 2019 as the achievement of the performance condition is no longer probable. During the nine months ended March 31, 2019, we recognized lower expense as a result of cost savings realized in the Vistaprint business from our restructuring initiatives and a year-over-year decrease in costs of $1.6 million resulting from the divestiture of our Albumprinter business. This was partially offset by the addition of costs from our recent acquisition of BuildASign, which resulted in $0.8 million and $1.5 million, respectively, of costs during the three and nine months ended March 31,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National Pen and BuildASign businesses have higher marketing and selling costs as a percentage of revenue, as compared to our Upload and Print businesses.</w:t>
      </w:r>
    </w:p>
    <w:p>
      <w:pPr>
        <w:spacing w:after="0" w:line="2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marketing and selling expenses decreased by $8.0 million during the three months ended March 31, 2019, as compared to the prior period, primarily due to a planned reduction of advertising spend in our Vistaprint business of $16.5 million, as we seek to eliminate spend that does not meet our return thresholds. This reduction was partially offset by the addition of $10.5 million of advertising and customer care costs in our recently acquired BuildASign business during the three months ended March 31, 2019.</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49" w:right="259" w:bottom="1440" w:gutter="0" w:footer="0" w:header="0"/>
        </w:sectPr>
      </w:pPr>
    </w:p>
    <w:bookmarkStart w:id="38" w:name="page39"/>
    <w:bookmarkEnd w:id="38"/>
    <w:p>
      <w:pPr>
        <w:ind w:right="40" w:firstLine="648"/>
        <w:spacing w:after="0" w:line="253" w:lineRule="auto"/>
        <w:rPr>
          <w:sz w:val="20"/>
          <w:szCs w:val="20"/>
          <w:color w:val="auto"/>
        </w:rPr>
      </w:pPr>
      <w:r>
        <w:rPr>
          <w:rFonts w:ascii="Arial" w:cs="Arial" w:eastAsia="Arial" w:hAnsi="Arial"/>
          <w:sz w:val="18"/>
          <w:szCs w:val="18"/>
          <w:color w:val="auto"/>
        </w:rPr>
        <w:t>For the nine months ended March 31, 2019, marketing and selling expenses increased by $19.9 million, as compared to the prior period, primarily due to the addition of $22.8 million of advertising and customer care costs in our recently acquired BuildASign business. In addition, our National Pen business recognized an increase in costs of $18.4 million primarily due to increased customer prospecting activities during the first and second quarters of fiscal 2019. This increase was partially offset by lower advertising costs for Vistaprint of $15.1 million, for the reasons described above, as well as lower costs of $4.6 million due to the sale of our Albumprinter business on August 31,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340" w:firstLine="662"/>
        <w:spacing w:after="0" w:line="291"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the three and nine months ended March 31, 2019, general and administrative expenses decreased by $6.4 million and $8.7 million, respectively, as compared to the prior periods, primarily due to a decrease in share-based compensation costs of $5.3 million and $11.5 million, respectively, which is largely due to the reversal of cumulative supplemental PSU expense described above. The decrease is partially offset by the addition of $1.4 million and $4.2 million of costs from our recent acquisition of BuildASign during the three and nine months ended March 31, 2019, respectively. In addition, for the nine months ended March 31, 2019, we recognized increases in professional fees, primarily related to our acquisitions of VIDA during July 2018 and BuildASign during October 2018, as well as certain other strategic projects.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Amortization of acquired intangible assets increased by $ 1.1 million and $2.0 million during the three and nine months ended March 31, 2019, respectively, as compared to the prior comparable periods, due to the addition of amortization for our acquisition of BuildASign. This increase is partially offset by a reduction of amortization within our Upload and Print reportable segment due to certain intangible assets becoming fully amortized during the nine months ended March 31, 2019.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16" w:lineRule="exact"/>
        <w:rPr>
          <w:sz w:val="20"/>
          <w:szCs w:val="20"/>
          <w:color w:val="auto"/>
        </w:rPr>
      </w:pPr>
    </w:p>
    <w:p>
      <w:pPr>
        <w:ind w:right="260" w:firstLine="648"/>
        <w:spacing w:after="0" w:line="252"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and include employee-related termination costs, third party professional fees, facility exit costs and write-off of abandoned assets. During the three and nine months ended March 31, 2019, we recognized restructuring expense of $ 7.9 million and $9.1 million, respectively, primarily related to actions within our Vistaprint business. Refer to Note 15 in our accompanying consolidated financial statements for additional information relating to the restructuring action. During the three and nine months ended March 31, 2018, we recognized restructuring charges of $2.3 million and $14.7 million, respectively, primarily related to Vistaprint's November 2017 restructuring action.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subsidiaries</w:t>
      </w:r>
    </w:p>
    <w:p>
      <w:pPr>
        <w:spacing w:after="0" w:line="29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During the nine months ended March 31, 2018, we recognized a gain on the sale of our Albumprinter business of $47.5 million, net of transaction costs. The amount of our gain on the sale of Albumprinter was impacted by the partial allocation of goodwill to our Vistaprint business in past periods, as well as minimal carrying value of Albumprinter's acquired intangible assets at the time of the sale, as well as currency impacts.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6" w:lineRule="exact"/>
        <w:rPr>
          <w:sz w:val="20"/>
          <w:szCs w:val="20"/>
          <w:color w:val="auto"/>
        </w:rPr>
      </w:pPr>
    </w:p>
    <w:p>
      <w:pPr>
        <w:ind w:right="140" w:firstLine="662"/>
        <w:spacing w:after="0" w:line="252" w:lineRule="auto"/>
        <w:rPr>
          <w:sz w:val="20"/>
          <w:szCs w:val="20"/>
          <w:color w:val="auto"/>
        </w:rPr>
      </w:pPr>
      <w:r>
        <w:rPr>
          <w:rFonts w:ascii="Arial" w:cs="Arial" w:eastAsia="Arial" w:hAnsi="Arial"/>
          <w:sz w:val="18"/>
          <w:szCs w:val="18"/>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 and ability to qualify for hedge accounting in light of our legal entity cash flows, we considered the benefits of hedge accounting relative to the additional economic cost of trade execution and administrative burden. Based on this analysis, we decided to execute certain currency derivative contracts that do not qualify for hedge accounting.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1"/>
                <w:szCs w:val="21"/>
                <w:color w:val="auto"/>
              </w:rPr>
            </w:pPr>
          </w:p>
        </w:tc>
        <w:tc>
          <w:tcPr>
            <w:tcW w:w="264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March 31,</w:t>
            </w:r>
          </w:p>
        </w:tc>
        <w:tc>
          <w:tcPr>
            <w:tcW w:w="320" w:type="dxa"/>
            <w:vAlign w:val="bottom"/>
          </w:tcPr>
          <w:p>
            <w:pPr>
              <w:spacing w:after="0"/>
              <w:rPr>
                <w:sz w:val="21"/>
                <w:szCs w:val="21"/>
                <w:color w:val="auto"/>
              </w:rPr>
            </w:pPr>
          </w:p>
        </w:tc>
        <w:tc>
          <w:tcPr>
            <w:tcW w:w="2520" w:type="dxa"/>
            <w:vAlign w:val="bottom"/>
            <w:gridSpan w:val="4"/>
          </w:tcPr>
          <w:p>
            <w:pPr>
              <w:ind w:left="220"/>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56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 instruments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19,802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Currency-related (losses) gains,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7,519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(7,133)</w:t>
            </w:r>
          </w:p>
        </w:tc>
      </w:tr>
      <w:tr>
        <w:trPr>
          <w:trHeight w:val="273"/>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 (losses)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634</w:t>
            </w:r>
          </w:p>
        </w:tc>
      </w:tr>
      <w:tr>
        <w:trPr>
          <w:trHeight w:val="240"/>
        </w:trPr>
        <w:tc>
          <w:tcPr>
            <w:tcW w:w="5600" w:type="dxa"/>
            <w:vAlign w:val="bottom"/>
          </w:tcPr>
          <w:p>
            <w:pPr>
              <w:ind w:left="40"/>
              <w:spacing w:after="0"/>
              <w:rPr>
                <w:sz w:val="20"/>
                <w:szCs w:val="20"/>
                <w:color w:val="auto"/>
              </w:rPr>
            </w:pPr>
            <w:r>
              <w:rPr>
                <w:rFonts w:ascii="Arial" w:cs="Arial" w:eastAsia="Arial" w:hAnsi="Arial"/>
                <w:sz w:val="16"/>
                <w:szCs w:val="16"/>
                <w:color w:val="auto"/>
              </w:rPr>
              <w:t>Total other (expense) income,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17,386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(25,602)</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increase in losses within other (expense) income, net for the three months ended March 31, 2019 is primarily due to the currency exchange rate volatility impacting our derivatives that are not designated as hedging instruments. We expect volatility to continue in future periods and we do not apply hedge accounting for most of our derivative currency contracts. We also experienced currency-related gains due to currency exchange rate volatility on our non-functional currency intercompany relationships, which we alter from time to time. The impact of certain cross-currency swap contracts designated as cash flow hedges is included in our currency-related (losses) gains, net, offsetting the impact of certain non-functional currency intercompany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60" w:firstLine="662"/>
        <w:spacing w:after="0" w:line="254"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interest related to capital lease obligations and realized gains (losses) on effective interest rate swap contracts and certain cross-currency swap contracts. As part of interest expense, net, we also recognize changes to the estimated future redemption value of our mandatorily redeemable noncontrolling interests.</w:t>
      </w:r>
    </w:p>
    <w:p>
      <w:pPr>
        <w:spacing w:after="0" w:line="177" w:lineRule="exact"/>
        <w:rPr>
          <w:sz w:val="20"/>
          <w:szCs w:val="20"/>
          <w:color w:val="auto"/>
        </w:rPr>
      </w:pPr>
    </w:p>
    <w:p>
      <w:pPr>
        <w:ind w:right="40" w:firstLine="662"/>
        <w:spacing w:after="0" w:line="253" w:lineRule="auto"/>
        <w:rPr>
          <w:sz w:val="20"/>
          <w:szCs w:val="20"/>
          <w:color w:val="auto"/>
        </w:rPr>
      </w:pPr>
      <w:r>
        <w:rPr>
          <w:rFonts w:ascii="Arial" w:cs="Arial" w:eastAsia="Arial" w:hAnsi="Arial"/>
          <w:sz w:val="18"/>
          <w:szCs w:val="18"/>
          <w:color w:val="auto"/>
        </w:rPr>
        <w:t>Interest expense, net was $16.8 million and $47.4 million for the three and nine months ended March 31, 2019, respectively, compared to $12.7 million and $38.3 million for the three and nine months ended March 31, 2018, respectively. Interest expense was higher this year relative to historical trends primarily as a result of higher debt levels, due to the acquisition of BuildASign, as well as higher interest rates, driven both by higher floating interest rates and the change in mix of our outstanding debt, which resulted from the refinancing of our senior unsecured notes during the fourth quarter of fiscal 2018.</w:t>
      </w:r>
    </w:p>
    <w:p>
      <w:pPr>
        <w:sectPr>
          <w:pgSz w:w="11900" w:h="16838" w:orient="portrait"/>
          <w:cols w:equalWidth="0" w:num="1">
            <w:col w:w="11420"/>
          </w:cols>
          <w:pgMar w:left="240" w:top="549"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260" w:type="dxa"/>
            <w:vAlign w:val="bottom"/>
            <w:gridSpan w:val="3"/>
          </w:tcPr>
          <w:p>
            <w:pPr>
              <w:ind w:left="660"/>
              <w:spacing w:after="0"/>
              <w:rPr>
                <w:sz w:val="20"/>
                <w:szCs w:val="20"/>
                <w:color w:val="auto"/>
              </w:rPr>
            </w:pPr>
            <w:r>
              <w:rPr>
                <w:rFonts w:ascii="Arial" w:cs="Arial" w:eastAsia="Arial" w:hAnsi="Arial"/>
                <w:sz w:val="13"/>
                <w:szCs w:val="13"/>
                <w:b w:val="1"/>
                <w:bCs w:val="1"/>
                <w:color w:val="auto"/>
              </w:rPr>
              <w:t>Three Months Ended March 31,</w:t>
            </w:r>
          </w:p>
        </w:tc>
        <w:tc>
          <w:tcPr>
            <w:tcW w:w="3160" w:type="dxa"/>
            <w:vAlign w:val="bottom"/>
            <w:gridSpan w:val="2"/>
          </w:tcPr>
          <w:p>
            <w:pPr>
              <w:jc w:val="right"/>
              <w:ind w:right="617"/>
              <w:spacing w:after="0"/>
              <w:rPr>
                <w:sz w:val="20"/>
                <w:szCs w:val="20"/>
                <w:color w:val="auto"/>
              </w:rPr>
            </w:pPr>
            <w:r>
              <w:rPr>
                <w:rFonts w:ascii="Arial" w:cs="Arial" w:eastAsia="Arial" w:hAnsi="Arial"/>
                <w:sz w:val="13"/>
                <w:szCs w:val="13"/>
                <w:b w:val="1"/>
                <w:bCs w:val="1"/>
                <w:color w:val="auto"/>
              </w:rPr>
              <w:t>Nine Months Ended March 31,</w:t>
            </w:r>
          </w:p>
        </w:tc>
      </w:tr>
      <w:tr>
        <w:trPr>
          <w:trHeight w:val="254"/>
        </w:trPr>
        <w:tc>
          <w:tcPr>
            <w:tcW w:w="158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2019</w:t>
            </w:r>
          </w:p>
        </w:tc>
        <w:tc>
          <w:tcPr>
            <w:tcW w:w="158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58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2019</w:t>
            </w:r>
          </w:p>
        </w:tc>
        <w:tc>
          <w:tcPr>
            <w:tcW w:w="158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2018</w:t>
            </w:r>
          </w:p>
        </w:tc>
      </w:tr>
    </w:tbl>
    <w:p>
      <w:pPr>
        <w:spacing w:after="0" w:line="1" w:lineRule="exact"/>
        <w:rPr>
          <w:sz w:val="20"/>
          <w:szCs w:val="20"/>
          <w:color w:val="auto"/>
        </w:rPr>
      </w:pPr>
    </w:p>
    <w:p>
      <w:pPr>
        <w:sectPr>
          <w:pgSz w:w="11900" w:h="16838" w:orient="portrait"/>
          <w:cols w:equalWidth="0" w:num="2">
            <w:col w:w="4280" w:space="720"/>
            <w:col w:w="6420"/>
          </w:cols>
          <w:pgMar w:left="240" w:top="549"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4,091</w:t>
            </w: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4,019</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23,971</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19,657</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39.6%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ind w:left="420"/>
              <w:spacing w:after="0"/>
              <w:rPr>
                <w:sz w:val="20"/>
                <w:szCs w:val="20"/>
                <w:color w:val="auto"/>
              </w:rPr>
            </w:pPr>
            <w:r>
              <w:rPr>
                <w:rFonts w:ascii="Arial" w:cs="Arial" w:eastAsia="Arial" w:hAnsi="Arial"/>
                <w:sz w:val="16"/>
                <w:szCs w:val="16"/>
                <w:i w:val="1"/>
                <w:iCs w:val="1"/>
                <w:color w:val="auto"/>
              </w:rPr>
              <w:t>166.3%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27.3%</w:t>
            </w:r>
          </w:p>
        </w:tc>
      </w:tr>
    </w:tbl>
    <w:p>
      <w:pPr>
        <w:spacing w:after="0" w:line="23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increase in tax expense for the three and nine months ended March 31, 2019 from the same prior year periods is primarily due to increased pre-tax income for the three and nine months ended March 31, 2019 as compared to the same prior year periods. There were no significant discrete tax adjustments recognized during the three months ended March 31, 2019. However, earlier this year we recognized a decrease in deferred tax assets related to guidance issued by the Internal Revenue Service regarding limitations on tax deductions for compensation granted to certain executives, which increased our tax expense by $5.6 million for the nine months ended March 31, 2019 as compared to increased tax expense of $4.7 million related to the impacts of U.S. tax</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49" w:right="239" w:bottom="1440" w:gutter="0" w:footer="0" w:header="0"/>
          <w:type w:val="continuous"/>
        </w:sectPr>
      </w:pPr>
    </w:p>
    <w:bookmarkStart w:id="40" w:name="page41"/>
    <w:bookmarkEnd w:id="40"/>
    <w:p>
      <w:pPr>
        <w:ind w:right="160"/>
        <w:spacing w:after="0" w:line="252" w:lineRule="auto"/>
        <w:rPr>
          <w:sz w:val="20"/>
          <w:szCs w:val="20"/>
          <w:color w:val="auto"/>
        </w:rPr>
      </w:pPr>
      <w:r>
        <w:rPr>
          <w:rFonts w:ascii="Arial" w:cs="Arial" w:eastAsia="Arial" w:hAnsi="Arial"/>
          <w:sz w:val="18"/>
          <w:szCs w:val="18"/>
          <w:color w:val="auto"/>
        </w:rPr>
        <w:t>reform recognized in the same prior year period. We also recognized "Patent Box" tax benefits of $3.5 million granted to our Pixartprinting business in Italy during the nine months ended March 31, 2019. Additionally, we have recognized lower excess tax benefits from share-based compensation for the nine months ended March 31, 2019 as compared to the same prior period. Excluding the effect of these discrete tax adjustments, our estimated annual effective tax rate is lower for fiscal 2019 as compared to fiscal 2018 primarily due to an expectation of a more favorable geographical mix of consolidated earnings. Our effective tax rate continues to be negatively impacted by losses in certain jurisdictions where we are unable to recognize a full tax benefit in the current period.</w:t>
      </w:r>
    </w:p>
    <w:p>
      <w:pPr>
        <w:spacing w:after="0" w:line="20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10 in our accompanying consolidated financial statements for additional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segment financial performance is measured based on segment profit (loss) which excludes certain non-operational items including acquisition-related expenses, certain impairments and restructuring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ind w:left="960"/>
              <w:spacing w:after="0"/>
              <w:rPr>
                <w:sz w:val="20"/>
                <w:szCs w:val="20"/>
                <w:color w:val="auto"/>
              </w:rPr>
            </w:pPr>
            <w:r>
              <w:rPr>
                <w:rFonts w:ascii="Arial" w:cs="Arial" w:eastAsia="Arial" w:hAnsi="Arial"/>
                <w:sz w:val="13"/>
                <w:szCs w:val="13"/>
                <w:b w:val="1"/>
                <w:bCs w:val="1"/>
                <w:color w:val="auto"/>
                <w:w w:val="99"/>
              </w:rPr>
              <w:t>Three Months Ended March 31,</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Nine Months Ended March 31,</w:t>
            </w:r>
          </w:p>
        </w:tc>
        <w:tc>
          <w:tcPr>
            <w:tcW w:w="1220" w:type="dxa"/>
            <w:vAlign w:val="bottom"/>
            <w:tcBorders>
              <w:bottom w:val="single" w:sz="8" w:color="auto"/>
            </w:tcBorders>
          </w:tcPr>
          <w:p>
            <w:pPr>
              <w:spacing w:after="0"/>
              <w:rPr>
                <w:sz w:val="21"/>
                <w:szCs w:val="21"/>
                <w:color w:val="auto"/>
              </w:rPr>
            </w:pPr>
          </w:p>
        </w:tc>
      </w:tr>
      <w:tr>
        <w:trPr>
          <w:trHeight w:val="264"/>
        </w:trPr>
        <w:tc>
          <w:tcPr>
            <w:tcW w:w="2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2019 vs. 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 vs. 2018</w:t>
            </w:r>
          </w:p>
        </w:tc>
      </w:tr>
      <w:tr>
        <w:trPr>
          <w:trHeight w:val="257"/>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349,901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357,606</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1,121,156</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1,105,557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60" w:type="dxa"/>
            <w:vAlign w:val="bottom"/>
          </w:tcPr>
          <w:p>
            <w:pPr>
              <w:jc w:val="right"/>
              <w:ind w:right="106"/>
              <w:spacing w:after="0"/>
              <w:rPr>
                <w:sz w:val="20"/>
                <w:szCs w:val="20"/>
                <w:color w:val="auto"/>
              </w:rPr>
            </w:pPr>
            <w:r>
              <w:rPr>
                <w:rFonts w:ascii="Arial" w:cs="Arial" w:eastAsia="Arial" w:hAnsi="Arial"/>
                <w:sz w:val="16"/>
                <w:szCs w:val="16"/>
                <w:color w:val="auto"/>
              </w:rPr>
              <w:t>69,713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57,661</w:t>
            </w:r>
          </w:p>
        </w:tc>
        <w:tc>
          <w:tcPr>
            <w:tcW w:w="100" w:type="dxa"/>
            <w:vAlign w:val="bottom"/>
          </w:tcPr>
          <w:p>
            <w:pPr>
              <w:spacing w:after="0"/>
              <w:rPr>
                <w:sz w:val="22"/>
                <w:szCs w:val="22"/>
                <w:color w:val="auto"/>
              </w:rPr>
            </w:pPr>
          </w:p>
        </w:tc>
        <w:tc>
          <w:tcPr>
            <w:tcW w:w="1220" w:type="dxa"/>
            <w:vAlign w:val="bottom"/>
          </w:tcPr>
          <w:p>
            <w:pPr>
              <w:jc w:val="right"/>
              <w:ind w:right="385"/>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200,765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187,605</w:t>
            </w: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Vistaprint's reported revenue growth for the three and nine months ended March 31, 2019 was negatively affected by currency impacts of 3% and 2%, respectively, resulting in constant-currency growth of 1% and 3%, respectively. The year-over-year timing of the Easter holiday slightly benefited Vistaprint's revenue growth in the current quarter. As described last quarter, we reduced our advertising spend that we did not believe was meeting our return thresholds, which impacted revenue growth this quarter, particularly from new customers. During the nine months ended March 31, 2019, revenue growth was driven by continued growth in repeat customer bookings, as well as continued growth in marketing materials, signage and promotional products, partially offset by weakness in consumer products during the second quarter of fiscal 2019, which typically generate significant revenue during the holiday season.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Vistaprint's segment profit increased for the three and nine months ended March 31, 2019 driven primarily by $16.5 million and $15.1 million, respectively, of reductions to advertising spend. Segment profit also increased as a result of reductions to operating expenses, partially offset by the gross margin impact of changes in product mix. Some of the near-term operating expense savings will be offset, as we recruit additional talent within Vistaprint's data, analytics and technology organizations, and we are not allocating the cost of executives to the Vistaprint business while these positions are filled by Cimpress executives on an interim basis. In the current period, Vistaprint's segment profit was negatively impacted by currency movements.</w:t>
      </w:r>
    </w:p>
    <w:p>
      <w:pPr>
        <w:sectPr>
          <w:pgSz w:w="11900" w:h="16838" w:orient="portrait"/>
          <w:cols w:equalWidth="0" w:num="1">
            <w:col w:w="11420"/>
          </w:cols>
          <w:pgMar w:left="240" w:top="382" w:right="239" w:bottom="1440" w:gutter="0" w:footer="0" w:header="0"/>
        </w:sectPr>
      </w:pPr>
    </w:p>
    <w:p>
      <w:pPr>
        <w:spacing w:after="0" w:line="160" w:lineRule="exact"/>
        <w:rPr>
          <w:sz w:val="20"/>
          <w:szCs w:val="20"/>
          <w:color w:val="auto"/>
        </w:rPr>
      </w:pPr>
    </w:p>
    <w:p>
      <w:pPr>
        <w:ind w:left="60" w:right="180" w:hanging="61"/>
        <w:spacing w:after="0" w:line="491" w:lineRule="auto"/>
        <w:rPr>
          <w:sz w:val="20"/>
          <w:szCs w:val="20"/>
          <w:color w:val="auto"/>
        </w:rPr>
      </w:pPr>
      <w:r>
        <w:rPr>
          <w:rFonts w:ascii="Arial" w:cs="Arial" w:eastAsia="Arial" w:hAnsi="Arial"/>
          <w:sz w:val="18"/>
          <w:szCs w:val="18"/>
          <w:b w:val="1"/>
          <w:bCs w:val="1"/>
          <w:i w:val="1"/>
          <w:iCs w:val="1"/>
          <w:color w:val="auto"/>
        </w:rPr>
        <w:t xml:space="preserve">Upload and Print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Nine Months Ended March 31,</w:t>
            </w:r>
          </w:p>
        </w:tc>
        <w:tc>
          <w:tcPr>
            <w:tcW w:w="1180" w:type="dxa"/>
            <w:vAlign w:val="bottom"/>
            <w:tcBorders>
              <w:bottom w:val="single" w:sz="8" w:color="auto"/>
            </w:tcBorders>
          </w:tcPr>
          <w:p>
            <w:pPr>
              <w:spacing w:after="0"/>
              <w:rPr>
                <w:sz w:val="15"/>
                <w:szCs w:val="15"/>
                <w:color w:val="auto"/>
              </w:rPr>
            </w:pPr>
          </w:p>
        </w:tc>
      </w:tr>
      <w:tr>
        <w:trPr>
          <w:trHeight w:val="254"/>
        </w:trPr>
        <w:tc>
          <w:tcPr>
            <w:tcW w:w="1100" w:type="dxa"/>
            <w:vAlign w:val="bottom"/>
          </w:tcPr>
          <w:p>
            <w:pPr>
              <w:jc w:val="right"/>
              <w:ind w:right="137"/>
              <w:spacing w:after="0"/>
              <w:rPr>
                <w:sz w:val="20"/>
                <w:szCs w:val="20"/>
                <w:color w:val="auto"/>
              </w:rPr>
            </w:pPr>
            <w:r>
              <w:rPr>
                <w:rFonts w:ascii="Arial" w:cs="Arial" w:eastAsia="Arial" w:hAnsi="Arial"/>
                <w:sz w:val="13"/>
                <w:szCs w:val="13"/>
                <w:b w:val="1"/>
                <w:bCs w:val="1"/>
                <w:color w:val="auto"/>
              </w:rPr>
              <w:t>2019</w:t>
            </w:r>
          </w:p>
        </w:tc>
        <w:tc>
          <w:tcPr>
            <w:tcW w:w="2220" w:type="dxa"/>
            <w:vAlign w:val="bottom"/>
          </w:tcPr>
          <w:p>
            <w:pPr>
              <w:jc w:val="right"/>
              <w:ind w:right="737"/>
              <w:spacing w:after="0"/>
              <w:rPr>
                <w:sz w:val="20"/>
                <w:szCs w:val="20"/>
                <w:color w:val="auto"/>
              </w:rPr>
            </w:pPr>
            <w:r>
              <w:rPr>
                <w:rFonts w:ascii="Arial" w:cs="Arial" w:eastAsia="Arial" w:hAnsi="Arial"/>
                <w:sz w:val="13"/>
                <w:szCs w:val="13"/>
                <w:b w:val="1"/>
                <w:bCs w:val="1"/>
                <w:color w:val="auto"/>
              </w:rPr>
              <w:t>2018</w:t>
            </w:r>
          </w:p>
        </w:tc>
        <w:tc>
          <w:tcPr>
            <w:tcW w:w="1260" w:type="dxa"/>
            <w:vAlign w:val="bottom"/>
            <w:gridSpan w:val="2"/>
          </w:tcPr>
          <w:p>
            <w:pPr>
              <w:ind w:left="140"/>
              <w:spacing w:after="0"/>
              <w:rPr>
                <w:sz w:val="20"/>
                <w:szCs w:val="20"/>
                <w:color w:val="auto"/>
              </w:rPr>
            </w:pPr>
            <w:r>
              <w:rPr>
                <w:rFonts w:ascii="Arial" w:cs="Arial" w:eastAsia="Arial" w:hAnsi="Arial"/>
                <w:sz w:val="13"/>
                <w:szCs w:val="13"/>
                <w:b w:val="1"/>
                <w:bCs w:val="1"/>
                <w:color w:val="auto"/>
              </w:rPr>
              <w:t>2019 vs. 2018</w:t>
            </w:r>
          </w:p>
        </w:tc>
        <w:tc>
          <w:tcPr>
            <w:tcW w:w="1140" w:type="dxa"/>
            <w:vAlign w:val="bottom"/>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2180" w:type="dxa"/>
            <w:vAlign w:val="bottom"/>
          </w:tcPr>
          <w:p>
            <w:pPr>
              <w:jc w:val="right"/>
              <w:ind w:right="717"/>
              <w:spacing w:after="0"/>
              <w:rPr>
                <w:sz w:val="20"/>
                <w:szCs w:val="20"/>
                <w:color w:val="auto"/>
              </w:rPr>
            </w:pPr>
            <w:r>
              <w:rPr>
                <w:rFonts w:ascii="Arial" w:cs="Arial" w:eastAsia="Arial" w:hAnsi="Arial"/>
                <w:sz w:val="13"/>
                <w:szCs w:val="13"/>
                <w:b w:val="1"/>
                <w:bCs w:val="1"/>
                <w:color w:val="auto"/>
              </w:rPr>
              <w:t>2018</w:t>
            </w:r>
          </w:p>
        </w:tc>
        <w:tc>
          <w:tcPr>
            <w:tcW w:w="1180" w:type="dxa"/>
            <w:vAlign w:val="bottom"/>
          </w:tcPr>
          <w:p>
            <w:pPr>
              <w:ind w:left="160"/>
              <w:spacing w:after="0"/>
              <w:rPr>
                <w:sz w:val="20"/>
                <w:szCs w:val="20"/>
                <w:color w:val="auto"/>
              </w:rPr>
            </w:pPr>
            <w:r>
              <w:rPr>
                <w:rFonts w:ascii="Arial" w:cs="Arial" w:eastAsia="Arial" w:hAnsi="Arial"/>
                <w:sz w:val="13"/>
                <w:szCs w:val="13"/>
                <w:b w:val="1"/>
                <w:bCs w:val="1"/>
                <w:color w:val="auto"/>
              </w:rPr>
              <w:t>2019 vs. 2018</w:t>
            </w:r>
          </w:p>
        </w:tc>
      </w:tr>
    </w:tbl>
    <w:p>
      <w:pPr>
        <w:spacing w:after="0" w:line="1" w:lineRule="exact"/>
        <w:rPr>
          <w:sz w:val="20"/>
          <w:szCs w:val="20"/>
          <w:color w:val="auto"/>
        </w:rPr>
      </w:pPr>
    </w:p>
    <w:p>
      <w:pPr>
        <w:sectPr>
          <w:pgSz w:w="11900" w:h="16838" w:orient="portrait"/>
          <w:cols w:equalWidth="0" w:num="2">
            <w:col w:w="1620" w:space="720"/>
            <w:col w:w="9080"/>
          </w:cols>
          <w:pgMar w:left="240" w:top="382"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188,135</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183,768</w:t>
            </w: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564,099</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536,685</w:t>
            </w:r>
          </w:p>
        </w:tc>
        <w:tc>
          <w:tcPr>
            <w:tcW w:w="1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5%</w:t>
            </w: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17,865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17,367</w:t>
            </w:r>
          </w:p>
        </w:tc>
        <w:tc>
          <w:tcPr>
            <w:tcW w:w="100" w:type="dxa"/>
            <w:vAlign w:val="bottom"/>
          </w:tcPr>
          <w:p>
            <w:pPr>
              <w:spacing w:after="0"/>
              <w:rPr>
                <w:sz w:val="22"/>
                <w:szCs w:val="22"/>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56,498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54,605</w:t>
            </w:r>
          </w:p>
        </w:tc>
        <w:tc>
          <w:tcPr>
            <w:tcW w:w="120" w:type="dxa"/>
            <w:vAlign w:val="bottom"/>
          </w:tcPr>
          <w:p>
            <w:pPr>
              <w:spacing w:after="0"/>
              <w:rPr>
                <w:sz w:val="22"/>
                <w:szCs w:val="22"/>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3%</w:t>
            </w: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82"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Upload and Print's reported revenue growth for the three and nine months ended March 31, 2019 was negatively affected by currency impacts of 9% and 5%, respectively, resulting in constant-currency growth of 11% and 10%, respectively. The year-over-year timing of the Easter holiday slightly benefited Upload and Print revenue growth in the current quarter. The constant-currency revenue growth was primarily driven by continued growth from our Pixartprinting and WIRmachenDRUCK businesses. During the current periods, we continued to experience increased price-focused and advertising competition that we have been experiencing in recent quarters. We continue to believe we can outperform and outlast competitors in the long term due to our geographic diversity, product selection, customer service, profitability and scale, but it requires a continued focus on innovation and cost reduction in this hyper-competitive space.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Upload and Print's segment profit increased during the three and nine months ended March 31, 2019, due to operating expense efficiencies offset by inflation in materials inputs such as paper, increased investments in technology intended to improve the customer value proposition of each business in increasingly competitive markets, increased marketing costs due to higher paid search costs, and negative impacts from currency movements.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5"/>
          </w:tcPr>
          <w:p>
            <w:pPr>
              <w:ind w:left="960"/>
              <w:spacing w:after="0"/>
              <w:rPr>
                <w:sz w:val="20"/>
                <w:szCs w:val="20"/>
                <w:color w:val="auto"/>
              </w:rPr>
            </w:pPr>
            <w:r>
              <w:rPr>
                <w:rFonts w:ascii="Arial" w:cs="Arial" w:eastAsia="Arial" w:hAnsi="Arial"/>
                <w:sz w:val="13"/>
                <w:szCs w:val="13"/>
                <w:b w:val="1"/>
                <w:bCs w:val="1"/>
                <w:color w:val="auto"/>
              </w:rPr>
              <w:t>Three Months Ended March 31,</w:t>
            </w: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Nine Months Ended March 31,</w:t>
            </w:r>
          </w:p>
        </w:tc>
        <w:tc>
          <w:tcPr>
            <w:tcW w:w="1220" w:type="dxa"/>
            <w:vAlign w:val="bottom"/>
            <w:tcBorders>
              <w:bottom w:val="single" w:sz="8" w:color="auto"/>
            </w:tcBorders>
          </w:tcPr>
          <w:p>
            <w:pPr>
              <w:spacing w:after="0"/>
              <w:rPr>
                <w:sz w:val="21"/>
                <w:szCs w:val="21"/>
                <w:color w:val="auto"/>
              </w:rPr>
            </w:pPr>
          </w:p>
        </w:tc>
      </w:tr>
      <w:tr>
        <w:trPr>
          <w:trHeight w:val="183"/>
        </w:trPr>
        <w:tc>
          <w:tcPr>
            <w:tcW w:w="23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2019 vs. 2018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2019 vs. 2018</w:t>
            </w:r>
          </w:p>
        </w:tc>
      </w:tr>
      <w:tr>
        <w:trPr>
          <w:trHeight w:val="257"/>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79,721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81,545</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278,643</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267,360</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4%</w:t>
            </w:r>
          </w:p>
        </w:tc>
      </w:tr>
      <w:tr>
        <w:trPr>
          <w:trHeight w:val="260"/>
        </w:trPr>
        <w:tc>
          <w:tcPr>
            <w:tcW w:w="2320" w:type="dxa"/>
            <w:vAlign w:val="bottom"/>
          </w:tcPr>
          <w:p>
            <w:pPr>
              <w:ind w:left="40"/>
              <w:spacing w:after="0"/>
              <w:rPr>
                <w:sz w:val="20"/>
                <w:szCs w:val="20"/>
                <w:color w:val="auto"/>
              </w:rPr>
            </w:pPr>
            <w:r>
              <w:rPr>
                <w:rFonts w:ascii="Arial" w:cs="Arial" w:eastAsia="Arial" w:hAnsi="Arial"/>
                <w:sz w:val="16"/>
                <w:szCs w:val="16"/>
                <w:color w:val="auto"/>
              </w:rPr>
              <w:t>Segment (Loss) Profit</w:t>
            </w:r>
          </w:p>
        </w:tc>
        <w:tc>
          <w:tcPr>
            <w:tcW w:w="380" w:type="dxa"/>
            <w:vAlign w:val="bottom"/>
          </w:tcPr>
          <w:p>
            <w:pPr>
              <w:spacing w:after="0"/>
              <w:rPr>
                <w:sz w:val="22"/>
                <w:szCs w:val="22"/>
                <w:color w:val="auto"/>
              </w:rPr>
            </w:pPr>
          </w:p>
        </w:tc>
        <w:tc>
          <w:tcPr>
            <w:tcW w:w="1180" w:type="dxa"/>
            <w:vAlign w:val="bottom"/>
          </w:tcPr>
          <w:p>
            <w:pPr>
              <w:jc w:val="right"/>
              <w:ind w:right="106"/>
              <w:spacing w:after="0"/>
              <w:rPr>
                <w:sz w:val="20"/>
                <w:szCs w:val="20"/>
                <w:color w:val="auto"/>
              </w:rPr>
            </w:pPr>
            <w:r>
              <w:rPr>
                <w:rFonts w:ascii="Arial" w:cs="Arial" w:eastAsia="Arial" w:hAnsi="Arial"/>
                <w:sz w:val="16"/>
                <w:szCs w:val="16"/>
                <w:color w:val="auto"/>
              </w:rPr>
              <w:t>(1,713)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2"/>
                <w:szCs w:val="22"/>
                <w:color w:val="auto"/>
              </w:rPr>
            </w:pPr>
          </w:p>
        </w:tc>
        <w:tc>
          <w:tcPr>
            <w:tcW w:w="1200" w:type="dxa"/>
            <w:vAlign w:val="bottom"/>
          </w:tcPr>
          <w:p>
            <w:pPr>
              <w:jc w:val="right"/>
              <w:ind w:right="265"/>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5,113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19,185</w:t>
            </w:r>
          </w:p>
        </w:tc>
        <w:tc>
          <w:tcPr>
            <w:tcW w:w="100" w:type="dxa"/>
            <w:vAlign w:val="bottom"/>
          </w:tcPr>
          <w:p>
            <w:pPr>
              <w:spacing w:after="0"/>
              <w:rPr>
                <w:sz w:val="22"/>
                <w:szCs w:val="22"/>
                <w:color w:val="auto"/>
              </w:rPr>
            </w:pPr>
          </w:p>
        </w:tc>
        <w:tc>
          <w:tcPr>
            <w:tcW w:w="1220" w:type="dxa"/>
            <w:vAlign w:val="bottom"/>
          </w:tcPr>
          <w:p>
            <w:pPr>
              <w:jc w:val="right"/>
              <w:ind w:right="325"/>
              <w:spacing w:after="0"/>
              <w:rPr>
                <w:sz w:val="20"/>
                <w:szCs w:val="20"/>
                <w:color w:val="auto"/>
              </w:rPr>
            </w:pPr>
            <w:r>
              <w:rPr>
                <w:rFonts w:ascii="Arial" w:cs="Arial" w:eastAsia="Arial" w:hAnsi="Arial"/>
                <w:sz w:val="16"/>
                <w:szCs w:val="16"/>
                <w:color w:val="auto"/>
              </w:rPr>
              <w:t>(73)%</w:t>
            </w:r>
          </w:p>
        </w:tc>
      </w:tr>
      <w:tr>
        <w:trPr>
          <w:trHeight w:val="280"/>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6"/>
                <w:szCs w:val="16"/>
                <w:i w:val="1"/>
                <w:iCs w:val="1"/>
                <w:color w:val="auto"/>
              </w:rPr>
              <w:t>—%</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National Pen's reported revenue growth for the three and nine months ended March 31, 2019 was negatively affected by currency impacts of 3% and 2%, respectively, resulting in constant-currency revenue growth of 1% and 6%, respectively. Following strong performance in the prior fiscal year, we significantly increased our direct mail prospecting in the first two quarters of fiscal 2019, which drove new customer growth. We reduced mail and telesales prospecting activities in the current quarter because the payback did not meet our expectations, and that is having an impact on National Pen's revenue growth in the current period. National Pen's revenue was also impacted by operational delays in the supply chain for direct-marketing mailings.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decrease in National Pen's segment profit for the three and nine months ended March 31, 2019, compared to the prior periods, is primarily due to revenue weakness, increased investment in e-commerce technology and marketing teams and increased customer prospecting activities in the nine months ended March 31, 2019. The impact of the new revenue accounting standard resulted in lower direct mail advertising costs of $1.5 million than we would have recognized under the prior standard for the three months ended March 31, 2019, but resulted in higher direct mail advertising costs of $0.5 million for the nine months ended March 31, 2019.</w:t>
      </w:r>
    </w:p>
    <w:p>
      <w:pPr>
        <w:sectPr>
          <w:pgSz w:w="11900" w:h="16838" w:orient="portrait"/>
          <w:cols w:equalWidth="0" w:num="1">
            <w:col w:w="11420"/>
          </w:cols>
          <w:pgMar w:left="240" w:top="553" w:right="239" w:bottom="1440" w:gutter="0" w:footer="0" w:header="0"/>
        </w:sectPr>
      </w:pPr>
    </w:p>
    <w:p>
      <w:pPr>
        <w:spacing w:after="0" w:line="157" w:lineRule="exact"/>
        <w:rPr>
          <w:sz w:val="20"/>
          <w:szCs w:val="20"/>
          <w:color w:val="auto"/>
        </w:rPr>
      </w:pPr>
    </w:p>
    <w:p>
      <w:pPr>
        <w:ind w:left="60" w:hanging="61"/>
        <w:spacing w:after="0" w:line="491" w:lineRule="auto"/>
        <w:rPr>
          <w:sz w:val="20"/>
          <w:szCs w:val="20"/>
          <w:color w:val="auto"/>
        </w:rPr>
      </w:pPr>
      <w:r>
        <w:rPr>
          <w:rFonts w:ascii="Arial" w:cs="Arial" w:eastAsia="Arial" w:hAnsi="Arial"/>
          <w:sz w:val="18"/>
          <w:szCs w:val="18"/>
          <w:b w:val="1"/>
          <w:bCs w:val="1"/>
          <w:i w:val="1"/>
          <w:iCs w:val="1"/>
          <w:color w:val="auto"/>
        </w:rPr>
        <w:t xml:space="preserve">All Other Businesses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Nine Months Ended March 31,</w:t>
            </w:r>
          </w:p>
        </w:tc>
        <w:tc>
          <w:tcPr>
            <w:tcW w:w="1180" w:type="dxa"/>
            <w:vAlign w:val="bottom"/>
            <w:tcBorders>
              <w:bottom w:val="single" w:sz="8" w:color="auto"/>
            </w:tcBorders>
          </w:tcPr>
          <w:p>
            <w:pPr>
              <w:spacing w:after="0"/>
              <w:rPr>
                <w:sz w:val="15"/>
                <w:szCs w:val="15"/>
                <w:color w:val="auto"/>
              </w:rPr>
            </w:pPr>
          </w:p>
        </w:tc>
      </w:tr>
      <w:tr>
        <w:trPr>
          <w:trHeight w:val="254"/>
        </w:trPr>
        <w:tc>
          <w:tcPr>
            <w:tcW w:w="112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2240" w:type="dxa"/>
            <w:vAlign w:val="bottom"/>
          </w:tcPr>
          <w:p>
            <w:pPr>
              <w:jc w:val="right"/>
              <w:ind w:right="737"/>
              <w:spacing w:after="0"/>
              <w:rPr>
                <w:sz w:val="20"/>
                <w:szCs w:val="20"/>
                <w:color w:val="auto"/>
              </w:rPr>
            </w:pPr>
            <w:r>
              <w:rPr>
                <w:rFonts w:ascii="Arial" w:cs="Arial" w:eastAsia="Arial" w:hAnsi="Arial"/>
                <w:sz w:val="13"/>
                <w:szCs w:val="13"/>
                <w:b w:val="1"/>
                <w:bCs w:val="1"/>
                <w:color w:val="auto"/>
              </w:rPr>
              <w:t>2018</w:t>
            </w:r>
          </w:p>
        </w:tc>
        <w:tc>
          <w:tcPr>
            <w:tcW w:w="1260" w:type="dxa"/>
            <w:vAlign w:val="bottom"/>
            <w:gridSpan w:val="2"/>
          </w:tcPr>
          <w:p>
            <w:pPr>
              <w:ind w:left="140"/>
              <w:spacing w:after="0"/>
              <w:rPr>
                <w:sz w:val="20"/>
                <w:szCs w:val="20"/>
                <w:color w:val="auto"/>
              </w:rPr>
            </w:pPr>
            <w:r>
              <w:rPr>
                <w:rFonts w:ascii="Arial" w:cs="Arial" w:eastAsia="Arial" w:hAnsi="Arial"/>
                <w:sz w:val="13"/>
                <w:szCs w:val="13"/>
                <w:b w:val="1"/>
                <w:bCs w:val="1"/>
                <w:color w:val="auto"/>
              </w:rPr>
              <w:t>2019 vs. 2018</w:t>
            </w:r>
          </w:p>
        </w:tc>
        <w:tc>
          <w:tcPr>
            <w:tcW w:w="114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2200" w:type="dxa"/>
            <w:vAlign w:val="bottom"/>
          </w:tcPr>
          <w:p>
            <w:pPr>
              <w:jc w:val="right"/>
              <w:ind w:right="697"/>
              <w:spacing w:after="0"/>
              <w:rPr>
                <w:sz w:val="20"/>
                <w:szCs w:val="20"/>
                <w:color w:val="auto"/>
              </w:rPr>
            </w:pPr>
            <w:r>
              <w:rPr>
                <w:rFonts w:ascii="Arial" w:cs="Arial" w:eastAsia="Arial" w:hAnsi="Arial"/>
                <w:sz w:val="13"/>
                <w:szCs w:val="13"/>
                <w:b w:val="1"/>
                <w:bCs w:val="1"/>
                <w:color w:val="auto"/>
              </w:rPr>
              <w:t>2018</w:t>
            </w:r>
          </w:p>
        </w:tc>
        <w:tc>
          <w:tcPr>
            <w:tcW w:w="1180" w:type="dxa"/>
            <w:vAlign w:val="bottom"/>
          </w:tcPr>
          <w:p>
            <w:pPr>
              <w:ind w:left="180"/>
              <w:spacing w:after="0"/>
              <w:rPr>
                <w:sz w:val="20"/>
                <w:szCs w:val="20"/>
                <w:color w:val="auto"/>
              </w:rPr>
            </w:pPr>
            <w:r>
              <w:rPr>
                <w:rFonts w:ascii="Arial" w:cs="Arial" w:eastAsia="Arial" w:hAnsi="Arial"/>
                <w:sz w:val="13"/>
                <w:szCs w:val="13"/>
                <w:b w:val="1"/>
                <w:bCs w:val="1"/>
                <w:color w:val="auto"/>
              </w:rPr>
              <w:t>2019 vs. 2018</w:t>
            </w:r>
          </w:p>
        </w:tc>
      </w:tr>
    </w:tbl>
    <w:p>
      <w:pPr>
        <w:spacing w:after="0" w:line="1" w:lineRule="exact"/>
        <w:rPr>
          <w:sz w:val="20"/>
          <w:szCs w:val="20"/>
          <w:color w:val="auto"/>
        </w:rPr>
      </w:pPr>
    </w:p>
    <w:p>
      <w:pPr>
        <w:sectPr>
          <w:pgSz w:w="11900" w:h="16838" w:orient="portrait"/>
          <w:cols w:equalWidth="0" w:num="2">
            <w:col w:w="1820" w:space="460"/>
            <w:col w:w="9140"/>
          </w:cols>
          <w:pgMar w:left="240" w:top="553"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50,109</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18,865</w:t>
            </w: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130,824</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67,913</w:t>
            </w: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93%</w:t>
            </w:r>
          </w:p>
        </w:tc>
      </w:tr>
      <w:tr>
        <w:trPr>
          <w:trHeight w:val="260"/>
        </w:trPr>
        <w:tc>
          <w:tcPr>
            <w:tcW w:w="2280" w:type="dxa"/>
            <w:vAlign w:val="bottom"/>
          </w:tcPr>
          <w:p>
            <w:pPr>
              <w:ind w:left="40"/>
              <w:spacing w:after="0"/>
              <w:rPr>
                <w:sz w:val="20"/>
                <w:szCs w:val="20"/>
                <w:color w:val="auto"/>
              </w:rPr>
            </w:pPr>
            <w:r>
              <w:rPr>
                <w:rFonts w:ascii="Arial" w:cs="Arial" w:eastAsia="Arial" w:hAnsi="Arial"/>
                <w:sz w:val="16"/>
                <w:szCs w:val="16"/>
                <w:color w:val="auto"/>
              </w:rPr>
              <w:t>Segment Loss</w:t>
            </w:r>
          </w:p>
        </w:tc>
        <w:tc>
          <w:tcPr>
            <w:tcW w:w="46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(6,964)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(9,342)</w:t>
            </w:r>
          </w:p>
        </w:tc>
        <w:tc>
          <w:tcPr>
            <w:tcW w:w="100" w:type="dxa"/>
            <w:vAlign w:val="bottom"/>
          </w:tcPr>
          <w:p>
            <w:pPr>
              <w:spacing w:after="0"/>
              <w:rPr>
                <w:sz w:val="22"/>
                <w:szCs w:val="22"/>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(24,117)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(25,459)</w:t>
            </w:r>
          </w:p>
        </w:tc>
        <w:tc>
          <w:tcPr>
            <w:tcW w:w="120" w:type="dxa"/>
            <w:vAlign w:val="bottom"/>
          </w:tcPr>
          <w:p>
            <w:pPr>
              <w:spacing w:after="0"/>
              <w:rPr>
                <w:sz w:val="22"/>
                <w:szCs w:val="22"/>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5%</w:t>
            </w:r>
          </w:p>
        </w:tc>
      </w:tr>
      <w:tr>
        <w:trPr>
          <w:trHeight w:val="28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(37)%</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Our All Other Businesses segment includes VIDA results since the acquisition date of July 2, 2018, BuildASign since the acquisition date of October 1, 2018, Digipri (a former part of our Japan business) results through the divestiture date of July 1, 2018 and Albumprinter results through the divestiture date of August 31,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type w:val="continuous"/>
        </w:sectPr>
      </w:pPr>
    </w:p>
    <w:bookmarkStart w:id="42" w:name="page43"/>
    <w:bookmarkEnd w:id="42"/>
    <w:p>
      <w:pPr>
        <w:spacing w:after="0" w:line="254" w:lineRule="auto"/>
        <w:rPr>
          <w:sz w:val="20"/>
          <w:szCs w:val="20"/>
          <w:color w:val="auto"/>
        </w:rPr>
      </w:pPr>
      <w:r>
        <w:rPr>
          <w:rFonts w:ascii="Arial" w:cs="Arial" w:eastAsia="Arial" w:hAnsi="Arial"/>
          <w:sz w:val="18"/>
          <w:szCs w:val="18"/>
          <w:color w:val="auto"/>
        </w:rPr>
        <w:t>With the exception of BuildASign which is a larger and profitable business, this segment consists of multiple small, rapidly evolving early-stage businesses through which Cimpress is expanding to new markets. These businesses are subject to high degrees of risk and we expect that each of their business models will rapidly evolve in function of future trials and entrepreneurial pivoting. Therefore, in all of these businesses we continue to operate at an operating loss as previously described and as planned, and we expect to continue to do so in the next several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The All Other Businesses segment revenue increase was primarily due to the inclusion of the results of BuildASign since the acquisition date of October 1, 2018. Organic constant-currency revenue, excluding the impacts of the Albumprinter, Digipri, VIDA, and BuildASign businesses, decreased by 2% for the three months ended March 31, 2019, due to recent actions we have taken to improve the efficiency and focus of some of these businesses, including the decision to shut down the U.S. operations of the Printi business during the second quarter of fiscal year 2019. The early-stage businesses in this segment delivered mixed revenue results during the current quarter.</w:t>
      </w:r>
    </w:p>
    <w:p>
      <w:pPr>
        <w:spacing w:after="0" w:line="179"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For the nine months ended March 31, 2019, organic constant-currency revenue growth, excluding the impacts of the Albumprinter, Digipri, VIDA, and BuildASign businesses, increased by 13%, driven by growth in the remaining businesses in the segment. We are continuing to pivot and evolve these business models as we learn more about the markets they serve, and expect fluctuations in growth.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improvement in the All Other Businesses segment loss for the three and nine months ended March 31, 2019, as compared to the prior periods, was primarily due to the addition of BuildASign, which we acquired on October 1, 2018 and contributed $3.1 million and $ 7.7 million of segment profit for the three and nine months ended March 31, 2019, respectively. We also realized currency-related benefits, which were partially offset by the inclusion of VIDA operating losses. For the nine months ended March 31, 2019, the segment loss was negatively impacted by the divestiture of our Albumprinter business, which contributed $1.7 million of segment profit in the first quarter of fiscal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and Corporate Costs</w:t>
      </w:r>
    </w:p>
    <w:p>
      <w:pPr>
        <w:spacing w:after="0" w:line="220"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71" w:right="259" w:bottom="1440" w:gutter="0" w:footer="0" w:header="0"/>
        </w:sectPr>
      </w:pPr>
    </w:p>
    <w:bookmarkStart w:id="43" w:name="page44"/>
    <w:bookmarkEnd w:id="43"/>
    <w:p>
      <w:pPr>
        <w:ind w:right="100" w:firstLine="648"/>
        <w:spacing w:after="0" w:line="252" w:lineRule="auto"/>
        <w:rPr>
          <w:sz w:val="20"/>
          <w:szCs w:val="20"/>
          <w:color w:val="auto"/>
        </w:rPr>
      </w:pPr>
      <w:r>
        <w:rPr>
          <w:rFonts w:ascii="Arial" w:cs="Arial" w:eastAsia="Arial" w:hAnsi="Arial"/>
          <w:sz w:val="18"/>
          <w:szCs w:val="18"/>
          <w:color w:val="auto"/>
        </w:rPr>
        <w:t>Central and corporate costs decreased by $7.4 million and $21.0 million during the three and nine months ended March 31, 2019, as compared to the prior periods, respectively, driven primarily by $5.6 million and $23.4 million, respectively, of lower share-based compensation costs associated with our supplemental PSUs and related supplemental performance cash awards, for which the performance condition is no longer probable of achievement. Additionally, our share-based compensation is lower due to the changes we made in November 2018 that reduced the number of Cimpress Board members. This decrease was partially offset by an increase in central technology investments and central operating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3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3"/>
                <w:szCs w:val="13"/>
                <w:b w:val="1"/>
                <w:bCs w:val="1"/>
                <w:color w:val="auto"/>
              </w:rPr>
              <w:t>Nine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222,470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144,633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(381,554)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13,979</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161,900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(152,164)</w:t>
            </w:r>
          </w:p>
        </w:tc>
      </w:tr>
    </w:tbl>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At March 31, 2019, we had $44.3 million of cash and cash equivalents and $1,087.6 million of debt, excluding debt issuance costs and debt discounts. We expect cash and cash equivalents and debt levels to fluctuate over time depending on our working capital needs, our organic investment levels, share repurchases and acquisition activity. We increased our debt in October 2018 when we completed the acquisition of BuildASign for $275.1 million, which was funded via proceeds from our senior secured credit facility.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nine months ended March 31, 2019 related primarily to the following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income of $60.3 million</w:t>
      </w:r>
    </w:p>
    <w:p>
      <w:pPr>
        <w:spacing w:after="0" w:line="198" w:lineRule="exact"/>
        <w:rPr>
          <w:rFonts w:ascii="Arial" w:cs="Arial" w:eastAsia="Arial" w:hAnsi="Arial"/>
          <w:sz w:val="18"/>
          <w:szCs w:val="18"/>
          <w:color w:val="auto"/>
        </w:rPr>
      </w:pPr>
    </w:p>
    <w:p>
      <w:pPr>
        <w:jc w:val="both"/>
        <w:ind w:left="660" w:right="20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for non-cash items of $152.6 million primarily related to positive adjustments for depreciation and amortization of $129.6 million, share-based compensation costs of $14.0 million and non-cash tax related items of $9.0 million, partially offset by unrealized currency-related gains of $4.7 million</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of debt of $242.6 million, net of payments and debt issuance costs</w:t>
      </w:r>
    </w:p>
    <w:p>
      <w:pPr>
        <w:spacing w:after="0" w:line="198"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changes in operating assets and liabilities were a source of cash during the period, driven by increases in accounts payable and accrued expenses. In the prior comparable period, the change in operating assets and liabilities included an earn-out related payment associated with our WIRmachenDruck business of $44.6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Payments for acquisitions of $289.9 million, net of cash acquired</w:t>
      </w:r>
    </w:p>
    <w:p>
      <w:pPr>
        <w:spacing w:after="0" w:line="19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of $57.9 million of which the majority related to the purchase of manufacturing and automation equipment for our production facilities, and computer and office equipment</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Payments for the purchase of a noncontrolling interest of $41.2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$34.6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Purchases of our ordinary shares for $26.1 million</w:t>
      </w:r>
    </w:p>
    <w:p>
      <w:pPr>
        <w:spacing w:after="0" w:line="198"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Payments for capital lease arrangements of $12.7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Payments related to our recent restructuring actions of $4.8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 of $3.4 million paid to noncontrolling interest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1" w:right="239" w:bottom="1440" w:gutter="0" w:footer="0" w:header="0"/>
        </w:sectPr>
      </w:pPr>
    </w:p>
    <w:bookmarkStart w:id="44" w:name="page45"/>
    <w:bookmarkEnd w:id="44"/>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Payments of withholding taxes in connection with share awards of $2.4 million</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nine months ended March 31, 2019, we financed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investments through internally generated cash flows from operations and debt financing. As of March 31, 2019, a significant portion of our cash and cash equivalents were held by our subsidiaries, and undistributed earnings of our subsidiaries that are considered to be indefinitely reinvested were $31.6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6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As of March 31, 2019, we had aggregate loan commitments from our senior secured credit facility totaling $1,602.8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commitments consisted of revolving loans of $1,087.3 million and term loans of $ 515.6 million. We have other financial obligations that constitute additional indebtedness based on the definitions within the credit facility. As of March 31, 2019, the amount available for borrowing under our senior secured credit facility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March 31, 2019</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aggregate available for borrowing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1,602,819</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borrowings of senior secured credit facility</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(671,914)</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amount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930,905</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Limitations to borrowing due to debt covenants and other obligations (1)</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(492,077)</w:t>
            </w:r>
          </w:p>
        </w:tc>
        <w:tc>
          <w:tcPr>
            <w:tcW w:w="0" w:type="dxa"/>
            <w:vAlign w:val="bottom"/>
          </w:tcPr>
          <w:p>
            <w:pPr>
              <w:spacing w:after="0"/>
              <w:rPr>
                <w:sz w:val="1"/>
                <w:szCs w:val="1"/>
                <w:color w:val="auto"/>
              </w:rPr>
            </w:pPr>
          </w:p>
        </w:tc>
      </w:tr>
      <w:tr>
        <w:trPr>
          <w:trHeight w:val="24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available for borrowing as of March 31, 2019 (2)</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438,828</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9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80" w:hanging="252"/>
        <w:spacing w:after="0" w:line="241" w:lineRule="auto"/>
        <w:tabs>
          <w:tab w:leader="none" w:pos="23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debt covenants of our senior secured credit facility limit our borrowing capacity each quarter, depending on our leverage and other indebtedness, such as notes, capital leases, letters of credit, and any other debt, as well as other factors that are outlined in the credit agreement.</w:t>
      </w:r>
    </w:p>
    <w:p>
      <w:pPr>
        <w:ind w:left="260" w:right="200" w:hanging="252"/>
        <w:spacing w:after="0" w:line="258" w:lineRule="auto"/>
        <w:tabs>
          <w:tab w:leader="none" w:pos="233"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16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January 7, 2019, we executed an amendment to our senior secured credit facility that expanded the total capacity to $ 1,613.2 million, which includes $1,087.3 million of revolving loans and $525.9 million of term loans. We expect to use our expanded credit facility to fund investments intended to support our long-term growth strategy. The incremental term loan proceeds, which represented approximately half of the total capacity increase, were used to repay a portion of our outstanding revolving loans. Refer to Note 9 in our accompanying financial statements for additional details.</w:t>
      </w:r>
    </w:p>
    <w:p>
      <w:pPr>
        <w:spacing w:after="0" w:line="161"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and senior unsecured notes indenture contain financial and other covenants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warranties and events of default, which are detailed in Note 9 of the accompanying consolidated financial statements. As of March 31, 2019, we were in compliance with all financial and other covenants under the credit agreement and senior unsecured notes indenture.</w:t>
      </w:r>
    </w:p>
    <w:p>
      <w:pPr>
        <w:spacing w:after="0" w:line="153"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i w:val="1"/>
          <w:iCs w:val="1"/>
          <w:color w:val="auto"/>
        </w:rPr>
        <w:t>Other Debt</w:t>
      </w:r>
      <w:r>
        <w:rPr>
          <w:rFonts w:ascii="Arial" w:cs="Arial" w:eastAsia="Arial" w:hAnsi="Arial"/>
          <w:sz w:val="18"/>
          <w:szCs w:val="18"/>
          <w:color w:val="auto"/>
        </w:rPr>
        <w:t>. Other debt primarily consists of term loans acquired through our various acquisitions or used to fund certain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As of March 31, 2019 we had $15.7 million outstanding for other debt payable through March 2025.</w:t>
      </w:r>
    </w:p>
    <w:p>
      <w:pPr>
        <w:spacing w:after="0" w:line="2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Our expectations for fiscal year 2019. </w:t>
      </w:r>
      <w:r>
        <w:rPr>
          <w:rFonts w:ascii="Arial" w:cs="Arial" w:eastAsia="Arial" w:hAnsi="Arial"/>
          <w:sz w:val="18"/>
          <w:szCs w:val="18"/>
          <w:color w:val="auto"/>
        </w:rPr>
        <w:t>We believe that our available cash, cash flows generated from operations, and cash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committed debt financing will be sufficient to satisfy our liabilities and planned investments to support our long-term growth strategy. Over time we endeavor to invest large amounts of capital that we believe will generate returns that are above, or well above, our weighted average cost of capital. We consider any use of cash that we expect to require more than twelve months to return our invested capital to be an allocation of capital. For fiscal 2019, we expect to continue to evaluate opportunities to allocate capital across a spectrum of organic investments, purchases of our ordinary shares, corporate acquisitions and similar investments, and reductions of debt. We have targeted a capital structure that we believe balances both efficiency and flexibility. We do not have a specific financial leverage target, but rather will be guided by the availability of attractive opportunities while not putting at risk our ability to comfortably meet our quarterly maintenance covenants on our debt.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March 31, 2019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40"/>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24"/>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44"/>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43"/>
              <w:spacing w:after="0" w:line="135" w:lineRule="exact"/>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5</w:t>
            </w:r>
          </w:p>
        </w:tc>
      </w:tr>
      <w:tr>
        <w:trPr>
          <w:trHeight w:val="178"/>
        </w:trPr>
        <w:tc>
          <w:tcPr>
            <w:tcW w:w="4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3"/>
              <w:spacing w:after="0"/>
              <w:rPr>
                <w:sz w:val="20"/>
                <w:szCs w:val="20"/>
                <w:color w:val="auto"/>
              </w:rPr>
            </w:pPr>
            <w:r>
              <w:rPr>
                <w:rFonts w:ascii="Arial" w:cs="Arial" w:eastAsia="Arial" w:hAnsi="Arial"/>
                <w:sz w:val="13"/>
                <w:szCs w:val="13"/>
                <w:b w:val="1"/>
                <w:bCs w:val="1"/>
                <w:color w:val="auto"/>
                <w:w w:val="99"/>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4"/>
              <w:spacing w:after="0"/>
              <w:rPr>
                <w:sz w:val="20"/>
                <w:szCs w:val="20"/>
                <w:color w:val="auto"/>
              </w:rPr>
            </w:pPr>
            <w:r>
              <w:rPr>
                <w:rFonts w:ascii="Arial" w:cs="Arial" w:eastAsia="Arial" w:hAnsi="Arial"/>
                <w:sz w:val="13"/>
                <w:szCs w:val="13"/>
                <w:b w:val="1"/>
                <w:bCs w:val="1"/>
                <w:color w:val="auto"/>
                <w:w w:val="94"/>
              </w:rPr>
              <w:t>years</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 net of subleases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81,687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25,784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31,952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15,986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7,965</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Build-to-suit lease</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87,254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12,569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25,139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22,021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27,525</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commitments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41,847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30,971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10,876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Senior unsecured notes and interest payments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610,000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28,000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56,000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470,000</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debt and interest payments (1)</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791,024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97,162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197,170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495,532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1,160</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30,022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12,192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11,092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4,103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2,635</w:t>
            </w:r>
          </w:p>
        </w:tc>
      </w:tr>
      <w:tr>
        <w:trPr>
          <w:trHeight w:val="27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6,090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5,060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color w:val="auto"/>
              </w:rPr>
              <w:t>Total (2)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1,647,924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211,738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333,144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593,757</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509,285</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320" w:hanging="252"/>
        <w:spacing w:after="0" w:line="250"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debt and interest payments include the effects of interest rate swaps, whether they are expected to be payments or receipts of cash. We have excluded the effect of interest rate swaps of $0.8 million within the more than five years category above as that period extends beyond the term of our debt and the interest rate swaps do not yet offset contractual interest payments.</w:t>
      </w:r>
    </w:p>
    <w:p>
      <w:pPr>
        <w:spacing w:after="0" w:line="64" w:lineRule="exact"/>
        <w:rPr>
          <w:rFonts w:ascii="Arial" w:cs="Arial" w:eastAsia="Arial" w:hAnsi="Arial"/>
          <w:sz w:val="14"/>
          <w:szCs w:val="14"/>
          <w:color w:val="auto"/>
        </w:rPr>
      </w:pPr>
    </w:p>
    <w:p>
      <w:pPr>
        <w:ind w:left="260" w:right="40" w:hanging="252"/>
        <w:spacing w:after="0" w:line="247"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$4.9 million as of March 31, 2019 have been excluded from the contractual obligations table above. For further information on uncertain tax positions, see Note 10 to the accompanying consolidated financial statements.</w:t>
      </w:r>
    </w:p>
    <w:p>
      <w:pPr>
        <w:spacing w:after="0" w:line="151" w:lineRule="exact"/>
        <w:rPr>
          <w:sz w:val="20"/>
          <w:szCs w:val="20"/>
          <w:color w:val="auto"/>
        </w:rPr>
      </w:pPr>
    </w:p>
    <w:p>
      <w:pPr>
        <w:ind w:right="22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2026. Future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required under our leases are an aggregate of approximately $81.7 million. The terms of certain lease agreements require security deposits in the form of bank guarantees and letters of credit in the amount of $2.5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Build-to-Suit Lease. </w:t>
      </w:r>
      <w:r>
        <w:rPr>
          <w:rFonts w:ascii="Arial" w:cs="Arial" w:eastAsia="Arial" w:hAnsi="Arial"/>
          <w:sz w:val="18"/>
          <w:szCs w:val="18"/>
          <w:color w:val="auto"/>
        </w:rPr>
        <w:t>Represents the cash payments for our leased facility in Waltham, Massachusetts, USA.</w:t>
      </w:r>
    </w:p>
    <w:p>
      <w:pPr>
        <w:spacing w:after="0" w:line="198" w:lineRule="exact"/>
        <w:rPr>
          <w:sz w:val="20"/>
          <w:szCs w:val="20"/>
          <w:color w:val="auto"/>
        </w:rPr>
      </w:pPr>
    </w:p>
    <w:p>
      <w:pPr>
        <w:ind w:right="60" w:firstLine="662"/>
        <w:spacing w:after="0" w:line="261" w:lineRule="auto"/>
        <w:rPr>
          <w:sz w:val="20"/>
          <w:szCs w:val="20"/>
          <w:color w:val="auto"/>
        </w:rPr>
      </w:pPr>
      <w:r>
        <w:rPr>
          <w:rFonts w:ascii="Arial" w:cs="Arial" w:eastAsia="Arial" w:hAnsi="Arial"/>
          <w:sz w:val="18"/>
          <w:szCs w:val="18"/>
          <w:i w:val="1"/>
          <w:iCs w:val="1"/>
          <w:color w:val="auto"/>
        </w:rPr>
        <w:t>Purchase Commitments</w:t>
      </w:r>
      <w:r>
        <w:rPr>
          <w:rFonts w:ascii="Arial" w:cs="Arial" w:eastAsia="Arial" w:hAnsi="Arial"/>
          <w:sz w:val="18"/>
          <w:szCs w:val="18"/>
          <w:color w:val="auto"/>
        </w:rPr>
        <w:t>. At March 31, 2019, we had unrecorded commitments under contract of $41.8 million. Purchase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third-party web services of $9.8 million, inventory purchase commitments of $15.2 million, production and computer equipment purchases of approximately $5.1 million, commitments for professional and consulting fees of $1.0 million, commitments for advertising campaigns of $0.3 million, and other unrecorded purchase commitments of $10.5 million.</w:t>
      </w:r>
    </w:p>
    <w:p>
      <w:pPr>
        <w:spacing w:after="0" w:line="153" w:lineRule="exact"/>
        <w:rPr>
          <w:sz w:val="20"/>
          <w:szCs w:val="20"/>
          <w:color w:val="auto"/>
        </w:rPr>
      </w:pPr>
    </w:p>
    <w:p>
      <w:pPr>
        <w:ind w:right="60" w:firstLine="662"/>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2026 bear interest at a rate of 7.0%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June 15, 2026. Interest on the notes is payable semi-annually on June 15 and December 15 of each year and has been included in the table above.</w:t>
      </w:r>
    </w:p>
    <w:p>
      <w:pPr>
        <w:spacing w:after="0" w:line="14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At March 31, 2019, the term loans of $515.6 million outstanding under our credit agreement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due on various dates through June 14, 2023, with the revolving loans outstanding under our $1,087.3 million revolving credit facility due on June 14, 2023. Interest payable included in this table is based on the interest rate as of March 31, 2019 and assumes all LIBOR based revolving loan amounts outstanding will not be paid until maturity, but that the term loan amortization payments will be made according to our defined schedule and all Prime rate based revolving loan amounts will be paid within a year. Interest payable includes the estimated impact of our interest rate swap agreements.</w:t>
      </w:r>
    </w:p>
    <w:p>
      <w:pPr>
        <w:spacing w:after="0" w:line="174" w:lineRule="exact"/>
        <w:rPr>
          <w:sz w:val="20"/>
          <w:szCs w:val="20"/>
          <w:color w:val="auto"/>
        </w:rPr>
      </w:pPr>
    </w:p>
    <w:p>
      <w:pPr>
        <w:ind w:right="620" w:firstLine="662"/>
        <w:spacing w:after="0" w:line="262" w:lineRule="auto"/>
        <w:rPr>
          <w:sz w:val="20"/>
          <w:szCs w:val="20"/>
          <w:color w:val="auto"/>
        </w:rPr>
      </w:pPr>
      <w:r>
        <w:rPr>
          <w:rFonts w:ascii="Arial" w:cs="Arial" w:eastAsia="Arial" w:hAnsi="Arial"/>
          <w:sz w:val="18"/>
          <w:szCs w:val="18"/>
          <w:color w:val="auto"/>
        </w:rPr>
        <w:t>In addition, we have other debt which consists primarily of debt assumed as part of certain of our past acquisitions, and as of March 31, 2019 we had $15.7 million outstanding for those obligations that have repayments due on various dates through March 2025.</w:t>
      </w:r>
    </w:p>
    <w:p>
      <w:pPr>
        <w:spacing w:after="0" w:line="151" w:lineRule="exact"/>
        <w:rPr>
          <w:sz w:val="20"/>
          <w:szCs w:val="20"/>
          <w:color w:val="auto"/>
        </w:rPr>
      </w:pPr>
    </w:p>
    <w:p>
      <w:pPr>
        <w:ind w:right="120" w:firstLine="662"/>
        <w:spacing w:after="0" w:line="26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lease certain machinery and plant equipment under capital lease agreements that expire at various dates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carrying value of the leased equipment under capital leases included in property, plant and equipment, net in our consolidated balance sheet at March 31, 2019, is $34.6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49" w:right="239" w:bottom="1440" w:gutter="0" w:footer="0" w:header="0"/>
        </w:sectPr>
      </w:pPr>
    </w:p>
    <w:bookmarkStart w:id="46" w:name="page47"/>
    <w:bookmarkEnd w:id="46"/>
    <w:p>
      <w:pPr>
        <w:ind w:right="380"/>
        <w:spacing w:after="0" w:line="262" w:lineRule="auto"/>
        <w:rPr>
          <w:sz w:val="20"/>
          <w:szCs w:val="20"/>
          <w:color w:val="auto"/>
        </w:rPr>
      </w:pPr>
      <w:r>
        <w:rPr>
          <w:rFonts w:ascii="Arial" w:cs="Arial" w:eastAsia="Arial" w:hAnsi="Arial"/>
          <w:sz w:val="18"/>
          <w:szCs w:val="18"/>
          <w:color w:val="auto"/>
        </w:rPr>
        <w:t>net of accumulated depreciation of $39.9 million. The present value of lease installments not yet due included in other current liabilities and other liabilities in our consolidated balance sheet at March 31, 2019 amounts to $29.1 million.</w:t>
      </w:r>
    </w:p>
    <w:p>
      <w:pPr>
        <w:spacing w:after="0" w:line="151" w:lineRule="exact"/>
        <w:rPr>
          <w:sz w:val="20"/>
          <w:szCs w:val="20"/>
          <w:color w:val="auto"/>
        </w:rPr>
      </w:pPr>
    </w:p>
    <w:p>
      <w:pPr>
        <w:ind w:right="120" w:firstLine="662"/>
        <w:spacing w:after="0" w:line="261" w:lineRule="auto"/>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deferred payments related to previous acquisitions of $5.6 million in the aggregate.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have an installment obligation of $ 0.5 million related to the fiscal 2012 intra-entity transfer of the intellectual property of our subsidiary Webs, Inc., which resulted in tax being paid over a 7.5-year term and has been classified as a deferred tax liability in our consolidated balance sheet as of March 31,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Adjusted net operating profit (NOP) and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NOP is defined as GAAP operating income excluding certain items such as acquisition-related amortization and depreciation, expense recognized for earn-out related charges, including the change in fair value of contingent consideration and compensation expense related to cash-based earn-out mechanisms dependent upon continued employment, share-based compensation related to investment consideration, certain impairment expense, restructuring charges, and the gain on purchase or sale of subsidiaries. The interest expense associated with our Waltham, Massachusetts lease, as well as realized gains (losses) on currency derivative contracts that do not qualify for hedge accounting, are included in Adjusted NOP.</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Adjusted NOP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Free cash flow is used by management to assess the cash flow generation of the company. Free cash flow is defined as net cash provided by operating activities less purchases of property, plant and equipment, purchases of intangible assets not related to acquisitions, and capitalization of software and website development costs, plus payment of contingent consideration in excess of acquisition-date fair value and gains on proceeds from insurance, if any. The primary financial metric by which we set quarterly and annual budgets both for individual businesses and Cimpress-wide is our free cash flow prior to cash interest costs.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1"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The table below sets forth operating income and adjusted net operating profit for the three and nine months ended March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1"/>
                <w:szCs w:val="21"/>
                <w:color w:val="auto"/>
              </w:rPr>
            </w:pPr>
          </w:p>
        </w:tc>
        <w:tc>
          <w:tcPr>
            <w:tcW w:w="284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21"/>
                <w:szCs w:val="21"/>
                <w:color w:val="auto"/>
              </w:rPr>
            </w:pPr>
          </w:p>
        </w:tc>
        <w:tc>
          <w:tcPr>
            <w:tcW w:w="2700" w:type="dxa"/>
            <w:vAlign w:val="bottom"/>
            <w:gridSpan w:val="4"/>
          </w:tcPr>
          <w:p>
            <w:pPr>
              <w:jc w:val="right"/>
              <w:ind w:right="541"/>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income (1)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29,615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114,242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135,949</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and depreciation</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14,089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40,372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38,330</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Earn-out related charges (2)</w:t>
            </w: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related to investment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Certain impairments and other adjustments (3)</w:t>
            </w:r>
          </w:p>
        </w:tc>
        <w:tc>
          <w:tcPr>
            <w:tcW w:w="36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related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14,686</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Less: Interest expense associated with Waltham, MA lease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(5,645)</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Gains on the purchase or sale of subsidiaries (4)</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(48,380)</w:t>
            </w:r>
          </w:p>
        </w:tc>
        <w:tc>
          <w:tcPr>
            <w:tcW w:w="0" w:type="dxa"/>
            <w:vAlign w:val="bottom"/>
          </w:tcPr>
          <w:p>
            <w:pPr>
              <w:spacing w:after="0"/>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6"/>
                <w:szCs w:val="16"/>
                <w:color w:val="auto"/>
              </w:rPr>
              <w:t>Include: Realized gains (losses) on certain currency derivatives not</w:t>
            </w: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4,836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13,889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included in operating (loss) income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NOP (1)</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55,238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25,339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175,608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129,420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1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60" w:right="20" w:hanging="252"/>
        <w:spacing w:after="0" w:line="248"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During the first quarter of fiscal 2019, we adopted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is the new revenue standard described in Note 2 of the accompanying consolidated financial statements. We applied the new standard under the modified retrospective method, in which we did not apply the new standard to the prior comparable period. The adoption of the new standard resulted in lower direct mail advertising costs within our National Pen business during the three months ended March 31, 2019 of $1.5 million, as compared to the prior comparative period, due to the earlier recognition of costs during the first quarter of fiscal 2019. During the nine months ended March 31, 2019, the new standard had a negative impact on operating income and adjusted NOP of $0.5 million</w:t>
      </w:r>
      <w:r>
        <w:rPr>
          <w:rFonts w:ascii="Arial" w:cs="Arial" w:eastAsia="Arial" w:hAnsi="Arial"/>
          <w:sz w:val="14"/>
          <w:szCs w:val="14"/>
          <w:i w:val="1"/>
          <w:iCs w:val="1"/>
          <w:color w:val="auto"/>
        </w:rPr>
        <w:t>,</w:t>
      </w:r>
      <w:r>
        <w:rPr>
          <w:rFonts w:ascii="Arial" w:cs="Arial" w:eastAsia="Arial" w:hAnsi="Arial"/>
          <w:sz w:val="14"/>
          <w:szCs w:val="14"/>
          <w:color w:val="auto"/>
        </w:rPr>
        <w:t xml:space="preserve"> as compared to the prior comparative period. Direct mail advertising costs were previously capitalized and amortized over the customer response period (typically 3-4 months) and now costs are recognized when the direct mail is sent to the customers.</w:t>
      </w:r>
    </w:p>
    <w:p>
      <w:pPr>
        <w:spacing w:after="0" w:line="204" w:lineRule="exact"/>
        <w:rPr>
          <w:rFonts w:ascii="Arial" w:cs="Arial" w:eastAsia="Arial" w:hAnsi="Arial"/>
          <w:sz w:val="14"/>
          <w:szCs w:val="14"/>
          <w:color w:val="auto"/>
        </w:rPr>
      </w:pPr>
    </w:p>
    <w:p>
      <w:pPr>
        <w:ind w:left="260" w:right="100" w:hanging="252"/>
        <w:spacing w:after="0" w:line="258"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32" w:lineRule="exact"/>
        <w:rPr>
          <w:rFonts w:ascii="Arial" w:cs="Arial" w:eastAsia="Arial" w:hAnsi="Arial"/>
          <w:sz w:val="14"/>
          <w:szCs w:val="14"/>
          <w:color w:val="auto"/>
        </w:rPr>
      </w:pPr>
    </w:p>
    <w:p>
      <w:pPr>
        <w:ind w:left="260" w:right="180" w:hanging="252"/>
        <w:spacing w:after="0" w:line="258"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impact of certain impairments of goodwill and other long-lived assets as defined by ASC 350 - "Intangibles - Goodwill and Other", as well as reserves recognized for loans as defined by ASC 326 - "Financial Instruments - Credit Losses."</w:t>
      </w:r>
    </w:p>
    <w:p>
      <w:pPr>
        <w:spacing w:after="0" w:line="32" w:lineRule="exact"/>
        <w:rPr>
          <w:rFonts w:ascii="Arial" w:cs="Arial" w:eastAsia="Arial" w:hAnsi="Arial"/>
          <w:sz w:val="14"/>
          <w:szCs w:val="14"/>
          <w:color w:val="auto"/>
        </w:rPr>
      </w:pPr>
    </w:p>
    <w:p>
      <w:pPr>
        <w:jc w:val="both"/>
        <w:ind w:left="260" w:right="240" w:hanging="252"/>
        <w:spacing w:after="0" w:line="250"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 "Goodwill or Gain from Bargain Purchase" for an acquisition in which the identifiable assets acquired and liabilities assumed are greater than the consideration transferred, that was recognized in general and administrative expense in our consolidated statement of operations during the nine months ended March 31, 2018.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net cash provided by operating activities and free cash flow for the nine months ended March 31,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222,470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144,633</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(47,441)</w:t>
            </w: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(29,476)</w:t>
            </w: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contingent consideration in excess of acquisition-date fair value (1)</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49,241</w:t>
            </w:r>
          </w:p>
        </w:tc>
        <w:tc>
          <w:tcPr>
            <w:tcW w:w="0" w:type="dxa"/>
            <w:vAlign w:val="bottom"/>
          </w:tcPr>
          <w:p>
            <w:pPr>
              <w:spacing w:after="0"/>
              <w:rPr>
                <w:sz w:val="1"/>
                <w:szCs w:val="1"/>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color w:val="auto"/>
              </w:rPr>
              <w:t>Free cash flow</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129,877</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116,649</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40" w:hanging="252"/>
        <w:spacing w:after="0" w:line="258"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nine months ended March 31, 2018 includes a portion of the earn-out payment that is presented within net cash provided by operating activities as part of the change in accrued expenses and other liabilities. This portion of the earn-out was deemed to be a compensation arrangement since it included an employment-related contingency.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right="360" w:firstLine="662"/>
        <w:spacing w:after="0" w:line="262" w:lineRule="auto"/>
        <w:rPr>
          <w:sz w:val="20"/>
          <w:szCs w:val="20"/>
          <w:color w:val="auto"/>
        </w:rPr>
      </w:pPr>
      <w:r>
        <w:rPr>
          <w:rFonts w:ascii="Arial" w:cs="Arial" w:eastAsia="Arial" w:hAnsi="Arial"/>
          <w:sz w:val="18"/>
          <w:szCs w:val="18"/>
          <w:color w:val="auto"/>
        </w:rPr>
        <w:t>As of March 31, 2019, our cash and cash equivalents consisted of standard depository accounts which are held for working capital purposes. We do not believe we have a material exposure to interest rate fluctuations related to our cash and cash equivalents.</w:t>
      </w:r>
    </w:p>
    <w:p>
      <w:pPr>
        <w:spacing w:after="0" w:line="169"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As of March 31, 2019, we had $671.9 million of variable-rate debt and $0.5 million of variable rate installment obligation related to the fiscal 2012 intra-entity transfer of Webs' intellectual property.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March 31, 2019, a hypothetical 100 basis point increase in rates, inclusive of our outstanding interest rate swaps, would result in an increase to interest expense of approximately $1.7 million over the next 12 months.</w:t>
      </w:r>
    </w:p>
    <w:p>
      <w:pPr>
        <w:spacing w:after="0" w:line="164"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7" w:lineRule="exact"/>
        <w:rPr>
          <w:sz w:val="20"/>
          <w:szCs w:val="20"/>
          <w:color w:val="auto"/>
        </w:rPr>
      </w:pPr>
    </w:p>
    <w:p>
      <w:pPr>
        <w:ind w:left="660" w:right="2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171" w:lineRule="exact"/>
        <w:rPr>
          <w:rFonts w:ascii="Arial" w:cs="Arial" w:eastAsia="Arial" w:hAnsi="Arial"/>
          <w:sz w:val="18"/>
          <w:szCs w:val="18"/>
          <w:color w:val="auto"/>
        </w:rPr>
      </w:pPr>
    </w:p>
    <w:p>
      <w:pPr>
        <w:ind w:left="660" w:right="6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protect our debt covenants. Since adjusted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7" w:lineRule="exact"/>
        <w:rPr>
          <w:rFonts w:ascii="Arial" w:cs="Arial" w:eastAsia="Arial" w:hAnsi="Arial"/>
          <w:sz w:val="18"/>
          <w:szCs w:val="18"/>
          <w:color w:val="auto"/>
        </w:rPr>
      </w:pPr>
    </w:p>
    <w:p>
      <w:pPr>
        <w:ind w:left="660" w:right="40"/>
        <w:spacing w:after="0" w:line="274" w:lineRule="auto"/>
        <w:rPr>
          <w:rFonts w:ascii="Arial" w:cs="Arial" w:eastAsia="Arial" w:hAnsi="Arial"/>
          <w:sz w:val="18"/>
          <w:szCs w:val="18"/>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w:t>
      </w:r>
    </w:p>
    <w:p>
      <w:pPr>
        <w:spacing w:after="0" w:line="14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8" w:lineRule="exact"/>
        <w:rPr>
          <w:rFonts w:ascii="Arial" w:cs="Arial" w:eastAsia="Arial" w:hAnsi="Arial"/>
          <w:sz w:val="18"/>
          <w:szCs w:val="18"/>
          <w:color w:val="auto"/>
        </w:rPr>
      </w:pPr>
    </w:p>
    <w:p>
      <w:pPr>
        <w:ind w:left="660" w:right="220"/>
        <w:spacing w:after="0" w:line="262"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1"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35" w:right="259" w:bottom="1440" w:gutter="0" w:footer="0" w:header="0"/>
        </w:sectPr>
      </w:pPr>
    </w:p>
    <w:bookmarkStart w:id="49" w:name="page50"/>
    <w:bookmarkEnd w:id="49"/>
    <w:p>
      <w:pPr>
        <w:ind w:left="660"/>
        <w:spacing w:after="0" w:line="299" w:lineRule="auto"/>
        <w:rPr>
          <w:sz w:val="20"/>
          <w:szCs w:val="20"/>
          <w:color w:val="auto"/>
        </w:rPr>
      </w:pPr>
      <w:r>
        <w:rPr>
          <w:rFonts w:ascii="Arial" w:cs="Arial" w:eastAsia="Arial" w:hAnsi="Arial"/>
          <w:sz w:val="18"/>
          <w:szCs w:val="18"/>
          <w:color w:val="auto"/>
        </w:rPr>
        <w:t>group because they are either 1) U.S. dollar loans or 2) we elect to hedge certain non-U.S. dollar loans with cross-currency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an increase of $34.7 million and $52.2 million on our income before income taxes for the three months ended March 31, 2019 and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2019.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13a-15(f) and 15d-15(f) under the Exchange Act) during the three months ended March 31, 2019 that materially affected, or are reasonably likely to materially affect, our internal control over financial reporting.</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598" w:right="299"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22"/>
          <w:szCs w:val="22"/>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the following, among others:</w:t>
      </w:r>
    </w:p>
    <w:p>
      <w:pPr>
        <w:spacing w:after="0" w:line="19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develop our mass customization platform or the failure of the platform to drive the efficiencies and competitive advantage we expect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realize the anticipated benefits of the decentralization of our operations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6"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address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72" w:right="319" w:bottom="1440" w:gutter="0" w:footer="0" w:header="0"/>
        </w:sectPr>
      </w:pPr>
    </w:p>
    <w:bookmarkStart w:id="51" w:name="page52"/>
    <w:bookmarkEnd w:id="51"/>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cash flow, and value may not grow as anticipated, be negatively impacted, or decline, our reputation and brands may be damaged, and the price of our shares may decline. In addition, we may change our strategy from time to time, which can cause fluctuations in our financial results and volatility in our share price.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sell most of our products and services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online include the following:</w:t>
      </w:r>
    </w:p>
    <w:p>
      <w:pPr>
        <w:spacing w:after="0" w:line="20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desire to support and buy from local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limited access to the Internet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our internal research shows that an increasing number of current and potential customers access our websites using smart phones or tablets and that our website visits using traditional computers may decline. Designing and purchasing custom designed products on a smart phone, tablet, or other mobile device is more difficult than doing so with a traditional computer due to limited screen sizes and bandwidth constraints, and we are seeing that customers' increased use of mobile devices to access and use our websites and technologies is having a negative impact on conversion rates, especially in our Vistaprint business, which can lead to a decline in revenue.</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7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98" w:right="279" w:bottom="1440" w:gutter="0" w:footer="0" w:header="0"/>
        </w:sectPr>
      </w:pPr>
    </w:p>
    <w:bookmarkStart w:id="52" w:name="page53"/>
    <w:bookmarkEnd w:id="52"/>
    <w:p>
      <w:pPr>
        <w:ind w:right="240"/>
        <w:spacing w:after="0" w:line="254" w:lineRule="auto"/>
        <w:rPr>
          <w:sz w:val="20"/>
          <w:szCs w:val="20"/>
          <w:color w:val="auto"/>
        </w:rPr>
      </w:pPr>
      <w:r>
        <w:rPr>
          <w:rFonts w:ascii="Arial" w:cs="Arial" w:eastAsia="Arial" w:hAnsi="Arial"/>
          <w:sz w:val="18"/>
          <w:szCs w:val="18"/>
          <w:color w:val="auto"/>
        </w:rPr>
        <w:t>and do not manage our business to maximize current period reported financial results, including our GAAP net income (loss) and operating cash flow and other results we report.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4" w:lineRule="exact"/>
        <w:rPr>
          <w:sz w:val="20"/>
          <w:szCs w:val="20"/>
          <w:color w:val="auto"/>
        </w:rPr>
      </w:pPr>
    </w:p>
    <w:p>
      <w:pPr>
        <w:ind w:left="660" w:right="8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96" w:lineRule="exact"/>
        <w:rPr>
          <w:rFonts w:ascii="Arial" w:cs="Arial" w:eastAsia="Arial" w:hAnsi="Arial"/>
          <w:sz w:val="18"/>
          <w:szCs w:val="18"/>
          <w:color w:val="auto"/>
        </w:rPr>
      </w:pPr>
    </w:p>
    <w:p>
      <w:pPr>
        <w:ind w:left="660" w:right="86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the demand for our products and services, in particular during our second fiscal quarter, which may be driven by seasonality, performance issues in some of our businesses and markets, or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 or delivery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5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We may not be successful in developing and deploying our mass customization platform or in realizing the anticipated benefits of the platform.</w:t>
      </w:r>
    </w:p>
    <w:p>
      <w:pPr>
        <w:spacing w:after="0" w:line="13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82" w:right="239" w:bottom="1440" w:gutter="0" w:footer="0" w:header="0"/>
        </w:sectPr>
      </w:pPr>
    </w:p>
    <w:bookmarkStart w:id="53" w:name="page54"/>
    <w:bookmarkEnd w:id="53"/>
    <w:p>
      <w:pPr>
        <w:jc w:val="both"/>
        <w:spacing w:after="0" w:line="254" w:lineRule="auto"/>
        <w:rPr>
          <w:sz w:val="20"/>
          <w:szCs w:val="20"/>
          <w:color w:val="auto"/>
        </w:rPr>
      </w:pPr>
      <w:r>
        <w:rPr>
          <w:rFonts w:ascii="Arial" w:cs="Arial" w:eastAsia="Arial" w:hAnsi="Arial"/>
          <w:sz w:val="18"/>
          <w:szCs w:val="18"/>
          <w:color w:val="auto"/>
        </w:rPr>
        <w:t>requires us to commit significant resources before knowing whether our businesses will adopt components of our mass customization platform or whether the platform will make us more effective and competitive. As a result, there can be no assurance that we will find new capabilities to add to the growing set of technologies that make up our platform, that our diverse businesses will realize value from the platform, or that we will realize expected returns on the capital expended to develop the platform.</w:t>
      </w:r>
    </w:p>
    <w:p>
      <w:pPr>
        <w:spacing w:after="0" w:line="16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create a more attractive or easier to adopt platform that has the potential to drive more scale advantage than ours does, our competitive position could be harmed.</w:t>
      </w:r>
    </w:p>
    <w:p>
      <w:pPr>
        <w:spacing w:after="0" w:line="15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manage our businesses and operations in a decentralized, autonomous manner. We expect to establish operations, acquire or invest in businesses, and sell our products and services in additional markets and geographic regions, including emerging markets, where we may have limited or no experience. We may not be successful in all markets and regions in which we invest or where we establish operations, which may be costly to us. We are subject to a number of risks and challenges that relate to our global operations, decentralization, and expansion, including, among others:</w:t>
      </w:r>
    </w:p>
    <w:p>
      <w:pPr>
        <w:spacing w:after="0" w:line="20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6"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and systems to manage our decentralized businesses and comply with our obligations as a public company</w:t>
      </w:r>
    </w:p>
    <w:p>
      <w:pPr>
        <w:spacing w:after="0" w:line="196"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markets,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corrupt business practices that may be common in some countries or in some sales channels and markets, such as bribery or the willful infringement of intellectual property rights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57" w:right="259" w:bottom="1440" w:gutter="0" w:footer="0" w:header="0"/>
        </w:sectPr>
      </w:pPr>
    </w:p>
    <w:bookmarkStart w:id="54" w:name="page55"/>
    <w:bookmarkEnd w:id="54"/>
    <w:p>
      <w:pPr>
        <w:spacing w:after="0" w:line="262" w:lineRule="auto"/>
        <w:rPr>
          <w:sz w:val="20"/>
          <w:szCs w:val="20"/>
          <w:color w:val="auto"/>
        </w:rPr>
      </w:pPr>
      <w:r>
        <w:rPr>
          <w:rFonts w:ascii="Arial" w:cs="Arial" w:eastAsia="Arial" w:hAnsi="Arial"/>
          <w:sz w:val="18"/>
          <w:szCs w:val="18"/>
          <w:color w:val="auto"/>
        </w:rPr>
        <w:t>we currently ship many products to UK customers from EU countries. If Brexit results in greater restrictions on imports and exports between the UK and the EU or increased regulatory complexity, then our operations and financial results could be negatively impacted.</w:t>
      </w:r>
    </w:p>
    <w:p>
      <w:pPr>
        <w:spacing w:after="0" w:line="19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0"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 among other risks.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1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lead to the misuse of our and our customers' and employees' confidential or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interruptions in our operations</w:t>
      </w:r>
    </w:p>
    <w:p>
      <w:pPr>
        <w:spacing w:after="0" w:line="225"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9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For example, the recent General Data Protection Regulation in Europe includes robust operational and compliance requirements and significant penalties for non-compliance. Complying with these varying and changing requirements could cause us to incur substantial costs or require us to change our business practices in a manner adverse to our business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82" w:right="259" w:bottom="1440" w:gutter="0" w:footer="0" w:header="0"/>
        </w:sectPr>
      </w:pPr>
    </w:p>
    <w:bookmarkStart w:id="55" w:name="page56"/>
    <w:bookmarkEnd w:id="55"/>
    <w:p>
      <w:pPr>
        <w:spacing w:after="0" w:line="262" w:lineRule="auto"/>
        <w:rPr>
          <w:sz w:val="20"/>
          <w:szCs w:val="20"/>
          <w:color w:val="auto"/>
        </w:rPr>
      </w:pPr>
      <w:r>
        <w:rPr>
          <w:rFonts w:ascii="Arial" w:cs="Arial" w:eastAsia="Arial" w:hAnsi="Arial"/>
          <w:sz w:val="18"/>
          <w:szCs w:val="18"/>
          <w:color w:val="auto"/>
        </w:rPr>
        <w:t>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19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6"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management of our acquired businesses, minority investments, and joint ventures may be more expensive or may take more resources than we expected.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25"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encounter cultural or language challenges in integrating an acquired business or managing our minority investment in a business.</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benefiting the business. In addition, strong performance of the underlying business could result in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82" w:right="259" w:bottom="1440" w:gutter="0" w:footer="0" w:header="0"/>
        </w:sectPr>
      </w:pPr>
    </w:p>
    <w:bookmarkStart w:id="56" w:name="page57"/>
    <w:bookmarkEnd w:id="56"/>
    <w:p>
      <w:pPr>
        <w:ind w:right="100"/>
        <w:spacing w:after="0" w:line="262" w:lineRule="auto"/>
        <w:rPr>
          <w:sz w:val="20"/>
          <w:szCs w:val="20"/>
          <w:color w:val="auto"/>
        </w:rPr>
      </w:pPr>
      <w:r>
        <w:rPr>
          <w:rFonts w:ascii="Arial" w:cs="Arial" w:eastAsia="Arial" w:hAnsi="Arial"/>
          <w:sz w:val="18"/>
          <w:szCs w:val="18"/>
          <w:color w:val="auto"/>
        </w:rPr>
        <w:t>material payments pursuant to earn-out provisions or future purchase obligations that may or may not reflect the fair market value of the asset at that time.</w:t>
      </w:r>
    </w:p>
    <w:p>
      <w:pPr>
        <w:spacing w:after="0" w:line="14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48"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success depends on our ability to attract new and repeat customers in a cost-effective manner. Our various businesses rely on a variety of methods to do this including drawing visitors to our websites, promoting our products and services through search engines such as Google, Bing, and Yahoo!, email, direct mail, advertising banners and other online links, broadcast media, telesales and word-of-mouth customer referrals. If the search engines on which we rely modify their algorithms or terminate their relationships with us, or if the prices at which we may purchase listings increase, then our costs could increase, and fewer customers may click through to our websites. If links to our websites are not displayed prominently in online search results, if fewer customers click through to our websites, if our direct mail marketing campaigns are not effective, or if the costs of attracting customers using any of our current methods significantly increase, then our ability to efficiently attract new and repeat customers would be reduced, our revenue and net income could decline, and our business and results of operations would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our National Pen business has historically generated nearly all of its profits during the December quarter. Our operating income during the second fiscal quarter represented 46% and 86% of annual operating income in the years ended June 30, 2018 and 2016, respectively, and during the year ended June 30, 2017, in a period we recognized a loss from operations, the second quarter was the only profitable quarter.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This could result in our having to borrow to settle a loss on a derivative without an offsetting cash inflow, potentially causing volatility in our cash or debt balances and therefore our leverage.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lack of redundancy.</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our businesses do not have redundancies or alternatives in all cases to carry on these operations in the event of an interruption. In addition, because our businesses are dependent in part on third parties for the implementation and maintenance of certain aspects of their communications and production systems, they may not be able to remedy interruptions to these systems in a timely manner or at all due to factors outside of their control. Some of the events that could cause interruptions in our businesses' operations or systems are the following, among others: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382" w:right="279" w:bottom="1440" w:gutter="0" w:footer="0" w:header="0"/>
        </w:sectPr>
      </w:pPr>
    </w:p>
    <w:bookmarkStart w:id="57" w:name="page58"/>
    <w:bookmarkEnd w:id="57"/>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Any interruptions to our businesses' systems or operations could result in lost revenue, increased costs, negative publicity, damage to our businesses' reputations and brands, and an adverse effect on our business and results of operations. Building redundancies into our businesses' infrastructure, systems, and supply chain to mitigate these risks may require us to commit substantial financial, operational, and technical resources, in some cases before the volume of their business increases with no assurance that their revenue will increase.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we expect our competition to continue to increase.</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like Amazon enter the mass customization market, and traditional “bricks and mortar” businesses establish an online presence. Competition may result in price pressure, increased advertising expense, reduced profit margins, and loss of market share and brand recognition, any of which could substantially harm our business and financial results. Current and potential competitors include the following (in no particular order):</w:t>
      </w:r>
    </w:p>
    <w:p>
      <w:pPr>
        <w:spacing w:after="0" w:line="20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98" w:right="259" w:bottom="1440" w:gutter="0" w:footer="0" w:header="0"/>
        </w:sectPr>
      </w:pPr>
    </w:p>
    <w:bookmarkStart w:id="58" w:name="page59"/>
    <w:bookmarkEnd w:id="58"/>
    <w:p>
      <w:pPr>
        <w:ind w:right="80" w:firstLine="648"/>
        <w:spacing w:after="0" w:line="252"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significantly greater financial, marketing, and other resources, or willingness to operate at a loss while building market share. Many of our competitors currently work together, and additional competitors may do so in the future through strategic business agreements or acquisitions. In addition, we have in the past and may in the future choose to collaborate with some of our existing and potential competitors in strategic partnerships that we believe will improve our competitive position and financial results. It is possible, however, that such ventures will be unsuccessful and that our competitive position and financial results will be adversely affected as a result of such collaboration.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 profitability, and results of operations. Many factors can significantly impact our pricing and marketing strategies, including the costs of running our business, the costs of raw materials, our competitors' pricing and marketing strategies, and the effects of inflation. If we fail to meet our customers' price expectations, our business and results of operations may suffer.</w:t>
      </w:r>
    </w:p>
    <w:p>
      <w:pPr>
        <w:spacing w:after="0" w:line="1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82" w:right="239" w:bottom="1440" w:gutter="0" w:footer="0" w:header="0"/>
        </w:sectPr>
      </w:pPr>
    </w:p>
    <w:bookmarkStart w:id="59" w:name="page60"/>
    <w:bookmarkEnd w:id="59"/>
    <w:p>
      <w:pPr>
        <w:ind w:right="3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key employees places a strain on members of our management team, who in some cases need to step in and support an additional business or function, and may significantly delay or prevent the achievement of our business objectives. Our failure to recruit, attract, and retain suitably qualified individuals to fill open roles or to adequately plan for succession could have an adverse effect on our ability to implement our business plan.</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Our credit facility and the indenture that governs our senior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senior secured credit facility, which we refer to as our credit facility, and the indenture that governs our 7.0% senior unsecured notes due 2026, which we refer to as our senior notes, contain a number of restrictive covenants that impose significant operating and financial restrictions on us and may limit our ability to engage in acts that may be in our best interest, including restrictions on our ability to:</w:t>
      </w:r>
    </w:p>
    <w:p>
      <w:pPr>
        <w:spacing w:after="0" w:line="310" w:lineRule="exact"/>
        <w:rPr>
          <w:sz w:val="20"/>
          <w:szCs w:val="20"/>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the restrictive covenants in the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our indenture or credit facility would have a material, adverse effect on our business.</w:t>
      </w:r>
    </w:p>
    <w:p>
      <w:pPr>
        <w:spacing w:after="0" w:line="247"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the indenture that governs our senior notes or under our credit facility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480" w:hanging="247"/>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0" w:right="239" w:bottom="1440" w:gutter="0" w:footer="0" w:header="0"/>
        </w:sectPr>
      </w:pPr>
    </w:p>
    <w:bookmarkStart w:id="60" w:name="page61"/>
    <w:bookmarkEnd w:id="60"/>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lenders under the credit facility could terminate all commitments to extend further credit under that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As of March 31, 2019, our total debt was $1,087.6 million, made up of $400.0 million of senior notes, $671.9 million of loan obligations under our credit facility and $15.7 million of other debt.</w:t>
      </w:r>
    </w:p>
    <w:p>
      <w:pPr>
        <w:spacing w:after="0" w:line="19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the limits contained in the credit facility, the indenture that governs our senior notes, and our other debt instruments, we may be able to incur substantial additional debt from time to time to finance working capital, capital expenditures, investments or acquisitions, or for other purposes. If we do so, the risks related to our level of debt could intensify. Specifically, our level of debt could have important consequences, including the following:</w:t>
      </w:r>
    </w:p>
    <w:p>
      <w:pPr>
        <w:spacing w:after="0" w:line="204" w:lineRule="exact"/>
        <w:rPr>
          <w:sz w:val="20"/>
          <w:szCs w:val="20"/>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6" w:lineRule="exact"/>
        <w:rPr>
          <w:rFonts w:ascii="Arial" w:cs="Arial" w:eastAsia="Arial" w:hAnsi="Arial"/>
          <w:sz w:val="18"/>
          <w:szCs w:val="18"/>
          <w:color w:val="auto"/>
        </w:rPr>
      </w:pPr>
    </w:p>
    <w:p>
      <w:pPr>
        <w:ind w:left="660" w:right="80" w:hanging="247"/>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480" w:hanging="247"/>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382" w:right="299" w:bottom="1440" w:gutter="0" w:footer="0" w:header="0"/>
        </w:sectPr>
      </w:pPr>
    </w:p>
    <w:bookmarkStart w:id="61" w:name="page62"/>
    <w:bookmarkEnd w:id="61"/>
    <w:p>
      <w:pPr>
        <w:ind w:right="84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March 31, 2019, a hypothetical 100 basis point increase in rates, inclusive of our outstanding interest rate swaps, would result in an increase of interest expense of approximately $1.7 million over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 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made, and may continue to make, major changes in trade policy between the United States and other countries, such as the imposition of additional tariffs and duties on imported products, and has suggested closing the border between the United States and Mexico. Because we produce most physical products for our United States customers at our facilities in Canada and Mexico and we source most materials for our products outside the United States, including material amounts of sourcing from China, future changes in tax policy or trade relations could adversely affect our business and results of operations.</w:t>
      </w:r>
    </w:p>
    <w:p>
      <w:pPr>
        <w:spacing w:after="0" w:line="1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right="760" w:firstLine="648"/>
        <w:spacing w:after="0" w:line="262" w:lineRule="auto"/>
        <w:rPr>
          <w:sz w:val="20"/>
          <w:szCs w:val="20"/>
          <w:color w:val="auto"/>
        </w:rPr>
      </w:pPr>
      <w:r>
        <w:rPr>
          <w:rFonts w:ascii="Arial" w:cs="Arial" w:eastAsia="Arial" w:hAnsi="Arial"/>
          <w:sz w:val="18"/>
          <w:szCs w:val="18"/>
          <w:color w:val="auto"/>
        </w:rPr>
        <w:t>Due to our dependence on the Internet for most of our sales, laws specifically governing the Internet, e-commerce, and email marketing may have a greater impact on our operations than other more traditional</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360" w:right="299" w:bottom="1440" w:gutter="0" w:footer="0" w:header="0"/>
        </w:sectPr>
      </w:pPr>
    </w:p>
    <w:bookmarkStart w:id="62" w:name="page63"/>
    <w:bookmarkEnd w:id="62"/>
    <w:p>
      <w:pPr>
        <w:ind w:right="100"/>
        <w:spacing w:after="0" w:line="256" w:lineRule="auto"/>
        <w:rPr>
          <w:sz w:val="20"/>
          <w:szCs w:val="20"/>
          <w:color w:val="auto"/>
        </w:rPr>
      </w:pPr>
      <w:r>
        <w:rPr>
          <w:rFonts w:ascii="Arial" w:cs="Arial" w:eastAsia="Arial" w:hAnsi="Arial"/>
          <w:sz w:val="18"/>
          <w:szCs w:val="18"/>
          <w:color w:val="auto"/>
        </w:rPr>
        <w:t>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Because of our focus on automation and high volumes, the vast majority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 costs would increase significantly, and we could be required to pay substantial penalties or monetary damages for any failure in our screening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customer payment-related risks.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accept payments for our products and services on our websites by a variety of methods, including credit or debit card, PayPal, check, wire transfer, or other methods. In some geographic regions, we rely on one or two third-party companies to provide payment processing services. If any of the payment processing or other companies with which we have contractual arrangements became unwilling or unable to provide these services to us or they or we are unable to comply with our contractual requirements under such arrangements, then we would need to find and engage replacement providers, which we may not be able to do on terms that are acceptable to us or at all, or to process the payments ourselves. Any of these scenarios could be disruptive to our business as they could be costly and time consuming and may unfavorably impact our customers.</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we offer new payment options to our customers, we may be subject to additional regulations, compliance requirements and fraud risk. For some payment methods, including credit and debit cards, we pay interchange and other fees, which may increase over time and raise our operating costs and lower our profit margins or require that we charge our customers more for our products. We are also subject to payment card association and similar operating rules and requirements, which could change or be reinterpreted to make it difficult or impossible for us to comply. If we fail to comply with these rules and requirements, we may be subject to fines and higher transaction fees and lose our ability to accept credit and debit card payments from our customers or facilitate other types of online payments, and our business and operating results could be materially adversely affected.</w:t>
      </w:r>
    </w:p>
    <w:p>
      <w:pPr>
        <w:spacing w:after="0" w:line="20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addition, we may be liable for fraudulent transactions conducted on our websites, such as through the use of stolen credit card numbers. To date, quarterly losses from payment fraud have not exceeded 1% of total revenues in any quarter, but we continue to face the risk of significant losses from this type of fraud.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Some of the products we sell, including products manufactured or supplied by third-party business partners,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If a government entity claims that we should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82" w:right="259" w:bottom="1440" w:gutter="0" w:footer="0" w:header="0"/>
        </w:sectPr>
      </w:pPr>
    </w:p>
    <w:bookmarkStart w:id="63" w:name="page64"/>
    <w:bookmarkEnd w:id="63"/>
    <w:p>
      <w:pPr>
        <w:ind w:right="820"/>
        <w:spacing w:after="0" w:line="262" w:lineRule="auto"/>
        <w:rPr>
          <w:sz w:val="20"/>
          <w:szCs w:val="20"/>
          <w:color w:val="auto"/>
        </w:rPr>
      </w:pPr>
      <w:r>
        <w:rPr>
          <w:rFonts w:ascii="Arial" w:cs="Arial" w:eastAsia="Arial" w:hAnsi="Arial"/>
          <w:sz w:val="18"/>
          <w:szCs w:val="18"/>
          <w:color w:val="auto"/>
        </w:rPr>
        <w:t>have been collecting indirect taxes on the sale of our products in a jurisdiction where we have not been doing so, then we could incur substantial tax liabilities for past sales.</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example, certain of our businesses do not currently collect sales tax in all U.S. states where they sell products. Many state governments in the United States have imposed or are seeking to impose sales tax collection responsibility on out-of-state, online retailers, and the recent U.S. Supreme Court ruling in South Dakota v. Wayfair, Inc. et al. enables states to consider adopting laws requiring remote sellers to collect and remit sales tax, even in states in which the seller has no physical presence. To the extent that individual states decide to adopt similar legislation, this could significantly increase the collection and compliance burden on Cimpress businesses operating in the U.S. In addition, there is risk that a state government in which a Cimpress business currently is not registered to collect and remit sales tax may attempt to assess tax, interest and penalties relating to prior periods.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N.V. group should be subject to income or other tax in their respective jurisdictions, which could result in an increase to our effective tax rate and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There are currently multiple initiatives for comprehensive tax reform underway in key jurisdictions where we have operations, and we cannot predict whether any other specific legislation will be enacted or the terms of any such legislation. However, if such legislation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N.V.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1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Cimpress</w:t>
      </w:r>
      <w:r>
        <w:rPr>
          <w:rFonts w:ascii="Arial" w:cs="Arial" w:eastAsia="Arial" w:hAnsi="Arial"/>
          <w:sz w:val="18"/>
          <w:szCs w:val="18"/>
          <w:b w:val="1"/>
          <w:bCs w:val="1"/>
          <w:color w:val="auto"/>
        </w:rPr>
        <w:t>, may make it difficult to replace or remove management, may inhibit or delay a change of control or may dilute shareholder voting power.</w:t>
      </w:r>
    </w:p>
    <w:p>
      <w:pPr>
        <w:spacing w:after="0" w:line="175"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Board of Directors or to overrule our Board's nominees by requiring a supermajority vote to do so under most circumstances. As a result, there may be circumstances in which shareholders may not be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82"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able to remove members of our Board of Directors even if holders of a majority of our ordinary shares favor doing so.</w:t>
      </w:r>
    </w:p>
    <w:p>
      <w:pPr>
        <w:spacing w:after="0" w:line="20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addition, an independent foundation, </w:t>
      </w:r>
      <w:r>
        <w:rPr>
          <w:rFonts w:ascii="Arial" w:cs="Arial" w:eastAsia="Arial" w:hAnsi="Arial"/>
          <w:sz w:val="17"/>
          <w:szCs w:val="17"/>
          <w:i w:val="1"/>
          <w:iCs w:val="1"/>
          <w:color w:val="auto"/>
        </w:rPr>
        <w:t>Stichting Continuïteit Cimpress</w:t>
      </w:r>
      <w:r>
        <w:rPr>
          <w:rFonts w:ascii="Arial" w:cs="Arial" w:eastAsia="Arial" w:hAnsi="Arial"/>
          <w:sz w:val="17"/>
          <w:szCs w:val="17"/>
          <w:color w:val="auto"/>
        </w:rPr>
        <w:t>, or the Foundation, exists to safeguard the interests of Cimpress N.V. and its stakeholders, which include but are not limited to our shareholders, and to assist in maintaining Cimpress'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Cimpress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 and certain corporate transactions.</w:t>
      </w:r>
    </w:p>
    <w:p>
      <w:pPr>
        <w:spacing w:after="0" w:line="247" w:lineRule="exact"/>
        <w:rPr>
          <w:sz w:val="20"/>
          <w:szCs w:val="20"/>
          <w:color w:val="auto"/>
        </w:rPr>
      </w:pPr>
    </w:p>
    <w:p>
      <w:pPr>
        <w:ind w:right="500" w:firstLine="648"/>
        <w:spacing w:after="0" w:line="252" w:lineRule="auto"/>
        <w:rPr>
          <w:sz w:val="20"/>
          <w:szCs w:val="20"/>
          <w:color w:val="auto"/>
        </w:rPr>
      </w:pPr>
      <w:r>
        <w:rPr>
          <w:rFonts w:ascii="Arial" w:cs="Arial" w:eastAsia="Arial" w:hAnsi="Arial"/>
          <w:sz w:val="18"/>
          <w:szCs w:val="18"/>
          <w:color w:val="auto"/>
        </w:rPr>
        <w:t>Dutch law imposes limitations and requirements on corporate actions such as the payment of dividends, issuance of new shares, repurchase of outstanding shares, and corporate acquisitions of a certain size, among other actions. For example, Dutch law requires shareholder approval for many corporate actions that would not be subject to shareholder approval if we were incorporated in the United States. Situations may arise where the flexibility to issue shares, pay dividends, purchase shares, acquire other companies, or take other corporate actions would be beneficial to us, but is subject to limitations, subject to delay due to shareholder approval requirements, or unavailable under Dutch law.</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Board of Directors.</w:t>
      </w:r>
    </w:p>
    <w:p>
      <w:pPr>
        <w:spacing w:after="0" w:line="17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Board of Directors are different from those established under United States laws. For example, under Dutch law derivative lawsuits are generally not available, and our Board is responsible for acting in the best interests of the company, its business and all of its stakeholders generally (including employees, customers and creditors), not just shareholders. As a result, our shareholders may find it more difficult to protect their interests against actions by members of our Board than they would if we were a U.S. corporation.</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vast majority of our assets are located outside of the United States. In addition, some of our officers and management reside outside of the United States. In most cases, a final judgment for the payment of money rendered by a U.S. federal or state court would not be directly enforceable in the Netherlands. Although there is a process under Dutch law for petitioning a Dutch court to enforce a judgment rendered in the United States, there can be no assurance that a Dutch court would impose civil liability on us or our management team in any lawsuit predicated solely upon U.S. securities or other laws. In addition, because most of our assets are located outside of the United States, it could be difficult for investors to place a lien on our assets in connection with a claim of liability under U.S. laws. As a result, it may be difficult for investors to enforce U.S. court judgments or rights predicated upon U.S. laws against us or our management team outside of the United States.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82"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We may not be able to make distributions or purchase shares without subjecting our shareholders to Dutch withholding tax.</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 Dutch withholding tax may be levied on dividends and similar distributions made by Cimpress N.V. to its shareholders at the statutory rate of 15% if we cannot structure such distributions as being made to shareholders in relation to a reduction of par value, which would be non-taxable for Dutch withholding tax purposes. We have purchased our shares and may seek to purchase additional shares in the future.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2018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0" w:right="239" w:bottom="1440" w:gutter="0" w:footer="0" w:header="0"/>
        </w:sectPr>
      </w:pPr>
    </w:p>
    <w:bookmarkStart w:id="66" w:name="page67"/>
    <w:bookmarkEnd w:id="66"/>
    <w:p>
      <w:pPr>
        <w:ind w:right="10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More than 70% of our ordinary shares are held by our top 10 shareholders, and we may repurchase shares in the future,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November 17, 2017, we announced that our Board had authorized the repurchase of up to 6,300,000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November 2017 share repurchase program terminated on February 12, 2019 when the Board authorized the new repurchase program described immediately below.</w:t>
      </w:r>
    </w:p>
    <w:p>
      <w:pPr>
        <w:spacing w:after="0" w:line="20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On February 12, 2019, we announced that our Board had approved a new share repurchase program that replaced the one described immediately above. Under this new program, we may repurchase up to 5,500,000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share repurchase program expires on May 13, 2020, and we may suspend or discontinue our share repurchases at any time.</w:t>
      </w:r>
    </w:p>
    <w:p>
      <w:pPr>
        <w:spacing w:after="0" w:line="206"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The following table outlines the purchase of our ordinary shares during the three months ended March 31, 2019 under each program described above: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 Number of</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Average Price</w:t>
            </w:r>
          </w:p>
        </w:tc>
        <w:tc>
          <w:tcPr>
            <w:tcW w:w="25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 Number of Shares Purchased as</w:t>
            </w:r>
          </w:p>
        </w:tc>
        <w:tc>
          <w:tcPr>
            <w:tcW w:w="2500" w:type="dxa"/>
            <w:vAlign w:val="bottom"/>
          </w:tcPr>
          <w:p>
            <w:pPr>
              <w:jc w:val="center"/>
              <w:spacing w:after="0"/>
              <w:rPr>
                <w:sz w:val="20"/>
                <w:szCs w:val="20"/>
                <w:color w:val="auto"/>
              </w:rPr>
            </w:pPr>
            <w:r>
              <w:rPr>
                <w:rFonts w:ascii="Arial" w:cs="Arial" w:eastAsia="Arial" w:hAnsi="Arial"/>
                <w:sz w:val="13"/>
                <w:szCs w:val="13"/>
                <w:b w:val="1"/>
                <w:bCs w:val="1"/>
                <w:color w:val="auto"/>
                <w:w w:val="96"/>
              </w:rPr>
              <w:t>Approximate Number of Shares that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580" w:type="dxa"/>
            <w:vAlign w:val="bottom"/>
            <w:gridSpan w:val="2"/>
            <w:vMerge w:val="continue"/>
          </w:tcPr>
          <w:p>
            <w:pPr>
              <w:spacing w:after="0"/>
              <w:rPr>
                <w:sz w:val="5"/>
                <w:szCs w:val="5"/>
                <w:color w:val="auto"/>
              </w:rPr>
            </w:pPr>
          </w:p>
        </w:tc>
        <w:tc>
          <w:tcPr>
            <w:tcW w:w="25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May Yet be Purchased Under the</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Shares Purchased</w:t>
            </w: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Paid Per Share (1)</w:t>
            </w:r>
          </w:p>
        </w:tc>
        <w:tc>
          <w:tcPr>
            <w:tcW w:w="25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Part of a Publicly Announced Program</w:t>
            </w: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2580" w:type="dxa"/>
            <w:vAlign w:val="bottom"/>
            <w:gridSpan w:val="2"/>
            <w:vMerge w:val="continue"/>
          </w:tcPr>
          <w:p>
            <w:pPr>
              <w:spacing w:after="0"/>
              <w:rPr>
                <w:sz w:val="8"/>
                <w:szCs w:val="8"/>
                <w:color w:val="auto"/>
              </w:rPr>
            </w:pPr>
          </w:p>
        </w:tc>
        <w:tc>
          <w:tcPr>
            <w:tcW w:w="2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Program</w:t>
            </w: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364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2019 through January 31, 2019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5,739,891</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February 1, 2019 through February 28, 2019 (2)</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122,877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81.89</w:t>
            </w:r>
          </w:p>
        </w:tc>
        <w:tc>
          <w:tcPr>
            <w:tcW w:w="120" w:type="dxa"/>
            <w:vAlign w:val="bottom"/>
          </w:tcPr>
          <w:p>
            <w:pPr>
              <w:spacing w:after="0"/>
              <w:rPr>
                <w:sz w:val="22"/>
                <w:szCs w:val="22"/>
                <w:color w:val="auto"/>
              </w:rPr>
            </w:pPr>
          </w:p>
        </w:tc>
        <w:tc>
          <w:tcPr>
            <w:tcW w:w="2480" w:type="dxa"/>
            <w:vAlign w:val="bottom"/>
          </w:tcPr>
          <w:p>
            <w:pPr>
              <w:jc w:val="right"/>
              <w:ind w:right="25"/>
              <w:spacing w:after="0"/>
              <w:rPr>
                <w:sz w:val="20"/>
                <w:szCs w:val="20"/>
                <w:color w:val="auto"/>
              </w:rPr>
            </w:pPr>
            <w:r>
              <w:rPr>
                <w:rFonts w:ascii="Arial" w:cs="Arial" w:eastAsia="Arial" w:hAnsi="Arial"/>
                <w:sz w:val="16"/>
                <w:szCs w:val="16"/>
                <w:color w:val="auto"/>
              </w:rPr>
              <w:t>122,877</w:t>
            </w:r>
          </w:p>
        </w:tc>
        <w:tc>
          <w:tcPr>
            <w:tcW w:w="100" w:type="dxa"/>
            <w:vAlign w:val="bottom"/>
          </w:tcPr>
          <w:p>
            <w:pPr>
              <w:spacing w:after="0"/>
              <w:rPr>
                <w:sz w:val="22"/>
                <w:szCs w:val="22"/>
                <w:color w:val="auto"/>
              </w:rPr>
            </w:pPr>
          </w:p>
        </w:tc>
        <w:tc>
          <w:tcPr>
            <w:tcW w:w="2500" w:type="dxa"/>
            <w:vAlign w:val="bottom"/>
          </w:tcPr>
          <w:p>
            <w:pPr>
              <w:jc w:val="right"/>
              <w:ind w:right="47"/>
              <w:spacing w:after="0"/>
              <w:rPr>
                <w:sz w:val="20"/>
                <w:szCs w:val="20"/>
                <w:color w:val="auto"/>
              </w:rPr>
            </w:pPr>
            <w:r>
              <w:rPr>
                <w:rFonts w:ascii="Arial" w:cs="Arial" w:eastAsia="Arial" w:hAnsi="Arial"/>
                <w:sz w:val="16"/>
                <w:szCs w:val="16"/>
                <w:color w:val="auto"/>
              </w:rPr>
              <w:t>5,500,000</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2019 through March 31, 2019 (3)</w:t>
            </w:r>
          </w:p>
        </w:tc>
        <w:tc>
          <w:tcPr>
            <w:tcW w:w="12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26,505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75.90</w:t>
            </w:r>
          </w:p>
        </w:tc>
        <w:tc>
          <w:tcPr>
            <w:tcW w:w="120" w:type="dxa"/>
            <w:vAlign w:val="bottom"/>
            <w:shd w:val="clear" w:color="auto" w:fill="CCEEFF"/>
          </w:tcPr>
          <w:p>
            <w:pPr>
              <w:spacing w:after="0"/>
              <w:rPr>
                <w:sz w:val="23"/>
                <w:szCs w:val="23"/>
                <w:color w:val="auto"/>
              </w:rPr>
            </w:pPr>
          </w:p>
        </w:tc>
        <w:tc>
          <w:tcPr>
            <w:tcW w:w="24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26,505</w:t>
            </w:r>
          </w:p>
        </w:tc>
        <w:tc>
          <w:tcPr>
            <w:tcW w:w="100" w:type="dxa"/>
            <w:vAlign w:val="bottom"/>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5,473,495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149,382</w:t>
            </w:r>
          </w:p>
        </w:tc>
        <w:tc>
          <w:tcPr>
            <w:tcW w:w="12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80.83</w:t>
            </w: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149,382</w:t>
            </w:r>
          </w:p>
        </w:tc>
        <w:tc>
          <w:tcPr>
            <w:tcW w:w="100" w:type="dxa"/>
            <w:vAlign w:val="bottom"/>
          </w:tcPr>
          <w:p>
            <w:pPr>
              <w:spacing w:after="0"/>
              <w:rPr>
                <w:sz w:val="20"/>
                <w:szCs w:val="20"/>
                <w:color w:val="auto"/>
              </w:rPr>
            </w:pPr>
          </w:p>
        </w:tc>
        <w:tc>
          <w:tcPr>
            <w:tcW w:w="25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5,473,495</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jc w:val="right"/>
              <w:ind w:right="2719"/>
              <w:spacing w:after="0"/>
              <w:rPr>
                <w:sz w:val="20"/>
                <w:szCs w:val="20"/>
                <w:color w:val="auto"/>
              </w:rPr>
            </w:pPr>
            <w:r>
              <w:rPr>
                <w:rFonts w:ascii="Arial" w:cs="Arial" w:eastAsia="Arial" w:hAnsi="Arial"/>
                <w:sz w:val="14"/>
                <w:szCs w:val="14"/>
                <w:color w:val="auto"/>
              </w:rPr>
              <w:t>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Average price paid per share includes commissions paid.</w:t>
      </w:r>
    </w:p>
    <w:p>
      <w:pPr>
        <w:spacing w:after="0" w:line="55" w:lineRule="exact"/>
        <w:rPr>
          <w:rFonts w:ascii="Arial" w:cs="Arial" w:eastAsia="Arial" w:hAnsi="Arial"/>
          <w:sz w:val="14"/>
          <w:szCs w:val="14"/>
          <w:color w:val="auto"/>
        </w:rPr>
      </w:pPr>
    </w:p>
    <w:p>
      <w:pPr>
        <w:ind w:right="320" w:firstLine="8"/>
        <w:spacing w:after="0" w:line="258" w:lineRule="auto"/>
        <w:tabs>
          <w:tab w:leader="none" w:pos="2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shares were purchased under the November 2017 repurchase program. Because the February 2019 repurchase program replaced the November 2017 program on February 12, 2019, the shares in the last column of this row represent the number of shares that remained under the February 2019 program as of February 28, 2019.</w:t>
      </w:r>
    </w:p>
    <w:p>
      <w:pPr>
        <w:spacing w:after="0" w:line="32" w:lineRule="exact"/>
        <w:rPr>
          <w:rFonts w:ascii="Arial" w:cs="Arial" w:eastAsia="Arial" w:hAnsi="Arial"/>
          <w:sz w:val="14"/>
          <w:szCs w:val="14"/>
          <w:color w:val="auto"/>
        </w:rPr>
      </w:pPr>
    </w:p>
    <w:p>
      <w:pPr>
        <w:ind w:right="20" w:firstLine="8"/>
        <w:spacing w:after="0" w:line="258" w:lineRule="auto"/>
        <w:tabs>
          <w:tab w:leader="none" w:pos="2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shares were purchased under the February 2019 repurchase program, and the shares in the last column of this row represent the number of shares that remained under the February 2019 program as of March 31, 2019.</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82"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10500" w:type="dxa"/>
            <w:vAlign w:val="bottom"/>
          </w:tcPr>
          <w:p>
            <w:pPr>
              <w:spacing w:after="0"/>
              <w:rPr>
                <w:sz w:val="16"/>
                <w:szCs w:val="16"/>
                <w:color w:val="auto"/>
              </w:rPr>
            </w:pPr>
          </w:p>
        </w:tc>
      </w:tr>
      <w:tr>
        <w:trPr>
          <w:trHeight w:val="243"/>
        </w:trPr>
        <w:tc>
          <w:tcPr>
            <w:tcW w:w="740" w:type="dxa"/>
            <w:vAlign w:val="bottom"/>
            <w:gridSpan w:val="2"/>
          </w:tcPr>
          <w:p>
            <w:pPr>
              <w:ind w:left="260"/>
              <w:spacing w:after="0"/>
              <w:rPr>
                <w:sz w:val="20"/>
                <w:szCs w:val="20"/>
                <w:color w:val="auto"/>
              </w:rPr>
            </w:pPr>
            <w:r>
              <w:rPr>
                <w:rFonts w:ascii="Arial" w:cs="Arial" w:eastAsia="Arial" w:hAnsi="Arial"/>
                <w:sz w:val="14"/>
                <w:szCs w:val="14"/>
                <w:b w:val="1"/>
                <w:bCs w:val="1"/>
                <w:color w:val="auto"/>
              </w:rPr>
              <w:t>No.</w:t>
            </w:r>
          </w:p>
        </w:tc>
        <w:tc>
          <w:tcPr>
            <w:tcW w:w="10500" w:type="dxa"/>
            <w:vAlign w:val="bottom"/>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320" w:type="dxa"/>
            <w:vAlign w:val="bottom"/>
            <w:tcBorders>
              <w:bottom w:val="single" w:sz="8" w:color="0000FF"/>
            </w:tcBorders>
          </w:tcPr>
          <w:p>
            <w:pPr>
              <w:jc w:val="right"/>
              <w:spacing w:after="0"/>
              <w:rPr>
                <w:rFonts w:ascii="Arial" w:cs="Arial" w:eastAsia="Arial" w:hAnsi="Arial"/>
                <w:sz w:val="16"/>
                <w:szCs w:val="16"/>
                <w:color w:val="0000FF"/>
                <w:w w:val="96"/>
              </w:rPr>
            </w:pPr>
            <w:hyperlink r:id="rId1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420" w:type="dxa"/>
            <w:vAlign w:val="bottom"/>
          </w:tcPr>
          <w:p>
            <w:pPr>
              <w:spacing w:after="0"/>
              <w:rPr>
                <w:sz w:val="17"/>
                <w:szCs w:val="17"/>
                <w:color w:val="auto"/>
              </w:rPr>
            </w:pPr>
          </w:p>
        </w:tc>
        <w:tc>
          <w:tcPr>
            <w:tcW w:w="10500" w:type="dxa"/>
            <w:vAlign w:val="bottom"/>
          </w:tcPr>
          <w:p>
            <w:pPr>
              <w:ind w:left="180"/>
              <w:spacing w:after="0"/>
              <w:rPr>
                <w:sz w:val="20"/>
                <w:szCs w:val="20"/>
                <w:color w:val="auto"/>
              </w:rPr>
            </w:pPr>
            <w:r>
              <w:rPr>
                <w:rFonts w:ascii="Arial" w:cs="Arial" w:eastAsia="Arial" w:hAnsi="Arial"/>
                <w:sz w:val="16"/>
                <w:szCs w:val="16"/>
                <w:color w:val="auto"/>
              </w:rPr>
              <w:t>Form of Executive Retention Agreement between Cimpress N.V. and each of Peter Kelly and Maarten Wensveen is incorporated by reference to</w:t>
            </w:r>
          </w:p>
        </w:tc>
      </w:tr>
      <w:tr>
        <w:trPr>
          <w:trHeight w:val="204"/>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500" w:type="dxa"/>
            <w:vAlign w:val="bottom"/>
          </w:tcPr>
          <w:p>
            <w:pPr>
              <w:ind w:left="180"/>
              <w:spacing w:after="0"/>
              <w:rPr>
                <w:sz w:val="20"/>
                <w:szCs w:val="20"/>
                <w:color w:val="auto"/>
              </w:rPr>
            </w:pPr>
            <w:r>
              <w:rPr>
                <w:rFonts w:ascii="Arial" w:cs="Arial" w:eastAsia="Arial" w:hAnsi="Arial"/>
                <w:sz w:val="16"/>
                <w:szCs w:val="16"/>
                <w:color w:val="auto"/>
              </w:rPr>
              <w:t>our Quarterly Report on Form 10-Q for the fiscal quarter ended September 30, 2016</w:t>
            </w:r>
          </w:p>
        </w:tc>
      </w:tr>
      <w:tr>
        <w:trPr>
          <w:trHeight w:val="398"/>
        </w:trPr>
        <w:tc>
          <w:tcPr>
            <w:tcW w:w="320" w:type="dxa"/>
            <w:vAlign w:val="bottom"/>
            <w:tcBorders>
              <w:bottom w:val="single" w:sz="8" w:color="0000FF"/>
            </w:tcBorders>
          </w:tcPr>
          <w:p>
            <w:pPr>
              <w:jc w:val="right"/>
              <w:spacing w:after="0"/>
              <w:rPr>
                <w:rFonts w:ascii="Arial" w:cs="Arial" w:eastAsia="Arial" w:hAnsi="Arial"/>
                <w:sz w:val="16"/>
                <w:szCs w:val="16"/>
                <w:color w:val="0000FF"/>
                <w:w w:val="96"/>
              </w:rPr>
            </w:pPr>
            <w:hyperlink w:anchor="page70">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420" w:type="dxa"/>
            <w:vAlign w:val="bottom"/>
          </w:tcPr>
          <w:p>
            <w:pPr>
              <w:spacing w:after="0"/>
              <w:rPr>
                <w:sz w:val="24"/>
                <w:szCs w:val="24"/>
                <w:color w:val="auto"/>
              </w:rPr>
            </w:pPr>
          </w:p>
        </w:tc>
        <w:tc>
          <w:tcPr>
            <w:tcW w:w="10500" w:type="dxa"/>
            <w:vAlign w:val="bottom"/>
          </w:tcPr>
          <w:p>
            <w:pPr>
              <w:ind w:left="18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r>
      <w:tr>
        <w:trPr>
          <w:trHeight w:val="250"/>
        </w:trPr>
        <w:tc>
          <w:tcPr>
            <w:tcW w:w="320" w:type="dxa"/>
            <w:vAlign w:val="bottom"/>
            <w:tcBorders>
              <w:bottom w:val="single" w:sz="8" w:color="0000FF"/>
            </w:tcBorders>
          </w:tcPr>
          <w:p>
            <w:pPr>
              <w:jc w:val="right"/>
              <w:spacing w:after="0"/>
              <w:rPr>
                <w:rFonts w:ascii="Arial" w:cs="Arial" w:eastAsia="Arial" w:hAnsi="Arial"/>
                <w:sz w:val="16"/>
                <w:szCs w:val="16"/>
                <w:color w:val="0000FF"/>
                <w:w w:val="96"/>
              </w:rPr>
            </w:pPr>
            <w:hyperlink w:anchor="page71">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420" w:type="dxa"/>
            <w:vAlign w:val="bottom"/>
          </w:tcPr>
          <w:p>
            <w:pPr>
              <w:spacing w:after="0"/>
              <w:rPr>
                <w:sz w:val="21"/>
                <w:szCs w:val="21"/>
                <w:color w:val="auto"/>
              </w:rPr>
            </w:pPr>
          </w:p>
        </w:tc>
        <w:tc>
          <w:tcPr>
            <w:tcW w:w="10500" w:type="dxa"/>
            <w:vAlign w:val="bottom"/>
          </w:tcPr>
          <w:p>
            <w:pPr>
              <w:ind w:left="18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r>
      <w:tr>
        <w:trPr>
          <w:trHeight w:val="250"/>
        </w:trPr>
        <w:tc>
          <w:tcPr>
            <w:tcW w:w="320" w:type="dxa"/>
            <w:vAlign w:val="bottom"/>
            <w:tcBorders>
              <w:bottom w:val="single" w:sz="8" w:color="0000FF"/>
            </w:tcBorders>
          </w:tcPr>
          <w:p>
            <w:pPr>
              <w:jc w:val="right"/>
              <w:spacing w:after="0"/>
              <w:rPr>
                <w:rFonts w:ascii="Arial" w:cs="Arial" w:eastAsia="Arial" w:hAnsi="Arial"/>
                <w:sz w:val="16"/>
                <w:szCs w:val="16"/>
                <w:color w:val="0000FF"/>
                <w:w w:val="96"/>
              </w:rPr>
            </w:pPr>
            <w:hyperlink w:anchor="page72">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420" w:type="dxa"/>
            <w:vAlign w:val="bottom"/>
          </w:tcPr>
          <w:p>
            <w:pPr>
              <w:spacing w:after="0"/>
              <w:rPr>
                <w:sz w:val="21"/>
                <w:szCs w:val="21"/>
                <w:color w:val="auto"/>
              </w:rPr>
            </w:pPr>
          </w:p>
        </w:tc>
        <w:tc>
          <w:tcPr>
            <w:tcW w:w="10500" w:type="dxa"/>
            <w:vAlign w:val="bottom"/>
          </w:tcPr>
          <w:p>
            <w:pPr>
              <w:ind w:left="18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by Chief Executive</w:t>
            </w:r>
          </w:p>
        </w:tc>
      </w:tr>
      <w:tr>
        <w:trPr>
          <w:trHeight w:val="204"/>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500" w:type="dxa"/>
            <w:vAlign w:val="bottom"/>
          </w:tcPr>
          <w:p>
            <w:pPr>
              <w:ind w:left="180"/>
              <w:spacing w:after="0"/>
              <w:rPr>
                <w:sz w:val="20"/>
                <w:szCs w:val="20"/>
                <w:color w:val="auto"/>
              </w:rPr>
            </w:pPr>
            <w:r>
              <w:rPr>
                <w:rFonts w:ascii="Arial" w:cs="Arial" w:eastAsia="Arial" w:hAnsi="Arial"/>
                <w:sz w:val="16"/>
                <w:szCs w:val="16"/>
                <w:color w:val="auto"/>
              </w:rPr>
              <w:t>Officer and Chief Financial Officer</w:t>
            </w:r>
          </w:p>
        </w:tc>
      </w:tr>
    </w:tbl>
    <w:p>
      <w:pPr>
        <w:spacing w:after="0" w:line="48" w:lineRule="exact"/>
        <w:rPr>
          <w:sz w:val="20"/>
          <w:szCs w:val="20"/>
          <w:color w:val="auto"/>
        </w:rPr>
      </w:pPr>
    </w:p>
    <w:p>
      <w:pPr>
        <w:jc w:val="both"/>
        <w:ind w:left="960" w:right="60" w:hanging="925"/>
        <w:spacing w:after="0" w:line="253"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materials from this Quarterly Report on Form 10-Q,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80"/>
          </w:cols>
          <w:pgMar w:left="240" w:top="549" w:right="379" w:bottom="1440" w:gutter="0" w:footer="0" w:header="0"/>
        </w:sectPr>
      </w:pPr>
    </w:p>
    <w:bookmarkStart w:id="68" w:name="page69"/>
    <w:bookmarkEnd w:id="68"/>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May 2, 2019</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7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Chief Financial Officer</w:t>
      </w:r>
    </w:p>
    <w:p>
      <w:pPr>
        <w:spacing w:after="0" w:line="1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240" w:top="576" w:right="6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In connection with the Quarterly Report on Form 10-Q of Cimpress N.V. (the “Company”) for the fiscal quarter ended March 31, 2019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tabs>
          <w:tab w:leader="none" w:pos="700" w:val="left"/>
          <w:tab w:leader="none" w:pos="7880" w:val="left"/>
        </w:tabs>
        <w:rPr>
          <w:sz w:val="20"/>
          <w:szCs w:val="20"/>
          <w:color w:val="auto"/>
        </w:rPr>
      </w:pPr>
      <w:r>
        <w:rPr>
          <w:rFonts w:ascii="Arial" w:cs="Arial" w:eastAsia="Arial" w:hAnsi="Arial"/>
          <w:sz w:val="18"/>
          <w:szCs w:val="18"/>
          <w:color w:val="auto"/>
        </w:rPr>
        <w:t>Date:</w:t>
        <w:tab/>
        <w:t>May 2, 2019</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960" w:val="left"/>
        </w:tabs>
        <w:rPr>
          <w:sz w:val="20"/>
          <w:szCs w:val="20"/>
          <w:color w:val="auto"/>
        </w:rPr>
      </w:pPr>
      <w:r>
        <w:rPr>
          <w:rFonts w:ascii="Arial" w:cs="Arial" w:eastAsia="Arial" w:hAnsi="Arial"/>
          <w:sz w:val="18"/>
          <w:szCs w:val="18"/>
          <w:color w:val="auto"/>
        </w:rPr>
        <w:t>Date:</w:t>
        <w:tab/>
        <w:t>May 2, 2019</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7"/>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lvl w:ilvl="1">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0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lowerLetter"/>
      <w:start w:val="3"/>
    </w:lvl>
  </w:abstractNum>
  <w:abstractNum w:abstractNumId="47">
    <w:nsid w:val="749ABB43"/>
    <w:multiLevelType w:val="hybridMultilevel"/>
    <w:lvl w:ilvl="0">
      <w:lvlJc w:val="left"/>
      <w:lvlText w:val="%1."/>
      <w:numFmt w:val="decimal"/>
      <w:start w:val="5"/>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Letter"/>
      <w:start w:val="3"/>
    </w:lvl>
  </w:abstractNum>
  <w:abstractNum w:abstractNumId="50">
    <w:nsid w:val="79A1DEAA"/>
    <w:multiLevelType w:val="hybridMultilevel"/>
    <w:lvl w:ilvl="0">
      <w:lvlJc w:val="left"/>
      <w:lvlText w:val="%1."/>
      <w:numFmt w:val="decimal"/>
      <w:start w:val="5"/>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4" Type="http://schemas.openxmlformats.org/officeDocument/2006/relationships/hyperlink" Target="http://www.sec.gov/Archives/edgar/data/1262976/000126297616000081/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2019-12-28T13:31:10Z</dcterms:created>
  <dcterms:modified xsi:type="dcterms:W3CDTF">2019-12-28T13:31:10Z</dcterms:modified>
</cp:coreProperties>
</file>