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313055</wp:posOffset>
            </wp:positionH>
            <wp:positionV relativeFrom="page">
              <wp:posOffset>822325</wp:posOffset>
            </wp:positionV>
            <wp:extent cx="693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page">
              <wp:posOffset>313055</wp:posOffset>
            </wp:positionH>
            <wp:positionV relativeFrom="page">
              <wp:posOffset>789305</wp:posOffset>
            </wp:positionV>
            <wp:extent cx="693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16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10-Q</w:t>
      </w:r>
    </w:p>
    <w:p>
      <w:pPr>
        <w:spacing w:after="0" w:line="1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29" w:lineRule="exact"/>
        <w:rPr>
          <w:sz w:val="24"/>
          <w:szCs w:val="24"/>
          <w:color w:val="auto"/>
        </w:rPr>
      </w:pPr>
    </w:p>
    <w:p>
      <w:pPr>
        <w:ind w:left="420" w:hanging="273"/>
        <w:spacing w:after="0"/>
        <w:tabs>
          <w:tab w:leader="none" w:pos="42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30" w:lineRule="exact"/>
        <w:rPr>
          <w:sz w:val="24"/>
          <w:szCs w:val="24"/>
          <w:color w:val="auto"/>
        </w:rPr>
      </w:pPr>
    </w:p>
    <w:p>
      <w:pPr>
        <w:ind w:left="420"/>
        <w:spacing w:after="0"/>
        <w:tabs>
          <w:tab w:leader="none" w:pos="3240" w:val="left"/>
        </w:tabs>
        <w:rPr>
          <w:sz w:val="20"/>
          <w:szCs w:val="20"/>
          <w:color w:val="auto"/>
        </w:rPr>
      </w:pPr>
      <w:r>
        <w:rPr>
          <w:rFonts w:ascii="Arial" w:cs="Arial" w:eastAsia="Arial" w:hAnsi="Arial"/>
          <w:sz w:val="15"/>
          <w:szCs w:val="15"/>
          <w:b w:val="1"/>
          <w:bCs w:val="1"/>
          <w:color w:val="auto"/>
        </w:rPr>
        <w:t>For the quarterly period ended</w:t>
      </w:r>
      <w:r>
        <w:rPr>
          <w:sz w:val="20"/>
          <w:szCs w:val="20"/>
          <w:color w:val="auto"/>
        </w:rPr>
        <w:tab/>
      </w:r>
      <w:r>
        <w:rPr>
          <w:rFonts w:ascii="Arial" w:cs="Arial" w:eastAsia="Arial" w:hAnsi="Arial"/>
          <w:sz w:val="14"/>
          <w:szCs w:val="14"/>
          <w:b w:val="1"/>
          <w:bCs w:val="1"/>
          <w:color w:val="auto"/>
        </w:rPr>
        <w:t>December 31, 2024</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or</w:t>
      </w:r>
    </w:p>
    <w:p>
      <w:pPr>
        <w:ind w:left="420" w:hanging="273"/>
        <w:spacing w:after="0" w:line="207" w:lineRule="auto"/>
        <w:tabs>
          <w:tab w:leader="none" w:pos="420" w:val="left"/>
        </w:tabs>
        <w:numPr>
          <w:ilvl w:val="0"/>
          <w:numId w:val="2"/>
        </w:numPr>
        <w:rPr>
          <w:rFonts w:ascii="MS PGothic" w:cs="MS PGothic" w:eastAsia="MS PGothic" w:hAnsi="MS PGothic"/>
          <w:sz w:val="3"/>
          <w:szCs w:val="3"/>
          <w:color w:val="auto"/>
        </w:rPr>
      </w:pPr>
      <w:r>
        <w:rPr>
          <w:rFonts w:ascii="Arial" w:cs="Arial" w:eastAsia="Arial" w:hAnsi="Arial"/>
          <w:sz w:val="3"/>
          <w:szCs w:val="3"/>
          <w:b w:val="1"/>
          <w:bCs w:val="1"/>
          <w:color w:val="auto"/>
        </w:rPr>
        <w:t>TRANSITION REPORT PURSUANT TO SECTION 13 OR 15(d) OF THE SECURITIES EXCHANGE ACT OF 1934</w:t>
      </w:r>
    </w:p>
    <w:p>
      <w:pPr>
        <w:spacing w:after="0" w:line="181" w:lineRule="exact"/>
        <w:rPr>
          <w:sz w:val="24"/>
          <w:szCs w:val="24"/>
          <w:color w:val="auto"/>
        </w:rPr>
      </w:pPr>
    </w:p>
    <w:p>
      <w:pPr>
        <w:ind w:left="420"/>
        <w:spacing w:after="0"/>
        <w:tabs>
          <w:tab w:leader="none" w:pos="308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Commission file number 000-51539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35"/>
          <w:szCs w:val="35"/>
          <w:b w:val="1"/>
          <w:bCs w:val="1"/>
          <w:color w:val="auto"/>
        </w:rPr>
        <w:t>Cimpress plc</w:t>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ectPr>
          <w:pgSz w:w="11900" w:h="16838" w:orient="portrait"/>
          <w:cols w:equalWidth="0" w:num="1">
            <w:col w:w="11260"/>
          </w:cols>
          <w:pgMar w:left="320" w:top="1367" w:right="319" w:bottom="1440" w:gutter="0" w:footer="0" w:header="0"/>
        </w:sectPr>
      </w:pPr>
    </w:p>
    <w:p>
      <w:pPr>
        <w:spacing w:after="0" w:line="121" w:lineRule="exact"/>
        <w:rPr>
          <w:sz w:val="24"/>
          <w:szCs w:val="24"/>
          <w:color w:val="auto"/>
        </w:rPr>
      </w:pPr>
    </w:p>
    <w:p>
      <w:pPr>
        <w:ind w:left="254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98-0417483</w:t>
      </w:r>
    </w:p>
    <w:p>
      <w:pPr>
        <w:spacing w:after="0" w:line="37" w:lineRule="exact"/>
        <w:rPr>
          <w:sz w:val="24"/>
          <w:szCs w:val="24"/>
          <w:color w:val="auto"/>
        </w:rPr>
      </w:pPr>
    </w:p>
    <w:p>
      <w:pPr>
        <w:sectPr>
          <w:pgSz w:w="11900" w:h="16838" w:orient="portrait"/>
          <w:cols w:equalWidth="0" w:num="2">
            <w:col w:w="7340" w:space="720"/>
            <w:col w:w="3200"/>
          </w:cols>
          <w:pgMar w:left="320" w:top="1367" w:right="319" w:bottom="1440" w:gutter="0" w:footer="0" w:header="0"/>
          <w:type w:val="continuous"/>
        </w:sectPr>
      </w:pPr>
    </w:p>
    <w:p>
      <w:pPr>
        <w:spacing w:after="0" w:line="5"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(State or Other Jurisdiction of</w:t>
      </w:r>
    </w:p>
    <w:p>
      <w:pPr>
        <w:spacing w:after="0" w:line="7"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4"/>
          <w:szCs w:val="14"/>
          <w:b w:val="1"/>
          <w:bCs w:val="1"/>
          <w:color w:val="auto"/>
        </w:rPr>
        <w:t>(I.R.S. Employer</w:t>
      </w:r>
    </w:p>
    <w:p>
      <w:pPr>
        <w:jc w:val="center"/>
        <w:ind w:right="2220"/>
        <w:spacing w:after="0"/>
        <w:rPr>
          <w:sz w:val="20"/>
          <w:szCs w:val="20"/>
          <w:color w:val="auto"/>
        </w:rPr>
      </w:pPr>
      <w:r>
        <w:rPr>
          <w:rFonts w:ascii="Arial" w:cs="Arial" w:eastAsia="Arial" w:hAnsi="Arial"/>
          <w:sz w:val="13"/>
          <w:szCs w:val="13"/>
          <w:b w:val="1"/>
          <w:bCs w:val="1"/>
          <w:color w:val="auto"/>
        </w:rPr>
        <w:t>Identification No.)</w:t>
      </w:r>
    </w:p>
    <w:p>
      <w:pPr>
        <w:spacing w:after="0" w:line="96" w:lineRule="exact"/>
        <w:rPr>
          <w:sz w:val="24"/>
          <w:szCs w:val="24"/>
          <w:color w:val="auto"/>
        </w:rPr>
      </w:pPr>
    </w:p>
    <w:p>
      <w:pPr>
        <w:sectPr>
          <w:pgSz w:w="11900" w:h="16838" w:orient="portrait"/>
          <w:cols w:equalWidth="0" w:num="2">
            <w:col w:w="7140" w:space="720"/>
            <w:col w:w="3400"/>
          </w:cols>
          <w:pgMar w:left="320" w:top="1367" w:right="319"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First Floor Building 3, Finnabair Business and Technology Park A91 XR61,</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Dundalk, Co. Louth,</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Ireland</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 353 42 938 8500</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60"/>
          </w:cols>
          <w:pgMar w:left="320" w:top="1367" w:right="319" w:bottom="1440" w:gutter="0" w:footer="0" w:header="0"/>
          <w:type w:val="continuous"/>
        </w:sectPr>
      </w:pPr>
    </w:p>
    <w:p>
      <w:pPr>
        <w:spacing w:after="0" w:line="154" w:lineRule="exact"/>
        <w:rPr>
          <w:sz w:val="24"/>
          <w:szCs w:val="24"/>
          <w:color w:val="auto"/>
        </w:rPr>
      </w:pPr>
    </w:p>
    <w:p>
      <w:pPr>
        <w:ind w:left="13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49" w:lineRule="exact"/>
        <w:rPr>
          <w:sz w:val="24"/>
          <w:szCs w:val="24"/>
          <w:color w:val="auto"/>
        </w:rPr>
      </w:pPr>
    </w:p>
    <w:p>
      <w:pPr>
        <w:sectPr>
          <w:pgSz w:w="11900" w:h="16838" w:orient="portrait"/>
          <w:cols w:equalWidth="0" w:num="3">
            <w:col w:w="4360" w:space="720"/>
            <w:col w:w="2440" w:space="720"/>
            <w:col w:w="3020"/>
          </w:cols>
          <w:pgMar w:left="320" w:top="1367" w:right="31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Ordinary Shares, nominal value of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CMPR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19" w:lineRule="exact"/>
        <w:rPr>
          <w:sz w:val="24"/>
          <w:szCs w:val="24"/>
          <w:color w:val="auto"/>
        </w:rPr>
      </w:pPr>
    </w:p>
    <w:p>
      <w:pPr>
        <w:sectPr>
          <w:pgSz w:w="11900" w:h="16838" w:orient="portrait"/>
          <w:cols w:equalWidth="0" w:num="3">
            <w:col w:w="4660" w:space="720"/>
            <w:col w:w="2220" w:space="720"/>
            <w:col w:w="2940"/>
          </w:cols>
          <w:pgMar w:left="320" w:top="1367" w:right="31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2"/>
          <w:szCs w:val="12"/>
          <w:color w:val="auto"/>
        </w:rPr>
        <w:t>______________________________</w:t>
      </w:r>
    </w:p>
    <w:p>
      <w:pPr>
        <w:spacing w:after="0" w:line="304" w:lineRule="exact"/>
        <w:rPr>
          <w:sz w:val="24"/>
          <w:szCs w:val="24"/>
          <w:color w:val="auto"/>
        </w:rPr>
      </w:pPr>
    </w:p>
    <w:p>
      <w:pPr>
        <w:ind w:right="120" w:firstLine="623"/>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1240" w:val="left"/>
        </w:tabs>
        <w:rPr>
          <w:sz w:val="20"/>
          <w:szCs w:val="20"/>
          <w:color w:val="auto"/>
        </w:rPr>
      </w:pPr>
      <w:r>
        <w:rPr>
          <w:rFonts w:ascii="Arial" w:cs="Arial" w:eastAsia="Arial" w:hAnsi="Arial"/>
          <w:sz w:val="15"/>
          <w:szCs w:val="15"/>
          <w:color w:val="auto"/>
        </w:rPr>
        <w:t xml:space="preserve">90 days.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Wingdings" w:cs="Wingdings" w:eastAsia="Wingdings" w:hAnsi="Wingdings"/>
          <w:sz w:val="14"/>
          <w:szCs w:val="14"/>
          <w:b w:val="1"/>
          <w:bCs w:val="1"/>
          <w:color w:val="auto"/>
        </w:rPr>
        <w:t>o</w:t>
      </w:r>
    </w:p>
    <w:p>
      <w:pPr>
        <w:spacing w:after="0" w:line="64" w:lineRule="exact"/>
        <w:rPr>
          <w:sz w:val="24"/>
          <w:szCs w:val="24"/>
          <w:color w:val="auto"/>
        </w:rPr>
      </w:pPr>
    </w:p>
    <w:p>
      <w:pPr>
        <w:ind w:right="180" w:firstLine="623"/>
        <w:spacing w:after="0" w:line="19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34" w:lineRule="exact"/>
        <w:rPr>
          <w:sz w:val="24"/>
          <w:szCs w:val="24"/>
          <w:color w:val="auto"/>
        </w:rPr>
      </w:pPr>
    </w:p>
    <w:p>
      <w:pPr>
        <w:ind w:right="80" w:firstLine="623"/>
        <w:spacing w:after="0" w:line="25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60"/>
          </w:cols>
          <w:pgMar w:left="320" w:top="1367" w:right="319" w:bottom="1440" w:gutter="0" w:footer="0" w:header="0"/>
          <w:type w:val="continuous"/>
        </w:sectPr>
      </w:pPr>
    </w:p>
    <w:p>
      <w:pPr>
        <w:spacing w:after="0" w:line="180" w:lineRule="exact"/>
        <w:rPr>
          <w:sz w:val="24"/>
          <w:szCs w:val="24"/>
          <w:color w:val="auto"/>
        </w:rPr>
      </w:pPr>
    </w:p>
    <w:p>
      <w:pPr>
        <w:ind w:left="244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Accelerated filer</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9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5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515" w:lineRule="exact"/>
        <w:rPr>
          <w:sz w:val="24"/>
          <w:szCs w:val="24"/>
          <w:color w:val="auto"/>
        </w:rPr>
      </w:pPr>
    </w:p>
    <w:p>
      <w:pPr>
        <w:sectPr>
          <w:pgSz w:w="11900" w:h="16838" w:orient="portrait"/>
          <w:cols w:equalWidth="0" w:num="5">
            <w:col w:w="3820" w:space="180"/>
            <w:col w:w="1120" w:space="720"/>
            <w:col w:w="1640" w:space="200"/>
            <w:col w:w="1580" w:space="720"/>
            <w:col w:w="1280"/>
          </w:cols>
          <w:pgMar w:left="320" w:top="1367" w:right="319" w:bottom="1440" w:gutter="0" w:footer="0" w:header="0"/>
          <w:type w:val="continuous"/>
        </w:sectPr>
      </w:pPr>
    </w:p>
    <w:p>
      <w:pPr>
        <w:ind w:right="40" w:firstLine="623"/>
        <w:spacing w:after="0" w:line="252" w:lineRule="auto"/>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left="620" w:right="2620"/>
        <w:spacing w:after="0" w:line="247" w:lineRule="exact"/>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January 27, 2025, there were 24,820,543 Cimpress plc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848360</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259080</wp:posOffset>
            </wp:positionV>
            <wp:extent cx="693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226060</wp:posOffset>
            </wp:positionV>
            <wp:extent cx="693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1660" cy="8255"/>
                    </a:xfrm>
                    <a:prstGeom prst="rect">
                      <a:avLst/>
                    </a:prstGeom>
                    <a:noFill/>
                  </pic:spPr>
                </pic:pic>
              </a:graphicData>
            </a:graphic>
          </wp:anchor>
        </w:drawing>
      </w:r>
    </w:p>
    <w:p>
      <w:pPr>
        <w:sectPr>
          <w:pgSz w:w="11900" w:h="16838" w:orient="portrait"/>
          <w:cols w:equalWidth="0" w:num="1">
            <w:col w:w="11260"/>
          </w:cols>
          <w:pgMar w:left="320" w:top="1367"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and Six Months Ended December 31, 2024</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8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PART I FINANCIAL INFORMATION</w:t>
            </w:r>
          </w:p>
        </w:tc>
        <w:tc>
          <w:tcPr>
            <w:tcW w:w="7740" w:type="dxa"/>
            <w:vAlign w:val="bottom"/>
            <w:vMerge w:val="restart"/>
          </w:tcPr>
          <w:p>
            <w:pPr>
              <w:spacing w:after="0"/>
              <w:rPr>
                <w:sz w:val="19"/>
                <w:szCs w:val="19"/>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Borders>
              <w:bottom w:val="single" w:sz="8" w:color="auto"/>
            </w:tcBorders>
            <w:gridSpan w:val="3"/>
            <w:vMerge w:val="continue"/>
          </w:tcPr>
          <w:p>
            <w:pPr>
              <w:spacing w:after="0"/>
              <w:rPr>
                <w:sz w:val="14"/>
                <w:szCs w:val="14"/>
                <w:color w:val="auto"/>
              </w:rPr>
            </w:pPr>
          </w:p>
        </w:tc>
        <w:tc>
          <w:tcPr>
            <w:tcW w:w="77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1. Financial Statements (unaudited)</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Balance Sheets as of December 31, 2024 and June 30, 2024</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Operations for the three and six months ended December 31, 2024 and 2023</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Comprehensive Income for the three and six months ended December 31, 2024 and 2023</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Shareholders' Deficit for the three and six months ended December 31, 2024 and 2023</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Cash Flows for the six months ended December 31, 2024 and 2023</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Notes to Consolidated Financial Statements</w:t>
            </w: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2. 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3. 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4.</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Controls and Procedures</w:t>
            </w:r>
          </w:p>
        </w:tc>
        <w:tc>
          <w:tcPr>
            <w:tcW w:w="6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540" w:type="dxa"/>
            <w:vAlign w:val="bottom"/>
            <w:gridSpan w:val="4"/>
          </w:tcPr>
          <w:p>
            <w:pPr>
              <w:spacing w:after="0"/>
              <w:rPr>
                <w:sz w:val="20"/>
                <w:szCs w:val="20"/>
                <w:color w:val="auto"/>
              </w:rPr>
            </w:pPr>
            <w:r>
              <w:rPr>
                <w:rFonts w:ascii="Arial" w:cs="Arial" w:eastAsia="Arial" w:hAnsi="Arial"/>
                <w:sz w:val="16"/>
                <w:szCs w:val="16"/>
                <w:b w:val="1"/>
                <w:bCs w:val="1"/>
                <w:color w:val="auto"/>
              </w:rPr>
              <w:t>PART II 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Item 1A. Risk Factors</w:t>
            </w:r>
          </w:p>
        </w:tc>
        <w:tc>
          <w:tcPr>
            <w:tcW w:w="8160" w:type="dxa"/>
            <w:vAlign w:val="bottom"/>
            <w:gridSpan w:val="2"/>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2.</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5.</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Other Information</w:t>
            </w: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6.</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Exhibits</w:t>
            </w:r>
          </w:p>
        </w:tc>
        <w:tc>
          <w:tcPr>
            <w:tcW w:w="6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Signatures</w:t>
            </w:r>
          </w:p>
        </w:tc>
        <w:tc>
          <w:tcPr>
            <w:tcW w:w="6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213"/>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1"/>
          <w:szCs w:val="21"/>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160" w:type="dxa"/>
            <w:vAlign w:val="bottom"/>
          </w:tcPr>
          <w:p>
            <w:pPr>
              <w:jc w:val="right"/>
              <w:ind w:right="36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2"/>
        </w:trPr>
        <w:tc>
          <w:tcPr>
            <w:tcW w:w="8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224,429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203,775</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allowances of $7,727 and $7,219, respectively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58,863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64,576</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103,313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97,016</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109,035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88,112</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495,640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457,979</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278,510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265,177</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assets, net</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78,461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78,681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website development costs,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92,180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92,212</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90,227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95,059</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777,608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787,138</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65,940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76,560</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39,352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39,351</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1,917,918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1,892,157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noncontrolling interests and shareholders’ deficit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340,916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326,656</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285,084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245,931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48,379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46,118</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Short-term debt</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9,625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12,488</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 current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19,814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19,634</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23,952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13,136</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727,770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663,963</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22,898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24,701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1,579,213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1,591,807</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62,645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61,895</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60,372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76,305</w:t>
            </w:r>
          </w:p>
        </w:tc>
        <w:tc>
          <w:tcPr>
            <w:tcW w:w="0" w:type="dxa"/>
            <w:vAlign w:val="bottom"/>
          </w:tcPr>
          <w:p>
            <w:pPr>
              <w:spacing w:after="0"/>
              <w:rPr>
                <w:sz w:val="1"/>
                <w:szCs w:val="1"/>
                <w:color w:val="auto"/>
              </w:rPr>
            </w:pPr>
          </w:p>
        </w:tc>
      </w:tr>
      <w:tr>
        <w:trPr>
          <w:trHeight w:val="20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2,452,898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2,418,671</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Redeemable noncontrolling interests (Note 10)</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18,710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22,998</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deficit: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Preferred shares, nominal value €0.01 per share, 100,000,000 shares authorized; none issued and outstanding</w:t>
            </w:r>
          </w:p>
        </w:tc>
        <w:tc>
          <w:tcPr>
            <w:tcW w:w="18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8"/>
        </w:trPr>
        <w:tc>
          <w:tcPr>
            <w:tcW w:w="824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rPr>
              <w:t>Ordinary shares, nominal value €0.01 per share, 100,000,000 shares authorized; 42,789,205 and 43,051,269</w:t>
            </w:r>
          </w:p>
        </w:tc>
        <w:tc>
          <w:tcPr>
            <w:tcW w:w="1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issued, respectively; 24,817,958 and 25,080,022 shares outstanding, respectively</w:t>
            </w:r>
          </w:p>
        </w:tc>
        <w:tc>
          <w:tcPr>
            <w:tcW w:w="1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Treasury shares, at cost, 17,971,247 shares for both periods presented</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(1,363,550)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(1,363,550)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576,881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570,283</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277,562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272,881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(45,962)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(30,364)</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Total shareholders’ deficit attributable to Cimpress plc</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(554,468)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(550,146)</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 (Note 10)</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shareholders' deficit</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(553,690)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(549,512)</w:t>
            </w:r>
          </w:p>
        </w:tc>
        <w:tc>
          <w:tcPr>
            <w:tcW w:w="0" w:type="dxa"/>
            <w:vAlign w:val="bottom"/>
          </w:tcPr>
          <w:p>
            <w:pPr>
              <w:spacing w:after="0"/>
              <w:rPr>
                <w:sz w:val="1"/>
                <w:szCs w:val="1"/>
                <w:color w:val="auto"/>
              </w:rPr>
            </w:pPr>
          </w:p>
        </w:tc>
      </w:tr>
      <w:tr>
        <w:trPr>
          <w:trHeight w:val="22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noncontrolling interests and shareholders’ deficit</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1,917,918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1,892,157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9"/>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86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939,159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921,363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1,744,128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1,678,657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Cost of revenue (1)</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489,256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463,423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911,992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862,206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Technology and development expense (1)</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164,739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154,291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Marketing and selling expense (1)</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223,861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211,843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427,708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404,031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 (1)</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108,868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97,134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Amortization of acquired intangible assets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10,271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19,067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Income from operations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80,949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107,679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120,288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141,779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(29,165)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(30,588)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(60,580)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(59,788)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gain on early extinguishment of debt</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82,766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77,049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79,377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89,740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21,151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16,795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24,917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61,615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60,254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49,231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64,823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 Net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Net income attributable to Cimpress plc</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61,057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58,105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62,659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Basic net income per share attributable to Cimpress plc</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ind w:left="20"/>
              <w:spacing w:after="0" w:line="180" w:lineRule="exact"/>
              <w:rPr>
                <w:sz w:val="20"/>
                <w:szCs w:val="20"/>
                <w:color w:val="auto"/>
              </w:rPr>
            </w:pPr>
            <w:r>
              <w:rPr>
                <w:rFonts w:ascii="Arial" w:cs="Arial" w:eastAsia="Arial" w:hAnsi="Arial"/>
                <w:sz w:val="16"/>
                <w:szCs w:val="16"/>
                <w:color w:val="auto"/>
              </w:rPr>
              <w:t>Diluted net income per share attributable to Cimpress plc</w:t>
            </w:r>
          </w:p>
        </w:tc>
        <w:tc>
          <w:tcPr>
            <w:tcW w:w="240" w:type="dxa"/>
            <w:vAlign w:val="bottom"/>
            <w:tcBorders>
              <w:bottom w:val="single" w:sz="8" w:color="auto"/>
            </w:tcBorders>
          </w:tcPr>
          <w:p>
            <w:pPr>
              <w:jc w:val="right"/>
              <w:ind w:right="63"/>
              <w:spacing w:after="0" w:line="180"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2.36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jc w:val="right"/>
              <w:ind w:right="182"/>
              <w:spacing w:after="0" w:line="180"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2.14</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jc w:val="right"/>
              <w:ind w:right="123"/>
              <w:spacing w:after="0" w:line="180"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1.86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jc w:val="right"/>
              <w:ind w:right="182"/>
              <w:spacing w:after="0" w:line="180"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2.31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24,965,612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26,609,929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25,066,729</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26,539,349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ind w:left="20"/>
              <w:spacing w:after="0" w:line="180" w:lineRule="exact"/>
              <w:rPr>
                <w:sz w:val="20"/>
                <w:szCs w:val="20"/>
                <w:color w:val="auto"/>
              </w:rPr>
            </w:pPr>
            <w:r>
              <w:rPr>
                <w:rFonts w:ascii="Arial" w:cs="Arial" w:eastAsia="Arial" w:hAnsi="Arial"/>
                <w:sz w:val="16"/>
                <w:szCs w:val="16"/>
                <w:color w:val="auto"/>
              </w:rPr>
              <w:t>Weighted average shares outstanding — diluted</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25,906,151</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27,179,073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26,145,452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27,129,264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820" w:type="dxa"/>
            <w:vAlign w:val="bottom"/>
            <w:gridSpan w:val="3"/>
          </w:tcPr>
          <w:p>
            <w:pPr>
              <w:spacing w:after="0"/>
              <w:rPr>
                <w:sz w:val="20"/>
                <w:szCs w:val="20"/>
                <w:color w:val="auto"/>
              </w:rPr>
            </w:pPr>
            <w:r>
              <w:rPr>
                <w:rFonts w:ascii="Arial" w:cs="Arial" w:eastAsia="Arial" w:hAnsi="Arial"/>
                <w:sz w:val="14"/>
                <w:szCs w:val="14"/>
                <w:color w:val="auto"/>
              </w:rPr>
              <w:t>(1) Share-based compensation expense is allocated as follows: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9"/>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24"/>
                <w:szCs w:val="24"/>
                <w:color w:val="auto"/>
              </w:rPr>
            </w:pPr>
          </w:p>
        </w:tc>
        <w:tc>
          <w:tcPr>
            <w:tcW w:w="286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Technology and development expense</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4,962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10,058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9,909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 and selling expense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15,300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14,490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324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820" w:type="dxa"/>
            <w:vAlign w:val="bottom"/>
            <w:gridSpan w:val="4"/>
          </w:tcPr>
          <w:p>
            <w:pPr>
              <w:jc w:val="right"/>
              <w:ind w:right="423"/>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88"/>
        </w:trPr>
        <w:tc>
          <w:tcPr>
            <w:tcW w:w="488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61,615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60,254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49,231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64,823</w:t>
            </w:r>
          </w:p>
        </w:tc>
        <w:tc>
          <w:tcPr>
            <w:tcW w:w="0" w:type="dxa"/>
            <w:vAlign w:val="bottom"/>
          </w:tcPr>
          <w:p>
            <w:pPr>
              <w:spacing w:after="0"/>
              <w:rPr>
                <w:sz w:val="1"/>
                <w:szCs w:val="1"/>
                <w:color w:val="auto"/>
              </w:rPr>
            </w:pPr>
          </w:p>
        </w:tc>
      </w:tr>
      <w:tr>
        <w:trPr>
          <w:trHeight w:val="207"/>
        </w:trPr>
        <w:tc>
          <w:tcPr>
            <w:tcW w:w="488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losses, net of hedges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(21,893)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(5,840)</w:t>
            </w:r>
          </w:p>
        </w:tc>
        <w:tc>
          <w:tcPr>
            <w:tcW w:w="0" w:type="dxa"/>
            <w:vAlign w:val="bottom"/>
          </w:tcPr>
          <w:p>
            <w:pPr>
              <w:spacing w:after="0"/>
              <w:rPr>
                <w:sz w:val="1"/>
                <w:szCs w:val="1"/>
                <w:color w:val="auto"/>
              </w:rPr>
            </w:pPr>
          </w:p>
        </w:tc>
      </w:tr>
      <w:tr>
        <w:trPr>
          <w:trHeight w:val="157"/>
        </w:trPr>
        <w:tc>
          <w:tcPr>
            <w:tcW w:w="4880" w:type="dxa"/>
            <w:vAlign w:val="bottom"/>
          </w:tcPr>
          <w:p>
            <w:pPr>
              <w:ind w:left="220"/>
              <w:spacing w:after="0" w:line="157" w:lineRule="exact"/>
              <w:rPr>
                <w:sz w:val="20"/>
                <w:szCs w:val="20"/>
                <w:color w:val="auto"/>
              </w:rPr>
            </w:pPr>
            <w:r>
              <w:rPr>
                <w:rFonts w:ascii="Arial" w:cs="Arial" w:eastAsia="Arial" w:hAnsi="Arial"/>
                <w:sz w:val="16"/>
                <w:szCs w:val="16"/>
                <w:color w:val="auto"/>
                <w:w w:val="98"/>
              </w:rPr>
              <w:t>Net unrealized gains (losses) on derivative instruments designated</w:t>
            </w:r>
          </w:p>
        </w:tc>
        <w:tc>
          <w:tcPr>
            <w:tcW w:w="9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7,213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(10,271)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(1,186)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(2,592)</w:t>
            </w:r>
          </w:p>
        </w:tc>
        <w:tc>
          <w:tcPr>
            <w:tcW w:w="0" w:type="dxa"/>
            <w:vAlign w:val="bottom"/>
          </w:tcPr>
          <w:p>
            <w:pPr>
              <w:spacing w:after="0"/>
              <w:rPr>
                <w:sz w:val="1"/>
                <w:szCs w:val="1"/>
                <w:color w:val="auto"/>
              </w:rPr>
            </w:pPr>
          </w:p>
        </w:tc>
      </w:tr>
      <w:tr>
        <w:trPr>
          <w:trHeight w:val="206"/>
        </w:trPr>
        <w:tc>
          <w:tcPr>
            <w:tcW w:w="4880" w:type="dxa"/>
            <w:vAlign w:val="bottom"/>
          </w:tcPr>
          <w:p>
            <w:pPr>
              <w:ind w:left="220"/>
              <w:spacing w:after="0"/>
              <w:rPr>
                <w:sz w:val="20"/>
                <w:szCs w:val="20"/>
                <w:color w:val="auto"/>
              </w:rPr>
            </w:pPr>
            <w:r>
              <w:rPr>
                <w:rFonts w:ascii="Arial" w:cs="Arial" w:eastAsia="Arial" w:hAnsi="Arial"/>
                <w:sz w:val="16"/>
                <w:szCs w:val="16"/>
                <w:color w:val="auto"/>
              </w:rPr>
              <w:t>and qualifying as cash flow hedges</w:t>
            </w:r>
          </w:p>
        </w:tc>
        <w:tc>
          <w:tcPr>
            <w:tcW w:w="9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88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w w:val="99"/>
              </w:rPr>
              <w:t>Amounts reclassified from accumulated other comprehensive loss</w:t>
            </w:r>
          </w:p>
        </w:tc>
        <w:tc>
          <w:tcPr>
            <w:tcW w:w="9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569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 net income for derivative instruments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47,220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47,985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33,433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52,898</w:t>
            </w:r>
          </w:p>
        </w:tc>
        <w:tc>
          <w:tcPr>
            <w:tcW w:w="0" w:type="dxa"/>
            <w:vAlign w:val="bottom"/>
          </w:tcPr>
          <w:p>
            <w:pPr>
              <w:spacing w:after="0"/>
              <w:rPr>
                <w:sz w:val="1"/>
                <w:szCs w:val="1"/>
                <w:color w:val="auto"/>
              </w:rPr>
            </w:pPr>
          </w:p>
        </w:tc>
      </w:tr>
      <w:tr>
        <w:trPr>
          <w:trHeight w:val="208"/>
        </w:trPr>
        <w:tc>
          <w:tcPr>
            <w:tcW w:w="48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7"/>
              </w:rPr>
              <w:t>Add: Comprehensive income attributable to noncontrolling interests</w:t>
            </w: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w:t>
            </w:r>
          </w:p>
        </w:tc>
        <w:tc>
          <w:tcPr>
            <w:tcW w:w="0" w:type="dxa"/>
            <w:vAlign w:val="bottom"/>
          </w:tcPr>
          <w:p>
            <w:pPr>
              <w:spacing w:after="0"/>
              <w:rPr>
                <w:sz w:val="1"/>
                <w:szCs w:val="1"/>
                <w:color w:val="auto"/>
              </w:rPr>
            </w:pPr>
          </w:p>
        </w:tc>
      </w:tr>
      <w:tr>
        <w:trPr>
          <w:trHeight w:val="202"/>
        </w:trPr>
        <w:tc>
          <w:tcPr>
            <w:tcW w:w="4880" w:type="dxa"/>
            <w:vAlign w:val="bottom"/>
          </w:tcPr>
          <w:p>
            <w:pPr>
              <w:ind w:left="20"/>
              <w:spacing w:after="0"/>
              <w:rPr>
                <w:sz w:val="20"/>
                <w:szCs w:val="20"/>
                <w:color w:val="auto"/>
              </w:rPr>
            </w:pPr>
            <w:r>
              <w:rPr>
                <w:rFonts w:ascii="Arial" w:cs="Arial" w:eastAsia="Arial" w:hAnsi="Arial"/>
                <w:sz w:val="16"/>
                <w:szCs w:val="16"/>
                <w:color w:val="auto"/>
              </w:rPr>
              <w:t>Total comprehensive income attributable to Cimpress plc</w:t>
            </w:r>
          </w:p>
        </w:tc>
        <w:tc>
          <w:tcPr>
            <w:tcW w:w="900" w:type="dxa"/>
            <w:vAlign w:val="bottom"/>
            <w:tcBorders>
              <w:bottom w:val="single" w:sz="8" w:color="auto"/>
            </w:tcBorders>
          </w:tcPr>
          <w:p>
            <w:pPr>
              <w:jc w:val="right"/>
              <w:ind w:right="726"/>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45,504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32,910</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50,496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5" w:name="page6"/>
    <w:bookmarkEnd w:id="5"/>
    <w:p>
      <w:pPr>
        <w:ind w:left="4960"/>
        <w:spacing w:after="0"/>
        <w:rPr>
          <w:sz w:val="20"/>
          <w:szCs w:val="20"/>
          <w:color w:val="auto"/>
        </w:rPr>
      </w:pPr>
      <w:r>
        <w:rPr>
          <w:rFonts w:ascii="Arial" w:cs="Arial" w:eastAsia="Arial" w:hAnsi="Arial"/>
          <w:sz w:val="17"/>
          <w:szCs w:val="17"/>
          <w:b w:val="1"/>
          <w:bCs w:val="1"/>
          <w:color w:val="auto"/>
        </w:rPr>
        <w:t>CIMPRESS PLC</w:t>
      </w:r>
    </w:p>
    <w:p>
      <w:pPr>
        <w:spacing w:after="0" w:line="64"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CONSOLIDATED STATEMENTS OF SHAREHOLDERS' DEFICIT</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60" w:type="dxa"/>
            <w:vAlign w:val="bottom"/>
          </w:tcPr>
          <w:p>
            <w:pPr>
              <w:spacing w:after="0"/>
              <w:rPr>
                <w:sz w:val="14"/>
                <w:szCs w:val="14"/>
                <w:color w:val="auto"/>
              </w:rPr>
            </w:pPr>
          </w:p>
        </w:tc>
        <w:tc>
          <w:tcPr>
            <w:tcW w:w="2120" w:type="dxa"/>
            <w:vAlign w:val="bottom"/>
            <w:gridSpan w:val="5"/>
          </w:tcPr>
          <w:p>
            <w:pPr>
              <w:ind w:left="540"/>
              <w:spacing w:after="0"/>
              <w:rPr>
                <w:sz w:val="20"/>
                <w:szCs w:val="20"/>
                <w:color w:val="auto"/>
              </w:rPr>
            </w:pPr>
            <w:r>
              <w:rPr>
                <w:rFonts w:ascii="Arial" w:cs="Arial" w:eastAsia="Arial" w:hAnsi="Arial"/>
                <w:sz w:val="12"/>
                <w:szCs w:val="12"/>
                <w:b w:val="1"/>
                <w:bCs w:val="1"/>
                <w:color w:val="auto"/>
              </w:rPr>
              <w:t>Ordinary Shares</w:t>
            </w:r>
          </w:p>
        </w:tc>
        <w:tc>
          <w:tcPr>
            <w:tcW w:w="2280" w:type="dxa"/>
            <w:vAlign w:val="bottom"/>
            <w:gridSpan w:val="5"/>
          </w:tcPr>
          <w:p>
            <w:pPr>
              <w:ind w:left="620"/>
              <w:spacing w:after="0"/>
              <w:rPr>
                <w:sz w:val="20"/>
                <w:szCs w:val="20"/>
                <w:color w:val="auto"/>
              </w:rPr>
            </w:pPr>
            <w:r>
              <w:rPr>
                <w:rFonts w:ascii="Arial" w:cs="Arial" w:eastAsia="Arial" w:hAnsi="Arial"/>
                <w:sz w:val="12"/>
                <w:szCs w:val="12"/>
                <w:b w:val="1"/>
                <w:bCs w:val="1"/>
                <w:color w:val="auto"/>
              </w:rPr>
              <w:t>Treasury Shares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Number of</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top w:val="single" w:sz="8" w:color="auto"/>
            </w:tcBorders>
            <w:gridSpan w:val="2"/>
          </w:tcPr>
          <w:p>
            <w:pPr>
              <w:ind w:left="260"/>
              <w:spacing w:after="0" w:line="117" w:lineRule="exact"/>
              <w:rPr>
                <w:sz w:val="20"/>
                <w:szCs w:val="20"/>
                <w:color w:val="auto"/>
              </w:rPr>
            </w:pPr>
            <w:r>
              <w:rPr>
                <w:rFonts w:ascii="Arial" w:cs="Arial" w:eastAsia="Arial" w:hAnsi="Arial"/>
                <w:sz w:val="12"/>
                <w:szCs w:val="12"/>
                <w:b w:val="1"/>
                <w:bCs w:val="1"/>
                <w:color w:val="auto"/>
              </w:rPr>
              <w:t>Number</w:t>
            </w: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w w:val="98"/>
              </w:rPr>
              <w:t>Additional</w:t>
            </w:r>
          </w:p>
        </w:tc>
        <w:tc>
          <w:tcPr>
            <w:tcW w:w="16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17" w:lineRule="exact"/>
              <w:rPr>
                <w:sz w:val="20"/>
                <w:szCs w:val="20"/>
                <w:color w:val="auto"/>
              </w:rPr>
            </w:pPr>
            <w:r>
              <w:rPr>
                <w:rFonts w:ascii="Arial" w:cs="Arial" w:eastAsia="Arial" w:hAnsi="Arial"/>
                <w:sz w:val="12"/>
                <w:szCs w:val="12"/>
                <w:b w:val="1"/>
                <w:bCs w:val="1"/>
                <w:color w:val="auto"/>
              </w:rPr>
              <w:t>Accumulated Other</w:t>
            </w:r>
          </w:p>
        </w:tc>
        <w:tc>
          <w:tcPr>
            <w:tcW w:w="180" w:type="dxa"/>
            <w:vAlign w:val="bottom"/>
          </w:tcPr>
          <w:p>
            <w:pPr>
              <w:spacing w:after="0"/>
              <w:rPr>
                <w:sz w:val="10"/>
                <w:szCs w:val="10"/>
                <w:color w:val="auto"/>
              </w:rPr>
            </w:pPr>
          </w:p>
        </w:tc>
        <w:tc>
          <w:tcPr>
            <w:tcW w:w="1180" w:type="dxa"/>
            <w:vAlign w:val="bottom"/>
          </w:tcPr>
          <w:p>
            <w:pPr>
              <w:jc w:val="center"/>
              <w:ind w:right="112"/>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1860" w:type="dxa"/>
            <w:vAlign w:val="bottom"/>
          </w:tcPr>
          <w:p>
            <w:pPr>
              <w:spacing w:after="0"/>
              <w:rPr>
                <w:sz w:val="4"/>
                <w:szCs w:val="4"/>
                <w:color w:val="auto"/>
              </w:rPr>
            </w:pPr>
          </w:p>
        </w:tc>
        <w:tc>
          <w:tcPr>
            <w:tcW w:w="1060" w:type="dxa"/>
            <w:vAlign w:val="bottom"/>
            <w:gridSpan w:val="2"/>
            <w:vMerge w:val="restart"/>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4"/>
                <w:szCs w:val="4"/>
                <w:color w:val="auto"/>
              </w:rPr>
            </w:pPr>
          </w:p>
        </w:tc>
        <w:tc>
          <w:tcPr>
            <w:tcW w:w="880" w:type="dxa"/>
            <w:vAlign w:val="bottom"/>
            <w:gridSpan w:val="2"/>
            <w:vMerge w:val="restart"/>
          </w:tcPr>
          <w:p>
            <w:pPr>
              <w:ind w:left="60"/>
              <w:spacing w:after="0" w:line="117" w:lineRule="exact"/>
              <w:rPr>
                <w:sz w:val="20"/>
                <w:szCs w:val="20"/>
                <w:color w:val="auto"/>
              </w:rPr>
            </w:pPr>
            <w:r>
              <w:rPr>
                <w:rFonts w:ascii="Arial" w:cs="Arial" w:eastAsia="Arial" w:hAnsi="Arial"/>
                <w:sz w:val="12"/>
                <w:szCs w:val="12"/>
                <w:b w:val="1"/>
                <w:bCs w:val="1"/>
                <w:color w:val="auto"/>
              </w:rPr>
              <w:t>Amount</w:t>
            </w:r>
          </w:p>
        </w:tc>
        <w:tc>
          <w:tcPr>
            <w:tcW w:w="1060" w:type="dxa"/>
            <w:vAlign w:val="bottom"/>
            <w:gridSpan w:val="2"/>
            <w:vMerge w:val="restart"/>
          </w:tcPr>
          <w:p>
            <w:pPr>
              <w:ind w:left="420"/>
              <w:spacing w:after="0" w:line="117"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4"/>
                <w:szCs w:val="4"/>
                <w:color w:val="auto"/>
              </w:rPr>
            </w:pPr>
          </w:p>
        </w:tc>
        <w:tc>
          <w:tcPr>
            <w:tcW w:w="1000" w:type="dxa"/>
            <w:vAlign w:val="bottom"/>
            <w:gridSpan w:val="2"/>
            <w:vMerge w:val="restart"/>
          </w:tcPr>
          <w:p>
            <w:pPr>
              <w:ind w:left="120"/>
              <w:spacing w:after="0" w:line="117"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4"/>
                <w:szCs w:val="4"/>
                <w:color w:val="auto"/>
              </w:rPr>
            </w:pPr>
          </w:p>
        </w:tc>
        <w:tc>
          <w:tcPr>
            <w:tcW w:w="940" w:type="dxa"/>
            <w:vAlign w:val="bottom"/>
            <w:gridSpan w:val="2"/>
            <w:vMerge w:val="restart"/>
          </w:tcPr>
          <w:p>
            <w:pPr>
              <w:jc w:val="center"/>
              <w:ind w:right="260"/>
              <w:spacing w:after="0" w:line="117" w:lineRule="exact"/>
              <w:rPr>
                <w:sz w:val="20"/>
                <w:szCs w:val="20"/>
                <w:color w:val="auto"/>
              </w:rPr>
            </w:pPr>
            <w:r>
              <w:rPr>
                <w:rFonts w:ascii="Arial" w:cs="Arial" w:eastAsia="Arial" w:hAnsi="Arial"/>
                <w:sz w:val="12"/>
                <w:szCs w:val="12"/>
                <w:b w:val="1"/>
                <w:bCs w:val="1"/>
                <w:color w:val="auto"/>
                <w:w w:val="99"/>
              </w:rPr>
              <w:t>Paid-in</w:t>
            </w:r>
          </w:p>
        </w:tc>
        <w:tc>
          <w:tcPr>
            <w:tcW w:w="1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17"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4"/>
                <w:szCs w:val="4"/>
                <w:color w:val="auto"/>
              </w:rPr>
            </w:pPr>
          </w:p>
        </w:tc>
        <w:tc>
          <w:tcPr>
            <w:tcW w:w="1180" w:type="dxa"/>
            <w:vAlign w:val="bottom"/>
            <w:vMerge w:val="restart"/>
          </w:tcPr>
          <w:p>
            <w:pPr>
              <w:jc w:val="center"/>
              <w:ind w:right="112"/>
              <w:spacing w:after="0" w:line="117" w:lineRule="exact"/>
              <w:rPr>
                <w:sz w:val="20"/>
                <w:szCs w:val="20"/>
                <w:color w:val="auto"/>
              </w:rPr>
            </w:pPr>
            <w:r>
              <w:rPr>
                <w:rFonts w:ascii="Arial" w:cs="Arial" w:eastAsia="Arial" w:hAnsi="Arial"/>
                <w:sz w:val="12"/>
                <w:szCs w:val="12"/>
                <w:b w:val="1"/>
                <w:bCs w:val="1"/>
                <w:color w:val="auto"/>
                <w:w w:val="99"/>
              </w:rPr>
              <w:t>Shareholders’</w:t>
            </w:r>
          </w:p>
        </w:tc>
        <w:tc>
          <w:tcPr>
            <w:tcW w:w="0" w:type="dxa"/>
            <w:vAlign w:val="bottom"/>
          </w:tcPr>
          <w:p>
            <w:pPr>
              <w:spacing w:after="0"/>
              <w:rPr>
                <w:sz w:val="1"/>
                <w:szCs w:val="1"/>
                <w:color w:val="auto"/>
              </w:rPr>
            </w:pPr>
          </w:p>
        </w:tc>
      </w:tr>
      <w:tr>
        <w:trPr>
          <w:trHeight w:val="65"/>
        </w:trPr>
        <w:tc>
          <w:tcPr>
            <w:tcW w:w="18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860" w:type="dxa"/>
            <w:vAlign w:val="bottom"/>
          </w:tcPr>
          <w:p>
            <w:pPr>
              <w:spacing w:after="0"/>
              <w:rPr>
                <w:sz w:val="8"/>
                <w:szCs w:val="8"/>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9"/>
              </w:rPr>
              <w:t>Issued</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Shares Issued</w:t>
            </w: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9"/>
              </w:rPr>
              <w:t>Capital</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Loss</w:t>
            </w:r>
          </w:p>
        </w:tc>
        <w:tc>
          <w:tcPr>
            <w:tcW w:w="180" w:type="dxa"/>
            <w:vAlign w:val="bottom"/>
          </w:tcPr>
          <w:p>
            <w:pPr>
              <w:spacing w:after="0"/>
              <w:rPr>
                <w:sz w:val="8"/>
                <w:szCs w:val="8"/>
                <w:color w:val="auto"/>
              </w:rPr>
            </w:pPr>
          </w:p>
        </w:tc>
        <w:tc>
          <w:tcPr>
            <w:tcW w:w="1180" w:type="dxa"/>
            <w:vAlign w:val="bottom"/>
            <w:vMerge w:val="restart"/>
          </w:tcPr>
          <w:p>
            <w:pPr>
              <w:jc w:val="center"/>
              <w:ind w:right="112"/>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77"/>
        </w:trPr>
        <w:tc>
          <w:tcPr>
            <w:tcW w:w="18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2023</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44,316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539,454</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235,396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(35,060)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(623,145)</w:t>
            </w: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Issuance of ordinary shares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960" w:type="dxa"/>
            <w:vAlign w:val="bottom"/>
            <w:vMerge w:val="restart"/>
          </w:tcPr>
          <w:p>
            <w:pPr>
              <w:jc w:val="right"/>
              <w:ind w:right="1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Share-based awards vested,</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(8,403)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(8,403)</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compensation</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12,621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12,621</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expense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income attributable to</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4,554</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Cimpress plc</w:t>
            </w: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Net unrealized gain on</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4,131</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(3,693)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(3,693)</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net of hedges</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Balance at September 30,</w:t>
            </w:r>
          </w:p>
        </w:tc>
        <w:tc>
          <w:tcPr>
            <w:tcW w:w="96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44,554</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543,754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239,620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(34,622)</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(614,183)</w:t>
            </w:r>
          </w:p>
        </w:tc>
        <w:tc>
          <w:tcPr>
            <w:tcW w:w="0" w:type="dxa"/>
            <w:vAlign w:val="bottom"/>
          </w:tcPr>
          <w:p>
            <w:pPr>
              <w:spacing w:after="0"/>
              <w:rPr>
                <w:sz w:val="1"/>
                <w:szCs w:val="1"/>
                <w:color w:val="auto"/>
              </w:rPr>
            </w:pPr>
          </w:p>
        </w:tc>
      </w:tr>
      <w:tr>
        <w:trPr>
          <w:trHeight w:val="180"/>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2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20"/>
              <w:spacing w:after="0" w:line="130" w:lineRule="exact"/>
              <w:rPr>
                <w:sz w:val="20"/>
                <w:szCs w:val="20"/>
                <w:color w:val="auto"/>
              </w:rPr>
            </w:pPr>
            <w:r>
              <w:rPr>
                <w:rFonts w:ascii="Arial" w:cs="Arial" w:eastAsia="Arial" w:hAnsi="Arial"/>
                <w:sz w:val="14"/>
                <w:szCs w:val="14"/>
                <w:color w:val="auto"/>
              </w:rPr>
              <w:t>Issuance of ordinary shares</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Share-based awards vested,</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(1,786)</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compensation</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18,051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18,051</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expense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income attributable to</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58,105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58,105</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Cimpress plc</w:t>
            </w: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Net unrealized loss on</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(10,216)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(10,216)</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(2,385)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(2,385)</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net of hedges</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Balance at December 31,</w:t>
            </w:r>
          </w:p>
        </w:tc>
        <w:tc>
          <w:tcPr>
            <w:tcW w:w="96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44,604</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560,019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297,590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(47,223)</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(552,543)</w:t>
            </w:r>
          </w:p>
        </w:tc>
        <w:tc>
          <w:tcPr>
            <w:tcW w:w="0" w:type="dxa"/>
            <w:vAlign w:val="bottom"/>
          </w:tcPr>
          <w:p>
            <w:pPr>
              <w:spacing w:after="0"/>
              <w:rPr>
                <w:sz w:val="1"/>
                <w:szCs w:val="1"/>
                <w:color w:val="auto"/>
              </w:rPr>
            </w:pPr>
          </w:p>
        </w:tc>
      </w:tr>
      <w:tr>
        <w:trPr>
          <w:trHeight w:val="169"/>
        </w:trPr>
        <w:tc>
          <w:tcPr>
            <w:tcW w:w="18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2023</w:t>
            </w: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2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757" w:right="339" w:bottom="1440" w:gutter="0" w:footer="0" w:header="0"/>
        </w:sectPr>
      </w:pPr>
    </w:p>
    <w:bookmarkStart w:id="6" w:name="page7"/>
    <w:bookmarkEnd w:id="6"/>
    <w:p>
      <w:pPr>
        <w:ind w:left="4960"/>
        <w:spacing w:after="0"/>
        <w:rPr>
          <w:sz w:val="20"/>
          <w:szCs w:val="20"/>
          <w:color w:val="auto"/>
        </w:rPr>
      </w:pPr>
      <w:r>
        <w:rPr>
          <w:rFonts w:ascii="Arial" w:cs="Arial" w:eastAsia="Arial" w:hAnsi="Arial"/>
          <w:sz w:val="17"/>
          <w:szCs w:val="17"/>
          <w:b w:val="1"/>
          <w:bCs w:val="1"/>
          <w:color w:val="auto"/>
        </w:rPr>
        <w:t>CIMPRESS PLC</w:t>
      </w:r>
    </w:p>
    <w:p>
      <w:pPr>
        <w:spacing w:after="0" w:line="64" w:lineRule="exact"/>
        <w:rPr>
          <w:sz w:val="20"/>
          <w:szCs w:val="20"/>
          <w:color w:val="auto"/>
        </w:rPr>
      </w:pPr>
    </w:p>
    <w:p>
      <w:pPr>
        <w:ind w:left="2460"/>
        <w:spacing w:after="0"/>
        <w:rPr>
          <w:sz w:val="20"/>
          <w:szCs w:val="20"/>
          <w:color w:val="auto"/>
        </w:rPr>
      </w:pPr>
      <w:r>
        <w:rPr>
          <w:rFonts w:ascii="Arial" w:cs="Arial" w:eastAsia="Arial" w:hAnsi="Arial"/>
          <w:sz w:val="17"/>
          <w:szCs w:val="17"/>
          <w:b w:val="1"/>
          <w:bCs w:val="1"/>
          <w:color w:val="auto"/>
        </w:rPr>
        <w:t>CONSOLIDATED STATEMENTS OF SHAREHOLDERS' DEFICIT (CONTINUED)</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60" w:type="dxa"/>
            <w:vAlign w:val="bottom"/>
          </w:tcPr>
          <w:p>
            <w:pPr>
              <w:spacing w:after="0"/>
              <w:rPr>
                <w:sz w:val="14"/>
                <w:szCs w:val="14"/>
                <w:color w:val="auto"/>
              </w:rPr>
            </w:pPr>
          </w:p>
        </w:tc>
        <w:tc>
          <w:tcPr>
            <w:tcW w:w="2100" w:type="dxa"/>
            <w:vAlign w:val="bottom"/>
            <w:gridSpan w:val="5"/>
          </w:tcPr>
          <w:p>
            <w:pPr>
              <w:ind w:left="520"/>
              <w:spacing w:after="0"/>
              <w:rPr>
                <w:sz w:val="20"/>
                <w:szCs w:val="20"/>
                <w:color w:val="auto"/>
              </w:rPr>
            </w:pPr>
            <w:r>
              <w:rPr>
                <w:rFonts w:ascii="Arial" w:cs="Arial" w:eastAsia="Arial" w:hAnsi="Arial"/>
                <w:sz w:val="12"/>
                <w:szCs w:val="12"/>
                <w:b w:val="1"/>
                <w:bCs w:val="1"/>
                <w:color w:val="auto"/>
              </w:rPr>
              <w:t>Ordinary Shares</w:t>
            </w:r>
          </w:p>
        </w:tc>
        <w:tc>
          <w:tcPr>
            <w:tcW w:w="2300" w:type="dxa"/>
            <w:vAlign w:val="bottom"/>
            <w:gridSpan w:val="5"/>
          </w:tcPr>
          <w:p>
            <w:pPr>
              <w:ind w:left="620"/>
              <w:spacing w:after="0"/>
              <w:rPr>
                <w:sz w:val="20"/>
                <w:szCs w:val="20"/>
                <w:color w:val="auto"/>
              </w:rPr>
            </w:pPr>
            <w:r>
              <w:rPr>
                <w:rFonts w:ascii="Arial" w:cs="Arial" w:eastAsia="Arial" w:hAnsi="Arial"/>
                <w:sz w:val="12"/>
                <w:szCs w:val="12"/>
                <w:b w:val="1"/>
                <w:bCs w:val="1"/>
                <w:color w:val="auto"/>
              </w:rPr>
              <w:t>Treasury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Number of</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auto"/>
            </w:tcBorders>
            <w:gridSpan w:val="2"/>
          </w:tcPr>
          <w:p>
            <w:pPr>
              <w:ind w:left="260"/>
              <w:spacing w:after="0" w:line="117"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136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rPr>
              <w:t>Accumulated Other</w:t>
            </w:r>
          </w:p>
        </w:tc>
        <w:tc>
          <w:tcPr>
            <w:tcW w:w="180" w:type="dxa"/>
            <w:vAlign w:val="bottom"/>
          </w:tcPr>
          <w:p>
            <w:pPr>
              <w:spacing w:after="0"/>
              <w:rPr>
                <w:sz w:val="10"/>
                <w:szCs w:val="10"/>
                <w:color w:val="auto"/>
              </w:rPr>
            </w:pPr>
          </w:p>
        </w:tc>
        <w:tc>
          <w:tcPr>
            <w:tcW w:w="1180" w:type="dxa"/>
            <w:vAlign w:val="bottom"/>
          </w:tcPr>
          <w:p>
            <w:pPr>
              <w:jc w:val="center"/>
              <w:ind w:right="152"/>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1860" w:type="dxa"/>
            <w:vAlign w:val="bottom"/>
          </w:tcPr>
          <w:p>
            <w:pPr>
              <w:spacing w:after="0"/>
              <w:rPr>
                <w:sz w:val="4"/>
                <w:szCs w:val="4"/>
                <w:color w:val="auto"/>
              </w:rPr>
            </w:pPr>
          </w:p>
        </w:tc>
        <w:tc>
          <w:tcPr>
            <w:tcW w:w="1040" w:type="dxa"/>
            <w:vAlign w:val="bottom"/>
            <w:gridSpan w:val="2"/>
            <w:vMerge w:val="restart"/>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4"/>
                <w:szCs w:val="4"/>
                <w:color w:val="auto"/>
              </w:rPr>
            </w:pPr>
          </w:p>
        </w:tc>
        <w:tc>
          <w:tcPr>
            <w:tcW w:w="880" w:type="dxa"/>
            <w:vAlign w:val="bottom"/>
            <w:gridSpan w:val="2"/>
            <w:vMerge w:val="restart"/>
          </w:tcPr>
          <w:p>
            <w:pPr>
              <w:ind w:left="60"/>
              <w:spacing w:after="0" w:line="117" w:lineRule="exact"/>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restart"/>
          </w:tcPr>
          <w:p>
            <w:pPr>
              <w:ind w:left="420"/>
              <w:spacing w:after="0" w:line="117"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4"/>
                <w:szCs w:val="4"/>
                <w:color w:val="auto"/>
              </w:rPr>
            </w:pPr>
          </w:p>
        </w:tc>
        <w:tc>
          <w:tcPr>
            <w:tcW w:w="1020" w:type="dxa"/>
            <w:vAlign w:val="bottom"/>
            <w:gridSpan w:val="2"/>
            <w:vMerge w:val="restart"/>
          </w:tcPr>
          <w:p>
            <w:pPr>
              <w:ind w:left="120"/>
              <w:spacing w:after="0" w:line="117"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117"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restart"/>
          </w:tcPr>
          <w:p>
            <w:pPr>
              <w:jc w:val="center"/>
              <w:ind w:right="200"/>
              <w:spacing w:after="0" w:line="117"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4"/>
                <w:szCs w:val="4"/>
                <w:color w:val="auto"/>
              </w:rPr>
            </w:pPr>
          </w:p>
        </w:tc>
        <w:tc>
          <w:tcPr>
            <w:tcW w:w="1180" w:type="dxa"/>
            <w:vAlign w:val="bottom"/>
            <w:vMerge w:val="restart"/>
          </w:tcPr>
          <w:p>
            <w:pPr>
              <w:jc w:val="center"/>
              <w:ind w:right="132"/>
              <w:spacing w:after="0" w:line="117"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65"/>
        </w:trPr>
        <w:tc>
          <w:tcPr>
            <w:tcW w:w="18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860" w:type="dxa"/>
            <w:vAlign w:val="bottom"/>
          </w:tcPr>
          <w:p>
            <w:pPr>
              <w:spacing w:after="0"/>
              <w:rPr>
                <w:sz w:val="8"/>
                <w:szCs w:val="8"/>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Issued</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Shares Issued</w:t>
            </w: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9"/>
              </w:rPr>
              <w:t>Loss</w:t>
            </w:r>
          </w:p>
        </w:tc>
        <w:tc>
          <w:tcPr>
            <w:tcW w:w="180" w:type="dxa"/>
            <w:vAlign w:val="bottom"/>
          </w:tcPr>
          <w:p>
            <w:pPr>
              <w:spacing w:after="0"/>
              <w:rPr>
                <w:sz w:val="8"/>
                <w:szCs w:val="8"/>
                <w:color w:val="auto"/>
              </w:rPr>
            </w:pPr>
          </w:p>
        </w:tc>
        <w:tc>
          <w:tcPr>
            <w:tcW w:w="1180" w:type="dxa"/>
            <w:vAlign w:val="bottom"/>
            <w:vMerge w:val="restart"/>
          </w:tcPr>
          <w:p>
            <w:pPr>
              <w:jc w:val="center"/>
              <w:ind w:right="132"/>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77"/>
        </w:trPr>
        <w:tc>
          <w:tcPr>
            <w:tcW w:w="18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2024</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43,051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570,283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272,881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(30,364)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(550,146)</w:t>
            </w: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Issuance of ordinary shares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ind w:right="12"/>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Purchase and cancellation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(8,906)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(10,620)</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ordinary shares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awards vested,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ind w:right="12"/>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(12,951)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(12,948)</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Share-based compensation</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16,573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16,573</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loss attributable to</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(12,549)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(12,549)</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Cimpress plc</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value</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unrealized loss on</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(8,115)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(8,115)</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6,319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6,319</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of hedges</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20"/>
              <w:spacing w:after="0" w:line="130" w:lineRule="exact"/>
              <w:rPr>
                <w:sz w:val="20"/>
                <w:szCs w:val="20"/>
                <w:color w:val="auto"/>
              </w:rPr>
            </w:pPr>
            <w:r>
              <w:rPr>
                <w:rFonts w:ascii="Arial" w:cs="Arial" w:eastAsia="Arial" w:hAnsi="Arial"/>
                <w:sz w:val="14"/>
                <w:szCs w:val="14"/>
                <w:color w:val="auto"/>
              </w:rPr>
              <w:t>Balance at September 30,</w:t>
            </w:r>
          </w:p>
        </w:tc>
        <w:tc>
          <w:tcPr>
            <w:tcW w:w="9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43,232</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1"/>
                <w:szCs w:val="11"/>
                <w:color w:val="auto"/>
              </w:rPr>
            </w:pPr>
          </w:p>
        </w:tc>
        <w:tc>
          <w:tcPr>
            <w:tcW w:w="960" w:type="dxa"/>
            <w:vAlign w:val="bottom"/>
            <w:tcBorders>
              <w:top w:val="single" w:sz="8" w:color="auto"/>
            </w:tcBorders>
            <w:vMerge w:val="restart"/>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573,192</w:t>
            </w:r>
          </w:p>
        </w:tc>
        <w:tc>
          <w:tcPr>
            <w:tcW w:w="12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250,923</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(32,160)</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(570,989)</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2024</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Issuance of ordinary shares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Purchase and cancellation of</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(7,352)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(35,009)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(42,367)</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ordinary shares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w w:val="98"/>
              </w:rPr>
              <w:t>Restricted share units vested,</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(3,822)</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compensation</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14,495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14,495</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expense</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income attributable to</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61,057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61,057</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Cimpress plc</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Net unrealized gain on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7,498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7,498</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(21,300)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(21,300)</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net of hedges</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Balance at December 31,</w:t>
            </w:r>
          </w:p>
        </w:tc>
        <w:tc>
          <w:tcPr>
            <w:tcW w:w="94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42,789</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576,881</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277,562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(45,962)</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(554,468)</w:t>
            </w:r>
          </w:p>
        </w:tc>
        <w:tc>
          <w:tcPr>
            <w:tcW w:w="0" w:type="dxa"/>
            <w:vAlign w:val="bottom"/>
          </w:tcPr>
          <w:p>
            <w:pPr>
              <w:spacing w:after="0"/>
              <w:rPr>
                <w:sz w:val="1"/>
                <w:szCs w:val="1"/>
                <w:color w:val="auto"/>
              </w:rPr>
            </w:pPr>
          </w:p>
        </w:tc>
      </w:tr>
      <w:tr>
        <w:trPr>
          <w:trHeight w:val="169"/>
        </w:trPr>
        <w:tc>
          <w:tcPr>
            <w:tcW w:w="18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2024</w:t>
            </w: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2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757"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4"/>
                <w:szCs w:val="14"/>
                <w:b w:val="1"/>
                <w:bCs w:val="1"/>
                <w:color w:val="auto"/>
              </w:rPr>
              <w:t>Six Months Ended December 31,</w:t>
            </w:r>
          </w:p>
        </w:tc>
      </w:tr>
      <w:tr>
        <w:trPr>
          <w:trHeight w:val="188"/>
        </w:trPr>
        <w:tc>
          <w:tcPr>
            <w:tcW w:w="80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49,231</w:t>
            </w:r>
          </w:p>
        </w:tc>
        <w:tc>
          <w:tcPr>
            <w:tcW w:w="80" w:type="dxa"/>
            <w:vAlign w:val="bottom"/>
          </w:tcPr>
          <w:p>
            <w:pPr>
              <w:spacing w:after="0"/>
              <w:rPr>
                <w:sz w:val="17"/>
                <w:szCs w:val="17"/>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64,823</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70,757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79,031</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Share-based compensation expense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30,006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30,102</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3,373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(2,115)</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(gain) on early extinguishment of debt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Unrealized (gain) loss on derivatives not designated as hedging instruments included in net income</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(12,313)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4,868</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Effect of exchange rate changes on monetary assets and liabilities denominated in non-functional currency</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(10,663)</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Other non-cash items</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3,370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(770)</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40" w:type="dxa"/>
            <w:vAlign w:val="bottom"/>
          </w:tcPr>
          <w:p>
            <w:pPr>
              <w:ind w:left="5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5,495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2,521</w:t>
            </w:r>
          </w:p>
        </w:tc>
      </w:tr>
      <w:tr>
        <w:trPr>
          <w:trHeight w:val="209"/>
        </w:trPr>
        <w:tc>
          <w:tcPr>
            <w:tcW w:w="8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Inventory</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5,309</w:t>
            </w:r>
          </w:p>
        </w:tc>
      </w:tr>
      <w:tr>
        <w:trPr>
          <w:trHeight w:val="207"/>
        </w:trPr>
        <w:tc>
          <w:tcPr>
            <w:tcW w:w="8040" w:type="dxa"/>
            <w:vAlign w:val="bottom"/>
          </w:tcPr>
          <w:p>
            <w:pPr>
              <w:ind w:left="5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(13,572)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881</w:t>
            </w:r>
          </w:p>
        </w:tc>
      </w:tr>
      <w:tr>
        <w:trPr>
          <w:trHeight w:val="209"/>
        </w:trPr>
        <w:tc>
          <w:tcPr>
            <w:tcW w:w="8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11,557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55,017</w:t>
            </w:r>
          </w:p>
        </w:tc>
      </w:tr>
      <w:tr>
        <w:trPr>
          <w:trHeight w:val="207"/>
        </w:trPr>
        <w:tc>
          <w:tcPr>
            <w:tcW w:w="80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48,886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(10,083)</w:t>
            </w:r>
          </w:p>
        </w:tc>
      </w:tr>
      <w:tr>
        <w:trPr>
          <w:trHeight w:val="20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180,903</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217,200</w:t>
            </w:r>
          </w:p>
        </w:tc>
      </w:tr>
      <w:tr>
        <w:trPr>
          <w:trHeight w:val="188"/>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(33,955)</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(31,248)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(28,344)</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sale of assets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5,988</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Proceeds from maturity of held-to-maturity investments</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4,500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25,916</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settlement of derivatives designated as hedging instruments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5,438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(63,061)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(30,395)</w:t>
            </w: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Proceeds from issuance of 7.375% Senior Notes due 2032</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525,000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early redemption or purchase of 7.0% Senior Notes due 2026</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(522,135)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(24,471)</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Proceeds from borrowings of debt</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41,191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520</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(7,675)</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of debt issuance costs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(11,551)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withholding taxes in connection with equity awards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(10,188)</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of finance lease obligations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(4,158)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(4,880)</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noncontrolling interests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Purchase of ordinary shares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(52,987)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ordinary shares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1,369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w:t>
            </w: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r>
      <w:tr>
        <w:trPr>
          <w:trHeight w:val="20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(94,076)</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(47,155)</w:t>
            </w:r>
          </w:p>
        </w:tc>
      </w:tr>
      <w:tr>
        <w:trPr>
          <w:trHeight w:val="20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4,245</w:t>
            </w:r>
          </w:p>
        </w:tc>
      </w:tr>
      <w:tr>
        <w:trPr>
          <w:trHeight w:val="20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20,654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143,895</w:t>
            </w: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203,775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130,313</w:t>
            </w:r>
          </w:p>
        </w:tc>
      </w:tr>
      <w:tr>
        <w:trPr>
          <w:trHeight w:val="227"/>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224,429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274,208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104775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055"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43"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Six Months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4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2023</w:t>
            </w:r>
          </w:p>
        </w:tc>
      </w:tr>
      <w:tr>
        <w:trPr>
          <w:trHeight w:val="18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940" w:type="dxa"/>
            <w:vAlign w:val="bottom"/>
          </w:tcPr>
          <w:p>
            <w:pPr>
              <w:jc w:val="right"/>
              <w:ind w:right="77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54,753</w:t>
            </w:r>
          </w:p>
        </w:tc>
        <w:tc>
          <w:tcPr>
            <w:tcW w:w="80" w:type="dxa"/>
            <w:vAlign w:val="bottom"/>
          </w:tcPr>
          <w:p>
            <w:pPr>
              <w:spacing w:after="0"/>
              <w:rPr>
                <w:sz w:val="17"/>
                <w:szCs w:val="17"/>
                <w:color w:val="auto"/>
              </w:rPr>
            </w:pPr>
          </w:p>
        </w:tc>
        <w:tc>
          <w:tcPr>
            <w:tcW w:w="3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66,646</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received for interest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6,380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6,165</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9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11,386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26,434</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Property and equipment acquired under finance leases</w:t>
            </w:r>
          </w:p>
        </w:tc>
        <w:tc>
          <w:tcPr>
            <w:tcW w:w="9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805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2,209</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accrued related to property, plant and equipment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16,477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6,561</w:t>
            </w:r>
          </w:p>
        </w:tc>
      </w:tr>
      <w:tr>
        <w:trPr>
          <w:trHeight w:val="206"/>
        </w:trPr>
        <w:tc>
          <w:tcPr>
            <w:tcW w:w="8040" w:type="dxa"/>
            <w:vAlign w:val="bottom"/>
          </w:tcPr>
          <w:p>
            <w:pPr>
              <w:ind w:left="20"/>
              <w:spacing w:after="0"/>
              <w:rPr>
                <w:sz w:val="20"/>
                <w:szCs w:val="20"/>
                <w:color w:val="auto"/>
              </w:rPr>
            </w:pPr>
            <w:r>
              <w:rPr>
                <w:rFonts w:ascii="Arial" w:cs="Arial" w:eastAsia="Arial" w:hAnsi="Arial"/>
                <w:sz w:val="16"/>
                <w:szCs w:val="16"/>
                <w:color w:val="auto"/>
              </w:rPr>
              <w:t>Amounts accrued related to capitalized software development costs</w:t>
            </w:r>
          </w:p>
        </w:tc>
        <w:tc>
          <w:tcPr>
            <w:tcW w:w="9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189</w:t>
            </w:r>
          </w:p>
        </w:tc>
      </w:tr>
    </w:tbl>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055"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183" w:lineRule="exact"/>
        <w:rPr>
          <w:sz w:val="20"/>
          <w:szCs w:val="20"/>
          <w:color w:val="auto"/>
        </w:rPr>
      </w:pPr>
    </w:p>
    <w:p>
      <w:pPr>
        <w:ind w:right="140" w:firstLine="623"/>
        <w:spacing w:after="0" w:line="263" w:lineRule="auto"/>
        <w:rPr>
          <w:sz w:val="20"/>
          <w:szCs w:val="20"/>
          <w:color w:val="auto"/>
        </w:rPr>
      </w:pPr>
      <w:r>
        <w:rPr>
          <w:rFonts w:ascii="Arial" w:cs="Arial" w:eastAsia="Arial" w:hAnsi="Arial"/>
          <w:sz w:val="17"/>
          <w:szCs w:val="17"/>
          <w:color w:val="auto"/>
        </w:rPr>
        <w:t>Cimpress is a strategically focused collection of businesses that specialize in print mass customization, through which we deliver large volumes of individually small-sized customized orders of printed materials and related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218" w:lineRule="exact"/>
        <w:rPr>
          <w:sz w:val="20"/>
          <w:szCs w:val="20"/>
          <w:color w:val="auto"/>
        </w:rPr>
      </w:pPr>
    </w:p>
    <w:p>
      <w:pPr>
        <w:ind w:right="7420" w:firstLine="4"/>
        <w:spacing w:after="0" w:line="519" w:lineRule="auto"/>
        <w:tabs>
          <w:tab w:leader="none" w:pos="18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ind w:right="40" w:firstLine="623"/>
        <w:spacing w:after="0" w:line="265" w:lineRule="auto"/>
        <w:rPr>
          <w:sz w:val="20"/>
          <w:szCs w:val="20"/>
          <w:color w:val="auto"/>
        </w:rPr>
      </w:pPr>
      <w:r>
        <w:rPr>
          <w:rFonts w:ascii="Arial" w:cs="Arial" w:eastAsia="Arial" w:hAnsi="Arial"/>
          <w:sz w:val="17"/>
          <w:szCs w:val="17"/>
          <w:color w:val="auto"/>
        </w:rPr>
        <w:t>The consolidated financial statements include the accounts of Cimpress plc, its wholly owned subsidiaries, entities in which we maintain a controlling financial interest.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48"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and income taxes and related valuation allowances, among others. By their nature, estimates are subject to an inherent degree of uncertainty.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Ordinary Shares</w:t>
      </w:r>
    </w:p>
    <w:p>
      <w:pPr>
        <w:spacing w:after="0" w:line="118" w:lineRule="exact"/>
        <w:rPr>
          <w:sz w:val="20"/>
          <w:szCs w:val="20"/>
          <w:color w:val="auto"/>
        </w:rPr>
      </w:pPr>
    </w:p>
    <w:p>
      <w:pPr>
        <w:jc w:val="both"/>
        <w:ind w:right="600" w:firstLine="623"/>
        <w:spacing w:after="0" w:line="275" w:lineRule="auto"/>
        <w:rPr>
          <w:sz w:val="20"/>
          <w:szCs w:val="20"/>
          <w:color w:val="auto"/>
        </w:rPr>
      </w:pPr>
      <w:r>
        <w:rPr>
          <w:rFonts w:ascii="Arial" w:cs="Arial" w:eastAsia="Arial" w:hAnsi="Arial"/>
          <w:sz w:val="17"/>
          <w:szCs w:val="17"/>
          <w:color w:val="auto"/>
        </w:rPr>
        <w:t>During the six months ended December 31, 2024, we repurchased 657,193 of our ordinary shares on the open market and through privately negotiated transactions for $52,987. The repurchased shares were immediately retired after repurchase and therefore have been classified as authorized and unissued shares as of December 31, 2024.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 Equity Option Awards</w:t>
      </w:r>
    </w:p>
    <w:p>
      <w:pPr>
        <w:spacing w:after="0" w:line="118" w:lineRule="exact"/>
        <w:rPr>
          <w:sz w:val="20"/>
          <w:szCs w:val="20"/>
          <w:color w:val="auto"/>
        </w:rPr>
      </w:pPr>
    </w:p>
    <w:p>
      <w:pPr>
        <w:ind w:right="20" w:firstLine="623"/>
        <w:spacing w:after="0" w:line="261" w:lineRule="auto"/>
        <w:rPr>
          <w:sz w:val="20"/>
          <w:szCs w:val="20"/>
          <w:color w:val="auto"/>
        </w:rPr>
      </w:pPr>
      <w:r>
        <w:rPr>
          <w:rFonts w:ascii="Arial" w:cs="Arial" w:eastAsia="Arial" w:hAnsi="Arial"/>
          <w:sz w:val="17"/>
          <w:szCs w:val="17"/>
          <w:color w:val="auto"/>
        </w:rPr>
        <w:t>During the second quarter of fiscal 2025, we granted subsidiary-level option awards, which provides the founder group of one of our businesses with the option to purchase a 5.25% minority equity interest in each of the principal businesses that are included in our PrintBrothers reportable segment. The option awards have an expiration date of January 15, 2026, and upon exercise the underlying shares are subject to a ten-year lockup period, while the holders are subjected to non-compete provisions over the period in which they are shareholders, plus an additional two years. The fair value of the share option is determined as of the grant date using the Black-Scholes valuation model and the fair value is recognized ratably as expense over the non-compete period, as the provision is deemed to be substantive. No material expense was recognized for any period presented.</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Other Income (Expense), Net</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other income (expense), net.</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646"/>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4"/>
        </w:trPr>
        <w:tc>
          <w:tcPr>
            <w:tcW w:w="43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38"/>
        </w:trPr>
        <w:tc>
          <w:tcPr>
            <w:tcW w:w="438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rPr>
              <w:t>Gains (losses) on derivatives not designated as hedging</w:t>
            </w:r>
          </w:p>
        </w:tc>
        <w:tc>
          <w:tcPr>
            <w:tcW w:w="1000" w:type="dxa"/>
            <w:vAlign w:val="bottom"/>
            <w:vMerge w:val="restart"/>
            <w:shd w:val="clear" w:color="auto" w:fill="CCEEFF"/>
          </w:tcPr>
          <w:p>
            <w:pPr>
              <w:jc w:val="right"/>
              <w:ind w:right="831"/>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33,632</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13,063</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(5,356)</w:t>
            </w:r>
          </w:p>
        </w:tc>
        <w:tc>
          <w:tcPr>
            <w:tcW w:w="0" w:type="dxa"/>
            <w:vAlign w:val="bottom"/>
          </w:tcPr>
          <w:p>
            <w:pPr>
              <w:spacing w:after="0"/>
              <w:rPr>
                <w:sz w:val="1"/>
                <w:szCs w:val="1"/>
                <w:color w:val="auto"/>
              </w:rPr>
            </w:pPr>
          </w:p>
        </w:tc>
      </w:tr>
      <w:tr>
        <w:trPr>
          <w:trHeight w:val="207"/>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instruments (1)</w:t>
            </w:r>
          </w:p>
        </w:tc>
        <w:tc>
          <w:tcPr>
            <w:tcW w:w="10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80" w:type="dxa"/>
            <w:vAlign w:val="bottom"/>
          </w:tcPr>
          <w:p>
            <w:pPr>
              <w:spacing w:after="0"/>
              <w:rPr>
                <w:sz w:val="20"/>
                <w:szCs w:val="20"/>
                <w:color w:val="auto"/>
              </w:rPr>
            </w:pPr>
            <w:r>
              <w:rPr>
                <w:rFonts w:ascii="Arial" w:cs="Arial" w:eastAsia="Arial" w:hAnsi="Arial"/>
                <w:sz w:val="16"/>
                <w:szCs w:val="16"/>
                <w:color w:val="auto"/>
              </w:rPr>
              <w:t>Currency-related (losses) gains, net (2)</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13,062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6"/>
                <w:szCs w:val="16"/>
                <w:color w:val="auto"/>
              </w:rPr>
              <w:t>6,560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10,363</w:t>
            </w:r>
          </w:p>
        </w:tc>
        <w:tc>
          <w:tcPr>
            <w:tcW w:w="0" w:type="dxa"/>
            <w:vAlign w:val="bottom"/>
          </w:tcPr>
          <w:p>
            <w:pPr>
              <w:spacing w:after="0"/>
              <w:rPr>
                <w:sz w:val="1"/>
                <w:szCs w:val="1"/>
                <w:color w:val="auto"/>
              </w:rPr>
            </w:pPr>
          </w:p>
        </w:tc>
      </w:tr>
      <w:tr>
        <w:trPr>
          <w:trHeight w:val="208"/>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Other gains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02"/>
        </w:trPr>
        <w:tc>
          <w:tcPr>
            <w:tcW w:w="4380" w:type="dxa"/>
            <w:vAlign w:val="bottom"/>
          </w:tcPr>
          <w:p>
            <w:pPr>
              <w:spacing w:after="0"/>
              <w:rPr>
                <w:sz w:val="20"/>
                <w:szCs w:val="20"/>
                <w:color w:val="auto"/>
              </w:rPr>
            </w:pPr>
            <w:r>
              <w:rPr>
                <w:rFonts w:ascii="Arial" w:cs="Arial" w:eastAsia="Arial" w:hAnsi="Arial"/>
                <w:sz w:val="16"/>
                <w:szCs w:val="16"/>
                <w:color w:val="auto"/>
              </w:rPr>
              <w:t>Total other income (expense), net</w:t>
            </w:r>
          </w:p>
        </w:tc>
        <w:tc>
          <w:tcPr>
            <w:tcW w:w="1000" w:type="dxa"/>
            <w:vAlign w:val="bottom"/>
            <w:tcBorders>
              <w:bottom w:val="single" w:sz="8" w:color="auto"/>
            </w:tcBorders>
          </w:tcPr>
          <w:p>
            <w:pPr>
              <w:jc w:val="right"/>
              <w:ind w:right="83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31,678</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20,186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6,028</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01" w:lineRule="exact"/>
        <w:rPr>
          <w:sz w:val="20"/>
          <w:szCs w:val="20"/>
          <w:color w:val="auto"/>
        </w:rPr>
      </w:pPr>
    </w:p>
    <w:p>
      <w:pPr>
        <w:ind w:left="240" w:right="140" w:hanging="236"/>
        <w:spacing w:after="0" w:line="266" w:lineRule="auto"/>
        <w:tabs>
          <w:tab w:leader="none" w:pos="214"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realized and unrealized gains and losses on derivative currency forward and option contracts not designated as hedging instruments. For contracts not designated as hedging instruments, we realized gains of $2,981 and $749 for the three and six months ended December 31, 2024, respectively, and losses of $2,539 and $488 for the three and six months ended December 31, 2023, respectively. Refer to Note 4 for additional details relating to our derivative contracts.</w:t>
      </w:r>
    </w:p>
    <w:p>
      <w:pPr>
        <w:spacing w:after="0" w:line="48" w:lineRule="exact"/>
        <w:rPr>
          <w:rFonts w:ascii="Arial" w:cs="Arial" w:eastAsia="Arial" w:hAnsi="Arial"/>
          <w:sz w:val="14"/>
          <w:szCs w:val="14"/>
          <w:color w:val="auto"/>
        </w:rPr>
      </w:pPr>
    </w:p>
    <w:p>
      <w:pPr>
        <w:ind w:left="240" w:right="320" w:hanging="236"/>
        <w:spacing w:after="0" w:line="261" w:lineRule="auto"/>
        <w:tabs>
          <w:tab w:leader="none" w:pos="214" w:val="left"/>
        </w:tabs>
        <w:numPr>
          <w:ilvl w:val="0"/>
          <w:numId w:val="4"/>
        </w:numPr>
        <w:rPr>
          <w:rFonts w:ascii="Arial" w:cs="Arial" w:eastAsia="Arial" w:hAnsi="Arial"/>
          <w:sz w:val="14"/>
          <w:szCs w:val="14"/>
          <w:color w:val="auto"/>
        </w:rPr>
      </w:pPr>
      <w:r>
        <w:rPr>
          <w:rFonts w:ascii="Arial" w:cs="Arial" w:eastAsia="Arial" w:hAnsi="Arial"/>
          <w:sz w:val="14"/>
          <w:szCs w:val="14"/>
          <w:color w:val="auto"/>
        </w:rPr>
        <w:t>Currency-related (losses) gains, net primarily relates to significant non-functional currency intercompany financing relationships that we may change at times and are subject to currency exchange rate volatility. In addition, during the three and six months ended December 31, 2023, we recognized gains of $2,230 and $294, respectively, on a cross-currency swap designated as a cash flow hedge which hedges the remeasurement of an intercompany loan. We did not hold any cross-currency swap contracts that were designated as cash flow hedges during the three and six months ended December 31, 2024. Refer to Note 4 for additional details regarding our cash flow hedges.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Per Share Attributable to Cimpress plc</w:t>
      </w:r>
    </w:p>
    <w:p>
      <w:pPr>
        <w:spacing w:after="0" w:line="196" w:lineRule="exact"/>
        <w:rPr>
          <w:sz w:val="20"/>
          <w:szCs w:val="20"/>
          <w:color w:val="auto"/>
        </w:rPr>
      </w:pPr>
    </w:p>
    <w:p>
      <w:pPr>
        <w:ind w:right="140" w:firstLine="623"/>
        <w:spacing w:after="0" w:line="265" w:lineRule="auto"/>
        <w:rPr>
          <w:sz w:val="20"/>
          <w:szCs w:val="20"/>
          <w:color w:val="auto"/>
        </w:rPr>
      </w:pPr>
      <w:r>
        <w:rPr>
          <w:rFonts w:ascii="Arial" w:cs="Arial" w:eastAsia="Arial" w:hAnsi="Arial"/>
          <w:sz w:val="17"/>
          <w:szCs w:val="17"/>
          <w:color w:val="auto"/>
        </w:rPr>
        <w:t>Basic net income per share attributable to Cimpress plc is computed by dividing net income attributable to Cimpress plc by the weighted-average number of ordinary shares outstanding for the respective period. Diluted net income per share attributable to Cimpress plc gives effect to all potentially dilutive securities, including share options, restricted share units (“RSUs”), performance share units ("PSUs"), and warrants,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the reconciliation of the weighted-average number of ordinary shares.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460" w:type="dxa"/>
            <w:vAlign w:val="bottom"/>
            <w:gridSpan w:val="4"/>
          </w:tcPr>
          <w:p>
            <w:pPr>
              <w:ind w:left="660"/>
              <w:spacing w:after="0"/>
              <w:rPr>
                <w:sz w:val="20"/>
                <w:szCs w:val="20"/>
                <w:color w:val="auto"/>
              </w:rPr>
            </w:pPr>
            <w:r>
              <w:rPr>
                <w:rFonts w:ascii="Arial" w:cs="Arial" w:eastAsia="Arial" w:hAnsi="Arial"/>
                <w:sz w:val="12"/>
                <w:szCs w:val="12"/>
                <w:b w:val="1"/>
                <w:bCs w:val="1"/>
                <w:color w:val="auto"/>
              </w:rPr>
              <w:t>Three Months Ended December 31,</w:t>
            </w:r>
          </w:p>
        </w:tc>
        <w:tc>
          <w:tcPr>
            <w:tcW w:w="3340" w:type="dxa"/>
            <w:vAlign w:val="bottom"/>
            <w:gridSpan w:val="3"/>
          </w:tcPr>
          <w:p>
            <w:pPr>
              <w:jc w:val="right"/>
              <w:ind w:right="666"/>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4"/>
        </w:trPr>
        <w:tc>
          <w:tcPr>
            <w:tcW w:w="4440" w:type="dxa"/>
            <w:vAlign w:val="bottom"/>
            <w:tcBorders>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basic</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24,965,612</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26,609,929</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25,066,729</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26,539,349</w:t>
            </w:r>
          </w:p>
        </w:tc>
        <w:tc>
          <w:tcPr>
            <w:tcW w:w="0" w:type="dxa"/>
            <w:vAlign w:val="bottom"/>
          </w:tcPr>
          <w:p>
            <w:pPr>
              <w:spacing w:after="0"/>
              <w:rPr>
                <w:sz w:val="1"/>
                <w:szCs w:val="1"/>
                <w:color w:val="auto"/>
              </w:rPr>
            </w:pPr>
          </w:p>
        </w:tc>
      </w:tr>
      <w:tr>
        <w:trPr>
          <w:trHeight w:val="157"/>
        </w:trPr>
        <w:tc>
          <w:tcPr>
            <w:tcW w:w="4440" w:type="dxa"/>
            <w:vAlign w:val="bottom"/>
          </w:tcPr>
          <w:p>
            <w:pPr>
              <w:ind w:left="20"/>
              <w:spacing w:after="0" w:line="157" w:lineRule="exact"/>
              <w:rPr>
                <w:sz w:val="20"/>
                <w:szCs w:val="20"/>
                <w:color w:val="auto"/>
              </w:rPr>
            </w:pPr>
            <w:r>
              <w:rPr>
                <w:rFonts w:ascii="Arial" w:cs="Arial" w:eastAsia="Arial" w:hAnsi="Arial"/>
                <w:sz w:val="16"/>
                <w:szCs w:val="16"/>
                <w:color w:val="auto"/>
              </w:rPr>
              <w:t>Weighted average shares issuable upon exercise/vesting of</w:t>
            </w: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940,539</w:t>
            </w:r>
          </w:p>
        </w:tc>
        <w:tc>
          <w:tcPr>
            <w:tcW w:w="100" w:type="dxa"/>
            <w:vAlign w:val="bottom"/>
          </w:tcPr>
          <w:p>
            <w:pPr>
              <w:spacing w:after="0"/>
              <w:rPr>
                <w:sz w:val="13"/>
                <w:szCs w:val="13"/>
                <w:color w:val="auto"/>
              </w:rPr>
            </w:pPr>
          </w:p>
        </w:tc>
        <w:tc>
          <w:tcPr>
            <w:tcW w:w="1640" w:type="dxa"/>
            <w:vAlign w:val="bottom"/>
            <w:vMerge w:val="restart"/>
          </w:tcPr>
          <w:p>
            <w:pPr>
              <w:jc w:val="right"/>
              <w:ind w:right="6"/>
              <w:spacing w:after="0"/>
              <w:rPr>
                <w:sz w:val="20"/>
                <w:szCs w:val="20"/>
                <w:color w:val="auto"/>
              </w:rPr>
            </w:pPr>
            <w:r>
              <w:rPr>
                <w:rFonts w:ascii="Arial" w:cs="Arial" w:eastAsia="Arial" w:hAnsi="Arial"/>
                <w:sz w:val="16"/>
                <w:szCs w:val="16"/>
                <w:color w:val="auto"/>
              </w:rPr>
              <w:t>569,144</w:t>
            </w:r>
          </w:p>
        </w:tc>
        <w:tc>
          <w:tcPr>
            <w:tcW w:w="100" w:type="dxa"/>
            <w:vAlign w:val="bottom"/>
          </w:tcPr>
          <w:p>
            <w:pPr>
              <w:spacing w:after="0"/>
              <w:rPr>
                <w:sz w:val="13"/>
                <w:szCs w:val="13"/>
                <w:color w:val="auto"/>
              </w:rPr>
            </w:pPr>
          </w:p>
        </w:tc>
        <w:tc>
          <w:tcPr>
            <w:tcW w:w="1620" w:type="dxa"/>
            <w:vAlign w:val="bottom"/>
            <w:vMerge w:val="restart"/>
          </w:tcPr>
          <w:p>
            <w:pPr>
              <w:jc w:val="right"/>
              <w:ind w:right="8"/>
              <w:spacing w:after="0"/>
              <w:rPr>
                <w:sz w:val="20"/>
                <w:szCs w:val="20"/>
                <w:color w:val="auto"/>
              </w:rPr>
            </w:pPr>
            <w:r>
              <w:rPr>
                <w:rFonts w:ascii="Arial" w:cs="Arial" w:eastAsia="Arial" w:hAnsi="Arial"/>
                <w:sz w:val="16"/>
                <w:szCs w:val="16"/>
                <w:color w:val="auto"/>
              </w:rPr>
              <w:t>1,078,723</w:t>
            </w:r>
          </w:p>
        </w:tc>
        <w:tc>
          <w:tcPr>
            <w:tcW w:w="10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589,915</w:t>
            </w:r>
          </w:p>
        </w:tc>
        <w:tc>
          <w:tcPr>
            <w:tcW w:w="0" w:type="dxa"/>
            <w:vAlign w:val="bottom"/>
          </w:tcPr>
          <w:p>
            <w:pPr>
              <w:spacing w:after="0"/>
              <w:rPr>
                <w:sz w:val="1"/>
                <w:szCs w:val="1"/>
                <w:color w:val="auto"/>
              </w:rPr>
            </w:pPr>
          </w:p>
        </w:tc>
      </w:tr>
      <w:tr>
        <w:trPr>
          <w:trHeight w:val="20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outstanding share options/PSUs/RSUs/warrants (1)</w:t>
            </w:r>
          </w:p>
        </w:tc>
        <w:tc>
          <w:tcPr>
            <w:tcW w:w="1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44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Shares used in computing diluted net income per share</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25,906,151</w:t>
            </w:r>
          </w:p>
        </w:tc>
        <w:tc>
          <w:tcPr>
            <w:tcW w:w="10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27,179,073</w:t>
            </w:r>
          </w:p>
        </w:tc>
        <w:tc>
          <w:tcPr>
            <w:tcW w:w="10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26,145,452</w:t>
            </w:r>
          </w:p>
        </w:tc>
        <w:tc>
          <w:tcPr>
            <w:tcW w:w="10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27,129,264</w:t>
            </w:r>
          </w:p>
        </w:tc>
        <w:tc>
          <w:tcPr>
            <w:tcW w:w="0" w:type="dxa"/>
            <w:vAlign w:val="bottom"/>
          </w:tcPr>
          <w:p>
            <w:pPr>
              <w:spacing w:after="0"/>
              <w:rPr>
                <w:sz w:val="1"/>
                <w:szCs w:val="1"/>
                <w:color w:val="auto"/>
              </w:rPr>
            </w:pPr>
          </w:p>
        </w:tc>
      </w:tr>
      <w:tr>
        <w:trPr>
          <w:trHeight w:val="201"/>
        </w:trPr>
        <w:tc>
          <w:tcPr>
            <w:tcW w:w="444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attributable to Cimpress plc</w:t>
            </w: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line="142" w:lineRule="exact"/>
              <w:rPr>
                <w:sz w:val="20"/>
                <w:szCs w:val="20"/>
                <w:color w:val="auto"/>
              </w:rPr>
            </w:pPr>
            <w:r>
              <w:rPr>
                <w:rFonts w:ascii="Arial" w:cs="Arial" w:eastAsia="Arial" w:hAnsi="Arial"/>
                <w:sz w:val="16"/>
                <w:szCs w:val="16"/>
                <w:color w:val="auto"/>
                <w:w w:val="97"/>
              </w:rPr>
              <w:t>Weighted average anti-dilutive shares excluded from diluted net</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440" w:type="dxa"/>
            <w:vAlign w:val="bottom"/>
            <w:vMerge w:val="continue"/>
          </w:tcPr>
          <w:p>
            <w:pPr>
              <w:spacing w:after="0"/>
              <w:rPr>
                <w:sz w:val="8"/>
                <w:szCs w:val="8"/>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299,877</w:t>
            </w:r>
          </w:p>
        </w:tc>
        <w:tc>
          <w:tcPr>
            <w:tcW w:w="100" w:type="dxa"/>
            <w:vAlign w:val="bottom"/>
          </w:tcPr>
          <w:p>
            <w:pPr>
              <w:spacing w:after="0"/>
              <w:rPr>
                <w:sz w:val="8"/>
                <w:szCs w:val="8"/>
                <w:color w:val="auto"/>
              </w:rPr>
            </w:pPr>
          </w:p>
        </w:tc>
        <w:tc>
          <w:tcPr>
            <w:tcW w:w="1640" w:type="dxa"/>
            <w:vAlign w:val="bottom"/>
            <w:vMerge w:val="restart"/>
          </w:tcPr>
          <w:p>
            <w:pPr>
              <w:jc w:val="right"/>
              <w:ind w:right="6"/>
              <w:spacing w:after="0"/>
              <w:rPr>
                <w:sz w:val="20"/>
                <w:szCs w:val="20"/>
                <w:color w:val="auto"/>
              </w:rPr>
            </w:pPr>
            <w:r>
              <w:rPr>
                <w:rFonts w:ascii="Arial" w:cs="Arial" w:eastAsia="Arial" w:hAnsi="Arial"/>
                <w:sz w:val="16"/>
                <w:szCs w:val="16"/>
                <w:color w:val="auto"/>
              </w:rPr>
              <w:t>192,204</w:t>
            </w:r>
          </w:p>
        </w:tc>
        <w:tc>
          <w:tcPr>
            <w:tcW w:w="100" w:type="dxa"/>
            <w:vAlign w:val="bottom"/>
          </w:tcPr>
          <w:p>
            <w:pPr>
              <w:spacing w:after="0"/>
              <w:rPr>
                <w:sz w:val="8"/>
                <w:szCs w:val="8"/>
                <w:color w:val="auto"/>
              </w:rPr>
            </w:pPr>
          </w:p>
        </w:tc>
        <w:tc>
          <w:tcPr>
            <w:tcW w:w="1620" w:type="dxa"/>
            <w:vAlign w:val="bottom"/>
            <w:vMerge w:val="restart"/>
          </w:tcPr>
          <w:p>
            <w:pPr>
              <w:jc w:val="right"/>
              <w:ind w:right="8"/>
              <w:spacing w:after="0"/>
              <w:rPr>
                <w:sz w:val="20"/>
                <w:szCs w:val="20"/>
                <w:color w:val="auto"/>
              </w:rPr>
            </w:pPr>
            <w:r>
              <w:rPr>
                <w:rFonts w:ascii="Arial" w:cs="Arial" w:eastAsia="Arial" w:hAnsi="Arial"/>
                <w:sz w:val="16"/>
                <w:szCs w:val="16"/>
                <w:color w:val="auto"/>
              </w:rPr>
              <w:t>153,799</w:t>
            </w:r>
          </w:p>
        </w:tc>
        <w:tc>
          <w:tcPr>
            <w:tcW w:w="100" w:type="dxa"/>
            <w:vAlign w:val="bottom"/>
          </w:tcPr>
          <w:p>
            <w:pPr>
              <w:spacing w:after="0"/>
              <w:rPr>
                <w:sz w:val="8"/>
                <w:szCs w:val="8"/>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189,927</w:t>
            </w:r>
          </w:p>
        </w:tc>
        <w:tc>
          <w:tcPr>
            <w:tcW w:w="0" w:type="dxa"/>
            <w:vAlign w:val="bottom"/>
          </w:tcPr>
          <w:p>
            <w:pPr>
              <w:spacing w:after="0"/>
              <w:rPr>
                <w:sz w:val="1"/>
                <w:szCs w:val="1"/>
                <w:color w:val="auto"/>
              </w:rPr>
            </w:pPr>
          </w:p>
        </w:tc>
      </w:tr>
      <w:tr>
        <w:trPr>
          <w:trHeight w:val="205"/>
        </w:trPr>
        <w:tc>
          <w:tcPr>
            <w:tcW w:w="4440" w:type="dxa"/>
            <w:vAlign w:val="bottom"/>
          </w:tcPr>
          <w:p>
            <w:pPr>
              <w:ind w:left="20"/>
              <w:spacing w:after="0"/>
              <w:rPr>
                <w:sz w:val="20"/>
                <w:szCs w:val="20"/>
                <w:color w:val="auto"/>
              </w:rPr>
            </w:pPr>
            <w:r>
              <w:rPr>
                <w:rFonts w:ascii="Arial" w:cs="Arial" w:eastAsia="Arial" w:hAnsi="Arial"/>
                <w:sz w:val="16"/>
                <w:szCs w:val="16"/>
                <w:color w:val="auto"/>
              </w:rPr>
              <w:t>income per share attributable to Cimpress plc</w:t>
            </w: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14" w:lineRule="exact"/>
        <w:rPr>
          <w:sz w:val="20"/>
          <w:szCs w:val="20"/>
          <w:color w:val="auto"/>
        </w:rPr>
      </w:pPr>
    </w:p>
    <w:p>
      <w:pPr>
        <w:ind w:left="240" w:right="20" w:hanging="236"/>
        <w:spacing w:after="0" w:line="256" w:lineRule="auto"/>
        <w:tabs>
          <w:tab w:leader="none" w:pos="214"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May 1, 2020, we entered into a financing arrangement which included 7-year warrants to purchase 1,055,377 of our ordinary shares with a strike price of $60 that have a potentially dilutive impact on our weighted average shares outstanding. The weighted average dilutive effect of the warrants for the three and six months ended December 31, 2024 were 248,156 and 294,657, respectively, and for the three and six months ended December 31, 2023 were 146,506 and 122,412,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or Adopted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to be Adopted</w:t>
      </w:r>
    </w:p>
    <w:p>
      <w:pPr>
        <w:spacing w:after="0" w:line="168" w:lineRule="exact"/>
        <w:rPr>
          <w:sz w:val="20"/>
          <w:szCs w:val="20"/>
          <w:color w:val="auto"/>
        </w:rPr>
      </w:pPr>
    </w:p>
    <w:p>
      <w:pPr>
        <w:ind w:right="80" w:firstLine="623"/>
        <w:spacing w:after="0" w:line="268" w:lineRule="auto"/>
        <w:rPr>
          <w:sz w:val="20"/>
          <w:szCs w:val="20"/>
          <w:color w:val="auto"/>
        </w:rPr>
      </w:pPr>
      <w:r>
        <w:rPr>
          <w:rFonts w:ascii="Arial" w:cs="Arial" w:eastAsia="Arial" w:hAnsi="Arial"/>
          <w:sz w:val="17"/>
          <w:szCs w:val="17"/>
          <w:color w:val="auto"/>
        </w:rPr>
        <w:t>In November 2024, the FASB issued Accounting Standards Update No. 2024-03 "Income Statement (Subtopic 220-40): Disaggregation of Income Statement Expenses" (ASU 2024-03), which requires disaggregated disclosure of income statement expenses into specified categories. The expanded disclosure requirements will be effective starting with our annual report for the fiscal year ending June 30, 2028, as well as each interim period thereafter. Early adoption is permitted, but we do not intend to early adopt this standard.</w:t>
      </w:r>
    </w:p>
    <w:p>
      <w:pPr>
        <w:spacing w:after="0" w:line="113" w:lineRule="exact"/>
        <w:rPr>
          <w:sz w:val="20"/>
          <w:szCs w:val="20"/>
          <w:color w:val="auto"/>
        </w:rPr>
      </w:pPr>
    </w:p>
    <w:p>
      <w:pPr>
        <w:ind w:right="80" w:firstLine="623"/>
        <w:spacing w:after="0" w:line="295" w:lineRule="auto"/>
        <w:rPr>
          <w:sz w:val="20"/>
          <w:szCs w:val="20"/>
          <w:color w:val="auto"/>
        </w:rPr>
      </w:pPr>
      <w:r>
        <w:rPr>
          <w:rFonts w:ascii="Arial" w:cs="Arial" w:eastAsia="Arial" w:hAnsi="Arial"/>
          <w:sz w:val="17"/>
          <w:szCs w:val="17"/>
          <w:color w:val="auto"/>
        </w:rPr>
        <w:t>In December 2023, the FASB issued Accounting Standards Update No. 2023-09 "Income Taxes (Topic 740): Improvements to Income Tax Disclosures" (ASU 2023-09), which provides authoritative guidance about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1" w:name="page12"/>
    <w:bookmarkEnd w:id="11"/>
    <w:p>
      <w:pPr>
        <w:jc w:val="both"/>
        <w:ind w:right="280"/>
        <w:spacing w:after="0" w:line="275" w:lineRule="auto"/>
        <w:rPr>
          <w:sz w:val="20"/>
          <w:szCs w:val="20"/>
          <w:color w:val="auto"/>
        </w:rPr>
      </w:pPr>
      <w:r>
        <w:rPr>
          <w:rFonts w:ascii="Arial" w:cs="Arial" w:eastAsia="Arial" w:hAnsi="Arial"/>
          <w:sz w:val="17"/>
          <w:szCs w:val="17"/>
          <w:color w:val="auto"/>
        </w:rPr>
        <w:t>expanded annual disclosure requirements for the income tax rate reconciliation and income taxes paid by jurisdiction. The expanded disclosure requirements will be effective starting with our annual report for the fiscal year ending June 30, 2026. Early adoption is permitted, but we do not intend to early adopt this standard.</w:t>
      </w:r>
    </w:p>
    <w:p>
      <w:pPr>
        <w:spacing w:after="0" w:line="107"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In November 2023, the FASB issued Accounting Standards Update No. 2023-07 "Segment Reporting (Topic 280): Improvements to Reportable Segment Disclosures" (ASU 2023-07), which requires enhanced disclosures about significant segment expenses and introduces a reconciliation between segment revenue and segment profitability metrics. The expanded disclosure requirements will be effective starting with our annual report for the fiscal year ending June 30, 2025, as well as each interim period thereafter. We will include all required disclosures in our upcoming annual report under the retrospective transition method for the fiscal year ending June 30, 2025.</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09" w:lineRule="exact"/>
        <w:rPr>
          <w:sz w:val="20"/>
          <w:szCs w:val="20"/>
          <w:color w:val="auto"/>
        </w:rPr>
      </w:pPr>
    </w:p>
    <w:p>
      <w:pPr>
        <w:ind w:right="320" w:firstLine="623"/>
        <w:spacing w:after="0" w:line="275" w:lineRule="auto"/>
        <w:rPr>
          <w:sz w:val="20"/>
          <w:szCs w:val="20"/>
          <w:color w:val="auto"/>
        </w:rPr>
      </w:pPr>
      <w:r>
        <w:rPr>
          <w:rFonts w:ascii="Arial" w:cs="Arial" w:eastAsia="Arial" w:hAnsi="Arial"/>
          <w:sz w:val="17"/>
          <w:szCs w:val="17"/>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55" w:lineRule="exact"/>
        <w:rPr>
          <w:sz w:val="20"/>
          <w:szCs w:val="20"/>
          <w:color w:val="auto"/>
        </w:rPr>
      </w:pPr>
    </w:p>
    <w:p>
      <w:pPr>
        <w:ind w:left="620" w:hanging="305"/>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w:t>
      </w:r>
    </w:p>
    <w:p>
      <w:pPr>
        <w:spacing w:after="0" w:line="116" w:lineRule="exact"/>
        <w:rPr>
          <w:rFonts w:ascii="Arial" w:cs="Arial" w:eastAsia="Arial" w:hAnsi="Arial"/>
          <w:sz w:val="17"/>
          <w:szCs w:val="17"/>
          <w:color w:val="auto"/>
        </w:rPr>
      </w:pPr>
    </w:p>
    <w:p>
      <w:pPr>
        <w:ind w:left="620" w:right="160" w:hanging="305"/>
        <w:spacing w:after="0" w:line="275"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and liabilities in active markets,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identical or similar assets in markets that are not active and inputs that are observable for the asset or liability, either directly or indirectly, for substantially the full term of the financial instrument.</w:t>
      </w:r>
    </w:p>
    <w:p>
      <w:pPr>
        <w:spacing w:after="0" w:line="54" w:lineRule="exact"/>
        <w:rPr>
          <w:rFonts w:ascii="Arial" w:cs="Arial" w:eastAsia="Arial" w:hAnsi="Arial"/>
          <w:sz w:val="17"/>
          <w:szCs w:val="17"/>
          <w:color w:val="auto"/>
        </w:rPr>
      </w:pPr>
    </w:p>
    <w:p>
      <w:pPr>
        <w:ind w:left="620" w:hanging="305"/>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Inputs to the valuation methodology are unobservable and significant to the fair value measurement.</w:t>
      </w:r>
    </w:p>
    <w:p>
      <w:pPr>
        <w:spacing w:after="0" w:line="116" w:lineRule="exact"/>
        <w:rPr>
          <w:sz w:val="20"/>
          <w:szCs w:val="20"/>
          <w:color w:val="auto"/>
        </w:rPr>
      </w:pPr>
    </w:p>
    <w:p>
      <w:pPr>
        <w:ind w:right="340" w:firstLine="623"/>
        <w:spacing w:after="0" w:line="275" w:lineRule="auto"/>
        <w:rPr>
          <w:sz w:val="20"/>
          <w:szCs w:val="20"/>
          <w:color w:val="auto"/>
        </w:rPr>
      </w:pPr>
      <w:r>
        <w:rPr>
          <w:rFonts w:ascii="Arial" w:cs="Arial" w:eastAsia="Arial" w:hAnsi="Arial"/>
          <w:sz w:val="17"/>
          <w:szCs w:val="17"/>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ind w:left="940"/>
              <w:spacing w:after="0"/>
              <w:rPr>
                <w:sz w:val="20"/>
                <w:szCs w:val="20"/>
                <w:color w:val="auto"/>
              </w:rPr>
            </w:pPr>
            <w:r>
              <w:rPr>
                <w:rFonts w:ascii="Arial" w:cs="Arial" w:eastAsia="Arial" w:hAnsi="Arial"/>
                <w:sz w:val="12"/>
                <w:szCs w:val="12"/>
                <w:b w:val="1"/>
                <w:bCs w:val="1"/>
                <w:color w:val="auto"/>
              </w:rPr>
              <w:t>December 31, 2024</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3"/>
              <w:spacing w:after="0" w:line="114" w:lineRule="exact"/>
              <w:rPr>
                <w:sz w:val="20"/>
                <w:szCs w:val="20"/>
                <w:color w:val="auto"/>
              </w:rPr>
            </w:pPr>
            <w:r>
              <w:rPr>
                <w:rFonts w:ascii="Arial" w:cs="Arial" w:eastAsia="Arial" w:hAnsi="Arial"/>
                <w:sz w:val="12"/>
                <w:szCs w:val="12"/>
                <w:b w:val="1"/>
                <w:bCs w:val="1"/>
                <w:color w:val="auto"/>
              </w:rPr>
              <w:t>Quoted Prices in</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w w:val="99"/>
              </w:rPr>
              <w:t>Active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Significant Other</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53"/>
              <w:spacing w:after="0" w:line="117" w:lineRule="exact"/>
              <w:rPr>
                <w:sz w:val="20"/>
                <w:szCs w:val="20"/>
                <w:color w:val="auto"/>
              </w:rPr>
            </w:pPr>
            <w:r>
              <w:rPr>
                <w:rFonts w:ascii="Arial" w:cs="Arial" w:eastAsia="Arial" w:hAnsi="Arial"/>
                <w:sz w:val="12"/>
                <w:szCs w:val="12"/>
                <w:b w:val="1"/>
                <w:bCs w:val="1"/>
                <w:color w:val="auto"/>
              </w:rPr>
              <w:t>Markets for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73"/>
              <w:spacing w:after="0" w:line="117" w:lineRule="exact"/>
              <w:rPr>
                <w:sz w:val="20"/>
                <w:szCs w:val="20"/>
                <w:color w:val="auto"/>
              </w:rPr>
            </w:pPr>
            <w:r>
              <w:rPr>
                <w:rFonts w:ascii="Arial" w:cs="Arial" w:eastAsia="Arial" w:hAnsi="Arial"/>
                <w:sz w:val="12"/>
                <w:szCs w:val="12"/>
                <w:b w:val="1"/>
                <w:bCs w:val="1"/>
                <w:color w:val="auto"/>
              </w:rPr>
              <w:t>Identical Assets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rPr>
              <w:t>Observable Inputs</w:t>
            </w: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78"/>
        </w:trPr>
        <w:tc>
          <w:tcPr>
            <w:tcW w:w="5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left="153"/>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5"/>
                <w:szCs w:val="15"/>
                <w:color w:val="auto"/>
              </w:rPr>
            </w:pPr>
          </w:p>
        </w:tc>
        <w:tc>
          <w:tcPr>
            <w:tcW w:w="1240" w:type="dxa"/>
            <w:vAlign w:val="bottom"/>
          </w:tcPr>
          <w:p>
            <w:pPr>
              <w:jc w:val="center"/>
              <w:ind w:right="128"/>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9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88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16,989</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16,989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12,722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12,722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option contracts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2,146</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2,146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recorded at fair value</w:t>
            </w:r>
          </w:p>
        </w:tc>
        <w:tc>
          <w:tcPr>
            <w:tcW w:w="88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31,857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31,857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Cross-currency swap contracts</w:t>
            </w:r>
          </w:p>
        </w:tc>
        <w:tc>
          <w:tcPr>
            <w:tcW w:w="88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option contracts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88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ind w:left="1100"/>
              <w:spacing w:after="0"/>
              <w:rPr>
                <w:sz w:val="20"/>
                <w:szCs w:val="20"/>
                <w:color w:val="auto"/>
              </w:rPr>
            </w:pPr>
            <w:r>
              <w:rPr>
                <w:rFonts w:ascii="Arial" w:cs="Arial" w:eastAsia="Arial" w:hAnsi="Arial"/>
                <w:sz w:val="12"/>
                <w:szCs w:val="12"/>
                <w:b w:val="1"/>
                <w:bCs w:val="1"/>
                <w:color w:val="auto"/>
              </w:rPr>
              <w:t>June 30, 2024</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3"/>
              <w:spacing w:after="0" w:line="114" w:lineRule="exact"/>
              <w:rPr>
                <w:sz w:val="20"/>
                <w:szCs w:val="20"/>
                <w:color w:val="auto"/>
              </w:rPr>
            </w:pPr>
            <w:r>
              <w:rPr>
                <w:rFonts w:ascii="Arial" w:cs="Arial" w:eastAsia="Arial" w:hAnsi="Arial"/>
                <w:sz w:val="12"/>
                <w:szCs w:val="12"/>
                <w:b w:val="1"/>
                <w:bCs w:val="1"/>
                <w:color w:val="auto"/>
              </w:rPr>
              <w:t>Quoted Prices in</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w w:val="99"/>
              </w:rPr>
              <w:t>Active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Significant Other</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53"/>
              <w:spacing w:after="0" w:line="117" w:lineRule="exact"/>
              <w:rPr>
                <w:sz w:val="20"/>
                <w:szCs w:val="20"/>
                <w:color w:val="auto"/>
              </w:rPr>
            </w:pPr>
            <w:r>
              <w:rPr>
                <w:rFonts w:ascii="Arial" w:cs="Arial" w:eastAsia="Arial" w:hAnsi="Arial"/>
                <w:sz w:val="12"/>
                <w:szCs w:val="12"/>
                <w:b w:val="1"/>
                <w:bCs w:val="1"/>
                <w:color w:val="auto"/>
              </w:rPr>
              <w:t>Markets for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rPr>
              <w:t>Identical Assets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rPr>
              <w:t>Observable Inputs</w:t>
            </w:r>
          </w:p>
        </w:tc>
        <w:tc>
          <w:tcPr>
            <w:tcW w:w="200" w:type="dxa"/>
            <w:vAlign w:val="bottom"/>
          </w:tcPr>
          <w:p>
            <w:pPr>
              <w:spacing w:after="0"/>
              <w:rPr>
                <w:sz w:val="11"/>
                <w:szCs w:val="11"/>
                <w:color w:val="auto"/>
              </w:rPr>
            </w:pPr>
          </w:p>
        </w:tc>
        <w:tc>
          <w:tcPr>
            <w:tcW w:w="1240" w:type="dxa"/>
            <w:vAlign w:val="bottom"/>
          </w:tcPr>
          <w:p>
            <w:pPr>
              <w:jc w:val="center"/>
              <w:ind w:right="128"/>
              <w:spacing w:after="0" w:line="130"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67"/>
        </w:trPr>
        <w:tc>
          <w:tcPr>
            <w:tcW w:w="5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153"/>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4"/>
                <w:szCs w:val="14"/>
                <w:color w:val="auto"/>
              </w:rPr>
            </w:pPr>
          </w:p>
        </w:tc>
        <w:tc>
          <w:tcPr>
            <w:tcW w:w="1240" w:type="dxa"/>
            <w:vAlign w:val="bottom"/>
          </w:tcPr>
          <w:p>
            <w:pPr>
              <w:jc w:val="center"/>
              <w:ind w:right="128"/>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88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18,830</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18,830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 contracts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1,043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88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option contracts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6"/>
                <w:szCs w:val="16"/>
                <w:color w:val="auto"/>
              </w:rPr>
              <w:t>Total assets recorded at fair value</w:t>
            </w:r>
          </w:p>
        </w:tc>
        <w:tc>
          <w:tcPr>
            <w:tcW w:w="88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23,652</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23,652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1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88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option contracts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88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right="240" w:firstLine="623"/>
        <w:spacing w:after="0" w:line="295" w:lineRule="auto"/>
        <w:rPr>
          <w:sz w:val="20"/>
          <w:szCs w:val="20"/>
          <w:color w:val="auto"/>
        </w:rPr>
      </w:pPr>
      <w:r>
        <w:rPr>
          <w:rFonts w:ascii="Arial" w:cs="Arial" w:eastAsia="Arial" w:hAnsi="Arial"/>
          <w:sz w:val="17"/>
          <w:szCs w:val="17"/>
          <w:color w:val="auto"/>
        </w:rPr>
        <w:t>During the six months ended December 31, 2024 and year ended June 30, 2024, there were no significant transfers in or out of Level 1, Level 2, and Level 3 classifications.</w:t>
      </w:r>
    </w:p>
    <w:p>
      <w:pPr>
        <w:spacing w:after="0" w:line="117"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The valuations of the derivatives intended to mitigate our interest rate and currency risks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55" w:lineRule="exact"/>
        <w:rPr>
          <w:sz w:val="20"/>
          <w:szCs w:val="20"/>
          <w:color w:val="auto"/>
        </w:rPr>
      </w:pPr>
    </w:p>
    <w:p>
      <w:pPr>
        <w:ind w:right="120" w:firstLine="623"/>
        <w:spacing w:after="0" w:line="263" w:lineRule="auto"/>
        <w:rPr>
          <w:sz w:val="20"/>
          <w:szCs w:val="20"/>
          <w:color w:val="auto"/>
        </w:rPr>
      </w:pPr>
      <w:r>
        <w:rPr>
          <w:rFonts w:ascii="Arial" w:cs="Arial" w:eastAsia="Arial" w:hAnsi="Arial"/>
          <w:sz w:val="17"/>
          <w:szCs w:val="17"/>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December 31, 2024,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194" w:lineRule="exact"/>
        <w:rPr>
          <w:sz w:val="20"/>
          <w:szCs w:val="20"/>
          <w:color w:val="auto"/>
        </w:rPr>
      </w:pPr>
    </w:p>
    <w:p>
      <w:pPr>
        <w:ind w:right="80" w:firstLine="623"/>
        <w:spacing w:after="0" w:line="264" w:lineRule="auto"/>
        <w:rPr>
          <w:sz w:val="20"/>
          <w:szCs w:val="20"/>
          <w:color w:val="auto"/>
        </w:rPr>
      </w:pPr>
      <w:r>
        <w:rPr>
          <w:rFonts w:ascii="Arial" w:cs="Arial" w:eastAsia="Arial" w:hAnsi="Arial"/>
          <w:sz w:val="17"/>
          <w:szCs w:val="17"/>
          <w:color w:val="auto"/>
        </w:rPr>
        <w:t>Our held-to-maturity marketable securities are recognized at an amortized cost. As of December 31, 2024, we had no held-to-maturity securities. The following is a summary of the net carrying amount, unrealized losses, and fair value of held-to-maturity securities by type and contractual maturity as of June 30, 2024. The fair value was determined using quoted prices for identical assets in active markets, which fall into Level 1 under the fair value hierarchy. We did not record an allowance for credit losses and impairments for these marketable securities during the three and six months ended December 31,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9"/>
              </w:rPr>
              <w:t>June 30, 2024</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91"/>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Unrealized losses</w:t>
            </w:r>
          </w:p>
        </w:tc>
        <w:tc>
          <w:tcPr>
            <w:tcW w:w="260" w:type="dxa"/>
            <w:vAlign w:val="bottom"/>
          </w:tcPr>
          <w:p>
            <w:pPr>
              <w:spacing w:after="0"/>
              <w:rPr>
                <w:sz w:val="16"/>
                <w:szCs w:val="16"/>
                <w:color w:val="auto"/>
              </w:rPr>
            </w:pPr>
          </w:p>
        </w:tc>
        <w:tc>
          <w:tcPr>
            <w:tcW w:w="1180" w:type="dxa"/>
            <w:vAlign w:val="bottom"/>
          </w:tcPr>
          <w:p>
            <w:pPr>
              <w:jc w:val="right"/>
              <w:ind w:right="324"/>
              <w:spacing w:after="0"/>
              <w:rPr>
                <w:sz w:val="20"/>
                <w:szCs w:val="20"/>
                <w:color w:val="auto"/>
              </w:rPr>
            </w:pPr>
            <w:r>
              <w:rPr>
                <w:rFonts w:ascii="Arial" w:cs="Arial" w:eastAsia="Arial" w:hAnsi="Arial"/>
                <w:sz w:val="14"/>
                <w:szCs w:val="14"/>
                <w:b w:val="1"/>
                <w:bCs w:val="1"/>
                <w:color w:val="auto"/>
              </w:rPr>
              <w:t>Fair value</w:t>
            </w:r>
          </w:p>
        </w:tc>
      </w:tr>
      <w:tr>
        <w:trPr>
          <w:trHeight w:val="17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Due within one year or less:</w:t>
            </w: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207"/>
        </w:trPr>
        <w:tc>
          <w:tcPr>
            <w:tcW w:w="674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1,499</w:t>
            </w:r>
          </w:p>
        </w:tc>
      </w:tr>
      <w:tr>
        <w:trPr>
          <w:trHeight w:val="208"/>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government securities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2,996</w:t>
            </w:r>
          </w:p>
        </w:tc>
      </w:tr>
      <w:tr>
        <w:trPr>
          <w:trHeight w:val="202"/>
        </w:trPr>
        <w:tc>
          <w:tcPr>
            <w:tcW w:w="6740" w:type="dxa"/>
            <w:vAlign w:val="bottom"/>
          </w:tcPr>
          <w:p>
            <w:pPr>
              <w:ind w:left="20"/>
              <w:spacing w:after="0"/>
              <w:rPr>
                <w:sz w:val="20"/>
                <w:szCs w:val="20"/>
                <w:color w:val="auto"/>
              </w:rPr>
            </w:pPr>
            <w:r>
              <w:rPr>
                <w:rFonts w:ascii="Arial" w:cs="Arial" w:eastAsia="Arial" w:hAnsi="Arial"/>
                <w:sz w:val="16"/>
                <w:szCs w:val="16"/>
                <w:color w:val="auto"/>
              </w:rPr>
              <w:t>Total held-to-maturity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4,495</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200" w:firstLine="623"/>
        <w:spacing w:after="0" w:line="268" w:lineRule="auto"/>
        <w:rPr>
          <w:sz w:val="20"/>
          <w:szCs w:val="20"/>
          <w:color w:val="auto"/>
        </w:rPr>
      </w:pPr>
      <w:r>
        <w:rPr>
          <w:rFonts w:ascii="Arial" w:cs="Arial" w:eastAsia="Arial" w:hAnsi="Arial"/>
          <w:sz w:val="17"/>
          <w:szCs w:val="17"/>
          <w:color w:val="auto"/>
        </w:rPr>
        <w:t>As of December 31, 2024 and June 30, 2024, the carrying amounts of our cash and cash equivalents, accounts receivable, accounts payable, and other current liabilities approximated their estimated fair values. As of December 31, 2024 and June 30, 2024, the carrying value of our debt, excluding debt issuance costs and debt premiums and discounts, was $1,610,463 and $1,616,607, respectively, and the fair value was $1,610,975 and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3" w:name="page14"/>
    <w:bookmarkEnd w:id="13"/>
    <w:p>
      <w:pPr>
        <w:jc w:val="both"/>
        <w:ind w:right="40"/>
        <w:spacing w:after="0" w:line="275" w:lineRule="auto"/>
        <w:rPr>
          <w:sz w:val="20"/>
          <w:szCs w:val="20"/>
          <w:color w:val="auto"/>
        </w:rPr>
      </w:pPr>
      <w:r>
        <w:rPr>
          <w:rFonts w:ascii="Arial" w:cs="Arial" w:eastAsia="Arial" w:hAnsi="Arial"/>
          <w:sz w:val="17"/>
          <w:szCs w:val="17"/>
          <w:color w:val="auto"/>
        </w:rPr>
        <w:t>$1,617,364, respectively. Our debt at December 31, 2024 includes variable-rate debt instruments indexed to Term SOFR that reset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w:t>
      </w:r>
    </w:p>
    <w:p>
      <w:pPr>
        <w:spacing w:after="0" w:line="185" w:lineRule="exact"/>
        <w:rPr>
          <w:sz w:val="20"/>
          <w:szCs w:val="20"/>
          <w:color w:val="auto"/>
        </w:rPr>
      </w:pPr>
    </w:p>
    <w:p>
      <w:pPr>
        <w:jc w:val="both"/>
        <w:ind w:right="20" w:firstLine="623"/>
        <w:spacing w:after="0" w:line="295" w:lineRule="auto"/>
        <w:rPr>
          <w:sz w:val="20"/>
          <w:szCs w:val="20"/>
          <w:color w:val="auto"/>
        </w:rPr>
      </w:pPr>
      <w:r>
        <w:rPr>
          <w:rFonts w:ascii="Arial" w:cs="Arial" w:eastAsia="Arial" w:hAnsi="Arial"/>
          <w:sz w:val="17"/>
          <w:szCs w:val="17"/>
          <w:color w:val="auto"/>
        </w:rPr>
        <w:t>The estimated fair value of assets and liabilities disclosed above may not be representative of actual values that could have been or will be realized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Derivative Financial Instruments</w:t>
      </w:r>
    </w:p>
    <w:p>
      <w:pPr>
        <w:spacing w:after="0" w:line="209" w:lineRule="exact"/>
        <w:rPr>
          <w:sz w:val="20"/>
          <w:szCs w:val="20"/>
          <w:color w:val="auto"/>
        </w:rPr>
      </w:pPr>
    </w:p>
    <w:p>
      <w:pPr>
        <w:ind w:right="80" w:firstLine="623"/>
        <w:spacing w:after="0" w:line="260" w:lineRule="auto"/>
        <w:rPr>
          <w:sz w:val="20"/>
          <w:szCs w:val="20"/>
          <w:color w:val="auto"/>
        </w:rPr>
      </w:pPr>
      <w:r>
        <w:rPr>
          <w:rFonts w:ascii="Arial" w:cs="Arial" w:eastAsia="Arial" w:hAnsi="Arial"/>
          <w:sz w:val="17"/>
          <w:szCs w:val="17"/>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At times, we have designated intercompany loans as a net investment hedge, and any unrealized currency gains and losses on the loan are recorded in accumulated other comprehensive loss. Additionally, any ineffectiveness associated with an effective and designated hedge is recognized within accumulated other comprehensive loss. The change in the fair value of derivatives not designated as hedges is recognized directly in earnings as a component of other income (expense), net.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Interest Rate Risk</w:t>
      </w:r>
    </w:p>
    <w:p>
      <w:pPr>
        <w:spacing w:after="0" w:line="209"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We enter into interest rate swap contracts to manage variability in the amount of our known or expected cash payments related to a portion of our debt. Our objective in using interest rate swaps is to add stability to interest expense and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w:t>
      </w:r>
    </w:p>
    <w:p>
      <w:pPr>
        <w:spacing w:after="0" w:line="160" w:lineRule="exact"/>
        <w:rPr>
          <w:sz w:val="20"/>
          <w:szCs w:val="20"/>
          <w:color w:val="auto"/>
        </w:rPr>
      </w:pPr>
    </w:p>
    <w:p>
      <w:pPr>
        <w:ind w:firstLine="623"/>
        <w:spacing w:after="0" w:line="275" w:lineRule="auto"/>
        <w:rPr>
          <w:sz w:val="20"/>
          <w:szCs w:val="20"/>
          <w:color w:val="auto"/>
        </w:rPr>
      </w:pPr>
      <w:r>
        <w:rPr>
          <w:rFonts w:ascii="Arial" w:cs="Arial" w:eastAsia="Arial" w:hAnsi="Arial"/>
          <w:sz w:val="17"/>
          <w:szCs w:val="17"/>
          <w:color w:val="auto"/>
        </w:rPr>
        <w:t>As of December 31, 2024, we estimate that $2,786 of income will be reclassified from accumulated other comprehensive loss to interest expense, net during the twelve months ending December 31, 2025. As of December 31, 2024, we had nine effective outstanding interest rate swap contracts that were indexed to Term or Daily SOFR. Our interest rate swap contracts have varying start and maturity dates through April 2028.</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 contracts outstanding:</w:t>
            </w: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Notional Amounts</w:t>
            </w:r>
          </w:p>
        </w:tc>
      </w:tr>
      <w:tr>
        <w:trPr>
          <w:trHeight w:val="20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Contracts accruing interest as of December 31, 2024 (1)</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215,000</w:t>
            </w:r>
          </w:p>
        </w:tc>
      </w:tr>
      <w:tr>
        <w:trPr>
          <w:trHeight w:val="207"/>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Contracts with a future start date</w:t>
            </w:r>
          </w:p>
        </w:tc>
        <w:tc>
          <w:tcPr>
            <w:tcW w:w="4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380,000</w:t>
            </w:r>
          </w:p>
        </w:tc>
      </w:tr>
      <w:tr>
        <w:trPr>
          <w:trHeight w:val="22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595,000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60" w:lineRule="exact"/>
        <w:rPr>
          <w:sz w:val="20"/>
          <w:szCs w:val="20"/>
          <w:color w:val="auto"/>
        </w:rPr>
      </w:pPr>
    </w:p>
    <w:p>
      <w:pPr>
        <w:ind w:left="240" w:right="160" w:hanging="236"/>
        <w:spacing w:after="0" w:line="281" w:lineRule="auto"/>
        <w:tabs>
          <w:tab w:leader="none" w:pos="214"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contracts outstanding as of December 31, 2024, the notional value of our contracted interest rate swaps accruing interest will fluctuate between $215,000 and $380,000 through April 2028 based on layered start dates and maturities.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Currency Risk</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Cross-Currency Swap Contracts</w:t>
      </w:r>
    </w:p>
    <w:p>
      <w:pPr>
        <w:spacing w:after="0" w:line="168"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color w:val="auto"/>
        </w:rPr>
        <w:t>We execute cross-currency swap contracts designated as net investment hedges.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4" w:name="page15"/>
    <w:bookmarkEnd w:id="14"/>
    <w:p>
      <w:pPr>
        <w:ind w:firstLine="623"/>
        <w:spacing w:after="0" w:line="263" w:lineRule="auto"/>
        <w:rPr>
          <w:sz w:val="20"/>
          <w:szCs w:val="20"/>
          <w:color w:val="auto"/>
        </w:rPr>
      </w:pPr>
      <w:r>
        <w:rPr>
          <w:rFonts w:ascii="Arial" w:cs="Arial" w:eastAsia="Arial" w:hAnsi="Arial"/>
          <w:sz w:val="17"/>
          <w:szCs w:val="17"/>
          <w:color w:val="auto"/>
        </w:rPr>
        <w:t>Cross-currency swap contracts designated as net investment hedges are executed to mitigate our currency exposure of net investments in subsidiaries that have reporting currencies other than the U.S. dollar. As of December 31, 2024, we had one outstanding cross-currency swap contract designated as a net investment hedge with a total notional amount of $254,547, maturing during September 2028. We entered into the cross-currency swap contract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Currency Hedges</w:t>
      </w:r>
    </w:p>
    <w:p>
      <w:pPr>
        <w:spacing w:after="0" w:line="168"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 that have the Euro as their functional currency. The impact of net investment hedges is recognized in accumulated other comprehensive loss as a component of translation adjustments, net of hedges, and would only be reclassified to earnings if the hedged subsidiaries were no longer consolidated entities.</w:t>
      </w:r>
    </w:p>
    <w:p>
      <w:pPr>
        <w:spacing w:after="0" w:line="141"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We have elected to not apply hedge accounting for all other currency forward and option contracts. During the three and six months ended December 31, 2024 and 2023, we experienced volatility within other income (expense),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volatility in our GAAP results as a result of our currency hedging program.</w:t>
      </w:r>
    </w:p>
    <w:p>
      <w:pPr>
        <w:spacing w:after="0" w:line="155" w:lineRule="exact"/>
        <w:rPr>
          <w:sz w:val="20"/>
          <w:szCs w:val="20"/>
          <w:color w:val="auto"/>
        </w:rPr>
      </w:pPr>
    </w:p>
    <w:p>
      <w:pPr>
        <w:ind w:firstLine="623"/>
        <w:spacing w:after="0" w:line="260" w:lineRule="auto"/>
        <w:rPr>
          <w:sz w:val="20"/>
          <w:szCs w:val="20"/>
          <w:color w:val="auto"/>
        </w:rPr>
      </w:pPr>
      <w:r>
        <w:rPr>
          <w:rFonts w:ascii="Arial" w:cs="Arial" w:eastAsia="Arial" w:hAnsi="Arial"/>
          <w:sz w:val="17"/>
          <w:szCs w:val="17"/>
          <w:color w:val="auto"/>
        </w:rPr>
        <w:t>In most cases, we enter into these currency derivative contracts, for which we do not apply hedge accounting, in order to address the risk for certain currencies where we have a net exposure to adjusted EBITDA, a non-GAAP financial metric. Adjusted EBITDA exposures are our focus for the majority of our mark-to-market currency forward and option contracts because a similar metric is referenced within the debt covenants of our amended and restated senior secured credit agreement (refer to Note 8 for additional information about this agreement). Our most significant net currency exposures by volume are the Euro and the British Pound (GBP). Our adjusted EBITDA hedging approach results in addressing nearly all of our forecasted Euro and GBP net exposures for the upcoming twelve months, with a declining hedged percentage out to twenty-four months. For certain other currencies with a smaller net impact, we hedge nearly all of our forecasted net exposures for the upcoming six months, with a declining hedge percentage out to fifteen months.</w:t>
      </w:r>
    </w:p>
    <w:p>
      <w:pPr>
        <w:spacing w:after="0" w:line="162"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color w:val="auto"/>
        </w:rPr>
        <w:t>As of December 31, 2024, we had the following outstanding currency derivative contracts that were not designated for hedge accounting and were primarily used to hedge fluctuations in the U.S. dollar value of forecasted transactions or balances denominated in Australian Dollar, Canadian Dollar, Czech Koruna, Danish Krone, Euro, GBP, Indian Rupee, Mexican Peso, New Zealand Dollar, Norwegian Krone, Philippine Peso, Swiss Franc and Swedish Krona: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Notional Amount</w:t>
            </w:r>
          </w:p>
        </w:tc>
        <w:tc>
          <w:tcPr>
            <w:tcW w:w="10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Effective Date</w:t>
            </w:r>
          </w:p>
        </w:tc>
        <w:tc>
          <w:tcPr>
            <w:tcW w:w="1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Number of Instruments</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150"/>
        </w:trPr>
        <w:tc>
          <w:tcPr>
            <w:tcW w:w="1820" w:type="dxa"/>
            <w:vAlign w:val="bottom"/>
            <w:vMerge w:val="restart"/>
            <w:shd w:val="clear" w:color="auto" w:fill="CCEEFF"/>
          </w:tcPr>
          <w:p>
            <w:pPr>
              <w:jc w:val="right"/>
              <w:ind w:right="506"/>
              <w:spacing w:after="0"/>
              <w:rPr>
                <w:sz w:val="20"/>
                <w:szCs w:val="20"/>
                <w:color w:val="auto"/>
              </w:rPr>
            </w:pPr>
            <w:r>
              <w:rPr>
                <w:rFonts w:ascii="Arial" w:cs="Arial" w:eastAsia="Arial" w:hAnsi="Arial"/>
                <w:sz w:val="16"/>
                <w:szCs w:val="16"/>
                <w:color w:val="auto"/>
              </w:rPr>
              <w:t>$512,769</w:t>
            </w:r>
          </w:p>
        </w:tc>
        <w:tc>
          <w:tcPr>
            <w:tcW w:w="1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6"/>
                <w:szCs w:val="16"/>
                <w:color w:val="auto"/>
                <w:w w:val="97"/>
              </w:rPr>
              <w:t>March 2023 through December</w:t>
            </w:r>
          </w:p>
        </w:tc>
        <w:tc>
          <w:tcPr>
            <w:tcW w:w="244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6"/>
                <w:szCs w:val="16"/>
                <w:color w:val="auto"/>
                <w:w w:val="97"/>
              </w:rPr>
              <w:t>Various dates through December</w:t>
            </w:r>
          </w:p>
        </w:tc>
        <w:tc>
          <w:tcPr>
            <w:tcW w:w="2140" w:type="dxa"/>
            <w:vAlign w:val="bottom"/>
            <w:vMerge w:val="restart"/>
            <w:shd w:val="clear" w:color="auto" w:fill="CCEEFF"/>
          </w:tcPr>
          <w:p>
            <w:pPr>
              <w:jc w:val="right"/>
              <w:ind w:right="866"/>
              <w:spacing w:after="0"/>
              <w:rPr>
                <w:sz w:val="20"/>
                <w:szCs w:val="20"/>
                <w:color w:val="auto"/>
              </w:rPr>
            </w:pPr>
            <w:r>
              <w:rPr>
                <w:rFonts w:ascii="Arial" w:cs="Arial" w:eastAsia="Arial" w:hAnsi="Arial"/>
                <w:sz w:val="16"/>
                <w:szCs w:val="16"/>
                <w:color w:val="auto"/>
              </w:rPr>
              <w:t>653</w:t>
            </w:r>
          </w:p>
        </w:tc>
        <w:tc>
          <w:tcPr>
            <w:tcW w:w="120" w:type="dxa"/>
            <w:vAlign w:val="bottom"/>
            <w:shd w:val="clear" w:color="auto" w:fill="CCEEFF"/>
          </w:tcPr>
          <w:p>
            <w:pPr>
              <w:spacing w:after="0"/>
              <w:rPr>
                <w:sz w:val="13"/>
                <w:szCs w:val="13"/>
                <w:color w:val="auto"/>
              </w:rPr>
            </w:pP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Various</w:t>
            </w:r>
          </w:p>
        </w:tc>
        <w:tc>
          <w:tcPr>
            <w:tcW w:w="0" w:type="dxa"/>
            <w:vAlign w:val="bottom"/>
          </w:tcPr>
          <w:p>
            <w:pPr>
              <w:spacing w:after="0"/>
              <w:rPr>
                <w:sz w:val="1"/>
                <w:szCs w:val="1"/>
                <w:color w:val="auto"/>
              </w:rPr>
            </w:pPr>
          </w:p>
        </w:tc>
      </w:tr>
      <w:tr>
        <w:trPr>
          <w:trHeight w:val="127"/>
        </w:trPr>
        <w:tc>
          <w:tcPr>
            <w:tcW w:w="18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3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2024</w:t>
            </w:r>
          </w:p>
        </w:tc>
        <w:tc>
          <w:tcPr>
            <w:tcW w:w="120" w:type="dxa"/>
            <w:vAlign w:val="bottom"/>
            <w:shd w:val="clear" w:color="auto" w:fill="CCEEFF"/>
          </w:tcPr>
          <w:p>
            <w:pPr>
              <w:spacing w:after="0"/>
              <w:rPr>
                <w:sz w:val="11"/>
                <w:szCs w:val="11"/>
                <w:color w:val="auto"/>
              </w:rPr>
            </w:pPr>
          </w:p>
        </w:tc>
        <w:tc>
          <w:tcPr>
            <w:tcW w:w="23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1"/>
                <w:szCs w:val="11"/>
                <w:color w:val="auto"/>
              </w:rPr>
            </w:pPr>
          </w:p>
        </w:tc>
        <w:tc>
          <w:tcPr>
            <w:tcW w:w="21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 Presentation</w:t>
      </w:r>
    </w:p>
    <w:p>
      <w:pPr>
        <w:spacing w:after="0" w:line="196" w:lineRule="exact"/>
        <w:rPr>
          <w:sz w:val="20"/>
          <w:szCs w:val="20"/>
          <w:color w:val="auto"/>
        </w:rPr>
      </w:pPr>
    </w:p>
    <w:p>
      <w:pPr>
        <w:jc w:val="both"/>
        <w:ind w:right="20" w:firstLine="623"/>
        <w:spacing w:after="0" w:line="295" w:lineRule="auto"/>
        <w:rPr>
          <w:sz w:val="20"/>
          <w:szCs w:val="20"/>
          <w:color w:val="auto"/>
        </w:rPr>
      </w:pPr>
      <w:r>
        <w:rPr>
          <w:rFonts w:ascii="Arial" w:cs="Arial" w:eastAsia="Arial" w:hAnsi="Arial"/>
          <w:sz w:val="17"/>
          <w:szCs w:val="17"/>
          <w:color w:val="auto"/>
        </w:rPr>
        <w:t>The table below presents the fair value of our derivative financial instruments as well as their classification on the balance sheet as of December 31, 2024 and June 30, 2024. Our derivative asset and liability balances fluctuate with interest rate and currency exchange rate volatility.</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380"/>
              <w:spacing w:after="0"/>
              <w:rPr>
                <w:sz w:val="20"/>
                <w:szCs w:val="20"/>
                <w:color w:val="auto"/>
              </w:rPr>
            </w:pPr>
            <w:r>
              <w:rPr>
                <w:rFonts w:ascii="Arial" w:cs="Arial" w:eastAsia="Arial" w:hAnsi="Arial"/>
                <w:sz w:val="12"/>
                <w:szCs w:val="12"/>
                <w:b w:val="1"/>
                <w:bCs w:val="1"/>
                <w:color w:val="auto"/>
              </w:rPr>
              <w:t>December 31, 2024</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Asset Derivatives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2"/>
                <w:szCs w:val="12"/>
                <w:b w:val="1"/>
                <w:bCs w:val="1"/>
                <w:color w:val="auto"/>
                <w:w w:val="99"/>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60" w:type="dxa"/>
            <w:vAlign w:val="bottom"/>
          </w:tcPr>
          <w:p>
            <w:pPr>
              <w:spacing w:after="0"/>
              <w:rPr>
                <w:sz w:val="10"/>
                <w:szCs w:val="10"/>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9"/>
              </w:rPr>
              <w:t>Gross amounts</w:t>
            </w:r>
          </w:p>
        </w:tc>
        <w:tc>
          <w:tcPr>
            <w:tcW w:w="13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in Consolidated</w:t>
            </w:r>
          </w:p>
        </w:tc>
        <w:tc>
          <w:tcPr>
            <w:tcW w:w="140" w:type="dxa"/>
            <w:vAlign w:val="bottom"/>
          </w:tcPr>
          <w:p>
            <w:pPr>
              <w:spacing w:after="0"/>
              <w:rPr>
                <w:sz w:val="10"/>
                <w:szCs w:val="10"/>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w w:val="99"/>
              </w:rPr>
              <w:t>Net amount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liabilities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9" w:lineRule="exact"/>
              <w:rPr>
                <w:sz w:val="20"/>
                <w:szCs w:val="20"/>
                <w:color w:val="auto"/>
              </w:rPr>
            </w:pPr>
            <w:r>
              <w:rPr>
                <w:rFonts w:ascii="Arial" w:cs="Arial" w:eastAsia="Arial" w:hAnsi="Arial"/>
                <w:sz w:val="12"/>
                <w:szCs w:val="12"/>
                <w:b w:val="1"/>
                <w:bCs w:val="1"/>
                <w:color w:val="auto"/>
              </w:rPr>
              <w:t>Derivatives designated as</w:t>
            </w: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Derivatives in cash flow hedging</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relationships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16,989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16,989</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Derivatives in net investment</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relationships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Cross-currency swaps</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liabilities</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28"/>
        </w:trPr>
        <w:tc>
          <w:tcPr>
            <w:tcW w:w="1960" w:type="dxa"/>
            <w:vAlign w:val="bottom"/>
          </w:tcPr>
          <w:p>
            <w:pPr>
              <w:ind w:left="20"/>
              <w:spacing w:after="0" w:line="129" w:lineRule="exact"/>
              <w:rPr>
                <w:sz w:val="20"/>
                <w:szCs w:val="20"/>
                <w:color w:val="auto"/>
              </w:rPr>
            </w:pPr>
            <w:r>
              <w:rPr>
                <w:rFonts w:ascii="Arial" w:cs="Arial" w:eastAsia="Arial" w:hAnsi="Arial"/>
                <w:sz w:val="14"/>
                <w:szCs w:val="14"/>
                <w:color w:val="auto"/>
                <w:w w:val="99"/>
              </w:rPr>
              <w:t>Total derivatives designated as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16,989</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16,989</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(849)</w:t>
            </w:r>
          </w:p>
        </w:tc>
        <w:tc>
          <w:tcPr>
            <w:tcW w:w="100" w:type="dxa"/>
            <w:vAlign w:val="bottom"/>
          </w:tcPr>
          <w:p>
            <w:pPr>
              <w:spacing w:after="0"/>
              <w:rPr>
                <w:sz w:val="11"/>
                <w:szCs w:val="11"/>
                <w:color w:val="auto"/>
              </w:rPr>
            </w:pPr>
          </w:p>
        </w:tc>
        <w:tc>
          <w:tcPr>
            <w:tcW w:w="1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50"/>
        </w:trPr>
        <w:tc>
          <w:tcPr>
            <w:tcW w:w="1960" w:type="dxa"/>
            <w:vAlign w:val="bottom"/>
          </w:tcPr>
          <w:p>
            <w:pPr>
              <w:ind w:left="20"/>
              <w:spacing w:after="0" w:line="150" w:lineRule="exact"/>
              <w:rPr>
                <w:sz w:val="20"/>
                <w:szCs w:val="20"/>
                <w:color w:val="auto"/>
              </w:rPr>
            </w:pPr>
            <w:r>
              <w:rPr>
                <w:rFonts w:ascii="Arial" w:cs="Arial" w:eastAsia="Arial" w:hAnsi="Arial"/>
                <w:sz w:val="14"/>
                <w:szCs w:val="14"/>
                <w:color w:val="auto"/>
              </w:rPr>
              <w:t>hedging instruments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15,227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12,722</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2"/>
                <w:szCs w:val="12"/>
                <w:color w:val="auto"/>
              </w:rPr>
            </w:pP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2,651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2,146</w:t>
            </w:r>
          </w:p>
        </w:tc>
        <w:tc>
          <w:tcPr>
            <w:tcW w:w="100" w:type="dxa"/>
            <w:vAlign w:val="bottom"/>
          </w:tcPr>
          <w:p>
            <w:pPr>
              <w:spacing w:after="0"/>
              <w:rPr>
                <w:sz w:val="12"/>
                <w:szCs w:val="12"/>
                <w:color w:val="auto"/>
              </w:rPr>
            </w:pPr>
          </w:p>
        </w:tc>
        <w:tc>
          <w:tcPr>
            <w:tcW w:w="10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76"/>
        </w:trPr>
        <w:tc>
          <w:tcPr>
            <w:tcW w:w="1960" w:type="dxa"/>
            <w:vAlign w:val="bottom"/>
            <w:vMerge w:val="continue"/>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Total derivatives not</w:t>
            </w:r>
          </w:p>
        </w:tc>
        <w:tc>
          <w:tcPr>
            <w:tcW w:w="9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designated as hedging</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17,878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(3,010)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14,868</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(1,812)</w:t>
            </w:r>
          </w:p>
        </w:tc>
        <w:tc>
          <w:tcPr>
            <w:tcW w:w="0" w:type="dxa"/>
            <w:vAlign w:val="bottom"/>
          </w:tcPr>
          <w:p>
            <w:pPr>
              <w:spacing w:after="0"/>
              <w:rPr>
                <w:sz w:val="1"/>
                <w:szCs w:val="1"/>
                <w:color w:val="auto"/>
              </w:rPr>
            </w:pPr>
          </w:p>
        </w:tc>
      </w:tr>
      <w:tr>
        <w:trPr>
          <w:trHeight w:val="170"/>
        </w:trPr>
        <w:tc>
          <w:tcPr>
            <w:tcW w:w="196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instruments</w:t>
            </w: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40" w:top="1173" w:right="359" w:bottom="1440" w:gutter="0" w:footer="0" w:header="0"/>
        </w:sectPr>
      </w:pPr>
    </w:p>
    <w:bookmarkStart w:id="16" w:name="page17"/>
    <w:bookmarkEnd w:id="16"/>
    <w:tbl>
      <w:tblPr>
        <w:tblLayout w:type="fixed"/>
        <w:tblInd w:w="2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b w:val="1"/>
                <w:bCs w:val="1"/>
                <w:color w:val="auto"/>
              </w:rPr>
              <w:t>June 30, 2024</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Asset Derivatives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2"/>
                <w:szCs w:val="12"/>
                <w:b w:val="1"/>
                <w:bCs w:val="1"/>
                <w:color w:val="auto"/>
                <w:w w:val="99"/>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60" w:type="dxa"/>
            <w:vAlign w:val="bottom"/>
          </w:tcPr>
          <w:p>
            <w:pPr>
              <w:spacing w:after="0"/>
              <w:rPr>
                <w:sz w:val="10"/>
                <w:szCs w:val="10"/>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9"/>
              </w:rPr>
              <w:t>Gross amounts</w:t>
            </w:r>
          </w:p>
        </w:tc>
        <w:tc>
          <w:tcPr>
            <w:tcW w:w="13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in Consolidated</w:t>
            </w:r>
          </w:p>
        </w:tc>
        <w:tc>
          <w:tcPr>
            <w:tcW w:w="140" w:type="dxa"/>
            <w:vAlign w:val="bottom"/>
          </w:tcPr>
          <w:p>
            <w:pPr>
              <w:spacing w:after="0"/>
              <w:rPr>
                <w:sz w:val="10"/>
                <w:szCs w:val="10"/>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w w:val="99"/>
              </w:rPr>
              <w:t>Net amount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liabilities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9" w:lineRule="exact"/>
              <w:rPr>
                <w:sz w:val="20"/>
                <w:szCs w:val="20"/>
                <w:color w:val="auto"/>
              </w:rPr>
            </w:pPr>
            <w:r>
              <w:rPr>
                <w:rFonts w:ascii="Arial" w:cs="Arial" w:eastAsia="Arial" w:hAnsi="Arial"/>
                <w:sz w:val="12"/>
                <w:szCs w:val="12"/>
                <w:b w:val="1"/>
                <w:bCs w:val="1"/>
                <w:color w:val="auto"/>
              </w:rPr>
              <w:t>Derivatives designated as</w:t>
            </w: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Derivatives in cash flow hedging</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relationships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18,830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2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Derivatives in net investment</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relationships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Cross-currency swaps</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liabilities</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1960" w:type="dxa"/>
            <w:vAlign w:val="bottom"/>
          </w:tcPr>
          <w:p>
            <w:pPr>
              <w:ind w:left="20"/>
              <w:spacing w:after="0" w:line="129" w:lineRule="exact"/>
              <w:rPr>
                <w:sz w:val="20"/>
                <w:szCs w:val="20"/>
                <w:color w:val="auto"/>
              </w:rPr>
            </w:pPr>
            <w:r>
              <w:rPr>
                <w:rFonts w:ascii="Arial" w:cs="Arial" w:eastAsia="Arial" w:hAnsi="Arial"/>
                <w:sz w:val="14"/>
                <w:szCs w:val="14"/>
                <w:color w:val="auto"/>
                <w:w w:val="99"/>
              </w:rPr>
              <w:t>Total derivatives designated as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19,873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19,873</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1960" w:type="dxa"/>
            <w:vAlign w:val="bottom"/>
          </w:tcPr>
          <w:p>
            <w:pPr>
              <w:ind w:left="20"/>
              <w:spacing w:after="0" w:line="150" w:lineRule="exact"/>
              <w:rPr>
                <w:sz w:val="20"/>
                <w:szCs w:val="20"/>
                <w:color w:val="auto"/>
              </w:rPr>
            </w:pPr>
            <w:r>
              <w:rPr>
                <w:rFonts w:ascii="Arial" w:cs="Arial" w:eastAsia="Arial" w:hAnsi="Arial"/>
                <w:sz w:val="14"/>
                <w:szCs w:val="14"/>
                <w:color w:val="auto"/>
              </w:rPr>
              <w:t>hedging instruments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9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Derivatives not designated as</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5,549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3,642</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2"/>
                <w:szCs w:val="12"/>
                <w:color w:val="auto"/>
              </w:rPr>
            </w:pP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2"/>
                <w:szCs w:val="12"/>
                <w:color w:val="auto"/>
              </w:rPr>
            </w:pPr>
          </w:p>
        </w:tc>
        <w:tc>
          <w:tcPr>
            <w:tcW w:w="10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176"/>
        </w:trPr>
        <w:tc>
          <w:tcPr>
            <w:tcW w:w="196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Total derivatives not</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designated as hedging</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5,761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3,779</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0" w:type="dxa"/>
            <w:vAlign w:val="bottom"/>
          </w:tcPr>
          <w:p>
            <w:pPr>
              <w:spacing w:after="0"/>
              <w:rPr>
                <w:sz w:val="1"/>
                <w:szCs w:val="1"/>
                <w:color w:val="auto"/>
              </w:rPr>
            </w:pPr>
          </w:p>
        </w:tc>
      </w:tr>
      <w:tr>
        <w:trPr>
          <w:trHeight w:val="170"/>
        </w:trPr>
        <w:tc>
          <w:tcPr>
            <w:tcW w:w="196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instruments</w:t>
            </w: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right="320" w:firstLine="623"/>
        <w:spacing w:after="0" w:line="295" w:lineRule="auto"/>
        <w:rPr>
          <w:sz w:val="20"/>
          <w:szCs w:val="20"/>
          <w:color w:val="auto"/>
        </w:rPr>
      </w:pPr>
      <w:r>
        <w:rPr>
          <w:rFonts w:ascii="Arial" w:cs="Arial" w:eastAsia="Arial" w:hAnsi="Arial"/>
          <w:sz w:val="17"/>
          <w:szCs w:val="17"/>
          <w:color w:val="auto"/>
        </w:rPr>
        <w:t>The following table presents the effect of our derivative financial instruments designated as hedging instruments and their classification within comprehensive loss, net of tax, for the three and six months ended December 31, 2024 and 2023.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3260" w:type="dxa"/>
            <w:vAlign w:val="bottom"/>
            <w:gridSpan w:val="6"/>
          </w:tcPr>
          <w:p>
            <w:pPr>
              <w:ind w:left="560"/>
              <w:spacing w:after="0"/>
              <w:rPr>
                <w:sz w:val="20"/>
                <w:szCs w:val="20"/>
                <w:color w:val="auto"/>
              </w:rPr>
            </w:pPr>
            <w:r>
              <w:rPr>
                <w:rFonts w:ascii="Arial" w:cs="Arial" w:eastAsia="Arial" w:hAnsi="Arial"/>
                <w:sz w:val="12"/>
                <w:szCs w:val="12"/>
                <w:b w:val="1"/>
                <w:bCs w:val="1"/>
                <w:color w:val="auto"/>
              </w:rPr>
              <w:t>Three Months Ended December 31,</w:t>
            </w:r>
          </w:p>
        </w:tc>
        <w:tc>
          <w:tcPr>
            <w:tcW w:w="360" w:type="dxa"/>
            <w:vAlign w:val="bottom"/>
          </w:tcPr>
          <w:p>
            <w:pPr>
              <w:spacing w:after="0"/>
              <w:rPr>
                <w:sz w:val="14"/>
                <w:szCs w:val="14"/>
                <w:color w:val="auto"/>
              </w:rPr>
            </w:pPr>
          </w:p>
        </w:tc>
        <w:tc>
          <w:tcPr>
            <w:tcW w:w="2780" w:type="dxa"/>
            <w:vAlign w:val="bottom"/>
            <w:gridSpan w:val="4"/>
          </w:tcPr>
          <w:p>
            <w:pPr>
              <w:jc w:val="right"/>
              <w:ind w:right="565"/>
              <w:spacing w:after="0"/>
              <w:rPr>
                <w:sz w:val="20"/>
                <w:szCs w:val="20"/>
                <w:color w:val="auto"/>
              </w:rPr>
            </w:pPr>
            <w:r>
              <w:rPr>
                <w:rFonts w:ascii="Arial" w:cs="Arial" w:eastAsia="Arial" w:hAnsi="Arial"/>
                <w:sz w:val="12"/>
                <w:szCs w:val="12"/>
                <w:b w:val="1"/>
                <w:bCs w:val="1"/>
                <w:color w:val="auto"/>
              </w:rPr>
              <w:t>Six Months Ended December 31,</w:t>
            </w:r>
          </w:p>
        </w:tc>
      </w:tr>
      <w:tr>
        <w:trPr>
          <w:trHeight w:val="164"/>
        </w:trPr>
        <w:tc>
          <w:tcPr>
            <w:tcW w:w="484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2023</w:t>
            </w:r>
          </w:p>
        </w:tc>
      </w:tr>
      <w:tr>
        <w:trPr>
          <w:trHeight w:val="17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7"/>
        </w:trPr>
        <w:tc>
          <w:tcPr>
            <w:tcW w:w="484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980" w:type="dxa"/>
            <w:vAlign w:val="bottom"/>
          </w:tcPr>
          <w:p>
            <w:pPr>
              <w:jc w:val="right"/>
              <w:ind w:right="81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7,213</w:t>
            </w:r>
          </w:p>
        </w:tc>
        <w:tc>
          <w:tcPr>
            <w:tcW w:w="100" w:type="dxa"/>
            <w:vAlign w:val="bottom"/>
          </w:tcPr>
          <w:p>
            <w:pPr>
              <w:spacing w:after="0"/>
              <w:rPr>
                <w:sz w:val="17"/>
                <w:szCs w:val="17"/>
                <w:color w:val="auto"/>
              </w:rPr>
            </w:pPr>
          </w:p>
        </w:tc>
        <w:tc>
          <w:tcPr>
            <w:tcW w:w="3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(8,081)</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(1,950)</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swaps</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r>
      <w:tr>
        <w:trPr>
          <w:trHeight w:val="194"/>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loan</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(3,545)</w:t>
            </w:r>
          </w:p>
        </w:tc>
      </w:tr>
      <w:tr>
        <w:trPr>
          <w:trHeight w:val="207"/>
        </w:trPr>
        <w:tc>
          <w:tcPr>
            <w:tcW w:w="484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9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(1,080)</w:t>
            </w:r>
          </w:p>
        </w:tc>
      </w:tr>
      <w:tr>
        <w:trPr>
          <w:trHeight w:val="227"/>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80" w:type="dxa"/>
            <w:vAlign w:val="bottom"/>
            <w:tcBorders>
              <w:top w:val="single" w:sz="8" w:color="auto"/>
              <w:bottom w:val="single" w:sz="8" w:color="auto"/>
            </w:tcBorders>
            <w:shd w:val="clear" w:color="auto" w:fill="CCEEFF"/>
          </w:tcPr>
          <w:p>
            <w:pPr>
              <w:jc w:val="right"/>
              <w:ind w:right="811"/>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00" w:firstLine="623"/>
        <w:spacing w:after="0" w:line="295" w:lineRule="auto"/>
        <w:rPr>
          <w:sz w:val="20"/>
          <w:szCs w:val="20"/>
          <w:color w:val="auto"/>
        </w:rPr>
      </w:pPr>
      <w:r>
        <w:rPr>
          <w:rFonts w:ascii="Arial" w:cs="Arial" w:eastAsia="Arial" w:hAnsi="Arial"/>
          <w:sz w:val="17"/>
          <w:szCs w:val="17"/>
          <w:color w:val="auto"/>
        </w:rPr>
        <w:t>The following table presents reclassifications out of accumulated other comprehensive loss for the three and six months ended December 31, 2024 and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5920" w:type="dxa"/>
            <w:vAlign w:val="bottom"/>
            <w:gridSpan w:val="11"/>
            <w:vMerge w:val="restart"/>
          </w:tcPr>
          <w:p>
            <w:pPr>
              <w:jc w:val="right"/>
              <w:ind w:right="45"/>
              <w:spacing w:after="0"/>
              <w:rPr>
                <w:sz w:val="20"/>
                <w:szCs w:val="20"/>
                <w:color w:val="auto"/>
              </w:rPr>
            </w:pPr>
            <w:r>
              <w:rPr>
                <w:rFonts w:ascii="Arial" w:cs="Arial" w:eastAsia="Arial" w:hAnsi="Arial"/>
                <w:sz w:val="12"/>
                <w:szCs w:val="12"/>
                <w:b w:val="1"/>
                <w:bCs w:val="1"/>
                <w:color w:val="auto"/>
              </w:rPr>
              <w:t>Amount of Net Gain (Loss) Reclassified from Accumulated Other Comprehensive Loss into Income</w:t>
            </w:r>
          </w:p>
        </w:tc>
        <w:tc>
          <w:tcPr>
            <w:tcW w:w="278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 in the</w:t>
            </w:r>
          </w:p>
        </w:tc>
        <w:tc>
          <w:tcPr>
            <w:tcW w:w="0" w:type="dxa"/>
            <w:vAlign w:val="bottom"/>
          </w:tcPr>
          <w:p>
            <w:pPr>
              <w:spacing w:after="0"/>
              <w:rPr>
                <w:sz w:val="1"/>
                <w:szCs w:val="1"/>
                <w:color w:val="auto"/>
              </w:rPr>
            </w:pPr>
          </w:p>
        </w:tc>
      </w:tr>
      <w:tr>
        <w:trPr>
          <w:trHeight w:val="178"/>
        </w:trPr>
        <w:tc>
          <w:tcPr>
            <w:tcW w:w="2540" w:type="dxa"/>
            <w:vAlign w:val="bottom"/>
          </w:tcPr>
          <w:p>
            <w:pPr>
              <w:spacing w:after="0"/>
              <w:rPr>
                <w:sz w:val="15"/>
                <w:szCs w:val="15"/>
                <w:color w:val="auto"/>
              </w:rPr>
            </w:pPr>
          </w:p>
        </w:tc>
        <w:tc>
          <w:tcPr>
            <w:tcW w:w="5920" w:type="dxa"/>
            <w:vAlign w:val="bottom"/>
            <w:tcBorders>
              <w:bottom w:val="single" w:sz="8" w:color="auto"/>
            </w:tcBorders>
            <w:gridSpan w:val="11"/>
            <w:vMerge w:val="continue"/>
          </w:tcPr>
          <w:p>
            <w:pPr>
              <w:spacing w:after="0"/>
              <w:rPr>
                <w:sz w:val="15"/>
                <w:szCs w:val="15"/>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c>
          <w:tcPr>
            <w:tcW w:w="0" w:type="dxa"/>
            <w:vAlign w:val="bottom"/>
          </w:tcPr>
          <w:p>
            <w:pPr>
              <w:spacing w:after="0"/>
              <w:rPr>
                <w:sz w:val="1"/>
                <w:szCs w:val="1"/>
                <w:color w:val="auto"/>
              </w:rPr>
            </w:pPr>
          </w:p>
        </w:tc>
      </w:tr>
      <w:tr>
        <w:trPr>
          <w:trHeight w:val="164"/>
        </w:trPr>
        <w:tc>
          <w:tcPr>
            <w:tcW w:w="2540" w:type="dxa"/>
            <w:vAlign w:val="bottom"/>
          </w:tcPr>
          <w:p>
            <w:pPr>
              <w:spacing w:after="0"/>
              <w:rPr>
                <w:sz w:val="14"/>
                <w:szCs w:val="14"/>
                <w:color w:val="auto"/>
              </w:rPr>
            </w:pPr>
          </w:p>
        </w:tc>
        <w:tc>
          <w:tcPr>
            <w:tcW w:w="3000" w:type="dxa"/>
            <w:vAlign w:val="bottom"/>
            <w:gridSpan w:val="6"/>
          </w:tcPr>
          <w:p>
            <w:pPr>
              <w:ind w:left="440"/>
              <w:spacing w:after="0"/>
              <w:rPr>
                <w:sz w:val="20"/>
                <w:szCs w:val="20"/>
                <w:color w:val="auto"/>
              </w:rPr>
            </w:pPr>
            <w:r>
              <w:rPr>
                <w:rFonts w:ascii="Arial" w:cs="Arial" w:eastAsia="Arial" w:hAnsi="Arial"/>
                <w:sz w:val="12"/>
                <w:szCs w:val="12"/>
                <w:b w:val="1"/>
                <w:bCs w:val="1"/>
                <w:color w:val="auto"/>
              </w:rPr>
              <w:t>Three Months Ended December 31,</w:t>
            </w:r>
          </w:p>
        </w:tc>
        <w:tc>
          <w:tcPr>
            <w:tcW w:w="320" w:type="dxa"/>
            <w:vAlign w:val="bottom"/>
          </w:tcPr>
          <w:p>
            <w:pPr>
              <w:spacing w:after="0"/>
              <w:rPr>
                <w:sz w:val="14"/>
                <w:szCs w:val="14"/>
                <w:color w:val="auto"/>
              </w:rPr>
            </w:pPr>
          </w:p>
        </w:tc>
        <w:tc>
          <w:tcPr>
            <w:tcW w:w="2600" w:type="dxa"/>
            <w:vAlign w:val="bottom"/>
            <w:gridSpan w:val="4"/>
          </w:tcPr>
          <w:p>
            <w:pPr>
              <w:jc w:val="right"/>
              <w:ind w:right="445"/>
              <w:spacing w:after="0"/>
              <w:rPr>
                <w:sz w:val="20"/>
                <w:szCs w:val="20"/>
                <w:color w:val="auto"/>
              </w:rPr>
            </w:pPr>
            <w:r>
              <w:rPr>
                <w:rFonts w:ascii="Arial" w:cs="Arial" w:eastAsia="Arial" w:hAnsi="Arial"/>
                <w:sz w:val="12"/>
                <w:szCs w:val="12"/>
                <w:b w:val="1"/>
                <w:bCs w:val="1"/>
                <w:color w:val="auto"/>
              </w:rPr>
              <w:t>Six Months Ended December 31,</w:t>
            </w: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5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2"/>
                <w:szCs w:val="12"/>
                <w:b w:val="1"/>
                <w:bCs w:val="1"/>
                <w:color w:val="auto"/>
              </w:rPr>
              <w:t>2024</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2023</w:t>
            </w: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540" w:type="dxa"/>
            <w:vAlign w:val="bottom"/>
          </w:tcPr>
          <w:p>
            <w:pPr>
              <w:ind w:left="20"/>
              <w:spacing w:after="0" w:line="130" w:lineRule="exact"/>
              <w:rPr>
                <w:sz w:val="20"/>
                <w:szCs w:val="20"/>
                <w:color w:val="auto"/>
              </w:rPr>
            </w:pPr>
            <w:r>
              <w:rPr>
                <w:rFonts w:ascii="Arial" w:cs="Arial" w:eastAsia="Arial" w:hAnsi="Arial"/>
                <w:sz w:val="14"/>
                <w:szCs w:val="14"/>
                <w:b w:val="1"/>
                <w:bCs w:val="1"/>
                <w:color w:val="auto"/>
              </w:rPr>
              <w:t>Derivatives in cash flow hedging</w:t>
            </w: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relationships</w:t>
            </w: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940" w:type="dxa"/>
            <w:vAlign w:val="bottom"/>
            <w:shd w:val="clear" w:color="auto" w:fill="CCEEFF"/>
          </w:tcPr>
          <w:p>
            <w:pPr>
              <w:jc w:val="right"/>
              <w:ind w:right="773"/>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w:t>
            </w:r>
          </w:p>
        </w:tc>
        <w:tc>
          <w:tcPr>
            <w:tcW w:w="2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Interest expense, net</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Cross-currency swaps</w:t>
            </w:r>
          </w:p>
        </w:tc>
        <w:tc>
          <w:tcPr>
            <w:tcW w:w="94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6"/>
                <w:szCs w:val="16"/>
                <w:color w:val="auto"/>
              </w:rPr>
              <w:t>294</w:t>
            </w:r>
          </w:p>
        </w:tc>
        <w:tc>
          <w:tcPr>
            <w:tcW w:w="2780" w:type="dxa"/>
            <w:vAlign w:val="bottom"/>
          </w:tcPr>
          <w:p>
            <w:pPr>
              <w:jc w:val="center"/>
              <w:spacing w:after="0"/>
              <w:rPr>
                <w:sz w:val="20"/>
                <w:szCs w:val="20"/>
                <w:color w:val="auto"/>
              </w:rPr>
            </w:pPr>
            <w:r>
              <w:rPr>
                <w:rFonts w:ascii="Arial" w:cs="Arial" w:eastAsia="Arial" w:hAnsi="Arial"/>
                <w:sz w:val="14"/>
                <w:szCs w:val="14"/>
                <w:color w:val="auto"/>
                <w:w w:val="98"/>
              </w:rPr>
              <w:t>Other income (expense), net</w:t>
            </w:r>
          </w:p>
        </w:tc>
        <w:tc>
          <w:tcPr>
            <w:tcW w:w="0" w:type="dxa"/>
            <w:vAlign w:val="bottom"/>
          </w:tcPr>
          <w:p>
            <w:pPr>
              <w:spacing w:after="0"/>
              <w:rPr>
                <w:sz w:val="1"/>
                <w:szCs w:val="1"/>
                <w:color w:val="auto"/>
              </w:rPr>
            </w:pPr>
          </w:p>
        </w:tc>
      </w:tr>
      <w:tr>
        <w:trPr>
          <w:trHeight w:val="202"/>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before income tax</w:t>
            </w:r>
          </w:p>
        </w:tc>
        <w:tc>
          <w:tcPr>
            <w:tcW w:w="9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322</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(4,202)</w:t>
            </w:r>
          </w:p>
        </w:tc>
        <w:tc>
          <w:tcPr>
            <w:tcW w:w="27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Income before income taxes</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w:t>
            </w: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709</w:t>
            </w:r>
          </w:p>
        </w:tc>
        <w:tc>
          <w:tcPr>
            <w:tcW w:w="27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8"/>
              </w:rPr>
              <w:t>Income tax expense</w:t>
            </w:r>
          </w:p>
        </w:tc>
        <w:tc>
          <w:tcPr>
            <w:tcW w:w="0" w:type="dxa"/>
            <w:vAlign w:val="bottom"/>
          </w:tcPr>
          <w:p>
            <w:pPr>
              <w:spacing w:after="0"/>
              <w:rPr>
                <w:sz w:val="1"/>
                <w:szCs w:val="1"/>
                <w:color w:val="auto"/>
              </w:rPr>
            </w:pPr>
          </w:p>
        </w:tc>
      </w:tr>
      <w:tr>
        <w:trPr>
          <w:trHeight w:val="22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2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7" w:name="page18"/>
    <w:bookmarkEnd w:id="17"/>
    <w:p>
      <w:pPr>
        <w:ind w:right="280" w:firstLine="623"/>
        <w:spacing w:after="0" w:line="295" w:lineRule="auto"/>
        <w:rPr>
          <w:sz w:val="20"/>
          <w:szCs w:val="20"/>
          <w:color w:val="auto"/>
        </w:rPr>
      </w:pPr>
      <w:r>
        <w:rPr>
          <w:rFonts w:ascii="Arial" w:cs="Arial" w:eastAsia="Arial" w:hAnsi="Arial"/>
          <w:sz w:val="17"/>
          <w:szCs w:val="17"/>
          <w:color w:val="auto"/>
        </w:rPr>
        <w:t>The following table presents the adjustment to fair value recorded within the consolidated statements of operations for the three and six months ended December 31, 2024 and 2023 for derivative instruments for which we did not elect hedge accounting.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6"/>
            <w:vMerge w:val="restart"/>
          </w:tcPr>
          <w:p>
            <w:pPr>
              <w:jc w:val="right"/>
              <w:ind w:right="180"/>
              <w:spacing w:after="0"/>
              <w:rPr>
                <w:sz w:val="20"/>
                <w:szCs w:val="20"/>
                <w:color w:val="auto"/>
              </w:rPr>
            </w:pPr>
            <w:r>
              <w:rPr>
                <w:rFonts w:ascii="Arial" w:cs="Arial" w:eastAsia="Arial" w:hAnsi="Arial"/>
                <w:sz w:val="12"/>
                <w:szCs w:val="12"/>
                <w:b w:val="1"/>
                <w:bCs w:val="1"/>
                <w:color w:val="auto"/>
              </w:rPr>
              <w:t>Amount of Gain (Loss) Recognized in Net Incom</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78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 in the</w:t>
            </w:r>
          </w:p>
        </w:tc>
        <w:tc>
          <w:tcPr>
            <w:tcW w:w="0" w:type="dxa"/>
            <w:vAlign w:val="bottom"/>
          </w:tcPr>
          <w:p>
            <w:pPr>
              <w:spacing w:after="0"/>
              <w:rPr>
                <w:sz w:val="1"/>
                <w:szCs w:val="1"/>
                <w:color w:val="auto"/>
              </w:rPr>
            </w:pPr>
          </w:p>
        </w:tc>
      </w:tr>
      <w:tr>
        <w:trPr>
          <w:trHeight w:val="178"/>
        </w:trPr>
        <w:tc>
          <w:tcPr>
            <w:tcW w:w="25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c>
          <w:tcPr>
            <w:tcW w:w="0" w:type="dxa"/>
            <w:vAlign w:val="bottom"/>
          </w:tcPr>
          <w:p>
            <w:pPr>
              <w:spacing w:after="0"/>
              <w:rPr>
                <w:sz w:val="1"/>
                <w:szCs w:val="1"/>
                <w:color w:val="auto"/>
              </w:rPr>
            </w:pPr>
          </w:p>
        </w:tc>
      </w:tr>
      <w:tr>
        <w:trPr>
          <w:trHeight w:val="164"/>
        </w:trPr>
        <w:tc>
          <w:tcPr>
            <w:tcW w:w="2540" w:type="dxa"/>
            <w:vAlign w:val="bottom"/>
          </w:tcPr>
          <w:p>
            <w:pPr>
              <w:spacing w:after="0"/>
              <w:rPr>
                <w:sz w:val="14"/>
                <w:szCs w:val="14"/>
                <w:color w:val="auto"/>
              </w:rPr>
            </w:pPr>
          </w:p>
        </w:tc>
        <w:tc>
          <w:tcPr>
            <w:tcW w:w="3000" w:type="dxa"/>
            <w:vAlign w:val="bottom"/>
            <w:gridSpan w:val="6"/>
          </w:tcPr>
          <w:p>
            <w:pPr>
              <w:ind w:left="440"/>
              <w:spacing w:after="0"/>
              <w:rPr>
                <w:sz w:val="20"/>
                <w:szCs w:val="20"/>
                <w:color w:val="auto"/>
              </w:rPr>
            </w:pPr>
            <w:r>
              <w:rPr>
                <w:rFonts w:ascii="Arial" w:cs="Arial" w:eastAsia="Arial" w:hAnsi="Arial"/>
                <w:sz w:val="12"/>
                <w:szCs w:val="12"/>
                <w:b w:val="1"/>
                <w:bCs w:val="1"/>
                <w:color w:val="auto"/>
              </w:rPr>
              <w:t>Three Months Ended December 31,</w:t>
            </w:r>
          </w:p>
        </w:tc>
        <w:tc>
          <w:tcPr>
            <w:tcW w:w="320" w:type="dxa"/>
            <w:vAlign w:val="bottom"/>
          </w:tcPr>
          <w:p>
            <w:pPr>
              <w:spacing w:after="0"/>
              <w:rPr>
                <w:sz w:val="14"/>
                <w:szCs w:val="14"/>
                <w:color w:val="auto"/>
              </w:rPr>
            </w:pPr>
          </w:p>
        </w:tc>
        <w:tc>
          <w:tcPr>
            <w:tcW w:w="2600" w:type="dxa"/>
            <w:vAlign w:val="bottom"/>
            <w:gridSpan w:val="4"/>
          </w:tcPr>
          <w:p>
            <w:pPr>
              <w:jc w:val="right"/>
              <w:ind w:right="448"/>
              <w:spacing w:after="0"/>
              <w:rPr>
                <w:sz w:val="20"/>
                <w:szCs w:val="20"/>
                <w:color w:val="auto"/>
              </w:rPr>
            </w:pPr>
            <w:r>
              <w:rPr>
                <w:rFonts w:ascii="Arial" w:cs="Arial" w:eastAsia="Arial" w:hAnsi="Arial"/>
                <w:sz w:val="12"/>
                <w:szCs w:val="12"/>
                <w:b w:val="1"/>
                <w:bCs w:val="1"/>
                <w:color w:val="auto"/>
              </w:rPr>
              <w:t>Six Months Ended December 31,</w:t>
            </w: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2"/>
                <w:szCs w:val="12"/>
                <w:b w:val="1"/>
                <w:bCs w:val="1"/>
                <w:color w:val="auto"/>
              </w:rPr>
              <w:t>2023</w:t>
            </w:r>
          </w:p>
        </w:tc>
        <w:tc>
          <w:tcPr>
            <w:tcW w:w="27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contracts</w:t>
            </w:r>
          </w:p>
        </w:tc>
        <w:tc>
          <w:tcPr>
            <w:tcW w:w="84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3"/>
              </w:rPr>
              <w:t>33,632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(5,356)</w:t>
            </w:r>
          </w:p>
        </w:tc>
        <w:tc>
          <w:tcPr>
            <w:tcW w:w="2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Other income (expense), net</w:t>
            </w: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3"/>
              </w:rPr>
              <w:t>33,632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(5,356)</w:t>
            </w: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Accumulated Other Comprehensive Loss</w:t>
      </w:r>
    </w:p>
    <w:p>
      <w:pPr>
        <w:spacing w:after="0" w:line="209" w:lineRule="exact"/>
        <w:rPr>
          <w:sz w:val="20"/>
          <w:szCs w:val="20"/>
          <w:color w:val="auto"/>
        </w:rPr>
      </w:pPr>
    </w:p>
    <w:p>
      <w:pPr>
        <w:ind w:right="240" w:firstLine="623"/>
        <w:spacing w:after="0" w:line="294" w:lineRule="auto"/>
        <w:rPr>
          <w:sz w:val="20"/>
          <w:szCs w:val="20"/>
          <w:color w:val="auto"/>
        </w:rPr>
      </w:pPr>
      <w:r>
        <w:rPr>
          <w:rFonts w:ascii="Arial" w:cs="Arial" w:eastAsia="Arial" w:hAnsi="Arial"/>
          <w:sz w:val="17"/>
          <w:szCs w:val="17"/>
          <w:color w:val="auto"/>
        </w:rPr>
        <w:t>The following table presents a roll forward of amounts recognized in accumulated other comprehensive loss by component, net of tax of $580 for the six months ended December 31, 2024</w:t>
      </w:r>
      <w:r>
        <w:rPr>
          <w:rFonts w:ascii="Times New Roman" w:cs="Times New Roman" w:eastAsia="Times New Roman" w:hAnsi="Times New Roman"/>
          <w:sz w:val="17"/>
          <w:szCs w:val="17"/>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Gains on cash flow</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Gains (losses) on</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Translation</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pension benefit</w:t>
            </w: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rPr>
              <w:t>adjustments, net of</w:t>
            </w:r>
          </w:p>
        </w:tc>
        <w:tc>
          <w:tcPr>
            <w:tcW w:w="320" w:type="dxa"/>
            <w:vAlign w:val="bottom"/>
          </w:tcPr>
          <w:p>
            <w:pPr>
              <w:spacing w:after="0"/>
              <w:rPr>
                <w:sz w:val="10"/>
                <w:szCs w:val="10"/>
                <w:color w:val="auto"/>
              </w:rPr>
            </w:pPr>
          </w:p>
        </w:tc>
        <w:tc>
          <w:tcPr>
            <w:tcW w:w="1020" w:type="dxa"/>
            <w:vAlign w:val="bottom"/>
            <w:vMerge w:val="restart"/>
          </w:tcPr>
          <w:p>
            <w:pPr>
              <w:jc w:val="right"/>
              <w:ind w:right="46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7"/>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hedges (1)</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obligation</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hedges (2)</w:t>
            </w:r>
          </w:p>
        </w:tc>
        <w:tc>
          <w:tcPr>
            <w:tcW w:w="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10,789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(40,447)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(30,364)</w:t>
            </w:r>
          </w:p>
        </w:tc>
        <w:tc>
          <w:tcPr>
            <w:tcW w:w="0" w:type="dxa"/>
            <w:vAlign w:val="bottom"/>
          </w:tcPr>
          <w:p>
            <w:pPr>
              <w:spacing w:after="0"/>
              <w:rPr>
                <w:sz w:val="1"/>
                <w:szCs w:val="1"/>
                <w:color w:val="auto"/>
              </w:rPr>
            </w:pPr>
          </w:p>
        </w:tc>
      </w:tr>
      <w:tr>
        <w:trPr>
          <w:trHeight w:val="207"/>
        </w:trPr>
        <w:tc>
          <w:tcPr>
            <w:tcW w:w="5560" w:type="dxa"/>
            <w:vAlign w:val="bottom"/>
          </w:tcPr>
          <w:p>
            <w:pPr>
              <w:ind w:left="20"/>
              <w:spacing w:after="0"/>
              <w:rPr>
                <w:sz w:val="20"/>
                <w:szCs w:val="20"/>
                <w:color w:val="auto"/>
              </w:rPr>
            </w:pPr>
            <w:r>
              <w:rPr>
                <w:rFonts w:ascii="Arial" w:cs="Arial" w:eastAsia="Arial" w:hAnsi="Arial"/>
                <w:sz w:val="16"/>
                <w:szCs w:val="16"/>
                <w:color w:val="auto"/>
              </w:rPr>
              <w:t>Other comprehensive loss before reclassifications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(16,167)</w:t>
            </w: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Amounts reclassified from accumulated other comprehensive loss to net income</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00"/>
        </w:trPr>
        <w:tc>
          <w:tcPr>
            <w:tcW w:w="5560" w:type="dxa"/>
            <w:vAlign w:val="bottom"/>
          </w:tcPr>
          <w:p>
            <w:pPr>
              <w:ind w:left="20"/>
              <w:spacing w:after="0"/>
              <w:rPr>
                <w:sz w:val="20"/>
                <w:szCs w:val="20"/>
                <w:color w:val="auto"/>
              </w:rPr>
            </w:pPr>
            <w:r>
              <w:rPr>
                <w:rFonts w:ascii="Arial" w:cs="Arial" w:eastAsia="Arial" w:hAnsi="Arial"/>
                <w:sz w:val="16"/>
                <w:szCs w:val="16"/>
                <w:color w:val="auto"/>
              </w:rPr>
              <w:t>Net current period other comprehensive loss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(15,598)</w:t>
            </w:r>
          </w:p>
        </w:tc>
        <w:tc>
          <w:tcPr>
            <w:tcW w:w="0" w:type="dxa"/>
            <w:vAlign w:val="bottom"/>
          </w:tcPr>
          <w:p>
            <w:pPr>
              <w:spacing w:after="0"/>
              <w:rPr>
                <w:sz w:val="1"/>
                <w:szCs w:val="1"/>
                <w:color w:val="auto"/>
              </w:rPr>
            </w:pPr>
          </w:p>
        </w:tc>
      </w:tr>
      <w:tr>
        <w:trPr>
          <w:trHeight w:val="226"/>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10,172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(45,962)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125" w:lineRule="exact"/>
        <w:rPr>
          <w:sz w:val="20"/>
          <w:szCs w:val="20"/>
          <w:color w:val="auto"/>
        </w:rPr>
      </w:pPr>
    </w:p>
    <w:p>
      <w:pPr>
        <w:ind w:left="220" w:hanging="216"/>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Gains on cash flow hedges include our interest rate swap contracts designated in cash flow hedging relationships.</w:t>
      </w:r>
    </w:p>
    <w:p>
      <w:pPr>
        <w:spacing w:after="0" w:line="46" w:lineRule="exact"/>
        <w:rPr>
          <w:rFonts w:ascii="Arial" w:cs="Arial" w:eastAsia="Arial" w:hAnsi="Arial"/>
          <w:sz w:val="14"/>
          <w:szCs w:val="14"/>
          <w:color w:val="auto"/>
        </w:rPr>
      </w:pPr>
    </w:p>
    <w:p>
      <w:pPr>
        <w:ind w:left="240" w:right="80" w:hanging="236"/>
        <w:spacing w:after="0" w:line="261" w:lineRule="auto"/>
        <w:tabs>
          <w:tab w:leader="none" w:pos="214"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December 31, 2024 and June 30, 2024, the translation adjustment is inclusive of both the realized and unrealized effects of our net investment hedges. Gains on currency forward and swap contracts designated as net investment hedges, net of tax, of $21,875 and $15,042 have been included in accumulated other comprehensive loss as of December 31, 2024 and June 30, 2024, respectively. Intercompany loan hedge gains, net of tax, of $42,159 and $48,270 have been included in accumulated other comprehensive loss as of December 31, 2024 and June 30, 2024,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Goodwill</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amount of goodwill by reportable segment as of December 31, 2024 and June 30, 2024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Vista</w:t>
            </w: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PrintBrothers</w:t>
            </w: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The Print Group</w:t>
            </w:r>
          </w:p>
        </w:tc>
        <w:tc>
          <w:tcPr>
            <w:tcW w:w="1420" w:type="dxa"/>
            <w:vAlign w:val="bottom"/>
            <w:gridSpan w:val="3"/>
          </w:tcPr>
          <w:p>
            <w:pPr>
              <w:ind w:left="60"/>
              <w:spacing w:after="0"/>
              <w:rPr>
                <w:sz w:val="20"/>
                <w:szCs w:val="20"/>
                <w:color w:val="auto"/>
              </w:rPr>
            </w:pPr>
            <w:r>
              <w:rPr>
                <w:rFonts w:ascii="Arial" w:cs="Arial" w:eastAsia="Arial" w:hAnsi="Arial"/>
                <w:sz w:val="12"/>
                <w:szCs w:val="12"/>
                <w:b w:val="1"/>
                <w:bCs w:val="1"/>
                <w:color w:val="auto"/>
              </w:rPr>
              <w:t>All Other Businesses</w:t>
            </w:r>
          </w:p>
        </w:tc>
        <w:tc>
          <w:tcPr>
            <w:tcW w:w="320" w:type="dxa"/>
            <w:vAlign w:val="bottom"/>
          </w:tcPr>
          <w:p>
            <w:pPr>
              <w:spacing w:after="0"/>
              <w:rPr>
                <w:sz w:val="14"/>
                <w:szCs w:val="14"/>
                <w:color w:val="auto"/>
              </w:rPr>
            </w:pPr>
          </w:p>
        </w:tc>
        <w:tc>
          <w:tcPr>
            <w:tcW w:w="1000" w:type="dxa"/>
            <w:vAlign w:val="bottom"/>
          </w:tcPr>
          <w:p>
            <w:pPr>
              <w:jc w:val="right"/>
              <w:ind w:right="446"/>
              <w:spacing w:after="0"/>
              <w:rPr>
                <w:sz w:val="20"/>
                <w:szCs w:val="20"/>
                <w:color w:val="auto"/>
              </w:rPr>
            </w:pPr>
            <w:r>
              <w:rPr>
                <w:rFonts w:ascii="Arial" w:cs="Arial" w:eastAsia="Arial" w:hAnsi="Arial"/>
                <w:sz w:val="12"/>
                <w:szCs w:val="12"/>
                <w:b w:val="1"/>
                <w:bCs w:val="1"/>
                <w:color w:val="auto"/>
              </w:rPr>
              <w:t>Total</w:t>
            </w:r>
          </w:p>
        </w:tc>
      </w:tr>
      <w:tr>
        <w:trPr>
          <w:trHeight w:val="205"/>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295,285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149,244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147,688</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194,921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787,138</w:t>
            </w: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auto"/>
              </w:rPr>
              <w:t>Effect of currency translation adjustments (1)</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(4,271)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(9,530)</w:t>
            </w:r>
          </w:p>
        </w:tc>
      </w:tr>
      <w:tr>
        <w:trPr>
          <w:trHeight w:val="227"/>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2024</w:t>
            </w:r>
          </w:p>
        </w:tc>
        <w:tc>
          <w:tcPr>
            <w:tcW w:w="3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294,141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194,921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777,608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(1) Related to goodwill held by subsidiaries whose functional currency is not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7. Other Balance Sheet Components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expenses included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December 31, 2024</w:t>
            </w:r>
          </w:p>
        </w:tc>
        <w:tc>
          <w:tcPr>
            <w:tcW w:w="260" w:type="dxa"/>
            <w:vAlign w:val="bottom"/>
          </w:tcPr>
          <w:p>
            <w:pPr>
              <w:spacing w:after="0"/>
              <w:rPr>
                <w:sz w:val="14"/>
                <w:szCs w:val="14"/>
                <w:color w:val="auto"/>
              </w:rPr>
            </w:pPr>
          </w:p>
        </w:tc>
        <w:tc>
          <w:tcPr>
            <w:tcW w:w="1400" w:type="dxa"/>
            <w:vAlign w:val="bottom"/>
          </w:tcPr>
          <w:p>
            <w:pPr>
              <w:jc w:val="right"/>
              <w:ind w:right="364"/>
              <w:spacing w:after="0"/>
              <w:rPr>
                <w:sz w:val="20"/>
                <w:szCs w:val="20"/>
                <w:color w:val="auto"/>
              </w:rPr>
            </w:pPr>
            <w:r>
              <w:rPr>
                <w:rFonts w:ascii="Arial" w:cs="Arial" w:eastAsia="Arial" w:hAnsi="Arial"/>
                <w:sz w:val="12"/>
                <w:szCs w:val="12"/>
                <w:b w:val="1"/>
                <w:bCs w:val="1"/>
                <w:color w:val="auto"/>
              </w:rPr>
              <w:t>June 30, 2024</w:t>
            </w:r>
          </w:p>
        </w:tc>
      </w:tr>
      <w:tr>
        <w:trPr>
          <w:trHeight w:val="20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costs</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71,930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80,844</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Income and indirect taxes (1)</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66,659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46,499</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costs (1)</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23,524</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Third-party manufacturing and digital content costs (1)</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21,845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17,608</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Shipping costs (1)</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10,088</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Interest payable (2)</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11,162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3,658</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compensation incentives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9,263</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Sales returns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5,181</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2,596</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49,449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46,670</w:t>
            </w:r>
          </w:p>
        </w:tc>
      </w:tr>
      <w:tr>
        <w:trPr>
          <w:trHeight w:val="22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expenses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285,084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245,931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w:t>
      </w:r>
    </w:p>
    <w:p>
      <w:pPr>
        <w:spacing w:after="0" w:line="60" w:lineRule="exact"/>
        <w:rPr>
          <w:sz w:val="20"/>
          <w:szCs w:val="20"/>
          <w:color w:val="auto"/>
        </w:rPr>
      </w:pPr>
    </w:p>
    <w:p>
      <w:pPr>
        <w:ind w:left="240" w:right="440" w:hanging="236"/>
        <w:spacing w:after="0" w:line="281" w:lineRule="auto"/>
        <w:tabs>
          <w:tab w:leader="none" w:pos="214"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increase in income and indirect taxes, advertising, third party manufacturing, and shipping costs is due to increased sales volumes during our holiday peak season in the second quarter of our fiscal year.</w:t>
      </w:r>
    </w:p>
    <w:p>
      <w:pPr>
        <w:spacing w:after="0" w:line="12" w:lineRule="exact"/>
        <w:rPr>
          <w:rFonts w:ascii="Arial" w:cs="Arial" w:eastAsia="Arial" w:hAnsi="Arial"/>
          <w:sz w:val="14"/>
          <w:szCs w:val="14"/>
          <w:color w:val="auto"/>
        </w:rPr>
      </w:pPr>
    </w:p>
    <w:p>
      <w:pPr>
        <w:ind w:left="240" w:hanging="236"/>
        <w:spacing w:after="0" w:line="256" w:lineRule="auto"/>
        <w:tabs>
          <w:tab w:leader="none" w:pos="214" w:val="left"/>
        </w:tabs>
        <w:numPr>
          <w:ilvl w:val="0"/>
          <w:numId w:val="9"/>
        </w:numPr>
        <w:rPr>
          <w:rFonts w:ascii="Arial" w:cs="Arial" w:eastAsia="Arial" w:hAnsi="Arial"/>
          <w:sz w:val="14"/>
          <w:szCs w:val="14"/>
          <w:color w:val="auto"/>
        </w:rPr>
      </w:pPr>
      <w:r>
        <w:rPr>
          <w:rFonts w:ascii="Arial" w:cs="Arial" w:eastAsia="Arial" w:hAnsi="Arial"/>
          <w:sz w:val="14"/>
          <w:szCs w:val="14"/>
          <w:color w:val="auto"/>
        </w:rPr>
        <w:t>On September 26, 2024, we issued the 7.375% senior notes due 2032 to redeem all of the outstanding 7.0% senior notes due 2026. The increase in interest payable as of December 31, 2024, is due to the interest on our 7.375% senior notes due 2032 being due on March 15, 2025 as compared to the interest on our 7.0% senior notes due 2026 being due June 15, 2024. Refer to Note 8 for additional detail.</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current liabilities included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December 31, 2024</w:t>
            </w:r>
          </w:p>
        </w:tc>
        <w:tc>
          <w:tcPr>
            <w:tcW w:w="260" w:type="dxa"/>
            <w:vAlign w:val="bottom"/>
          </w:tcPr>
          <w:p>
            <w:pPr>
              <w:spacing w:after="0"/>
              <w:rPr>
                <w:sz w:val="14"/>
                <w:szCs w:val="14"/>
                <w:color w:val="auto"/>
              </w:rPr>
            </w:pPr>
          </w:p>
        </w:tc>
        <w:tc>
          <w:tcPr>
            <w:tcW w:w="1400" w:type="dxa"/>
            <w:vAlign w:val="bottom"/>
          </w:tcPr>
          <w:p>
            <w:pPr>
              <w:jc w:val="right"/>
              <w:ind w:right="365"/>
              <w:spacing w:after="0"/>
              <w:rPr>
                <w:sz w:val="20"/>
                <w:szCs w:val="20"/>
                <w:color w:val="auto"/>
              </w:rPr>
            </w:pPr>
            <w:r>
              <w:rPr>
                <w:rFonts w:ascii="Arial" w:cs="Arial" w:eastAsia="Arial" w:hAnsi="Arial"/>
                <w:sz w:val="12"/>
                <w:szCs w:val="12"/>
                <w:b w:val="1"/>
                <w:bCs w:val="1"/>
                <w:color w:val="auto"/>
              </w:rPr>
              <w:t>June 30, 2024</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Mandatorily redeemable noncontrolling interest (1)</w:t>
            </w: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9,290</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5"/>
              <w:spacing w:after="0"/>
              <w:rPr>
                <w:sz w:val="20"/>
                <w:szCs w:val="20"/>
                <w:color w:val="auto"/>
              </w:rPr>
            </w:pPr>
            <w:r>
              <w:rPr>
                <w:rFonts w:ascii="Arial" w:cs="Arial" w:eastAsia="Arial" w:hAnsi="Arial"/>
                <w:sz w:val="16"/>
                <w:szCs w:val="16"/>
                <w:color w:val="auto"/>
              </w:rPr>
              <w:t>—</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finance lease obligations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8,323</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Short-term derivative liabilities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5"/>
              <w:spacing w:after="0"/>
              <w:rPr>
                <w:sz w:val="20"/>
                <w:szCs w:val="20"/>
                <w:color w:val="auto"/>
              </w:rPr>
            </w:pPr>
            <w:r>
              <w:rPr>
                <w:rFonts w:ascii="Arial" w:cs="Arial" w:eastAsia="Arial" w:hAnsi="Arial"/>
                <w:sz w:val="16"/>
                <w:szCs w:val="16"/>
                <w:color w:val="auto"/>
              </w:rPr>
              <w:t>4,833</w:t>
            </w: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2"/>
        </w:trPr>
        <w:tc>
          <w:tcPr>
            <w:tcW w:w="782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23,952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13,136</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liabilities included the following:</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7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2024</w:t>
            </w:r>
          </w:p>
        </w:tc>
        <w:tc>
          <w:tcPr>
            <w:tcW w:w="26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Arial" w:cs="Arial" w:eastAsia="Arial" w:hAnsi="Arial"/>
                <w:sz w:val="12"/>
                <w:szCs w:val="12"/>
                <w:b w:val="1"/>
                <w:bCs w:val="1"/>
                <w:color w:val="auto"/>
              </w:rPr>
              <w:t>June 30, 2024</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Long-term finance lease obligations</w:t>
            </w: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23,587</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28,037</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compensation incentives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17,127</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Long-term derivative liabilities</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Mandatorily redeemable noncontrolling interest (1)</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9,608</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20,949</w:t>
            </w:r>
          </w:p>
        </w:tc>
      </w:tr>
      <w:tr>
        <w:trPr>
          <w:trHeight w:val="227"/>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liabilities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60,372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76,305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73" w:lineRule="exact"/>
        <w:rPr>
          <w:sz w:val="20"/>
          <w:szCs w:val="20"/>
          <w:color w:val="auto"/>
        </w:rPr>
      </w:pPr>
    </w:p>
    <w:p>
      <w:pPr>
        <w:ind w:left="240" w:right="60" w:hanging="236"/>
        <w:spacing w:after="0" w:line="281" w:lineRule="auto"/>
        <w:tabs>
          <w:tab w:leader="none" w:pos="214"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During the current quarter, the mandatorily redeemable noncontrolling interests were reclassified from long-term liabilities to current liabilities, since we are required to purchase the outstanding equity interests during the second quarter of fiscal year 2026.</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8.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December 31, 2024</w:t>
            </w:r>
          </w:p>
        </w:tc>
        <w:tc>
          <w:tcPr>
            <w:tcW w:w="260" w:type="dxa"/>
            <w:vAlign w:val="bottom"/>
          </w:tcPr>
          <w:p>
            <w:pPr>
              <w:spacing w:after="0"/>
              <w:rPr>
                <w:sz w:val="14"/>
                <w:szCs w:val="14"/>
                <w:color w:val="auto"/>
              </w:rPr>
            </w:pPr>
          </w:p>
        </w:tc>
        <w:tc>
          <w:tcPr>
            <w:tcW w:w="1400" w:type="dxa"/>
            <w:vAlign w:val="bottom"/>
          </w:tcPr>
          <w:p>
            <w:pPr>
              <w:jc w:val="right"/>
              <w:ind w:right="364"/>
              <w:spacing w:after="0"/>
              <w:rPr>
                <w:sz w:val="20"/>
                <w:szCs w:val="20"/>
                <w:color w:val="auto"/>
              </w:rPr>
            </w:pPr>
            <w:r>
              <w:rPr>
                <w:rFonts w:ascii="Arial" w:cs="Arial" w:eastAsia="Arial" w:hAnsi="Arial"/>
                <w:sz w:val="12"/>
                <w:szCs w:val="12"/>
                <w:b w:val="1"/>
                <w:bCs w:val="1"/>
                <w:color w:val="auto"/>
              </w:rPr>
              <w:t>June 30, 2024</w:t>
            </w:r>
          </w:p>
        </w:tc>
      </w:tr>
      <w:tr>
        <w:trPr>
          <w:trHeight w:val="20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7.375% Senior Notes due 2032</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525,000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7.0% Senior Notes due 2026 (1)</w:t>
            </w:r>
          </w:p>
        </w:tc>
        <w:tc>
          <w:tcPr>
            <w:tcW w:w="18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522,135</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1,078,222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1,084,627</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7,241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9,845</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issuance costs and discounts, net of debt premiums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(12,312)</w:t>
            </w:r>
          </w:p>
        </w:tc>
      </w:tr>
      <w:tr>
        <w:trPr>
          <w:trHeight w:val="200"/>
        </w:trPr>
        <w:tc>
          <w:tcPr>
            <w:tcW w:w="7820" w:type="dxa"/>
            <w:vAlign w:val="bottom"/>
          </w:tcPr>
          <w:p>
            <w:pPr>
              <w:ind w:left="20"/>
              <w:spacing w:after="0"/>
              <w:rPr>
                <w:sz w:val="20"/>
                <w:szCs w:val="20"/>
                <w:color w:val="auto"/>
              </w:rPr>
            </w:pPr>
            <w:r>
              <w:rPr>
                <w:rFonts w:ascii="Arial" w:cs="Arial" w:eastAsia="Arial" w:hAnsi="Arial"/>
                <w:sz w:val="16"/>
                <w:szCs w:val="16"/>
                <w:color w:val="auto"/>
              </w:rPr>
              <w:t>Total debt outstanding, net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1,588,838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1,604,295</w:t>
            </w: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short-term debt (1)</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12,488</w:t>
            </w:r>
          </w:p>
        </w:tc>
      </w:tr>
      <w:tr>
        <w:trPr>
          <w:trHeight w:val="202"/>
        </w:trPr>
        <w:tc>
          <w:tcPr>
            <w:tcW w:w="78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1,579,213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1,591,807</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Balances as of December 31, 2024 and June 30, 2024 are inclusive of short-term debt issuance costs, debt premiums and discounts of $4,887 and $3,492, respectively.</w:t>
      </w:r>
    </w:p>
    <w:p>
      <w:pPr>
        <w:spacing w:after="0" w:line="206" w:lineRule="exact"/>
        <w:rPr>
          <w:sz w:val="20"/>
          <w:szCs w:val="20"/>
          <w:color w:val="auto"/>
        </w:rPr>
      </w:pPr>
    </w:p>
    <w:p>
      <w:pPr>
        <w:ind w:firstLine="623"/>
        <w:spacing w:after="0" w:line="268" w:lineRule="auto"/>
        <w:rPr>
          <w:sz w:val="20"/>
          <w:szCs w:val="20"/>
          <w:color w:val="auto"/>
        </w:rPr>
      </w:pPr>
      <w:r>
        <w:rPr>
          <w:rFonts w:ascii="Arial" w:cs="Arial" w:eastAsia="Arial" w:hAnsi="Arial"/>
          <w:sz w:val="17"/>
          <w:szCs w:val="17"/>
          <w:color w:val="auto"/>
        </w:rPr>
        <w:t>Our various debt arrangements described below contain customary representations, warranties, and events of default. As of December 31, 2024, we were in compliance with all covenants in our debt contracts, including those under our amended and restated senior secured credit agreement dated as of May 17, 2021 (as further amended from time to time, the "Restated Credit Agreement") and the indenture governing our 2032 Notes.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Credit Facility</w:t>
      </w:r>
    </w:p>
    <w:p>
      <w:pPr>
        <w:spacing w:after="0" w:line="207" w:lineRule="exact"/>
        <w:rPr>
          <w:sz w:val="20"/>
          <w:szCs w:val="20"/>
          <w:color w:val="auto"/>
        </w:rPr>
      </w:pPr>
    </w:p>
    <w:p>
      <w:pPr>
        <w:ind w:right="340" w:firstLine="623"/>
        <w:spacing w:after="0" w:line="268" w:lineRule="auto"/>
        <w:rPr>
          <w:sz w:val="20"/>
          <w:szCs w:val="20"/>
          <w:color w:val="auto"/>
        </w:rPr>
      </w:pPr>
      <w:r>
        <w:rPr>
          <w:rFonts w:ascii="Arial" w:cs="Arial" w:eastAsia="Arial" w:hAnsi="Arial"/>
          <w:sz w:val="17"/>
          <w:szCs w:val="17"/>
          <w:color w:val="auto"/>
        </w:rPr>
        <w:t>On December 16, 2024, we amended our Restated Credit Agreement to refinance our Term Loan B, which consists of a tranche denominated in U.S. dollars ("USD Tranche") and as part of the amendment the size of the USD tranche was increased by $48,614, and those proceeds were used to fully repay the previously outstanding tranche denominated in Euros ("Euro Tranche"). The amendment reduced the interest rate margin of the USD Tranche by 50 basis points, from Term SOFR plus 3.00% to Term SOFR plus 2.50%.</w:t>
      </w:r>
    </w:p>
    <w:p>
      <w:pPr>
        <w:spacing w:after="0" w:line="139"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No other material changes were made to the terms of the Term Loan B or the Restated Credit Agreement, and the maturity date of the Term Loan B is still May 17, 2028. As a result of this refinancing transaction, we recognized a loss on extinguishment of debt amounting to $696, which consisted of the non-cash write-off of a portion of unamortized debt discount and deferred financing fees associated with prepaying the Euro Tranche as well as third-party legal fees that were associated with the modification of our debt.</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Restated Credit Agreement consists of the following as of December 31, 2024:</w:t>
      </w:r>
    </w:p>
    <w:p>
      <w:pPr>
        <w:spacing w:after="0" w:line="116" w:lineRule="exact"/>
        <w:rPr>
          <w:sz w:val="20"/>
          <w:szCs w:val="20"/>
          <w:color w:val="auto"/>
        </w:rPr>
      </w:pPr>
    </w:p>
    <w:p>
      <w:pPr>
        <w:ind w:left="620" w:hanging="305"/>
        <w:spacing w:after="0"/>
        <w:tabs>
          <w:tab w:leader="none" w:pos="620" w:val="left"/>
        </w:tabs>
        <w:numPr>
          <w:ilvl w:val="0"/>
          <w:numId w:val="11"/>
        </w:numPr>
        <w:rPr>
          <w:rFonts w:ascii="Arial" w:cs="Arial" w:eastAsia="Arial" w:hAnsi="Arial"/>
          <w:sz w:val="19"/>
          <w:szCs w:val="19"/>
          <w:color w:val="auto"/>
        </w:rPr>
      </w:pPr>
      <w:r>
        <w:rPr>
          <w:rFonts w:ascii="Arial" w:cs="Arial" w:eastAsia="Arial" w:hAnsi="Arial"/>
          <w:sz w:val="17"/>
          <w:szCs w:val="17"/>
          <w:color w:val="auto"/>
        </w:rPr>
        <w:t>a $1,078,222 USD Tranche that bears interest at Term SOFR (with a Term SOFR rate floor of 0.50%) plus 2.50%, and</w:t>
      </w:r>
    </w:p>
    <w:p>
      <w:pPr>
        <w:spacing w:after="0" w:line="15" w:lineRule="exact"/>
        <w:rPr>
          <w:rFonts w:ascii="Arial" w:cs="Arial" w:eastAsia="Arial" w:hAnsi="Arial"/>
          <w:sz w:val="19"/>
          <w:szCs w:val="19"/>
          <w:color w:val="auto"/>
        </w:rPr>
      </w:pPr>
    </w:p>
    <w:p>
      <w:pPr>
        <w:ind w:left="620" w:right="400" w:hanging="305"/>
        <w:spacing w:after="0" w:line="270"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$250,000 senior secured revolving credit facility with a maturity date of September 26, 2029 (the “Revolving Credit Facility”), with no outstanding borrowings for any periods presented.</w:t>
      </w:r>
    </w:p>
    <w:p>
      <w:pPr>
        <w:spacing w:after="0" w:line="1" w:lineRule="exact"/>
        <w:rPr>
          <w:rFonts w:ascii="Arial" w:cs="Arial" w:eastAsia="Arial" w:hAnsi="Arial"/>
          <w:sz w:val="17"/>
          <w:szCs w:val="17"/>
          <w:color w:val="auto"/>
        </w:rPr>
      </w:pPr>
    </w:p>
    <w:p>
      <w:pPr>
        <w:ind w:left="1240" w:right="380" w:hanging="302"/>
        <w:spacing w:after="0" w:line="259" w:lineRule="auto"/>
        <w:tabs>
          <w:tab w:leader="none" w:pos="1236" w:val="left"/>
        </w:tabs>
        <w:numPr>
          <w:ilvl w:val="1"/>
          <w:numId w:val="11"/>
        </w:numPr>
        <w:rPr>
          <w:rFonts w:ascii="Arial" w:cs="Arial" w:eastAsia="Arial" w:hAnsi="Arial"/>
          <w:sz w:val="17"/>
          <w:szCs w:val="17"/>
          <w:color w:val="auto"/>
        </w:rPr>
      </w:pPr>
      <w:r>
        <w:rPr>
          <w:rFonts w:ascii="Arial" w:cs="Arial" w:eastAsia="Arial" w:hAnsi="Arial"/>
          <w:sz w:val="17"/>
          <w:szCs w:val="17"/>
          <w:color w:val="auto"/>
        </w:rPr>
        <w:t>Borrowings under the Revolving Credit Facility bear interest at Term SOFR (with a Term SOFR rate floor of 0%) plus 2.25% to 3.00% depending on the Company’s First Lien Leverage Ratio, a net leverage calculation, as defined in the Restated Credit Agreement.</w:t>
      </w:r>
    </w:p>
    <w:p>
      <w:pPr>
        <w:spacing w:after="0" w:line="172" w:lineRule="exact"/>
        <w:rPr>
          <w:sz w:val="20"/>
          <w:szCs w:val="20"/>
          <w:color w:val="auto"/>
        </w:rPr>
      </w:pPr>
    </w:p>
    <w:p>
      <w:pPr>
        <w:ind w:firstLine="623"/>
        <w:spacing w:after="0" w:line="254" w:lineRule="auto"/>
        <w:rPr>
          <w:sz w:val="20"/>
          <w:szCs w:val="20"/>
          <w:color w:val="auto"/>
        </w:rPr>
      </w:pPr>
      <w:r>
        <w:rPr>
          <w:rFonts w:ascii="Arial" w:cs="Arial" w:eastAsia="Arial" w:hAnsi="Arial"/>
          <w:sz w:val="17"/>
          <w:szCs w:val="17"/>
          <w:color w:val="auto"/>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 then we are subject to a financial maintenance covenant that the First Lien Leverage Ratio calculated as of the last day of such quarter does not exceed 3.25 to 1.00.</w:t>
      </w:r>
    </w:p>
    <w:p>
      <w:pPr>
        <w:spacing w:after="0" w:line="3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2024, the weighted-average interest rate on outstanding borrowings under the Restated Credit Agreement was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6.45%, inclusive of interest rate swap rates. We are also required to pay a commitment fee for our Revolving Credit Facility on unused balances of</w:t>
      </w:r>
    </w:p>
    <w:p>
      <w:pPr>
        <w:spacing w:after="0" w:line="1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0.30% to 0.45% depending on our First Lien Leverage Ratio. We have pledged the assets and/or share capital of a number of our subsidiaries as collateral under our Restated Credit Agreement.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i w:val="1"/>
          <w:iCs w:val="1"/>
          <w:color w:val="auto"/>
        </w:rPr>
        <w:t>Senior Notes</w:t>
      </w:r>
    </w:p>
    <w:p>
      <w:pPr>
        <w:spacing w:after="0" w:line="168" w:lineRule="exact"/>
        <w:rPr>
          <w:sz w:val="20"/>
          <w:szCs w:val="20"/>
          <w:color w:val="auto"/>
        </w:rPr>
      </w:pPr>
    </w:p>
    <w:p>
      <w:pPr>
        <w:ind w:right="80" w:firstLine="623"/>
        <w:spacing w:after="0" w:line="261" w:lineRule="auto"/>
        <w:rPr>
          <w:sz w:val="20"/>
          <w:szCs w:val="20"/>
          <w:color w:val="auto"/>
        </w:rPr>
      </w:pPr>
      <w:r>
        <w:rPr>
          <w:rFonts w:ascii="Arial" w:cs="Arial" w:eastAsia="Arial" w:hAnsi="Arial"/>
          <w:sz w:val="17"/>
          <w:szCs w:val="17"/>
          <w:color w:val="auto"/>
        </w:rPr>
        <w:t>On September 26, 2024, we completed a private placement of $525,000 in aggregate principal amount of 7.375% senior unsecured notes due 2032 (the "2032 Notes"). We issued the 2032 Notes pursuant to a senior notes indenture dated as of September 26, 2024, among Cimpress plc, our subsidiary guarantors, and U.S Bank Trust Company, as trustee (the "Indenture"). We used the net proceeds from the 2032 Notes, together with cash on hand, to redeem all of the outstanding 7.0% senior unsecured notes due 2026 (the "2026 Notes") at a redemption price equal to par of the principal amount, to pay all accrued unpaid interest thereon, and to pay all fees and expenses related to the redemption and offering. As a result of the redemption, we incurred a gain on the extinguishment of debt of $338 which included the write-off of the associated unamortized debt premium of $2,525 which was partially offset by the write-off of unamortized debt issuance costs of $2,187.</w:t>
      </w:r>
    </w:p>
    <w:p>
      <w:pPr>
        <w:spacing w:after="0" w:line="121" w:lineRule="exact"/>
        <w:rPr>
          <w:sz w:val="20"/>
          <w:szCs w:val="20"/>
          <w:color w:val="auto"/>
        </w:rPr>
      </w:pPr>
    </w:p>
    <w:p>
      <w:pPr>
        <w:ind w:right="240" w:firstLine="623"/>
        <w:spacing w:after="0" w:line="275" w:lineRule="auto"/>
        <w:rPr>
          <w:sz w:val="20"/>
          <w:szCs w:val="20"/>
          <w:color w:val="auto"/>
        </w:rPr>
      </w:pPr>
      <w:r>
        <w:rPr>
          <w:rFonts w:ascii="Arial" w:cs="Arial" w:eastAsia="Arial" w:hAnsi="Arial"/>
          <w:sz w:val="17"/>
          <w:szCs w:val="17"/>
          <w:color w:val="auto"/>
        </w:rPr>
        <w:t>The 2032 Notes bear interest at a rate of 7.375% per annum and mature on September 15, 2032. Interest on the 2032 Notes is payable semi-annually on March 15 and September 15 of each year, commencing on March 15, 2025, to the holders of record of the 2032 Notes at the close of business on March 1 or September 1, respectively, preceding such interest payment date.</w:t>
      </w:r>
    </w:p>
    <w:p>
      <w:pPr>
        <w:spacing w:after="0" w:line="107" w:lineRule="exact"/>
        <w:rPr>
          <w:sz w:val="20"/>
          <w:szCs w:val="20"/>
          <w:color w:val="auto"/>
        </w:rPr>
      </w:pPr>
    </w:p>
    <w:p>
      <w:pPr>
        <w:ind w:right="20" w:firstLine="623"/>
        <w:spacing w:after="0" w:line="268" w:lineRule="auto"/>
        <w:rPr>
          <w:sz w:val="20"/>
          <w:szCs w:val="20"/>
          <w:color w:val="auto"/>
        </w:rPr>
      </w:pPr>
      <w:r>
        <w:rPr>
          <w:rFonts w:ascii="Arial" w:cs="Arial" w:eastAsia="Arial" w:hAnsi="Arial"/>
          <w:sz w:val="17"/>
          <w:szCs w:val="17"/>
          <w:color w:val="auto"/>
        </w:rPr>
        <w:t>The 2032 Notes are senior unsecured obligations and rank equally in right of payment to all our existing and future senior unsecured debt and senior in right of payment to all of our existing and future subordinated debt. The 2032 Notes are effectively subordinated to any of our existing and future secured debt to the extent of the value of the assets securing such debt. Subject to certain exceptions, each of our existing and future subsidiaries that is a borrower under or guarantees our senior secured credit facilities guarantees the 2032 Notes.</w:t>
      </w:r>
    </w:p>
    <w:p>
      <w:pPr>
        <w:spacing w:after="0" w:line="191" w:lineRule="exact"/>
        <w:rPr>
          <w:sz w:val="20"/>
          <w:szCs w:val="20"/>
          <w:color w:val="auto"/>
        </w:rPr>
      </w:pPr>
    </w:p>
    <w:p>
      <w:pPr>
        <w:ind w:right="60" w:firstLine="623"/>
        <w:spacing w:after="0" w:line="265" w:lineRule="auto"/>
        <w:rPr>
          <w:sz w:val="20"/>
          <w:szCs w:val="20"/>
          <w:color w:val="auto"/>
        </w:rPr>
      </w:pPr>
      <w:r>
        <w:rPr>
          <w:rFonts w:ascii="Arial" w:cs="Arial" w:eastAsia="Arial" w:hAnsi="Arial"/>
          <w:sz w:val="17"/>
          <w:szCs w:val="17"/>
          <w:color w:val="auto"/>
        </w:rPr>
        <w:t>The Indenture under which the 2032 Notes are issued contains various covenants, including covenants that, subject to certain exceptions, limit our restricted subsidiaries’ ability to: incur and/or guarantee additional debt; pay dividends, repurchase shares or make certain other restricted payments; enter into agreements limiting dividends and certain other restricted payments; prepay, redeem or repurchase subordinated debt; grant liens on assets; merge, consolidate or transfer or dispose of substantially all of our consolidated assets; sell, transfer or otherwise dispose of property and assets; and engage in transactions with affiliates.</w:t>
      </w:r>
    </w:p>
    <w:p>
      <w:pPr>
        <w:spacing w:after="0" w:line="193" w:lineRule="exact"/>
        <w:rPr>
          <w:sz w:val="20"/>
          <w:szCs w:val="20"/>
          <w:color w:val="auto"/>
        </w:rPr>
      </w:pPr>
    </w:p>
    <w:p>
      <w:pPr>
        <w:ind w:firstLine="623"/>
        <w:spacing w:after="0" w:line="260" w:lineRule="auto"/>
        <w:rPr>
          <w:sz w:val="20"/>
          <w:szCs w:val="20"/>
          <w:color w:val="auto"/>
        </w:rPr>
      </w:pPr>
      <w:r>
        <w:rPr>
          <w:rFonts w:ascii="Arial" w:cs="Arial" w:eastAsia="Arial" w:hAnsi="Arial"/>
          <w:sz w:val="17"/>
          <w:szCs w:val="17"/>
          <w:color w:val="auto"/>
        </w:rPr>
        <w:t>At any time prior to September 15, 2027, we may redeem some or all of the 2032 Notes at a redemption price equal to 100% of the principal amount redeemed, plus a make-whole amount as set forth in the Indenture, plus, in each case, accrued and unpaid interest and Additional Amounts (as defined in the Indenture), if any, to, but not including, the redemption date. In addition, at any time prior to September 15, 2027, Cimpress may on any one or more occasions redeem up to 40% of the original aggregate principal amount of the Notes with the net proceeds of certain equity offerings by Cimpress at a redemption price equal to 107.375% of the principal amount thereof, plus accrued and unpaid interest and Additional Amounts, if any (which accrued and unpaid interest and Additional Amounts need not be funded with such proceeds), to, but not including, the redemption date. At any time on or after September 15, 2027, Cimpress may redeem some or all of the Notes at the redemption prices specified in the Indenture, plus accrued and unpaid interest and Additional Amounts, if any, to, but not including, the redemption date.</w:t>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Debt</w:t>
      </w:r>
    </w:p>
    <w:p>
      <w:pPr>
        <w:spacing w:after="0" w:line="194" w:lineRule="exact"/>
        <w:rPr>
          <w:sz w:val="20"/>
          <w:szCs w:val="20"/>
          <w:color w:val="auto"/>
        </w:rPr>
      </w:pPr>
    </w:p>
    <w:p>
      <w:pPr>
        <w:ind w:right="400" w:firstLine="623"/>
        <w:spacing w:after="0" w:line="275" w:lineRule="auto"/>
        <w:rPr>
          <w:sz w:val="20"/>
          <w:szCs w:val="20"/>
          <w:color w:val="auto"/>
        </w:rPr>
      </w:pPr>
      <w:r>
        <w:rPr>
          <w:rFonts w:ascii="Arial" w:cs="Arial" w:eastAsia="Arial" w:hAnsi="Arial"/>
          <w:sz w:val="17"/>
          <w:szCs w:val="17"/>
          <w:color w:val="auto"/>
        </w:rPr>
        <w:t>Other debt consists primarily of term loans acquired through our various acquisitions or used to fund certain capital investments. As of December 31, 2024 and June 30, 2024, we had $7,241 and $9,845, respectively, outstanding for those obligations that are payable through September 2027.</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196" w:lineRule="exact"/>
        <w:rPr>
          <w:sz w:val="20"/>
          <w:szCs w:val="20"/>
          <w:color w:val="auto"/>
        </w:rPr>
      </w:pPr>
    </w:p>
    <w:p>
      <w:pPr>
        <w:ind w:right="120" w:firstLine="623"/>
        <w:spacing w:after="0" w:line="261" w:lineRule="auto"/>
        <w:rPr>
          <w:sz w:val="20"/>
          <w:szCs w:val="20"/>
          <w:color w:val="auto"/>
        </w:rPr>
      </w:pPr>
      <w:r>
        <w:rPr>
          <w:rFonts w:ascii="Arial" w:cs="Arial" w:eastAsia="Arial" w:hAnsi="Arial"/>
          <w:sz w:val="17"/>
          <w:szCs w:val="17"/>
          <w:color w:val="auto"/>
        </w:rPr>
        <w:t>Our income tax expense was $ 21,151 and $30,146 for the three and six months ended December 31, 2024, respectively, as compared to $16,795 and $24,917 for the three and six months ended December 31, 2023, respectively. Income tax expense increased versus the prior comparative periods due to an increased full-year forecasted effective tax rate. Excluding the effect of discrete tax adjustments, our estimated annual effective tax rate is higher for fiscal year 2025 than for fiscal year 2024 primarily due to increased Swiss tax as in the prior comparative periods we had a full valuation allowance in Switzerland, which was partially released in the quarter ended June 30, 2024. Our effective tax rate continues to be negatively impacted by losses in certain jurisdictions where we are unable to recognize a tax benefit in the current period. These losses with no tax benefit were excluded in calculating income tax expense for the three and six months ended December 31, 2024 and 2023, in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21" w:name="page22"/>
    <w:bookmarkEnd w:id="21"/>
    <w:p>
      <w:pPr>
        <w:ind w:right="260"/>
        <w:spacing w:after="0" w:line="295" w:lineRule="auto"/>
        <w:rPr>
          <w:sz w:val="20"/>
          <w:szCs w:val="20"/>
          <w:color w:val="auto"/>
        </w:rPr>
      </w:pPr>
      <w:r>
        <w:rPr>
          <w:rFonts w:ascii="Arial" w:cs="Arial" w:eastAsia="Arial" w:hAnsi="Arial"/>
          <w:sz w:val="17"/>
          <w:szCs w:val="17"/>
          <w:color w:val="auto"/>
        </w:rPr>
        <w:t>accordance with GAAP. We continuously analyze our valuation allowance positions and the weight of objective and verifiable evidence of actual results against the more subjective evidence of anticipated future income.</w:t>
      </w:r>
    </w:p>
    <w:p>
      <w:pPr>
        <w:spacing w:after="0" w:line="168"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As of December 31, 2024 we had unrecognized tax benefits of $16,858, including accrued interest and penalties of $2,356. We recognize interest and, if applicable, penalties related to unrecognized tax benefits in the provision for income taxes. If recognized, $6,809 of unrecognized tax benefits would reduce our tax expense. It is reasonably possible that a reduction in unrecognized tax benefits may occur within the next twelve months in the range of $6,400 to $6,900 related to the lapse of applicable statutes of limitations or settlement. We believe we have appropriately provided for all tax uncertainties.</w:t>
      </w:r>
    </w:p>
    <w:p>
      <w:pPr>
        <w:spacing w:after="0" w:line="167" w:lineRule="exact"/>
        <w:rPr>
          <w:sz w:val="20"/>
          <w:szCs w:val="20"/>
          <w:color w:val="auto"/>
        </w:rPr>
      </w:pPr>
    </w:p>
    <w:p>
      <w:pPr>
        <w:ind w:right="140" w:firstLine="623"/>
        <w:spacing w:after="0" w:line="263" w:lineRule="auto"/>
        <w:rPr>
          <w:sz w:val="20"/>
          <w:szCs w:val="20"/>
          <w:color w:val="auto"/>
        </w:rPr>
      </w:pPr>
      <w:r>
        <w:rPr>
          <w:rFonts w:ascii="Arial" w:cs="Arial" w:eastAsia="Arial" w:hAnsi="Arial"/>
          <w:sz w:val="17"/>
          <w:szCs w:val="17"/>
          <w:color w:val="auto"/>
        </w:rPr>
        <w:t>We conduct business in a number of tax jurisdictions and, as such, are required to file income tax returns in multiple jurisdictions globally. The years 2014 through 2024 remain open for examination by the U.S. Internal Revenue Service and the years 2015 through 2024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spacing w:after="0" w:line="192" w:lineRule="exact"/>
        <w:rPr>
          <w:sz w:val="20"/>
          <w:szCs w:val="20"/>
          <w:color w:val="auto"/>
        </w:rPr>
      </w:pPr>
    </w:p>
    <w:p>
      <w:pPr>
        <w:ind w:right="8160" w:firstLine="4"/>
        <w:spacing w:after="0" w:line="471" w:lineRule="auto"/>
        <w:tabs>
          <w:tab w:leader="none" w:pos="289"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Noncontrolling Interests Redeemable Noncontrolling Interests</w:t>
      </w:r>
    </w:p>
    <w:p>
      <w:pPr>
        <w:spacing w:after="0" w:line="1" w:lineRule="exact"/>
        <w:rPr>
          <w:sz w:val="20"/>
          <w:szCs w:val="20"/>
          <w:color w:val="auto"/>
        </w:rPr>
      </w:pPr>
    </w:p>
    <w:p>
      <w:pPr>
        <w:ind w:right="100" w:firstLine="623"/>
        <w:spacing w:after="0" w:line="295" w:lineRule="auto"/>
        <w:rPr>
          <w:sz w:val="20"/>
          <w:szCs w:val="20"/>
          <w:color w:val="auto"/>
        </w:rPr>
      </w:pPr>
      <w:r>
        <w:rPr>
          <w:rFonts w:ascii="Arial" w:cs="Arial" w:eastAsia="Arial" w:hAnsi="Arial"/>
          <w:sz w:val="17"/>
          <w:szCs w:val="17"/>
          <w:color w:val="auto"/>
        </w:rPr>
        <w:t>For some of our subsidiaries, we own a controlling equity stake, and a third party or key members of the business management team own a minority portion of the equity. These noncontrolling interests span multiple businesses and reportable segments.</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reconciliation of changes in our noncontrolling interests: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Redeemable</w:t>
            </w:r>
          </w:p>
        </w:tc>
        <w:tc>
          <w:tcPr>
            <w:tcW w:w="140" w:type="dxa"/>
            <w:vAlign w:val="bottom"/>
          </w:tcPr>
          <w:p>
            <w:pPr>
              <w:spacing w:after="0"/>
              <w:rPr>
                <w:sz w:val="12"/>
                <w:szCs w:val="12"/>
                <w:color w:val="auto"/>
              </w:rPr>
            </w:pPr>
          </w:p>
        </w:tc>
        <w:tc>
          <w:tcPr>
            <w:tcW w:w="1120" w:type="dxa"/>
            <w:vAlign w:val="bottom"/>
            <w:vMerge w:val="restart"/>
          </w:tcPr>
          <w:p>
            <w:pPr>
              <w:jc w:val="right"/>
              <w:ind w:right="126"/>
              <w:spacing w:after="0"/>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117"/>
        </w:trPr>
        <w:tc>
          <w:tcPr>
            <w:tcW w:w="8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rPr>
              <w:t>Noncontrolling</w:t>
            </w: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Interest</w:t>
            </w:r>
          </w:p>
        </w:tc>
        <w:tc>
          <w:tcPr>
            <w:tcW w:w="140" w:type="dxa"/>
            <w:vAlign w:val="bottom"/>
          </w:tcPr>
          <w:p>
            <w:pPr>
              <w:spacing w:after="0"/>
              <w:rPr>
                <w:sz w:val="15"/>
                <w:szCs w:val="15"/>
                <w:color w:val="auto"/>
              </w:rPr>
            </w:pPr>
          </w:p>
        </w:tc>
        <w:tc>
          <w:tcPr>
            <w:tcW w:w="1120" w:type="dxa"/>
            <w:vAlign w:val="bottom"/>
          </w:tcPr>
          <w:p>
            <w:pPr>
              <w:jc w:val="right"/>
              <w:ind w:right="346"/>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205"/>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Accretion to redemption value recognized in retained earnings (1)</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Purchase of noncontrolling interest (2)</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2"/>
        </w:trPr>
        <w:tc>
          <w:tcPr>
            <w:tcW w:w="8600" w:type="dxa"/>
            <w:vAlign w:val="bottom"/>
          </w:tcPr>
          <w:p>
            <w:pPr>
              <w:ind w:left="20"/>
              <w:spacing w:after="0"/>
              <w:rPr>
                <w:sz w:val="20"/>
                <w:szCs w:val="20"/>
                <w:color w:val="auto"/>
              </w:rPr>
            </w:pPr>
            <w:r>
              <w:rPr>
                <w:rFonts w:ascii="Arial" w:cs="Arial" w:eastAsia="Arial" w:hAnsi="Arial"/>
                <w:sz w:val="16"/>
                <w:szCs w:val="16"/>
                <w:color w:val="auto"/>
              </w:rPr>
              <w:t>Balance as of December 31, 2024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18,710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7" w:lineRule="exact"/>
        <w:rPr>
          <w:sz w:val="20"/>
          <w:szCs w:val="20"/>
          <w:color w:val="auto"/>
        </w:rPr>
      </w:pPr>
    </w:p>
    <w:p>
      <w:pPr>
        <w:ind w:left="240" w:right="340" w:hanging="236"/>
        <w:spacing w:after="0" w:line="251" w:lineRule="auto"/>
        <w:tabs>
          <w:tab w:leader="none" w:pos="214" w:val="left"/>
        </w:tabs>
        <w:numPr>
          <w:ilvl w:val="0"/>
          <w:numId w:val="13"/>
        </w:numPr>
        <w:rPr>
          <w:rFonts w:ascii="Arial" w:cs="Arial" w:eastAsia="Arial" w:hAnsi="Arial"/>
          <w:sz w:val="14"/>
          <w:szCs w:val="14"/>
          <w:color w:val="auto"/>
        </w:rPr>
      </w:pPr>
      <w:r>
        <w:rPr>
          <w:rFonts w:ascii="Arial" w:cs="Arial" w:eastAsia="Arial" w:hAnsi="Arial"/>
          <w:sz w:val="14"/>
          <w:szCs w:val="14"/>
          <w:color w:val="auto"/>
        </w:rPr>
        <w:t>Accretion of redeemable noncontrolling interests to redemption value recognized in retained earnings is the result of changes in the estimated redemption amount to the extent increases do not exceed the estimated fair value. Any change in the estimated redemption amount which exceeds the estimated fair value is recognized within net income attributable to noncontrolling interests.</w:t>
      </w:r>
    </w:p>
    <w:p>
      <w:pPr>
        <w:spacing w:after="0" w:line="1" w:lineRule="exact"/>
        <w:rPr>
          <w:rFonts w:ascii="Arial" w:cs="Arial" w:eastAsia="Arial" w:hAnsi="Arial"/>
          <w:sz w:val="14"/>
          <w:szCs w:val="14"/>
          <w:color w:val="auto"/>
        </w:rPr>
      </w:pPr>
    </w:p>
    <w:p>
      <w:pPr>
        <w:ind w:left="240" w:right="320" w:hanging="236"/>
        <w:spacing w:after="0" w:line="302" w:lineRule="auto"/>
        <w:tabs>
          <w:tab w:leader="none" w:pos="214" w:val="left"/>
        </w:tabs>
        <w:numPr>
          <w:ilvl w:val="0"/>
          <w:numId w:val="13"/>
        </w:numPr>
        <w:rPr>
          <w:rFonts w:ascii="Arial" w:cs="Arial" w:eastAsia="Arial" w:hAnsi="Arial"/>
          <w:sz w:val="13"/>
          <w:szCs w:val="13"/>
          <w:color w:val="auto"/>
        </w:rPr>
      </w:pPr>
      <w:r>
        <w:rPr>
          <w:rFonts w:ascii="Arial" w:cs="Arial" w:eastAsia="Arial" w:hAnsi="Arial"/>
          <w:sz w:val="13"/>
          <w:szCs w:val="13"/>
          <w:color w:val="auto"/>
        </w:rPr>
        <w:t>During the current quarter, we purchased 49% of the remaining equity interest in one of the smaller businesses previously acquired and included in our PrintBrothers reportable segment for a total purchase price of $4,579, which consisted of $4,059 of cash paid at closing, and $520 of a deferred payment that is payable in fiscal year 2029.</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Segment Information</w:t>
      </w:r>
    </w:p>
    <w:p>
      <w:pPr>
        <w:spacing w:after="0" w:line="209" w:lineRule="exact"/>
        <w:rPr>
          <w:sz w:val="20"/>
          <w:szCs w:val="20"/>
          <w:color w:val="auto"/>
        </w:rPr>
      </w:pPr>
    </w:p>
    <w:p>
      <w:pPr>
        <w:jc w:val="both"/>
        <w:ind w:right="620" w:firstLine="623"/>
        <w:spacing w:after="0" w:line="275" w:lineRule="auto"/>
        <w:rPr>
          <w:sz w:val="20"/>
          <w:szCs w:val="20"/>
          <w:color w:val="auto"/>
        </w:rPr>
      </w:pPr>
      <w:r>
        <w:rPr>
          <w:rFonts w:ascii="Arial" w:cs="Arial" w:eastAsia="Arial" w:hAnsi="Arial"/>
          <w:sz w:val="17"/>
          <w:szCs w:val="17"/>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w:t>
      </w:r>
    </w:p>
    <w:p>
      <w:pPr>
        <w:spacing w:after="0" w:line="133" w:lineRule="exact"/>
        <w:rPr>
          <w:sz w:val="20"/>
          <w:szCs w:val="20"/>
          <w:color w:val="auto"/>
        </w:rPr>
      </w:pPr>
    </w:p>
    <w:p>
      <w:pPr>
        <w:ind w:right="280" w:firstLine="623"/>
        <w:spacing w:after="0" w:line="295" w:lineRule="auto"/>
        <w:rPr>
          <w:sz w:val="20"/>
          <w:szCs w:val="20"/>
          <w:color w:val="auto"/>
        </w:rPr>
      </w:pPr>
      <w:r>
        <w:rPr>
          <w:rFonts w:ascii="Arial" w:cs="Arial" w:eastAsia="Arial" w:hAnsi="Arial"/>
          <w:sz w:val="17"/>
          <w:szCs w:val="17"/>
          <w:color w:val="auto"/>
        </w:rPr>
        <w:t>As of December 31, 2024, we have numerous operating segments under our management reporting structure which are reported in the following five reportable segments:</w:t>
      </w:r>
    </w:p>
    <w:p>
      <w:pPr>
        <w:spacing w:after="0" w:line="130" w:lineRule="exact"/>
        <w:rPr>
          <w:sz w:val="20"/>
          <w:szCs w:val="20"/>
          <w:color w:val="auto"/>
        </w:rPr>
      </w:pPr>
    </w:p>
    <w:p>
      <w:pPr>
        <w:ind w:left="620" w:right="20" w:hanging="305"/>
        <w:spacing w:after="0" w:line="268"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Vista </w:t>
      </w:r>
      <w:r>
        <w:rPr>
          <w:rFonts w:ascii="Arial" w:cs="Arial" w:eastAsia="Arial" w:hAnsi="Arial"/>
          <w:sz w:val="17"/>
          <w:szCs w:val="17"/>
          <w:color w:val="auto"/>
        </w:rPr>
        <w:t>- Consists of the operations of our VistaPrint branded websites in North America, Western Europe, Australia, New Zealand, India,</w:t>
      </w:r>
      <w:r>
        <w:rPr>
          <w:rFonts w:ascii="Arial" w:cs="Arial" w:eastAsia="Arial" w:hAnsi="Arial"/>
          <w:sz w:val="17"/>
          <w:szCs w:val="17"/>
          <w:i w:val="1"/>
          <w:iCs w:val="1"/>
          <w:color w:val="auto"/>
        </w:rPr>
        <w:t xml:space="preserve"> </w:t>
      </w:r>
      <w:r>
        <w:rPr>
          <w:rFonts w:ascii="Arial" w:cs="Arial" w:eastAsia="Arial" w:hAnsi="Arial"/>
          <w:sz w:val="17"/>
          <w:szCs w:val="17"/>
          <w:color w:val="auto"/>
        </w:rPr>
        <w:t>and Singapore. This business also includes our 99designs by Vista business, which provides graphic design services, VistaCreate for do-it-yourself (DIY) design, our Vista x Wix partnership for small business websites, and our Vista Corporate Solutions business, which serves medium-sized businesses and large corporations.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2" w:name="page23"/>
    <w:bookmarkEnd w:id="22"/>
    <w:p>
      <w:pPr>
        <w:ind w:left="620" w:right="520" w:hanging="305"/>
        <w:spacing w:after="0" w:line="29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PrintBrothers </w:t>
      </w:r>
      <w:r>
        <w:rPr>
          <w:rFonts w:ascii="Arial" w:cs="Arial" w:eastAsia="Arial" w:hAnsi="Arial"/>
          <w:sz w:val="17"/>
          <w:szCs w:val="17"/>
          <w:color w:val="auto"/>
        </w:rPr>
        <w:t>- Includes the results of druck.at, Printdeal, and WIRmachenDRUCK, a group of Upload &amp; Print businesses that serve</w:t>
      </w:r>
      <w:r>
        <w:rPr>
          <w:rFonts w:ascii="Arial" w:cs="Arial" w:eastAsia="Arial" w:hAnsi="Arial"/>
          <w:sz w:val="17"/>
          <w:szCs w:val="17"/>
          <w:i w:val="1"/>
          <w:iCs w:val="1"/>
          <w:color w:val="auto"/>
        </w:rPr>
        <w:t xml:space="preserve"> </w:t>
      </w:r>
      <w:r>
        <w:rPr>
          <w:rFonts w:ascii="Arial" w:cs="Arial" w:eastAsia="Arial" w:hAnsi="Arial"/>
          <w:sz w:val="17"/>
          <w:szCs w:val="17"/>
          <w:color w:val="auto"/>
        </w:rPr>
        <w:t>graphic professionals throughout Europe, primarily in Austria, Belgium, Germany, the Netherlands, and Switzerland.</w:t>
      </w:r>
    </w:p>
    <w:p>
      <w:pPr>
        <w:spacing w:after="0" w:line="116" w:lineRule="exact"/>
        <w:rPr>
          <w:rFonts w:ascii="Arial" w:cs="Arial" w:eastAsia="Arial" w:hAnsi="Arial"/>
          <w:sz w:val="17"/>
          <w:szCs w:val="17"/>
          <w:color w:val="auto"/>
        </w:rPr>
      </w:pPr>
    </w:p>
    <w:p>
      <w:pPr>
        <w:ind w:left="620" w:right="840" w:hanging="305"/>
        <w:spacing w:after="0" w:line="29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The Print Group </w:t>
      </w:r>
      <w:r>
        <w:rPr>
          <w:rFonts w:ascii="Arial" w:cs="Arial" w:eastAsia="Arial" w:hAnsi="Arial"/>
          <w:sz w:val="17"/>
          <w:szCs w:val="17"/>
          <w:color w:val="auto"/>
        </w:rPr>
        <w:t>- Includes the results of Easyflyer, Exaprint, Packstyle, Pixartprinting, and Tradeprint, a group of Upload &amp; Print</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that serve graphic professionals throughout Europe, primarily in France, Italy, Spain, and the United Kingdom.</w:t>
      </w:r>
    </w:p>
    <w:p>
      <w:pPr>
        <w:spacing w:after="0" w:line="129" w:lineRule="exact"/>
        <w:rPr>
          <w:rFonts w:ascii="Arial" w:cs="Arial" w:eastAsia="Arial" w:hAnsi="Arial"/>
          <w:sz w:val="17"/>
          <w:szCs w:val="17"/>
          <w:color w:val="auto"/>
        </w:rPr>
      </w:pPr>
    </w:p>
    <w:p>
      <w:pPr>
        <w:ind w:left="620" w:right="180" w:hanging="305"/>
        <w:spacing w:after="0" w:line="27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National Pen </w:t>
      </w:r>
      <w:r>
        <w:rPr>
          <w:rFonts w:ascii="Arial" w:cs="Arial" w:eastAsia="Arial" w:hAnsi="Arial"/>
          <w:sz w:val="17"/>
          <w:szCs w:val="17"/>
          <w:color w:val="auto"/>
        </w:rPr>
        <w:t>- Serves small businesses across geographies including North America, Europe, and Australia. The pens.com branded</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sells through their ecommerce site and is supported by digital marketing methods as well as direct mail and telesales. National Pen focuses on customized writing instruments and promotional products, apparel, and gifts for small- and medium-sized businesses.</w:t>
      </w:r>
    </w:p>
    <w:p>
      <w:pPr>
        <w:spacing w:after="0" w:line="145" w:lineRule="exact"/>
        <w:rPr>
          <w:rFonts w:ascii="Arial" w:cs="Arial" w:eastAsia="Arial" w:hAnsi="Arial"/>
          <w:sz w:val="17"/>
          <w:szCs w:val="17"/>
          <w:color w:val="auto"/>
        </w:rPr>
      </w:pPr>
    </w:p>
    <w:p>
      <w:pPr>
        <w:ind w:left="620" w:hanging="305"/>
        <w:spacing w:after="0"/>
        <w:tabs>
          <w:tab w:leader="none" w:pos="62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All Other Businesses </w:t>
      </w:r>
      <w:r>
        <w:rPr>
          <w:rFonts w:ascii="Arial" w:cs="Arial" w:eastAsia="Arial" w:hAnsi="Arial"/>
          <w:sz w:val="17"/>
          <w:szCs w:val="17"/>
          <w:color w:val="auto"/>
        </w:rPr>
        <w:t>- Includes two businesses grouped together based on materiality.</w:t>
      </w:r>
    </w:p>
    <w:p>
      <w:pPr>
        <w:spacing w:after="0" w:line="64" w:lineRule="exact"/>
        <w:rPr>
          <w:rFonts w:ascii="Arial" w:cs="Arial" w:eastAsia="Arial" w:hAnsi="Arial"/>
          <w:sz w:val="17"/>
          <w:szCs w:val="17"/>
          <w:i w:val="1"/>
          <w:iCs w:val="1"/>
          <w:color w:val="auto"/>
        </w:rPr>
      </w:pPr>
    </w:p>
    <w:p>
      <w:pPr>
        <w:ind w:left="1240" w:hanging="302"/>
        <w:spacing w:after="0"/>
        <w:tabs>
          <w:tab w:leader="none" w:pos="1240" w:val="left"/>
        </w:tabs>
        <w:numPr>
          <w:ilvl w:val="1"/>
          <w:numId w:val="15"/>
        </w:numPr>
        <w:rPr>
          <w:rFonts w:ascii="Arial" w:cs="Arial" w:eastAsia="Arial" w:hAnsi="Arial"/>
          <w:sz w:val="17"/>
          <w:szCs w:val="17"/>
          <w:b w:val="1"/>
          <w:bCs w:val="1"/>
          <w:color w:val="auto"/>
        </w:rPr>
      </w:pPr>
      <w:r>
        <w:rPr>
          <w:rFonts w:ascii="Arial" w:cs="Arial" w:eastAsia="Arial" w:hAnsi="Arial"/>
          <w:sz w:val="17"/>
          <w:szCs w:val="17"/>
          <w:color w:val="auto"/>
        </w:rPr>
        <w:t>BuildASign is a provider of canvas-print wall décor, business signage and other large-format printed products.</w:t>
      </w:r>
    </w:p>
    <w:p>
      <w:pPr>
        <w:spacing w:after="0" w:line="64" w:lineRule="exact"/>
        <w:rPr>
          <w:rFonts w:ascii="Arial" w:cs="Arial" w:eastAsia="Arial" w:hAnsi="Arial"/>
          <w:sz w:val="17"/>
          <w:szCs w:val="17"/>
          <w:b w:val="1"/>
          <w:bCs w:val="1"/>
          <w:color w:val="auto"/>
        </w:rPr>
      </w:pPr>
    </w:p>
    <w:p>
      <w:pPr>
        <w:ind w:left="1240" w:hanging="302"/>
        <w:spacing w:after="0"/>
        <w:tabs>
          <w:tab w:leader="none" w:pos="1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Printi, a smaller business that is an online printing leader in Brazil.</w:t>
      </w:r>
    </w:p>
    <w:p>
      <w:pPr>
        <w:spacing w:after="0" w:line="298" w:lineRule="exact"/>
        <w:rPr>
          <w:sz w:val="20"/>
          <w:szCs w:val="20"/>
          <w:color w:val="auto"/>
        </w:rPr>
      </w:pPr>
    </w:p>
    <w:p>
      <w:pPr>
        <w:ind w:firstLine="623"/>
        <w:spacing w:after="0" w:line="248" w:lineRule="auto"/>
        <w:rPr>
          <w:sz w:val="20"/>
          <w:szCs w:val="20"/>
          <w:color w:val="auto"/>
        </w:rPr>
      </w:pPr>
      <w:r>
        <w:rPr>
          <w:rFonts w:ascii="Arial" w:cs="Arial" w:eastAsia="Arial" w:hAnsi="Arial"/>
          <w:sz w:val="17"/>
          <w:szCs w:val="17"/>
          <w:color w:val="auto"/>
        </w:rPr>
        <w:t>For purposes of measuring and reporting our segment financial performance, we implemented changes to the methodology used for inter-segment transactions during the first quarter of fiscal 2025. These transactions occur when one Cimpress business chooses to buy from or sell to another Cimpress business. Under the new approach, a merchant business (the buyer) is cross charged the actual cost of fulfillment that includes product (e.g., labor, materials and overhead allocation) and shipping costs. A fulfiller business (the seller) receives inter-segment revenue that includes the product costs plus a markup, as well as the shipping costs. The fulfiller profit is included in the fulfiller’s segment results, but eliminated from consolidated reporting through an inter-segment EBITDA elimination</w:t>
      </w:r>
      <w:r>
        <w:rPr>
          <w:rFonts w:ascii="Times New Roman" w:cs="Times New Roman" w:eastAsia="Times New Roman" w:hAnsi="Times New Roman"/>
          <w:sz w:val="15"/>
          <w:szCs w:val="15"/>
          <w:color w:val="auto"/>
        </w:rPr>
        <w:t>.</w:t>
      </w:r>
      <w:r>
        <w:rPr>
          <w:rFonts w:ascii="Arial" w:cs="Arial" w:eastAsia="Arial" w:hAnsi="Arial"/>
          <w:sz w:val="17"/>
          <w:szCs w:val="17"/>
          <w:color w:val="auto"/>
        </w:rPr>
        <w:t xml:space="preserve"> The new approach allows our merchant businesses to access the ultimate Cimpress cost of fulfillment for a given product and therefore that ultimate Cimpress cost can be used to determine pricing, advertising spend, and other operational decisions. Prior to this change, inter-segment transactions were based on marked-up pricing that resulted in the merchant business recognizing inter-segment cost of goods sold that was equal to inter-segment revenue that were recognized by the fulfiller business, as such there was no inter-segment EBITDA elimination under our prior method. We have recast all prior periods presented for segment revenue and segment EBITDA to ensure comparability with the current fiscal year. These changes in methodology have no impact on our consolidated financial results.</w:t>
      </w:r>
    </w:p>
    <w:p>
      <w:pPr>
        <w:spacing w:after="0" w:line="361" w:lineRule="exact"/>
        <w:rPr>
          <w:sz w:val="20"/>
          <w:szCs w:val="20"/>
          <w:color w:val="auto"/>
        </w:rPr>
      </w:pPr>
    </w:p>
    <w:p>
      <w:pPr>
        <w:ind w:right="220" w:firstLine="623"/>
        <w:spacing w:after="0" w:line="265"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41" w:lineRule="exact"/>
        <w:rPr>
          <w:sz w:val="20"/>
          <w:szCs w:val="20"/>
          <w:color w:val="auto"/>
        </w:rPr>
      </w:pPr>
    </w:p>
    <w:p>
      <w:pPr>
        <w:ind w:right="80" w:firstLine="623"/>
        <w:spacing w:after="0" w:line="268" w:lineRule="auto"/>
        <w:rPr>
          <w:sz w:val="20"/>
          <w:szCs w:val="20"/>
          <w:color w:val="auto"/>
        </w:rPr>
      </w:pPr>
      <w:r>
        <w:rPr>
          <w:rFonts w:ascii="Arial" w:cs="Arial" w:eastAsia="Arial" w:hAnsi="Arial"/>
          <w:sz w:val="17"/>
          <w:szCs w:val="17"/>
          <w:color w:val="auto"/>
        </w:rPr>
        <w:t>The expense value of our PSU awards is based on fair value and is required to be expensed on an accelerated basis. In order to ensure comparability in measuring our businesses' results, we allocate the straight-line portion of the fixed grant value to our businesses. Any expense in excess of this amount as a result of the fair value measurement of the PSUs and the accelerated expense profile of the awards is recognized within central and corporate costs.</w:t>
      </w:r>
    </w:p>
    <w:p>
      <w:pPr>
        <w:spacing w:after="0" w:line="152" w:lineRule="exact"/>
        <w:rPr>
          <w:sz w:val="20"/>
          <w:szCs w:val="20"/>
          <w:color w:val="auto"/>
        </w:rPr>
      </w:pPr>
    </w:p>
    <w:p>
      <w:pPr>
        <w:ind w:right="300" w:firstLine="623"/>
        <w:spacing w:after="0" w:line="265" w:lineRule="auto"/>
        <w:rPr>
          <w:sz w:val="20"/>
          <w:szCs w:val="20"/>
          <w:color w:val="auto"/>
        </w:rPr>
      </w:pPr>
      <w:r>
        <w:rPr>
          <w:rFonts w:ascii="Arial" w:cs="Arial" w:eastAsia="Arial" w:hAnsi="Arial"/>
          <w:sz w:val="17"/>
          <w:szCs w:val="17"/>
          <w:color w:val="auto"/>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spacing w:after="0" w:line="154" w:lineRule="exact"/>
        <w:rPr>
          <w:sz w:val="20"/>
          <w:szCs w:val="20"/>
          <w:color w:val="auto"/>
        </w:rPr>
      </w:pPr>
    </w:p>
    <w:p>
      <w:pPr>
        <w:ind w:right="100" w:firstLine="623"/>
        <w:spacing w:after="0" w:line="295" w:lineRule="auto"/>
        <w:rPr>
          <w:sz w:val="20"/>
          <w:szCs w:val="20"/>
          <w:color w:val="auto"/>
        </w:rPr>
      </w:pPr>
      <w:r>
        <w:rPr>
          <w:rFonts w:ascii="Arial" w:cs="Arial" w:eastAsia="Arial" w:hAnsi="Arial"/>
          <w:sz w:val="17"/>
          <w:szCs w:val="17"/>
          <w:color w:val="auto"/>
        </w:rPr>
        <w:t>Our balance sheet information is not presented to the CODM on an allocated basis, and therefore we do not present asset information by segment. We do present other segment information to the CODM, which includes</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23" w:name="page24"/>
    <w:bookmarkEnd w:id="23"/>
    <w:p>
      <w:pPr>
        <w:ind w:right="20"/>
        <w:spacing w:after="0" w:line="295" w:lineRule="auto"/>
        <w:rPr>
          <w:sz w:val="20"/>
          <w:szCs w:val="20"/>
          <w:color w:val="auto"/>
        </w:rPr>
      </w:pPr>
      <w:r>
        <w:rPr>
          <w:rFonts w:ascii="Arial" w:cs="Arial" w:eastAsia="Arial" w:hAnsi="Arial"/>
          <w:sz w:val="17"/>
          <w:szCs w:val="17"/>
          <w:color w:val="auto"/>
        </w:rPr>
        <w:t>purchases of property, plant and equipment and capitalization of software and website development costs, and therefore include that information in the tables below.</w:t>
      </w:r>
    </w:p>
    <w:p>
      <w:pPr>
        <w:spacing w:after="0" w:line="117" w:lineRule="exact"/>
        <w:rPr>
          <w:sz w:val="20"/>
          <w:szCs w:val="20"/>
          <w:color w:val="auto"/>
        </w:rPr>
      </w:pPr>
    </w:p>
    <w:p>
      <w:pPr>
        <w:ind w:firstLine="623"/>
        <w:spacing w:after="0" w:line="287" w:lineRule="auto"/>
        <w:rPr>
          <w:sz w:val="20"/>
          <w:szCs w:val="20"/>
          <w:color w:val="auto"/>
        </w:rPr>
      </w:pPr>
      <w:r>
        <w:rPr>
          <w:rFonts w:ascii="Arial" w:cs="Arial" w:eastAsia="Arial" w:hAnsi="Arial"/>
          <w:sz w:val="17"/>
          <w:szCs w:val="17"/>
          <w:color w:val="auto"/>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440" w:type="dxa"/>
            <w:vAlign w:val="bottom"/>
            <w:gridSpan w:val="6"/>
          </w:tcPr>
          <w:p>
            <w:pPr>
              <w:ind w:left="660"/>
              <w:spacing w:after="0"/>
              <w:rPr>
                <w:sz w:val="20"/>
                <w:szCs w:val="20"/>
                <w:color w:val="auto"/>
              </w:rPr>
            </w:pPr>
            <w:r>
              <w:rPr>
                <w:rFonts w:ascii="Arial" w:cs="Arial" w:eastAsia="Arial" w:hAnsi="Arial"/>
                <w:sz w:val="12"/>
                <w:szCs w:val="12"/>
                <w:b w:val="1"/>
                <w:bCs w:val="1"/>
                <w:color w:val="auto"/>
              </w:rPr>
              <w:t>Three Months Ended December 31,</w:t>
            </w:r>
          </w:p>
        </w:tc>
        <w:tc>
          <w:tcPr>
            <w:tcW w:w="380" w:type="dxa"/>
            <w:vAlign w:val="bottom"/>
          </w:tcPr>
          <w:p>
            <w:pPr>
              <w:spacing w:after="0"/>
              <w:rPr>
                <w:sz w:val="14"/>
                <w:szCs w:val="14"/>
                <w:color w:val="auto"/>
              </w:rPr>
            </w:pPr>
          </w:p>
        </w:tc>
        <w:tc>
          <w:tcPr>
            <w:tcW w:w="2960" w:type="dxa"/>
            <w:vAlign w:val="bottom"/>
            <w:gridSpan w:val="4"/>
          </w:tcPr>
          <w:p>
            <w:pPr>
              <w:jc w:val="right"/>
              <w:ind w:right="664"/>
              <w:spacing w:after="0"/>
              <w:rPr>
                <w:sz w:val="20"/>
                <w:szCs w:val="20"/>
                <w:color w:val="auto"/>
              </w:rPr>
            </w:pPr>
            <w:r>
              <w:rPr>
                <w:rFonts w:ascii="Arial" w:cs="Arial" w:eastAsia="Arial" w:hAnsi="Arial"/>
                <w:sz w:val="12"/>
                <w:szCs w:val="12"/>
                <w:b w:val="1"/>
                <w:bCs w:val="1"/>
                <w:color w:val="auto"/>
              </w:rPr>
              <w:t>Six Months Ended December 31,</w:t>
            </w:r>
          </w:p>
        </w:tc>
      </w:tr>
      <w:tr>
        <w:trPr>
          <w:trHeight w:val="164"/>
        </w:trPr>
        <w:tc>
          <w:tcPr>
            <w:tcW w:w="444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2"/>
                <w:szCs w:val="12"/>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2"/>
                <w:szCs w:val="12"/>
                <w:b w:val="1"/>
                <w:bCs w:val="1"/>
                <w:color w:val="auto"/>
              </w:rPr>
              <w:t>2023 (1)</w:t>
            </w:r>
          </w:p>
        </w:tc>
      </w:tr>
      <w:tr>
        <w:trPr>
          <w:trHeight w:val="18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7"/>
        </w:trPr>
        <w:tc>
          <w:tcPr>
            <w:tcW w:w="4440" w:type="dxa"/>
            <w:vAlign w:val="bottom"/>
          </w:tcPr>
          <w:p>
            <w:pPr>
              <w:ind w:left="320"/>
              <w:spacing w:after="0"/>
              <w:rPr>
                <w:sz w:val="20"/>
                <w:szCs w:val="20"/>
                <w:color w:val="auto"/>
              </w:rPr>
            </w:pPr>
            <w:r>
              <w:rPr>
                <w:rFonts w:ascii="Arial" w:cs="Arial" w:eastAsia="Arial" w:hAnsi="Arial"/>
                <w:sz w:val="16"/>
                <w:szCs w:val="16"/>
                <w:color w:val="auto"/>
              </w:rPr>
              <w:t>Vista</w:t>
            </w:r>
          </w:p>
        </w:tc>
        <w:tc>
          <w:tcPr>
            <w:tcW w:w="960" w:type="dxa"/>
            <w:vAlign w:val="bottom"/>
          </w:tcPr>
          <w:p>
            <w:pPr>
              <w:jc w:val="right"/>
              <w:ind w:right="79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w w:val="96"/>
              </w:rPr>
              <w:t>497,677</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485,445</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927,171</w:t>
            </w:r>
          </w:p>
        </w:tc>
        <w:tc>
          <w:tcPr>
            <w:tcW w:w="80" w:type="dxa"/>
            <w:vAlign w:val="bottom"/>
          </w:tcPr>
          <w:p>
            <w:pPr>
              <w:spacing w:after="0"/>
              <w:rPr>
                <w:sz w:val="17"/>
                <w:szCs w:val="17"/>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882,295</w:t>
            </w:r>
          </w:p>
        </w:tc>
      </w:tr>
      <w:tr>
        <w:trPr>
          <w:trHeight w:val="209"/>
        </w:trPr>
        <w:tc>
          <w:tcPr>
            <w:tcW w:w="4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PrintBrothers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6"/>
              </w:rPr>
              <w:t>174,508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334,923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318,124</w:t>
            </w:r>
          </w:p>
        </w:tc>
      </w:tr>
      <w:tr>
        <w:trPr>
          <w:trHeight w:val="207"/>
        </w:trPr>
        <w:tc>
          <w:tcPr>
            <w:tcW w:w="4440" w:type="dxa"/>
            <w:vAlign w:val="bottom"/>
          </w:tcPr>
          <w:p>
            <w:pPr>
              <w:ind w:left="320"/>
              <w:spacing w:after="0"/>
              <w:rPr>
                <w:sz w:val="20"/>
                <w:szCs w:val="20"/>
                <w:color w:val="auto"/>
              </w:rPr>
            </w:pPr>
            <w:r>
              <w:rPr>
                <w:rFonts w:ascii="Arial" w:cs="Arial" w:eastAsia="Arial" w:hAnsi="Arial"/>
                <w:sz w:val="16"/>
                <w:szCs w:val="16"/>
                <w:color w:val="auto"/>
              </w:rPr>
              <w:t>The Print Group</w:t>
            </w:r>
          </w:p>
        </w:tc>
        <w:tc>
          <w:tcPr>
            <w:tcW w:w="96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98,628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92,135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182,700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171,572</w:t>
            </w:r>
          </w:p>
        </w:tc>
      </w:tr>
      <w:tr>
        <w:trPr>
          <w:trHeight w:val="209"/>
        </w:trPr>
        <w:tc>
          <w:tcPr>
            <w:tcW w:w="4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National Pen</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6"/>
              </w:rPr>
              <w:t>131,423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224,827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216,892</w:t>
            </w:r>
          </w:p>
        </w:tc>
      </w:tr>
      <w:tr>
        <w:trPr>
          <w:trHeight w:val="207"/>
        </w:trPr>
        <w:tc>
          <w:tcPr>
            <w:tcW w:w="44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All Other Businesses</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60,333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59,762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117,476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111,187</w:t>
            </w:r>
          </w:p>
        </w:tc>
      </w:tr>
      <w:tr>
        <w:trPr>
          <w:trHeight w:val="202"/>
        </w:trPr>
        <w:tc>
          <w:tcPr>
            <w:tcW w:w="44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segment revenue</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6"/>
              </w:rPr>
              <w:t>962,569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932,989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1,787,097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1,700,070</w:t>
            </w:r>
          </w:p>
        </w:tc>
      </w:tr>
      <w:tr>
        <w:trPr>
          <w:trHeight w:val="207"/>
        </w:trPr>
        <w:tc>
          <w:tcPr>
            <w:tcW w:w="44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Inter-segment eliminations (2)</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(23,410)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(42,969)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(21,413)</w:t>
            </w:r>
          </w:p>
        </w:tc>
      </w:tr>
      <w:tr>
        <w:trPr>
          <w:trHeight w:val="227"/>
        </w:trPr>
        <w:tc>
          <w:tcPr>
            <w:tcW w:w="44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consolidated revenue</w:t>
            </w:r>
          </w:p>
        </w:tc>
        <w:tc>
          <w:tcPr>
            <w:tcW w:w="96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6"/>
              </w:rPr>
              <w:t>939,159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921,363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1,744,128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1,678,657</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49" w:lineRule="exact"/>
        <w:rPr>
          <w:sz w:val="20"/>
          <w:szCs w:val="20"/>
          <w:color w:val="auto"/>
        </w:rPr>
      </w:pPr>
    </w:p>
    <w:p>
      <w:pPr>
        <w:ind w:left="240" w:right="380" w:hanging="236"/>
        <w:spacing w:after="0" w:line="261" w:lineRule="auto"/>
        <w:tabs>
          <w:tab w:leader="none" w:pos="214"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the discussion above for further details.</w:t>
      </w:r>
    </w:p>
    <w:p>
      <w:pPr>
        <w:ind w:left="220" w:hanging="216"/>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Refer to the "Revenue by Geographic Region" tables below for detail of the inter-segment revenue within each respective segment.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jc w:val="center"/>
              <w:ind w:right="40"/>
              <w:spacing w:after="0"/>
              <w:rPr>
                <w:sz w:val="20"/>
                <w:szCs w:val="20"/>
                <w:color w:val="auto"/>
              </w:rPr>
            </w:pPr>
            <w:r>
              <w:rPr>
                <w:rFonts w:ascii="Arial" w:cs="Arial" w:eastAsia="Arial" w:hAnsi="Arial"/>
                <w:sz w:val="12"/>
                <w:szCs w:val="12"/>
                <w:b w:val="1"/>
                <w:bCs w:val="1"/>
                <w:color w:val="auto"/>
              </w:rPr>
              <w:t>Three Months Ended December 31, 2024</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4"/>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6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40" w:type="dxa"/>
            <w:vAlign w:val="bottom"/>
          </w:tcPr>
          <w:p>
            <w:pPr>
              <w:spacing w:after="0"/>
              <w:rPr>
                <w:sz w:val="14"/>
                <w:szCs w:val="14"/>
                <w:color w:val="auto"/>
              </w:rPr>
            </w:pP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4"/>
                <w:szCs w:val="14"/>
                <w:color w:val="auto"/>
              </w:rPr>
            </w:pPr>
          </w:p>
        </w:tc>
        <w:tc>
          <w:tcPr>
            <w:tcW w:w="90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326,538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15"/>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58,486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45,730</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430,754</w:t>
            </w: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173,437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92,012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471,029</w:t>
            </w: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6,219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37,376</w:t>
            </w: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1,071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8,358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23,410</w:t>
            </w:r>
          </w:p>
        </w:tc>
      </w:tr>
      <w:tr>
        <w:trPr>
          <w:trHeight w:val="200"/>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497,677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174,508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98,628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131,423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60,333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962,569</w:t>
            </w:r>
          </w:p>
        </w:tc>
      </w:tr>
      <w:tr>
        <w:trPr>
          <w:trHeight w:val="20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(6,711)</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(23,410)</w:t>
            </w:r>
          </w:p>
        </w:tc>
      </w:tr>
      <w:tr>
        <w:trPr>
          <w:trHeight w:val="202"/>
        </w:trPr>
        <w:tc>
          <w:tcPr>
            <w:tcW w:w="390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497,023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173,437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92,012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124,712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51,975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939,159</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94"/>
        </w:trPr>
        <w:tc>
          <w:tcPr>
            <w:tcW w:w="3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2"/>
                <w:szCs w:val="12"/>
                <w:b w:val="1"/>
                <w:bCs w:val="1"/>
                <w:color w:val="auto"/>
              </w:rPr>
              <w:t>Six Months Ended December 31, 2024</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64"/>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6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40" w:type="dxa"/>
            <w:vAlign w:val="bottom"/>
          </w:tcPr>
          <w:p>
            <w:pPr>
              <w:spacing w:after="0"/>
              <w:rPr>
                <w:sz w:val="14"/>
                <w:szCs w:val="14"/>
                <w:color w:val="auto"/>
              </w:rPr>
            </w:pP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4"/>
                <w:szCs w:val="14"/>
                <w:color w:val="auto"/>
              </w:rPr>
            </w:pPr>
          </w:p>
        </w:tc>
        <w:tc>
          <w:tcPr>
            <w:tcW w:w="90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635,713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15"/>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110,773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89,098</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835,584</w:t>
            </w: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332,805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172,919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838,968</w:t>
            </w: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53,392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13,218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69,576</w:t>
            </w: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2,118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9,781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15,134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42,969</w:t>
            </w:r>
          </w:p>
        </w:tc>
      </w:tr>
      <w:tr>
        <w:trPr>
          <w:trHeight w:val="200"/>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927,171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334,923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182,700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224,827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117,476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1,787,097</w:t>
            </w:r>
          </w:p>
        </w:tc>
      </w:tr>
      <w:tr>
        <w:trPr>
          <w:trHeight w:val="20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(42,969)</w:t>
            </w:r>
          </w:p>
        </w:tc>
      </w:tr>
      <w:tr>
        <w:trPr>
          <w:trHeight w:val="202"/>
        </w:trPr>
        <w:tc>
          <w:tcPr>
            <w:tcW w:w="390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925,614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332,805</w:t>
            </w:r>
          </w:p>
        </w:tc>
        <w:tc>
          <w:tcPr>
            <w:tcW w:w="380" w:type="dxa"/>
            <w:vAlign w:val="bottom"/>
            <w:gridSpan w:val="2"/>
          </w:tcPr>
          <w:p>
            <w:pPr>
              <w:jc w:val="right"/>
              <w:ind w:right="115"/>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172,919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210,448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102,342</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1,744,128</w:t>
            </w:r>
          </w:p>
        </w:tc>
      </w:tr>
      <w:tr>
        <w:trPr>
          <w:trHeight w:val="20"/>
        </w:trPr>
        <w:tc>
          <w:tcPr>
            <w:tcW w:w="3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jc w:val="center"/>
              <w:ind w:right="40"/>
              <w:spacing w:after="0"/>
              <w:rPr>
                <w:sz w:val="20"/>
                <w:szCs w:val="20"/>
                <w:color w:val="auto"/>
              </w:rPr>
            </w:pPr>
            <w:r>
              <w:rPr>
                <w:rFonts w:ascii="Arial" w:cs="Arial" w:eastAsia="Arial" w:hAnsi="Arial"/>
                <w:sz w:val="12"/>
                <w:szCs w:val="12"/>
                <w:b w:val="1"/>
                <w:bCs w:val="1"/>
                <w:color w:val="auto"/>
              </w:rPr>
              <w:t>Three Months Ended December 31, 2023</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4"/>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6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40" w:type="dxa"/>
            <w:vAlign w:val="bottom"/>
          </w:tcPr>
          <w:p>
            <w:pPr>
              <w:spacing w:after="0"/>
              <w:rPr>
                <w:sz w:val="14"/>
                <w:szCs w:val="14"/>
                <w:color w:val="auto"/>
              </w:rPr>
            </w:pP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4"/>
                <w:szCs w:val="14"/>
                <w:color w:val="auto"/>
              </w:rPr>
            </w:pPr>
          </w:p>
        </w:tc>
        <w:tc>
          <w:tcPr>
            <w:tcW w:w="90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325,693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15"/>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59,229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50,570</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435,492</w:t>
            </w: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164,378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90,026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449,024</w:t>
            </w: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27,880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6,936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36,847</w:t>
            </w: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 (1)</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1,173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2,256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11,626</w:t>
            </w:r>
          </w:p>
        </w:tc>
      </w:tr>
      <w:tr>
        <w:trPr>
          <w:trHeight w:val="200"/>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 (1)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485,445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165,551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92,135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130,096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59,762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932,989</w:t>
            </w:r>
          </w:p>
        </w:tc>
      </w:tr>
      <w:tr>
        <w:trPr>
          <w:trHeight w:val="20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 (1)</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(11,626)</w:t>
            </w:r>
          </w:p>
        </w:tc>
      </w:tr>
      <w:tr>
        <w:trPr>
          <w:trHeight w:val="202"/>
        </w:trPr>
        <w:tc>
          <w:tcPr>
            <w:tcW w:w="390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484,711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164,378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90,026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124,742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57,506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921,363</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07"/>
        </w:trPr>
        <w:tc>
          <w:tcPr>
            <w:tcW w:w="3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2"/>
                <w:szCs w:val="12"/>
                <w:b w:val="1"/>
                <w:bCs w:val="1"/>
                <w:color w:val="auto"/>
              </w:rPr>
              <w:t>Six Months Ended December 31, 2023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64"/>
        </w:trPr>
        <w:tc>
          <w:tcPr>
            <w:tcW w:w="3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6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40" w:type="dxa"/>
            <w:vAlign w:val="bottom"/>
          </w:tcPr>
          <w:p>
            <w:pPr>
              <w:spacing w:after="0"/>
              <w:rPr>
                <w:sz w:val="14"/>
                <w:szCs w:val="14"/>
                <w:color w:val="auto"/>
              </w:rPr>
            </w:pP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4"/>
                <w:szCs w:val="14"/>
                <w:color w:val="auto"/>
              </w:rPr>
            </w:pPr>
          </w:p>
        </w:tc>
        <w:tc>
          <w:tcPr>
            <w:tcW w:w="90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614,748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15"/>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111,964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92,784</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819,496</w:t>
            </w: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315,920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167,828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791,512</w:t>
            </w:r>
          </w:p>
        </w:tc>
      </w:tr>
      <w:tr>
        <w:trPr>
          <w:trHeight w:val="207"/>
        </w:trPr>
        <w:tc>
          <w:tcPr>
            <w:tcW w:w="390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49,770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14,471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67,649</w:t>
            </w: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 (1)</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2,204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3,744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3,932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21,413</w:t>
            </w:r>
          </w:p>
        </w:tc>
      </w:tr>
      <w:tr>
        <w:trPr>
          <w:trHeight w:val="200"/>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 (1)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882,295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318,124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171,572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216,892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111,187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1,700,070</w:t>
            </w:r>
          </w:p>
        </w:tc>
      </w:tr>
      <w:tr>
        <w:trPr>
          <w:trHeight w:val="20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 (1)</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(10,301)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(21,413)</w:t>
            </w:r>
          </w:p>
        </w:tc>
      </w:tr>
      <w:tr>
        <w:trPr>
          <w:trHeight w:val="202"/>
        </w:trPr>
        <w:tc>
          <w:tcPr>
            <w:tcW w:w="390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881,063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315,920</w:t>
            </w:r>
          </w:p>
        </w:tc>
        <w:tc>
          <w:tcPr>
            <w:tcW w:w="380" w:type="dxa"/>
            <w:vAlign w:val="bottom"/>
            <w:gridSpan w:val="2"/>
          </w:tcPr>
          <w:p>
            <w:pPr>
              <w:jc w:val="right"/>
              <w:ind w:right="115"/>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167,828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206,591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107,255</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1,678,657</w:t>
            </w:r>
          </w:p>
        </w:tc>
      </w:tr>
      <w:tr>
        <w:trPr>
          <w:trHeight w:val="20"/>
        </w:trPr>
        <w:tc>
          <w:tcPr>
            <w:tcW w:w="3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ind w:left="240" w:right="380" w:hanging="236"/>
        <w:spacing w:after="0" w:line="262" w:lineRule="auto"/>
        <w:tabs>
          <w:tab w:leader="none" w:pos="214"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the discussion above for further details.</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includes segment EBITDA by reportable segment, total income from operations and total income before income taxes: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460" w:type="dxa"/>
            <w:vAlign w:val="bottom"/>
            <w:gridSpan w:val="6"/>
          </w:tcPr>
          <w:p>
            <w:pPr>
              <w:ind w:left="660"/>
              <w:spacing w:after="0"/>
              <w:rPr>
                <w:sz w:val="20"/>
                <w:szCs w:val="20"/>
                <w:color w:val="auto"/>
              </w:rPr>
            </w:pPr>
            <w:r>
              <w:rPr>
                <w:rFonts w:ascii="Arial" w:cs="Arial" w:eastAsia="Arial" w:hAnsi="Arial"/>
                <w:sz w:val="12"/>
                <w:szCs w:val="12"/>
                <w:b w:val="1"/>
                <w:bCs w:val="1"/>
                <w:color w:val="auto"/>
              </w:rPr>
              <w:t>Three Months Ended December 31,</w:t>
            </w:r>
          </w:p>
        </w:tc>
        <w:tc>
          <w:tcPr>
            <w:tcW w:w="380" w:type="dxa"/>
            <w:vAlign w:val="bottom"/>
          </w:tcPr>
          <w:p>
            <w:pPr>
              <w:spacing w:after="0"/>
              <w:rPr>
                <w:sz w:val="14"/>
                <w:szCs w:val="14"/>
                <w:color w:val="auto"/>
              </w:rPr>
            </w:pPr>
          </w:p>
        </w:tc>
        <w:tc>
          <w:tcPr>
            <w:tcW w:w="2960" w:type="dxa"/>
            <w:vAlign w:val="bottom"/>
            <w:gridSpan w:val="4"/>
          </w:tcPr>
          <w:p>
            <w:pPr>
              <w:jc w:val="right"/>
              <w:ind w:right="663"/>
              <w:spacing w:after="0"/>
              <w:rPr>
                <w:sz w:val="20"/>
                <w:szCs w:val="20"/>
                <w:color w:val="auto"/>
              </w:rPr>
            </w:pPr>
            <w:r>
              <w:rPr>
                <w:rFonts w:ascii="Arial" w:cs="Arial" w:eastAsia="Arial" w:hAnsi="Arial"/>
                <w:sz w:val="12"/>
                <w:szCs w:val="12"/>
                <w:b w:val="1"/>
                <w:bCs w:val="1"/>
                <w:color w:val="auto"/>
              </w:rPr>
              <w:t>Six Months Ended December 31,</w:t>
            </w:r>
          </w:p>
        </w:tc>
      </w:tr>
      <w:tr>
        <w:trPr>
          <w:trHeight w:val="164"/>
        </w:trPr>
        <w:tc>
          <w:tcPr>
            <w:tcW w:w="444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2"/>
                <w:szCs w:val="12"/>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2"/>
                <w:szCs w:val="12"/>
                <w:b w:val="1"/>
                <w:bCs w:val="1"/>
                <w:color w:val="auto"/>
              </w:rPr>
              <w:t>2023 (1)</w:t>
            </w:r>
          </w:p>
        </w:tc>
      </w:tr>
      <w:tr>
        <w:trPr>
          <w:trHeight w:val="18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EBITDA:</w:t>
            </w: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7"/>
        </w:trPr>
        <w:tc>
          <w:tcPr>
            <w:tcW w:w="4440" w:type="dxa"/>
            <w:vAlign w:val="bottom"/>
          </w:tcPr>
          <w:p>
            <w:pPr>
              <w:ind w:left="340"/>
              <w:spacing w:after="0"/>
              <w:rPr>
                <w:sz w:val="20"/>
                <w:szCs w:val="20"/>
                <w:color w:val="auto"/>
              </w:rPr>
            </w:pPr>
            <w:r>
              <w:rPr>
                <w:rFonts w:ascii="Arial" w:cs="Arial" w:eastAsia="Arial" w:hAnsi="Arial"/>
                <w:sz w:val="16"/>
                <w:szCs w:val="16"/>
                <w:color w:val="auto"/>
              </w:rPr>
              <w:t>Vista</w:t>
            </w:r>
          </w:p>
        </w:tc>
        <w:tc>
          <w:tcPr>
            <w:tcW w:w="980" w:type="dxa"/>
            <w:vAlign w:val="bottom"/>
          </w:tcPr>
          <w:p>
            <w:pPr>
              <w:jc w:val="right"/>
              <w:ind w:right="81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92,423</w:t>
            </w:r>
          </w:p>
        </w:tc>
        <w:tc>
          <w:tcPr>
            <w:tcW w:w="100" w:type="dxa"/>
            <w:vAlign w:val="bottom"/>
          </w:tcPr>
          <w:p>
            <w:pPr>
              <w:spacing w:after="0"/>
              <w:rPr>
                <w:sz w:val="17"/>
                <w:szCs w:val="17"/>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107,870</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169,270</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186,448</w:t>
            </w:r>
          </w:p>
        </w:tc>
      </w:tr>
      <w:tr>
        <w:trPr>
          <w:trHeight w:val="209"/>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28,802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43,489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49,012</w:t>
            </w:r>
          </w:p>
        </w:tc>
      </w:tr>
      <w:tr>
        <w:trPr>
          <w:trHeight w:val="207"/>
        </w:trPr>
        <w:tc>
          <w:tcPr>
            <w:tcW w:w="444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18,526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17,309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36,428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29,816</w:t>
            </w:r>
          </w:p>
        </w:tc>
      </w:tr>
      <w:tr>
        <w:trPr>
          <w:trHeight w:val="209"/>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25,389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18,541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16,627</w:t>
            </w:r>
          </w:p>
        </w:tc>
      </w:tr>
      <w:tr>
        <w:trPr>
          <w:trHeight w:val="207"/>
        </w:trPr>
        <w:tc>
          <w:tcPr>
            <w:tcW w:w="444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7,371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10,402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13,389</w:t>
            </w:r>
          </w:p>
        </w:tc>
      </w:tr>
      <w:tr>
        <w:trPr>
          <w:trHeight w:val="209"/>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Inter-segment elimination</w:t>
            </w: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(5,472)</w:t>
            </w:r>
          </w:p>
        </w:tc>
      </w:tr>
      <w:tr>
        <w:trPr>
          <w:trHeight w:val="200"/>
        </w:trPr>
        <w:tc>
          <w:tcPr>
            <w:tcW w:w="4440" w:type="dxa"/>
            <w:vAlign w:val="bottom"/>
          </w:tcPr>
          <w:p>
            <w:pPr>
              <w:ind w:left="520"/>
              <w:spacing w:after="0"/>
              <w:rPr>
                <w:sz w:val="20"/>
                <w:szCs w:val="20"/>
                <w:color w:val="auto"/>
              </w:rPr>
            </w:pPr>
            <w:r>
              <w:rPr>
                <w:rFonts w:ascii="Arial" w:cs="Arial" w:eastAsia="Arial" w:hAnsi="Arial"/>
                <w:sz w:val="16"/>
                <w:szCs w:val="16"/>
                <w:color w:val="auto"/>
              </w:rPr>
              <w:t>Total segment EBITDA</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154,669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183,807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266,051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289,820</w:t>
            </w:r>
          </w:p>
        </w:tc>
      </w:tr>
      <w:tr>
        <w:trPr>
          <w:trHeight w:val="209"/>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(67,747)</w:t>
            </w:r>
          </w:p>
        </w:tc>
      </w:tr>
      <w:tr>
        <w:trPr>
          <w:trHeight w:val="207"/>
        </w:trPr>
        <w:tc>
          <w:tcPr>
            <w:tcW w:w="44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(35,211)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(39,089)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(70,757)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(79,031)</w:t>
            </w:r>
          </w:p>
        </w:tc>
      </w:tr>
      <w:tr>
        <w:trPr>
          <w:trHeight w:val="209"/>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Restructuring-related charges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07"/>
        </w:trPr>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Certain impairments and other adjustments</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w:t>
            </w:r>
          </w:p>
        </w:tc>
      </w:tr>
      <w:tr>
        <w:trPr>
          <w:trHeight w:val="202"/>
        </w:trPr>
        <w:tc>
          <w:tcPr>
            <w:tcW w:w="44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income from operations</w:t>
            </w:r>
          </w:p>
        </w:tc>
        <w:tc>
          <w:tcPr>
            <w:tcW w:w="9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80,949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107,679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120,288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141,779</w:t>
            </w:r>
          </w:p>
        </w:tc>
      </w:tr>
      <w:tr>
        <w:trPr>
          <w:trHeight w:val="200"/>
        </w:trPr>
        <w:tc>
          <w:tcPr>
            <w:tcW w:w="4440" w:type="dxa"/>
            <w:vAlign w:val="bottom"/>
          </w:tcPr>
          <w:p>
            <w:pPr>
              <w:ind w:left="340"/>
              <w:spacing w:after="0"/>
              <w:rPr>
                <w:sz w:val="20"/>
                <w:szCs w:val="20"/>
                <w:color w:val="auto"/>
              </w:rPr>
            </w:pPr>
            <w:r>
              <w:rPr>
                <w:rFonts w:ascii="Arial" w:cs="Arial" w:eastAsia="Arial" w:hAnsi="Arial"/>
                <w:sz w:val="16"/>
                <w:szCs w:val="16"/>
                <w:color w:val="auto"/>
              </w:rPr>
              <w:t>Other income (expense), net</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31,678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20,186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6,028</w:t>
            </w:r>
          </w:p>
        </w:tc>
      </w:tr>
      <w:tr>
        <w:trPr>
          <w:trHeight w:val="209"/>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 net</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(59,788)</w:t>
            </w:r>
          </w:p>
        </w:tc>
      </w:tr>
      <w:tr>
        <w:trPr>
          <w:trHeight w:val="207"/>
        </w:trPr>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(Loss) gain on early extinguishment of debt</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w:t>
            </w:r>
          </w:p>
        </w:tc>
      </w:tr>
      <w:tr>
        <w:trPr>
          <w:trHeight w:val="227"/>
        </w:trPr>
        <w:tc>
          <w:tcPr>
            <w:tcW w:w="44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Income before income taxes</w:t>
            </w:r>
          </w:p>
        </w:tc>
        <w:tc>
          <w:tcPr>
            <w:tcW w:w="98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82,766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77,049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79,377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89,740</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9" w:lineRule="exact"/>
        <w:rPr>
          <w:sz w:val="20"/>
          <w:szCs w:val="20"/>
          <w:color w:val="auto"/>
        </w:rPr>
      </w:pPr>
    </w:p>
    <w:p>
      <w:pPr>
        <w:ind w:left="240" w:right="380" w:hanging="236"/>
        <w:spacing w:after="0" w:line="244" w:lineRule="auto"/>
        <w:tabs>
          <w:tab w:leader="none" w:pos="214"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the discussion above for further details.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644"/>
              <w:spacing w:after="0"/>
              <w:rPr>
                <w:sz w:val="20"/>
                <w:szCs w:val="20"/>
                <w:color w:val="auto"/>
              </w:rPr>
            </w:pPr>
            <w:r>
              <w:rPr>
                <w:rFonts w:ascii="Arial" w:cs="Arial" w:eastAsia="Arial" w:hAnsi="Arial"/>
                <w:sz w:val="12"/>
                <w:szCs w:val="12"/>
                <w:b w:val="1"/>
                <w:bCs w:val="1"/>
                <w:color w:val="auto"/>
              </w:rPr>
              <w:t>Six Months Ended December 31,</w:t>
            </w:r>
          </w:p>
        </w:tc>
      </w:tr>
      <w:tr>
        <w:trPr>
          <w:trHeight w:val="164"/>
        </w:trPr>
        <w:tc>
          <w:tcPr>
            <w:tcW w:w="43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2023</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2023</w:t>
            </w: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7"/>
        </w:trPr>
        <w:tc>
          <w:tcPr>
            <w:tcW w:w="4320" w:type="dxa"/>
            <w:vAlign w:val="bottom"/>
          </w:tcPr>
          <w:p>
            <w:pPr>
              <w:ind w:left="340"/>
              <w:spacing w:after="0"/>
              <w:rPr>
                <w:sz w:val="20"/>
                <w:szCs w:val="20"/>
                <w:color w:val="auto"/>
              </w:rPr>
            </w:pPr>
            <w:r>
              <w:rPr>
                <w:rFonts w:ascii="Arial" w:cs="Arial" w:eastAsia="Arial" w:hAnsi="Arial"/>
                <w:sz w:val="16"/>
                <w:szCs w:val="16"/>
                <w:color w:val="auto"/>
              </w:rPr>
              <w:t>Vista</w:t>
            </w:r>
          </w:p>
        </w:tc>
        <w:tc>
          <w:tcPr>
            <w:tcW w:w="980" w:type="dxa"/>
            <w:vAlign w:val="bottom"/>
          </w:tcPr>
          <w:p>
            <w:pPr>
              <w:jc w:val="right"/>
              <w:ind w:right="81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13,096</w:t>
            </w:r>
          </w:p>
        </w:tc>
        <w:tc>
          <w:tcPr>
            <w:tcW w:w="12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13,176</w:t>
            </w:r>
          </w:p>
        </w:tc>
        <w:tc>
          <w:tcPr>
            <w:tcW w:w="12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26,151</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28,051</w:t>
            </w:r>
          </w:p>
        </w:tc>
      </w:tr>
      <w:tr>
        <w:trPr>
          <w:trHeight w:val="209"/>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6,866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7,913</w:t>
            </w:r>
          </w:p>
        </w:tc>
      </w:tr>
      <w:tr>
        <w:trPr>
          <w:trHeight w:val="207"/>
        </w:trPr>
        <w:tc>
          <w:tcPr>
            <w:tcW w:w="432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4,889</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10,100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11,822</w:t>
            </w:r>
          </w:p>
        </w:tc>
      </w:tr>
      <w:tr>
        <w:trPr>
          <w:trHeight w:val="209"/>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6,434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10,180</w:t>
            </w:r>
          </w:p>
        </w:tc>
      </w:tr>
      <w:tr>
        <w:trPr>
          <w:trHeight w:val="207"/>
        </w:trPr>
        <w:tc>
          <w:tcPr>
            <w:tcW w:w="432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4,743</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4,509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9,390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9,056</w:t>
            </w:r>
          </w:p>
        </w:tc>
      </w:tr>
      <w:tr>
        <w:trPr>
          <w:trHeight w:val="208"/>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5,904</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11,816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12,009</w:t>
            </w:r>
          </w:p>
        </w:tc>
      </w:tr>
      <w:tr>
        <w:trPr>
          <w:trHeight w:val="202"/>
        </w:trPr>
        <w:tc>
          <w:tcPr>
            <w:tcW w:w="4320" w:type="dxa"/>
            <w:vAlign w:val="bottom"/>
          </w:tcPr>
          <w:p>
            <w:pPr>
              <w:ind w:left="640"/>
              <w:spacing w:after="0"/>
              <w:rPr>
                <w:sz w:val="20"/>
                <w:szCs w:val="20"/>
                <w:color w:val="auto"/>
              </w:rPr>
            </w:pPr>
            <w:r>
              <w:rPr>
                <w:rFonts w:ascii="Arial" w:cs="Arial" w:eastAsia="Arial" w:hAnsi="Arial"/>
                <w:sz w:val="16"/>
                <w:szCs w:val="16"/>
                <w:color w:val="auto"/>
              </w:rPr>
              <w:t>Total depreciation and amortization</w:t>
            </w:r>
          </w:p>
        </w:tc>
        <w:tc>
          <w:tcPr>
            <w:tcW w:w="98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35,211</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70,757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79,031</w:t>
            </w:r>
          </w:p>
        </w:tc>
      </w:tr>
      <w:tr>
        <w:trPr>
          <w:trHeight w:val="20"/>
        </w:trPr>
        <w:tc>
          <w:tcPr>
            <w:tcW w:w="4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2"/>
                <w:szCs w:val="12"/>
                <w:b w:val="1"/>
                <w:bCs w:val="1"/>
                <w:color w:val="auto"/>
              </w:rPr>
              <w:t>Six Months Ended December 31,</w:t>
            </w:r>
          </w:p>
        </w:tc>
      </w:tr>
      <w:tr>
        <w:trPr>
          <w:trHeight w:val="164"/>
        </w:trPr>
        <w:tc>
          <w:tcPr>
            <w:tcW w:w="43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6"/>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2023</w:t>
            </w:r>
          </w:p>
        </w:tc>
      </w:tr>
      <w:tr>
        <w:trPr>
          <w:trHeight w:val="189"/>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plant and equipment:</w:t>
            </w: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4360" w:type="dxa"/>
            <w:vAlign w:val="bottom"/>
          </w:tcPr>
          <w:p>
            <w:pPr>
              <w:ind w:left="320"/>
              <w:spacing w:after="0"/>
              <w:rPr>
                <w:sz w:val="20"/>
                <w:szCs w:val="20"/>
                <w:color w:val="auto"/>
              </w:rPr>
            </w:pPr>
            <w:r>
              <w:rPr>
                <w:rFonts w:ascii="Arial" w:cs="Arial" w:eastAsia="Arial" w:hAnsi="Arial"/>
                <w:sz w:val="16"/>
                <w:szCs w:val="16"/>
                <w:color w:val="auto"/>
              </w:rPr>
              <w:t>Vista</w:t>
            </w:r>
          </w:p>
        </w:tc>
        <w:tc>
          <w:tcPr>
            <w:tcW w:w="1000" w:type="dxa"/>
            <w:vAlign w:val="bottom"/>
          </w:tcPr>
          <w:p>
            <w:pPr>
              <w:jc w:val="right"/>
              <w:ind w:right="83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9,768</w:t>
            </w:r>
          </w:p>
        </w:tc>
        <w:tc>
          <w:tcPr>
            <w:tcW w:w="100" w:type="dxa"/>
            <w:vAlign w:val="bottom"/>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5,859</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17,294</w:t>
            </w:r>
          </w:p>
        </w:tc>
        <w:tc>
          <w:tcPr>
            <w:tcW w:w="8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9,470</w:t>
            </w:r>
          </w:p>
        </w:tc>
      </w:tr>
      <w:tr>
        <w:trPr>
          <w:trHeight w:val="209"/>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PrintBrothers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1,740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3,107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5,242</w:t>
            </w:r>
          </w:p>
        </w:tc>
      </w:tr>
      <w:tr>
        <w:trPr>
          <w:trHeight w:val="207"/>
        </w:trPr>
        <w:tc>
          <w:tcPr>
            <w:tcW w:w="4360" w:type="dxa"/>
            <w:vAlign w:val="bottom"/>
          </w:tcPr>
          <w:p>
            <w:pPr>
              <w:ind w:left="320"/>
              <w:spacing w:after="0"/>
              <w:rPr>
                <w:sz w:val="20"/>
                <w:szCs w:val="20"/>
                <w:color w:val="auto"/>
              </w:rPr>
            </w:pPr>
            <w:r>
              <w:rPr>
                <w:rFonts w:ascii="Arial" w:cs="Arial" w:eastAsia="Arial" w:hAnsi="Arial"/>
                <w:sz w:val="16"/>
                <w:szCs w:val="16"/>
                <w:color w:val="auto"/>
              </w:rPr>
              <w:t>The Print Group</w:t>
            </w: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8,546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2,547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12,313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11,043</w:t>
            </w:r>
          </w:p>
        </w:tc>
      </w:tr>
      <w:tr>
        <w:trPr>
          <w:trHeight w:val="209"/>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National Pen</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1,113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2,476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4,155</w:t>
            </w:r>
          </w:p>
        </w:tc>
      </w:tr>
      <w:tr>
        <w:trPr>
          <w:trHeight w:val="207"/>
        </w:trPr>
        <w:tc>
          <w:tcPr>
            <w:tcW w:w="4360" w:type="dxa"/>
            <w:vAlign w:val="bottom"/>
          </w:tcPr>
          <w:p>
            <w:pPr>
              <w:ind w:left="320"/>
              <w:spacing w:after="0"/>
              <w:rPr>
                <w:sz w:val="20"/>
                <w:szCs w:val="20"/>
                <w:color w:val="auto"/>
              </w:rPr>
            </w:pPr>
            <w:r>
              <w:rPr>
                <w:rFonts w:ascii="Arial" w:cs="Arial" w:eastAsia="Arial" w:hAnsi="Arial"/>
                <w:sz w:val="16"/>
                <w:szCs w:val="16"/>
                <w:color w:val="auto"/>
              </w:rPr>
              <w:t>All Other Businesses</w:t>
            </w: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4,541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7,052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3,416</w:t>
            </w:r>
          </w:p>
        </w:tc>
      </w:tr>
      <w:tr>
        <w:trPr>
          <w:trHeight w:val="208"/>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Central and corporate costs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1,177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629</w:t>
            </w:r>
          </w:p>
        </w:tc>
      </w:tr>
      <w:tr>
        <w:trPr>
          <w:trHeight w:val="202"/>
        </w:trPr>
        <w:tc>
          <w:tcPr>
            <w:tcW w:w="4360" w:type="dxa"/>
            <w:vAlign w:val="bottom"/>
          </w:tcPr>
          <w:p>
            <w:pPr>
              <w:ind w:left="620"/>
              <w:spacing w:after="0"/>
              <w:rPr>
                <w:sz w:val="20"/>
                <w:szCs w:val="20"/>
                <w:color w:val="auto"/>
              </w:rPr>
            </w:pPr>
            <w:r>
              <w:rPr>
                <w:rFonts w:ascii="Arial" w:cs="Arial" w:eastAsia="Arial" w:hAnsi="Arial"/>
                <w:sz w:val="16"/>
                <w:szCs w:val="16"/>
                <w:color w:val="auto"/>
              </w:rPr>
              <w:t>Total purchases of property, plant and equipment</w:t>
            </w:r>
          </w:p>
        </w:tc>
        <w:tc>
          <w:tcPr>
            <w:tcW w:w="1000" w:type="dxa"/>
            <w:vAlign w:val="bottom"/>
            <w:tcBorders>
              <w:bottom w:val="single" w:sz="8" w:color="auto"/>
            </w:tcBorders>
          </w:tcPr>
          <w:p>
            <w:pPr>
              <w:jc w:val="right"/>
              <w:ind w:right="83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26,418</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43,419</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33,955</w:t>
            </w:r>
          </w:p>
        </w:tc>
      </w:tr>
      <w:tr>
        <w:trPr>
          <w:trHeight w:val="20"/>
        </w:trPr>
        <w:tc>
          <w:tcPr>
            <w:tcW w:w="4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644"/>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4"/>
        </w:trPr>
        <w:tc>
          <w:tcPr>
            <w:tcW w:w="43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2023</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20" w:type="dxa"/>
            <w:vAlign w:val="bottom"/>
          </w:tcPr>
          <w:p>
            <w:pPr>
              <w:ind w:left="340"/>
              <w:spacing w:after="0"/>
              <w:rPr>
                <w:sz w:val="20"/>
                <w:szCs w:val="20"/>
                <w:color w:val="auto"/>
              </w:rPr>
            </w:pPr>
            <w:r>
              <w:rPr>
                <w:rFonts w:ascii="Arial" w:cs="Arial" w:eastAsia="Arial" w:hAnsi="Arial"/>
                <w:sz w:val="16"/>
                <w:szCs w:val="16"/>
                <w:color w:val="auto"/>
              </w:rPr>
              <w:t>Vista</w:t>
            </w:r>
          </w:p>
        </w:tc>
        <w:tc>
          <w:tcPr>
            <w:tcW w:w="980" w:type="dxa"/>
            <w:vAlign w:val="bottom"/>
          </w:tcPr>
          <w:p>
            <w:pPr>
              <w:jc w:val="right"/>
              <w:ind w:right="81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6,544</w:t>
            </w:r>
          </w:p>
        </w:tc>
        <w:tc>
          <w:tcPr>
            <w:tcW w:w="12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6,050</w:t>
            </w:r>
          </w:p>
        </w:tc>
        <w:tc>
          <w:tcPr>
            <w:tcW w:w="12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12,601</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12,690</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1,593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207"/>
        </w:trPr>
        <w:tc>
          <w:tcPr>
            <w:tcW w:w="432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1,506</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2,455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2,247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07"/>
        </w:trPr>
        <w:tc>
          <w:tcPr>
            <w:tcW w:w="432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1,757</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1,110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3,256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2,297</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4,732</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9,096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8,718</w:t>
            </w:r>
          </w:p>
        </w:tc>
        <w:tc>
          <w:tcPr>
            <w:tcW w:w="0" w:type="dxa"/>
            <w:vAlign w:val="bottom"/>
          </w:tcPr>
          <w:p>
            <w:pPr>
              <w:spacing w:after="0"/>
              <w:rPr>
                <w:sz w:val="1"/>
                <w:szCs w:val="1"/>
                <w:color w:val="auto"/>
              </w:rPr>
            </w:pPr>
          </w:p>
        </w:tc>
      </w:tr>
      <w:tr>
        <w:trPr>
          <w:trHeight w:val="137"/>
        </w:trPr>
        <w:tc>
          <w:tcPr>
            <w:tcW w:w="4320" w:type="dxa"/>
            <w:vAlign w:val="bottom"/>
          </w:tcPr>
          <w:p>
            <w:pPr>
              <w:ind w:left="640"/>
              <w:spacing w:after="0" w:line="137" w:lineRule="exact"/>
              <w:rPr>
                <w:sz w:val="20"/>
                <w:szCs w:val="20"/>
                <w:color w:val="auto"/>
              </w:rPr>
            </w:pPr>
            <w:r>
              <w:rPr>
                <w:rFonts w:ascii="Arial" w:cs="Arial" w:eastAsia="Arial" w:hAnsi="Arial"/>
                <w:sz w:val="14"/>
                <w:szCs w:val="14"/>
                <w:color w:val="auto"/>
              </w:rPr>
              <w:t>Total capitalization of software and website</w:t>
            </w:r>
          </w:p>
        </w:tc>
        <w:tc>
          <w:tcPr>
            <w:tcW w:w="980" w:type="dxa"/>
            <w:vAlign w:val="bottom"/>
            <w:vMerge w:val="restart"/>
          </w:tcPr>
          <w:p>
            <w:pPr>
              <w:jc w:val="right"/>
              <w:ind w:right="811"/>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16,677</w:t>
            </w:r>
          </w:p>
        </w:tc>
        <w:tc>
          <w:tcPr>
            <w:tcW w:w="120" w:type="dxa"/>
            <w:vAlign w:val="bottom"/>
          </w:tcPr>
          <w:p>
            <w:pPr>
              <w:spacing w:after="0"/>
              <w:rPr>
                <w:sz w:val="11"/>
                <w:szCs w:val="11"/>
                <w:color w:val="auto"/>
              </w:rPr>
            </w:pPr>
          </w:p>
        </w:tc>
        <w:tc>
          <w:tcPr>
            <w:tcW w:w="1000" w:type="dxa"/>
            <w:vAlign w:val="bottom"/>
            <w:vMerge w:val="restart"/>
          </w:tcPr>
          <w:p>
            <w:pPr>
              <w:jc w:val="right"/>
              <w:ind w:right="828"/>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13,947</w:t>
            </w:r>
          </w:p>
        </w:tc>
        <w:tc>
          <w:tcPr>
            <w:tcW w:w="120" w:type="dxa"/>
            <w:vAlign w:val="bottom"/>
          </w:tcPr>
          <w:p>
            <w:pPr>
              <w:spacing w:after="0"/>
              <w:rPr>
                <w:sz w:val="11"/>
                <w:szCs w:val="11"/>
                <w:color w:val="auto"/>
              </w:rPr>
            </w:pPr>
          </w:p>
        </w:tc>
        <w:tc>
          <w:tcPr>
            <w:tcW w:w="380" w:type="dxa"/>
            <w:vAlign w:val="bottom"/>
            <w:vMerge w:val="restart"/>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ind w:right="6"/>
              <w:spacing w:after="0"/>
              <w:rPr>
                <w:sz w:val="20"/>
                <w:szCs w:val="20"/>
                <w:color w:val="auto"/>
              </w:rPr>
            </w:pPr>
            <w:r>
              <w:rPr>
                <w:rFonts w:ascii="Arial" w:cs="Arial" w:eastAsia="Arial" w:hAnsi="Arial"/>
                <w:sz w:val="16"/>
                <w:szCs w:val="16"/>
                <w:color w:val="auto"/>
              </w:rPr>
              <w:t>31,248</w:t>
            </w:r>
          </w:p>
        </w:tc>
        <w:tc>
          <w:tcPr>
            <w:tcW w:w="100" w:type="dxa"/>
            <w:vAlign w:val="bottom"/>
          </w:tcPr>
          <w:p>
            <w:pPr>
              <w:spacing w:after="0"/>
              <w:rPr>
                <w:sz w:val="11"/>
                <w:szCs w:val="11"/>
                <w:color w:val="auto"/>
              </w:rPr>
            </w:pPr>
          </w:p>
        </w:tc>
        <w:tc>
          <w:tcPr>
            <w:tcW w:w="380" w:type="dxa"/>
            <w:vAlign w:val="bottom"/>
            <w:vMerge w:val="restart"/>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ind w:right="4"/>
              <w:spacing w:after="0"/>
              <w:rPr>
                <w:sz w:val="20"/>
                <w:szCs w:val="20"/>
                <w:color w:val="auto"/>
              </w:rPr>
            </w:pPr>
            <w:r>
              <w:rPr>
                <w:rFonts w:ascii="Arial" w:cs="Arial" w:eastAsia="Arial" w:hAnsi="Arial"/>
                <w:sz w:val="16"/>
                <w:szCs w:val="16"/>
                <w:color w:val="auto"/>
              </w:rPr>
              <w:t>28,344</w:t>
            </w:r>
          </w:p>
        </w:tc>
        <w:tc>
          <w:tcPr>
            <w:tcW w:w="0" w:type="dxa"/>
            <w:vAlign w:val="bottom"/>
          </w:tcPr>
          <w:p>
            <w:pPr>
              <w:spacing w:after="0"/>
              <w:rPr>
                <w:sz w:val="1"/>
                <w:szCs w:val="1"/>
                <w:color w:val="auto"/>
              </w:rPr>
            </w:pPr>
          </w:p>
        </w:tc>
      </w:tr>
      <w:tr>
        <w:trPr>
          <w:trHeight w:val="186"/>
        </w:trPr>
        <w:tc>
          <w:tcPr>
            <w:tcW w:w="4320" w:type="dxa"/>
            <w:vAlign w:val="bottom"/>
          </w:tcPr>
          <w:p>
            <w:pPr>
              <w:ind w:left="640"/>
              <w:spacing w:after="0" w:line="181" w:lineRule="exact"/>
              <w:rPr>
                <w:sz w:val="20"/>
                <w:szCs w:val="20"/>
                <w:color w:val="auto"/>
              </w:rPr>
            </w:pPr>
            <w:r>
              <w:rPr>
                <w:rFonts w:ascii="Arial" w:cs="Arial" w:eastAsia="Arial" w:hAnsi="Arial"/>
                <w:sz w:val="16"/>
                <w:szCs w:val="16"/>
                <w:color w:val="auto"/>
              </w:rPr>
              <w:t>development costs</w:t>
            </w:r>
          </w:p>
        </w:tc>
        <w:tc>
          <w:tcPr>
            <w:tcW w:w="9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952" w:right="379" w:bottom="1440" w:gutter="0" w:footer="0" w:header="0"/>
        </w:sectPr>
      </w:pPr>
    </w:p>
    <w:bookmarkStart w:id="26" w:name="page27"/>
    <w:bookmarkEnd w:id="26"/>
    <w:p>
      <w:pPr>
        <w:ind w:left="620"/>
        <w:spacing w:after="0"/>
        <w:rPr>
          <w:sz w:val="20"/>
          <w:szCs w:val="20"/>
          <w:color w:val="auto"/>
        </w:rPr>
      </w:pPr>
      <w:r>
        <w:rPr>
          <w:rFonts w:ascii="Arial" w:cs="Arial" w:eastAsia="Arial" w:hAnsi="Arial"/>
          <w:sz w:val="17"/>
          <w:szCs w:val="17"/>
          <w:color w:val="auto"/>
        </w:rPr>
        <w:t>The following table sets forth long-lived assets by geographic area: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2024</w:t>
            </w:r>
          </w:p>
        </w:tc>
        <w:tc>
          <w:tcPr>
            <w:tcW w:w="260" w:type="dxa"/>
            <w:vAlign w:val="bottom"/>
          </w:tcPr>
          <w:p>
            <w:pPr>
              <w:spacing w:after="0"/>
              <w:rPr>
                <w:sz w:val="14"/>
                <w:szCs w:val="14"/>
                <w:color w:val="auto"/>
              </w:rPr>
            </w:pPr>
          </w:p>
        </w:tc>
        <w:tc>
          <w:tcPr>
            <w:tcW w:w="1340" w:type="dxa"/>
            <w:vAlign w:val="bottom"/>
          </w:tcPr>
          <w:p>
            <w:pPr>
              <w:jc w:val="right"/>
              <w:ind w:right="324"/>
              <w:spacing w:after="0"/>
              <w:rPr>
                <w:sz w:val="20"/>
                <w:szCs w:val="20"/>
                <w:color w:val="auto"/>
              </w:rPr>
            </w:pPr>
            <w:r>
              <w:rPr>
                <w:rFonts w:ascii="Arial" w:cs="Arial" w:eastAsia="Arial" w:hAnsi="Arial"/>
                <w:sz w:val="12"/>
                <w:szCs w:val="12"/>
                <w:b w:val="1"/>
                <w:bCs w:val="1"/>
                <w:color w:val="auto"/>
              </w:rPr>
              <w:t>June 30, 2024</w:t>
            </w:r>
          </w:p>
        </w:tc>
      </w:tr>
      <w:tr>
        <w:trPr>
          <w:trHeight w:val="207"/>
        </w:trPr>
        <w:tc>
          <w:tcPr>
            <w:tcW w:w="7940" w:type="dxa"/>
            <w:vAlign w:val="bottom"/>
          </w:tcPr>
          <w:p>
            <w:pPr>
              <w:ind w:left="20"/>
              <w:spacing w:after="0"/>
              <w:rPr>
                <w:sz w:val="20"/>
                <w:szCs w:val="20"/>
                <w:color w:val="auto"/>
              </w:rPr>
            </w:pPr>
            <w:r>
              <w:rPr>
                <w:rFonts w:ascii="Arial" w:cs="Arial" w:eastAsia="Arial" w:hAnsi="Arial"/>
                <w:sz w:val="16"/>
                <w:szCs w:val="16"/>
                <w:color w:val="auto"/>
              </w:rPr>
              <w:t>Long-lived assets (1):</w:t>
            </w: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77,095</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Canada</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64,996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54,848</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Switzerland</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67,201</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Netherlands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55,986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60,974</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Italy</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37,380</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Germany</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30,357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31,656</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France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28,002</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Australia</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21,062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22,131</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Jamaica</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w:t>
            </w:r>
          </w:p>
        </w:tc>
      </w:tr>
      <w:tr>
        <w:trPr>
          <w:trHeight w:val="207"/>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100,640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90,380</w:t>
            </w:r>
          </w:p>
        </w:tc>
      </w:tr>
      <w:tr>
        <w:trPr>
          <w:trHeight w:val="227"/>
        </w:trPr>
        <w:tc>
          <w:tcPr>
            <w:tcW w:w="79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486,359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473,449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99" w:lineRule="exact"/>
        <w:rPr>
          <w:sz w:val="20"/>
          <w:szCs w:val="20"/>
          <w:color w:val="auto"/>
        </w:rPr>
      </w:pPr>
    </w:p>
    <w:p>
      <w:pPr>
        <w:ind w:left="240" w:right="40" w:hanging="236"/>
        <w:spacing w:after="0" w:line="281" w:lineRule="auto"/>
        <w:tabs>
          <w:tab w:leader="none" w:pos="214"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goodwill of $777,608 and $787,138, intangible assets, net of $65,940 and $76,560, deferred tax assets of $90,227 and $95,059, and equity method investments of $2,075 and $1,904 as of December 31, 2024 and June 30, 2024, respectively.</w:t>
      </w:r>
    </w:p>
    <w:p>
      <w:pPr>
        <w:spacing w:after="0" w:line="235" w:lineRule="exact"/>
        <w:rPr>
          <w:sz w:val="20"/>
          <w:szCs w:val="20"/>
          <w:color w:val="auto"/>
        </w:rPr>
      </w:pPr>
    </w:p>
    <w:p>
      <w:pPr>
        <w:ind w:right="8200" w:firstLine="4"/>
        <w:spacing w:after="0" w:line="415" w:lineRule="auto"/>
        <w:tabs>
          <w:tab w:leader="none" w:pos="289"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Supply Chain Finance Program</w:t>
      </w:r>
    </w:p>
    <w:p>
      <w:pPr>
        <w:spacing w:after="0" w:line="1" w:lineRule="exact"/>
        <w:rPr>
          <w:sz w:val="20"/>
          <w:szCs w:val="20"/>
          <w:color w:val="auto"/>
        </w:rPr>
      </w:pPr>
    </w:p>
    <w:p>
      <w:pPr>
        <w:ind w:right="60" w:firstLine="623"/>
        <w:spacing w:after="0" w:line="261" w:lineRule="auto"/>
        <w:rPr>
          <w:sz w:val="20"/>
          <w:szCs w:val="20"/>
          <w:color w:val="auto"/>
        </w:rPr>
      </w:pPr>
      <w:r>
        <w:rPr>
          <w:rFonts w:ascii="Arial" w:cs="Arial" w:eastAsia="Arial" w:hAnsi="Arial"/>
          <w:sz w:val="17"/>
          <w:szCs w:val="17"/>
          <w:color w:val="auto"/>
        </w:rPr>
        <w:t>We facilitate a voluntary supply chain finance program through a financial intermediary, which provides certain suppliers the option to be paid by the financial intermediary earlier than the due date of the applicable invoice. The decision to sell receivables due from us is at the sole discretion of both the suppliers and the financial institution. Our responsibility is limited to making payment on the terms originally negotiated with each supplier, regardless of whether a supplier participates in the program. We are not a party to the agreements between the participating financial institution and the suppliers in connection with the program, we do not receive financial incentives from the suppliers or the financial institution, nor do we reimburse suppliers for any costs they incur for participating in the program. There are no assets pledged as security or other forms of guarantees provided for the committed payment to the financial institution.</w:t>
      </w:r>
    </w:p>
    <w:p>
      <w:pPr>
        <w:spacing w:after="0" w:line="121" w:lineRule="exact"/>
        <w:rPr>
          <w:sz w:val="20"/>
          <w:szCs w:val="20"/>
          <w:color w:val="auto"/>
        </w:rPr>
      </w:pPr>
    </w:p>
    <w:p>
      <w:pPr>
        <w:ind w:right="220" w:firstLine="623"/>
        <w:spacing w:after="0" w:line="268" w:lineRule="auto"/>
        <w:rPr>
          <w:sz w:val="20"/>
          <w:szCs w:val="20"/>
          <w:color w:val="auto"/>
        </w:rPr>
      </w:pPr>
      <w:r>
        <w:rPr>
          <w:rFonts w:ascii="Arial" w:cs="Arial" w:eastAsia="Arial" w:hAnsi="Arial"/>
          <w:sz w:val="17"/>
          <w:szCs w:val="17"/>
          <w:color w:val="auto"/>
        </w:rPr>
        <w:t>All unpaid obligations to our supply chain finance provider are included in accounts payable in the consolidated balance sheets, and payments we make under the program are reflected as a reduction to net cash provided by operating activities in the consolidated statements of cash flows. The outstanding obligations with our supply chain finance provider that are included in accounts payable in our consolidated balance sheets as of December 31, 2024 and June 30, 2024 were $56,151 and $62,848,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Obligations</w:t>
      </w:r>
    </w:p>
    <w:p>
      <w:pPr>
        <w:spacing w:after="0" w:line="207" w:lineRule="exact"/>
        <w:rPr>
          <w:sz w:val="20"/>
          <w:szCs w:val="20"/>
          <w:color w:val="auto"/>
        </w:rPr>
      </w:pPr>
    </w:p>
    <w:p>
      <w:pPr>
        <w:ind w:right="100" w:firstLine="623"/>
        <w:spacing w:after="0" w:line="268" w:lineRule="auto"/>
        <w:rPr>
          <w:sz w:val="20"/>
          <w:szCs w:val="20"/>
          <w:color w:val="auto"/>
        </w:rPr>
      </w:pPr>
      <w:r>
        <w:rPr>
          <w:rFonts w:ascii="Arial" w:cs="Arial" w:eastAsia="Arial" w:hAnsi="Arial"/>
          <w:sz w:val="17"/>
          <w:szCs w:val="17"/>
          <w:color w:val="auto"/>
        </w:rPr>
        <w:t>At December 31, 2024, we had unrecorded commitments under contract of $207,240, including inventory, third-party fulfillment and digital service purchase commitments of $93,209; software of $38,346; third-party cloud services of $36,628; production and computer equipment purchases of $7,588; insurance costs of $5,387; professional and consulting fees of $5,162; production-related temporary labor of $4,000; advertising of $684; and other unrecorded purchase commitments of $16,238.</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207"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13. Related Party Transaction</w:t>
      </w:r>
    </w:p>
    <w:p>
      <w:pPr>
        <w:spacing w:after="0" w:line="248" w:lineRule="exact"/>
        <w:rPr>
          <w:sz w:val="20"/>
          <w:szCs w:val="20"/>
          <w:color w:val="auto"/>
        </w:rPr>
      </w:pPr>
    </w:p>
    <w:p>
      <w:pPr>
        <w:jc w:val="both"/>
        <w:ind w:firstLine="623"/>
        <w:spacing w:after="0" w:line="267" w:lineRule="auto"/>
        <w:rPr>
          <w:sz w:val="20"/>
          <w:szCs w:val="20"/>
          <w:color w:val="auto"/>
        </w:rPr>
      </w:pPr>
      <w:r>
        <w:rPr>
          <w:rFonts w:ascii="Arial" w:cs="Arial" w:eastAsia="Arial" w:hAnsi="Arial"/>
          <w:sz w:val="17"/>
          <w:szCs w:val="17"/>
          <w:color w:val="auto"/>
        </w:rPr>
        <w:t>On November 8, 2024, we repurchased 316,056 of our outstanding ordinary shares, par value €0.01 per share, from entities affiliated with Prescott General Partners LLC (“Prescott”) in a privately negotiated transaction at a price of $79.10 per share, representing a discount of $1.78 to the closing price of our ordinary shares on November 6, 2024 (the “Transaction”).</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Scott Vassalluzzo, a Managing Member of Prescott, serves as a member of Cimpress’ Board of Directors and Audit Committee. In light of</w:t>
      </w:r>
    </w:p>
    <w:p>
      <w:pPr>
        <w:spacing w:after="0" w:line="33"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the foregoing, the disinterested members of Cimpress’ Audit Committee reviewed the Transaction under our related person transaction policy and considered, among other things, Mr. Vassalluzzo’s and Prescott’s interest in the Transaction, the approximate dollar value of the Transaction, and the purpose and the potential benefits to Cimpress of entering into the Transaction. Based on these considerations, the disinterested members of the Audit Committee concluded that the Transaction was in our best interest. The Transaction was effected pursuant to the share repurchase program approved by Cimpress’ Board of Directors and announced on May 29, 2024.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860" w:right="41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0" w:lineRule="exact"/>
        <w:rPr>
          <w:sz w:val="20"/>
          <w:szCs w:val="20"/>
          <w:color w:val="auto"/>
        </w:rPr>
      </w:pPr>
    </w:p>
    <w:p>
      <w:pPr>
        <w:ind w:firstLine="623"/>
        <w:spacing w:after="0" w:line="256"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the impact of interest rate and currency fluctuations, sources of liquidity to fund future operations, future payment terms with suppliers, the timing of adoption of certain accounting standards, legal proceedings, our ability to prevail in our appeal of an adverse land duty tax assessment, indefinitely reinvested earnings, unrecognized tax benefits, our effective tax rate, and sufficiency of our tax reserves. Without limiting the foregoing, the words “may,” “should,” “could,” “expect,” “plan,” “intend,” “anticipate,” “believe,” “estimate,” “predict,” "assume," “designed,” “potential,” "possible," “continue,” “target,” “seek,” "likely," "will"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supply chain constraints and fluctuating inflation; our inability to make investments in our business and allocate our capital as planned or the failure of those investments and allocations to achieve the results we expect; costs and disruptions caused by acquisitions and minority investments; the failure of businesses we acquire or invest in to perform as expected; loss of key personnel or our inability to recruit talented personnel; our failure to develop and deploy our mass customization platform or the failure of the mass customization platform to drive the performance, efficiencies and competitive advantage we expect; unanticipated changes in our markets, customers, or businesses; disruptions caused by geopolitical events or political instability and war in Ukraine, Israel, the Middle East or elsewhere; changes in governmental policies, laws and regulations, or in the enforcement or interpretation of governmental policies, laws and regulations, that affect our businesses, including related to import tariffs; our failure to manage the growth and complexity of our business; our failure to maintain compliance with the covenants in our debt documents or to pay our debts when due; competitive pressures; general economic conditions; and other factors described in Item 1A (Risk Factors) of our Annual Report on Form 10-K for the 2024 fiscal year, this Quarterly Report on Form 10-Q and subsequent documents we periodically file with the SEC.</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Overview</w:t>
      </w:r>
    </w:p>
    <w:p>
      <w:pPr>
        <w:spacing w:after="0" w:line="181" w:lineRule="exact"/>
        <w:rPr>
          <w:sz w:val="20"/>
          <w:szCs w:val="20"/>
          <w:color w:val="auto"/>
        </w:rPr>
      </w:pPr>
    </w:p>
    <w:p>
      <w:pPr>
        <w:ind w:right="100" w:firstLine="623"/>
        <w:spacing w:after="0" w:line="263" w:lineRule="auto"/>
        <w:rPr>
          <w:sz w:val="20"/>
          <w:szCs w:val="20"/>
          <w:color w:val="auto"/>
        </w:rPr>
      </w:pPr>
      <w:r>
        <w:rPr>
          <w:rFonts w:ascii="Arial" w:cs="Arial" w:eastAsia="Arial" w:hAnsi="Arial"/>
          <w:sz w:val="17"/>
          <w:szCs w:val="17"/>
          <w:color w:val="auto"/>
        </w:rPr>
        <w:t>Cimpress is a strategically focused collection of businesses that specialize in print mass customization, through which we deliver large volumes of individually small-sized customized orders of printed materials and related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 We discuss mass customization further in the Business section of this Report.</w:t>
      </w:r>
    </w:p>
    <w:p>
      <w:pPr>
        <w:spacing w:after="0" w:line="155" w:lineRule="exact"/>
        <w:rPr>
          <w:sz w:val="20"/>
          <w:szCs w:val="20"/>
          <w:color w:val="auto"/>
        </w:rPr>
      </w:pPr>
    </w:p>
    <w:p>
      <w:pPr>
        <w:ind w:right="380" w:firstLine="623"/>
        <w:spacing w:after="0" w:line="295" w:lineRule="auto"/>
        <w:rPr>
          <w:sz w:val="20"/>
          <w:szCs w:val="20"/>
          <w:color w:val="auto"/>
        </w:rPr>
      </w:pPr>
      <w:r>
        <w:rPr>
          <w:rFonts w:ascii="Arial" w:cs="Arial" w:eastAsia="Arial" w:hAnsi="Arial"/>
          <w:sz w:val="17"/>
          <w:szCs w:val="17"/>
          <w:color w:val="auto"/>
        </w:rPr>
        <w:t>As of December 31, 2024, we have numerous operating segments under our management reporting structure that are reported in the following five reportable segments: Vista, PrintBrothers, The Print Group, National Pen, and All Other Businesses.</w:t>
      </w:r>
    </w:p>
    <w:p>
      <w:pPr>
        <w:spacing w:after="0" w:line="130" w:lineRule="exact"/>
        <w:rPr>
          <w:sz w:val="20"/>
          <w:szCs w:val="20"/>
          <w:color w:val="auto"/>
        </w:rPr>
      </w:pPr>
    </w:p>
    <w:p>
      <w:pPr>
        <w:ind w:right="40" w:firstLine="623"/>
        <w:spacing w:after="0" w:line="253" w:lineRule="auto"/>
        <w:rPr>
          <w:sz w:val="20"/>
          <w:szCs w:val="20"/>
          <w:color w:val="auto"/>
        </w:rPr>
      </w:pPr>
      <w:r>
        <w:rPr>
          <w:rFonts w:ascii="Arial" w:cs="Arial" w:eastAsia="Arial" w:hAnsi="Arial"/>
          <w:sz w:val="17"/>
          <w:szCs w:val="17"/>
          <w:color w:val="auto"/>
        </w:rPr>
        <w:t>For purposes of measuring and reporting our segment financial performance, we implemented changes to the methodology used for inter-segment transactions during the first quarter of fiscal 2025. These transactions are when one Cimpress business chooses to buy from or sell to another Cimpress business. We have recast the prior periods presented for segment revenue and segment EBITDA to ensure comparability with the current fiscal year. These changes in methodology have no impact on our consolidated financial results. Refer to Note 11 in our accompanying consolidated financial statements for additional details.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Summary</w:t>
      </w:r>
    </w:p>
    <w:p>
      <w:pPr>
        <w:spacing w:after="0" w:line="194" w:lineRule="exact"/>
        <w:rPr>
          <w:sz w:val="20"/>
          <w:szCs w:val="20"/>
          <w:color w:val="auto"/>
        </w:rPr>
      </w:pPr>
    </w:p>
    <w:p>
      <w:pPr>
        <w:ind w:right="280" w:firstLine="623"/>
        <w:spacing w:after="0" w:line="268" w:lineRule="auto"/>
        <w:rPr>
          <w:sz w:val="20"/>
          <w:szCs w:val="20"/>
          <w:color w:val="auto"/>
        </w:rPr>
      </w:pPr>
      <w:r>
        <w:rPr>
          <w:rFonts w:ascii="Arial" w:cs="Arial" w:eastAsia="Arial" w:hAnsi="Arial"/>
          <w:sz w:val="17"/>
          <w:szCs w:val="17"/>
          <w:color w:val="auto"/>
        </w:rPr>
        <w:t>The primary financial metric by which we set quarterly and annual budgets both for individual businesses and Cimpress wide is our adjusted free cash flow before net cash interest payments; however, in evaluating the financial condition and operating performance of our business, management considers a number of metrics including revenue growth, constant-currency revenue growth, organic constant-currency revenue growth (which excludes the impact of acquisitions/divestitures), operating income, adjusted EBITDA,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964" w:right="379" w:bottom="1440" w:gutter="0" w:footer="0" w:header="0"/>
        </w:sectPr>
      </w:pPr>
    </w:p>
    <w:bookmarkStart w:id="29" w:name="page30"/>
    <w:bookmarkEnd w:id="29"/>
    <w:p>
      <w:pPr>
        <w:spacing w:after="0" w:line="275" w:lineRule="auto"/>
        <w:rPr>
          <w:sz w:val="20"/>
          <w:szCs w:val="20"/>
          <w:color w:val="auto"/>
        </w:rPr>
      </w:pPr>
      <w:r>
        <w:rPr>
          <w:rFonts w:ascii="Arial" w:cs="Arial" w:eastAsia="Arial" w:hAnsi="Arial"/>
          <w:sz w:val="17"/>
          <w:szCs w:val="17"/>
          <w:color w:val="auto"/>
        </w:rPr>
        <w:t>and adjusted free cash flow. Reconciliations of our non-GAAP financial measures are included within the "Consolidated Results of Operations" and "Additional Non-GAAP Financial Measures" sections of Management's Discussion and Analysis. A summary of these key financial metrics for the three and six months ended December 31, 2024 as compared to the three and six months ended December 31, 2023 follows: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Second Quarter Fiscal Year 2025</w:t>
      </w:r>
    </w:p>
    <w:p>
      <w:pPr>
        <w:spacing w:after="0" w:line="220" w:lineRule="exact"/>
        <w:rPr>
          <w:sz w:val="20"/>
          <w:szCs w:val="20"/>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Revenue increased by 2% to $939.2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Organic constant-currency revenue growth (a non-GAAP financial measure) was 2%.</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Operating income decreased by $26.7 million to $80.9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EBITDA (a non-GAAP financial measure) decreased by $34.2 million to $132.3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Diluted net income per share attributable to Cimpress plc increased to $2.36 from $2.14 in the prior year period.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Year to Date Fiscal Year 2025</w:t>
      </w:r>
    </w:p>
    <w:p>
      <w:pPr>
        <w:spacing w:after="0" w:line="220" w:lineRule="exact"/>
        <w:rPr>
          <w:sz w:val="20"/>
          <w:szCs w:val="20"/>
          <w:color w:val="auto"/>
        </w:rPr>
      </w:pPr>
    </w:p>
    <w:p>
      <w:pPr>
        <w:ind w:left="940" w:hanging="313"/>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Revenue increased by 4% to $1,744.1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Organic constant-currency revenue growth (a non-GAAP financial measure) was 4%.</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Operating income decreased by $21.5 million to $120.3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Adjusted EBITDA (a non-GAAP financial measure) decreased by $35.1 million to $220.0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Diluted net income per share attributable to Cimpress plc decreased to $1.86 from $2.31 in the prior year period.</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Cash provided by operating activities decreased by $36.3 million to $180.9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Adjusted free cash flow (a non-GAAP financial measure) decreased by $53.0 million to $107.9 million.</w:t>
      </w:r>
    </w:p>
    <w:p>
      <w:pPr>
        <w:spacing w:after="0" w:line="207"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For the three and six months ended December 31, 2024, the increase in reported revenue was primarily driven by external revenue growth in our Vista, PrintBrothers and The Print Group reportable segments. Revenue growth was led by strong revenue performance in more complex products in our Vista business, which includes product categories like promotional products, apparel, signage, and packaging and labels. Revenue growth was dampened by lower revenue in the U.S. for business cards, as well as lower revenue during the seasonally important second quarter for consumer-focused products, such as holiday cards at Vista and canvas prints in our BuildASign business. In addition, the shortened holiday buying season compared to last year and postal strikes in Canada during the holiday peak that kept customers from buying holiday cards given the uncertainty of deliverability also negatively impacted revenue growth.</w:t>
      </w:r>
    </w:p>
    <w:p>
      <w:pPr>
        <w:spacing w:after="0" w:line="160" w:lineRule="exact"/>
        <w:rPr>
          <w:sz w:val="20"/>
          <w:szCs w:val="20"/>
          <w:color w:val="auto"/>
        </w:rPr>
      </w:pPr>
    </w:p>
    <w:p>
      <w:pPr>
        <w:ind w:right="80" w:firstLine="623"/>
        <w:spacing w:after="0" w:line="261" w:lineRule="auto"/>
        <w:rPr>
          <w:sz w:val="20"/>
          <w:szCs w:val="20"/>
          <w:color w:val="auto"/>
        </w:rPr>
      </w:pPr>
      <w:r>
        <w:rPr>
          <w:rFonts w:ascii="Arial" w:cs="Arial" w:eastAsia="Arial" w:hAnsi="Arial"/>
          <w:sz w:val="17"/>
          <w:szCs w:val="17"/>
          <w:color w:val="auto"/>
        </w:rPr>
        <w:t>The decrease to operating income during the three and six months ended December 31, 2024 was driven by the non-recurrence of $12 million of items that benefited the prior year periods, as well as the impact of a $2.9 million charge that we recognized in the second quarter of the current fiscal year for a land duty tax in Australia related to our 2019 redomiciliation to Ireland that we are appealing. In addition, the impact of the Canadian postal strikes and shortened holiday buying season as described above also reduced profits as compared to the prior year periods. The strong revenue growth in more complex products was not enough to overcome the shortfall from higher gross margin products, as well as increased advertising spend and operating expenses. These items were offset in part by $4.1 million and $8.8 million, respectively, of lower amortization of acquired intangible assets due to the runoff of fully amortized assets across several of our previously acquired businesses.</w:t>
      </w:r>
    </w:p>
    <w:p>
      <w:pPr>
        <w:spacing w:after="0" w:line="147" w:lineRule="exact"/>
        <w:rPr>
          <w:sz w:val="20"/>
          <w:szCs w:val="20"/>
          <w:color w:val="auto"/>
        </w:rPr>
      </w:pPr>
    </w:p>
    <w:p>
      <w:pPr>
        <w:ind w:right="40" w:firstLine="623"/>
        <w:spacing w:after="0" w:line="263" w:lineRule="auto"/>
        <w:rPr>
          <w:sz w:val="20"/>
          <w:szCs w:val="20"/>
          <w:color w:val="auto"/>
        </w:rPr>
      </w:pPr>
      <w:r>
        <w:rPr>
          <w:rFonts w:ascii="Arial" w:cs="Arial" w:eastAsia="Arial" w:hAnsi="Arial"/>
          <w:sz w:val="17"/>
          <w:szCs w:val="17"/>
          <w:color w:val="auto"/>
        </w:rPr>
        <w:t>Adjusted EBITDA decreased during the three and six months ended December 31, 2024, primarily driven by the decrease in operating income described above, as well as negative year-over-year currency impacts of $0.7 million and $2.1 million, respectively, net of realized hedging gains and losses for certain derivatives intended to hedge adjusted EBITDA. Adjusted EBITDA excludes depreciation and amortization, restructuring charges, share-based compensation expense, earn-out related charges, certain impairments and other charges, gains or losses on the purchase or sale of subsidiaries and the disposal of assets, and includes proceeds from insurance not already included in operating income as well as the realized gains or losses on our currency derivatives intended to hedge adjusted EBITDA.</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0" w:name="page31"/>
    <w:bookmarkEnd w:id="30"/>
    <w:p>
      <w:pPr>
        <w:ind w:right="80" w:firstLine="623"/>
        <w:spacing w:after="0" w:line="265" w:lineRule="auto"/>
        <w:rPr>
          <w:sz w:val="20"/>
          <w:szCs w:val="20"/>
          <w:color w:val="auto"/>
        </w:rPr>
      </w:pPr>
      <w:r>
        <w:rPr>
          <w:rFonts w:ascii="Arial" w:cs="Arial" w:eastAsia="Arial" w:hAnsi="Arial"/>
          <w:sz w:val="17"/>
          <w:szCs w:val="17"/>
          <w:color w:val="auto"/>
        </w:rPr>
        <w:t>Diluted net income per share attributable to Cimpress plc increased for the three months ended December 31, 2024, due to higher unrealized gains on derivative contracts that are not designated hedges, which was partially offset by the operating income decrease described above. Alternatively, diluted net income per share attributable to Cimpress plc decreased for the six months ended December 31, 2024, due to the operating income decrease described above. The operating income decrease was offset in part by higher unrealized gains on derivative contracts that are not designated hedges.</w:t>
      </w:r>
    </w:p>
    <w:p>
      <w:pPr>
        <w:spacing w:after="0" w:line="141" w:lineRule="exact"/>
        <w:rPr>
          <w:sz w:val="20"/>
          <w:szCs w:val="20"/>
          <w:color w:val="auto"/>
        </w:rPr>
      </w:pPr>
    </w:p>
    <w:p>
      <w:pPr>
        <w:ind w:right="140" w:firstLine="623"/>
        <w:spacing w:after="0" w:line="261" w:lineRule="auto"/>
        <w:rPr>
          <w:sz w:val="20"/>
          <w:szCs w:val="20"/>
          <w:color w:val="auto"/>
        </w:rPr>
      </w:pPr>
      <w:r>
        <w:rPr>
          <w:rFonts w:ascii="Arial" w:cs="Arial" w:eastAsia="Arial" w:hAnsi="Arial"/>
          <w:sz w:val="17"/>
          <w:szCs w:val="17"/>
          <w:color w:val="auto"/>
        </w:rPr>
        <w:t>During the six months ended December 31, 2024, cash from operations decreased $36.3 million year over year, primarily driven by the lower operating income as described above, as well as less favorable inflows from changes in net working capital year-over-year. The cash from operations decrease was partially offset by lower cash interest payments of $12.1 million, primarily due to a change in timing of interest payments on our recently refinanced senior notes. Adjusted free cash flow decreased by $53.0 million for the six months ended December 31, 2024, due to the operating cash flow decrease described above, as well as a $ 9.5 million increase in capitalized expenditures, primarily due to planned investments in new production equipment. Proceeds from sale of assets decreased by $4.3 million, primarily driven by the sale of our previously owned manufacturing facility in Japan in the prior year period.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Revenue</w:t>
      </w:r>
    </w:p>
    <w:p>
      <w:pPr>
        <w:spacing w:after="0" w:line="129" w:lineRule="exact"/>
        <w:rPr>
          <w:sz w:val="20"/>
          <w:szCs w:val="20"/>
          <w:color w:val="auto"/>
        </w:rPr>
      </w:pPr>
    </w:p>
    <w:p>
      <w:pPr>
        <w:jc w:val="both"/>
        <w:ind w:right="360" w:firstLine="623"/>
        <w:spacing w:after="0" w:line="268" w:lineRule="auto"/>
        <w:rPr>
          <w:sz w:val="20"/>
          <w:szCs w:val="20"/>
          <w:color w:val="auto"/>
        </w:rPr>
      </w:pPr>
      <w:r>
        <w:rPr>
          <w:rFonts w:ascii="Arial" w:cs="Arial" w:eastAsia="Arial" w:hAnsi="Arial"/>
          <w:sz w:val="17"/>
          <w:szCs w:val="17"/>
          <w:color w:val="auto"/>
        </w:rPr>
        <w:t>Our businesses generate revenue primarily from the sale and shipment of customized products. We also generate revenue, to a much lesser extent (and primarily in our Vista business), from digital services, graphic design services, website design and hosting, and social media marketing services, as well as a small percentage of revenue from order referral fees and other third-party offerings. For additional discussion relating to segment revenue results, refer to the "Reportable Segment Results" section included below.</w:t>
      </w:r>
    </w:p>
    <w:p>
      <w:pPr>
        <w:spacing w:after="0" w:line="74" w:lineRule="exact"/>
        <w:rPr>
          <w:sz w:val="20"/>
          <w:szCs w:val="20"/>
          <w:color w:val="auto"/>
        </w:rPr>
      </w:pPr>
    </w:p>
    <w:p>
      <w:pPr>
        <w:ind w:right="620" w:firstLine="623"/>
        <w:spacing w:after="0" w:line="295" w:lineRule="auto"/>
        <w:rPr>
          <w:sz w:val="20"/>
          <w:szCs w:val="20"/>
          <w:color w:val="auto"/>
        </w:rPr>
      </w:pPr>
      <w:r>
        <w:rPr>
          <w:rFonts w:ascii="Arial" w:cs="Arial" w:eastAsia="Arial" w:hAnsi="Arial"/>
          <w:sz w:val="17"/>
          <w:szCs w:val="17"/>
          <w:color w:val="auto"/>
        </w:rPr>
        <w:t>Total revenue and revenue growth by reportable segment for the three and six months ended December 31, 2024 are shown in the following table: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6"/>
            <w:vMerge w:val="restart"/>
          </w:tcPr>
          <w:p>
            <w:pPr>
              <w:jc w:val="right"/>
              <w:ind w:right="144"/>
              <w:spacing w:after="0"/>
              <w:rPr>
                <w:sz w:val="20"/>
                <w:szCs w:val="20"/>
                <w:color w:val="auto"/>
              </w:rPr>
            </w:pPr>
            <w:r>
              <w:rPr>
                <w:rFonts w:ascii="Arial" w:cs="Arial" w:eastAsia="Arial" w:hAnsi="Arial"/>
                <w:sz w:val="12"/>
                <w:szCs w:val="12"/>
                <w:b w:val="1"/>
                <w:bCs w:val="1"/>
                <w:color w:val="auto"/>
              </w:rPr>
              <w:t>Three Months Ended December 31,</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Currency</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Constant-</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 of</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9"/>
              </w:rPr>
              <w:t>Constant- Currency</w:t>
            </w:r>
          </w:p>
        </w:tc>
        <w:tc>
          <w:tcPr>
            <w:tcW w:w="0" w:type="dxa"/>
            <w:vAlign w:val="bottom"/>
          </w:tcPr>
          <w:p>
            <w:pPr>
              <w:spacing w:after="0"/>
              <w:rPr>
                <w:sz w:val="1"/>
                <w:szCs w:val="1"/>
                <w:color w:val="auto"/>
              </w:rPr>
            </w:pPr>
          </w:p>
        </w:tc>
      </w:tr>
      <w:tr>
        <w:trPr>
          <w:trHeight w:val="180"/>
        </w:trPr>
        <w:tc>
          <w:tcPr>
            <w:tcW w:w="20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Currency</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Acquisitions/Divestitures:</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Revenue Growth</w:t>
            </w:r>
          </w:p>
        </w:tc>
        <w:tc>
          <w:tcPr>
            <w:tcW w:w="0" w:type="dxa"/>
            <w:vAlign w:val="bottom"/>
          </w:tcPr>
          <w:p>
            <w:pPr>
              <w:spacing w:after="0"/>
              <w:rPr>
                <w:sz w:val="1"/>
                <w:szCs w:val="1"/>
                <w:color w:val="auto"/>
              </w:rPr>
            </w:pPr>
          </w:p>
        </w:tc>
      </w:tr>
      <w:tr>
        <w:trPr>
          <w:trHeight w:val="99"/>
        </w:trPr>
        <w:tc>
          <w:tcPr>
            <w:tcW w:w="2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gridSpan w:val="2"/>
            <w:vMerge w:val="restart"/>
          </w:tcPr>
          <w:p>
            <w:pPr>
              <w:jc w:val="center"/>
              <w:ind w:left="2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Revenue</w:t>
            </w: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Excluding</w:t>
            </w: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326"/>
              <w:spacing w:after="0"/>
              <w:rPr>
                <w:sz w:val="20"/>
                <w:szCs w:val="20"/>
                <w:color w:val="auto"/>
              </w:rPr>
            </w:pPr>
            <w:r>
              <w:rPr>
                <w:rFonts w:ascii="Arial" w:cs="Arial" w:eastAsia="Arial" w:hAnsi="Arial"/>
                <w:sz w:val="12"/>
                <w:szCs w:val="12"/>
                <w:b w:val="1"/>
                <w:bCs w:val="1"/>
                <w:color w:val="auto"/>
              </w:rPr>
              <w:t>2024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ind w:right="304"/>
              <w:spacing w:after="0"/>
              <w:rPr>
                <w:sz w:val="20"/>
                <w:szCs w:val="20"/>
                <w:color w:val="auto"/>
              </w:rPr>
            </w:pPr>
            <w:r>
              <w:rPr>
                <w:rFonts w:ascii="Arial" w:cs="Arial" w:eastAsia="Arial" w:hAnsi="Arial"/>
                <w:sz w:val="12"/>
                <w:szCs w:val="12"/>
                <w:b w:val="1"/>
                <w:bCs w:val="1"/>
                <w:color w:val="auto"/>
              </w:rPr>
              <w:t>2023 (1)</w:t>
            </w: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00" w:type="dxa"/>
            <w:vAlign w:val="bottom"/>
            <w:vMerge w:val="restart"/>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20" w:type="dxa"/>
            <w:vAlign w:val="bottom"/>
            <w:vMerge w:val="restart"/>
          </w:tcPr>
          <w:p>
            <w:pPr>
              <w:spacing w:after="0"/>
              <w:rPr>
                <w:sz w:val="10"/>
                <w:szCs w:val="10"/>
                <w:color w:val="auto"/>
              </w:rPr>
            </w:pPr>
          </w:p>
        </w:tc>
        <w:tc>
          <w:tcPr>
            <w:tcW w:w="14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9"/>
              </w:rPr>
              <w:t>Acquisitions/Divestitures</w:t>
            </w:r>
          </w:p>
        </w:tc>
        <w:tc>
          <w:tcPr>
            <w:tcW w:w="0" w:type="dxa"/>
            <w:vAlign w:val="bottom"/>
          </w:tcPr>
          <w:p>
            <w:pPr>
              <w:spacing w:after="0"/>
              <w:rPr>
                <w:sz w:val="1"/>
                <w:szCs w:val="1"/>
                <w:color w:val="auto"/>
              </w:rPr>
            </w:pPr>
          </w:p>
        </w:tc>
      </w:tr>
      <w:tr>
        <w:trPr>
          <w:trHeight w:val="178"/>
        </w:trPr>
        <w:tc>
          <w:tcPr>
            <w:tcW w:w="20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Growth (2)</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05"/>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497,677</w:t>
            </w:r>
          </w:p>
        </w:tc>
        <w:tc>
          <w:tcPr>
            <w:tcW w:w="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485,445</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174,508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165,551</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40" w:type="dxa"/>
            <w:vAlign w:val="bottom"/>
          </w:tcPr>
          <w:p>
            <w:pPr>
              <w:jc w:val="right"/>
              <w:ind w:right="528"/>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98,628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92,135</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131,423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130,096</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40" w:type="dxa"/>
            <w:vAlign w:val="bottom"/>
          </w:tcPr>
          <w:p>
            <w:pPr>
              <w:jc w:val="right"/>
              <w:ind w:right="528"/>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59,762</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2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9"/>
              </w:rPr>
              <w:t>Inter-segment eliminations</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(23,410)</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(11,626)</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939,159</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921,363</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8"/>
              </w:rPr>
              <w:t>Currency</w:t>
            </w:r>
          </w:p>
        </w:tc>
        <w:tc>
          <w:tcPr>
            <w:tcW w:w="108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Constant-</w:t>
            </w:r>
          </w:p>
        </w:tc>
        <w:tc>
          <w:tcPr>
            <w:tcW w:w="164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Impact of</w:t>
            </w:r>
          </w:p>
        </w:tc>
        <w:tc>
          <w:tcPr>
            <w:tcW w:w="14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2"/>
                <w:szCs w:val="12"/>
                <w:b w:val="1"/>
                <w:bCs w:val="1"/>
                <w:color w:val="auto"/>
                <w:w w:val="99"/>
              </w:rPr>
              <w:t>Constant- Currency</w:t>
            </w:r>
          </w:p>
        </w:tc>
        <w:tc>
          <w:tcPr>
            <w:tcW w:w="0" w:type="dxa"/>
            <w:vAlign w:val="bottom"/>
          </w:tcPr>
          <w:p>
            <w:pPr>
              <w:spacing w:after="0" w:line="20" w:lineRule="exact"/>
              <w:rPr>
                <w:sz w:val="1"/>
                <w:szCs w:val="1"/>
                <w:color w:val="auto"/>
              </w:rPr>
            </w:pPr>
          </w:p>
        </w:tc>
      </w:tr>
      <w:tr>
        <w:trPr>
          <w:trHeight w:val="322"/>
        </w:trPr>
        <w:tc>
          <w:tcPr>
            <w:tcW w:w="2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6"/>
            <w:vMerge w:val="restart"/>
          </w:tcPr>
          <w:p>
            <w:pPr>
              <w:jc w:val="right"/>
              <w:ind w:right="244"/>
              <w:spacing w:after="0"/>
              <w:rPr>
                <w:sz w:val="20"/>
                <w:szCs w:val="20"/>
                <w:color w:val="auto"/>
              </w:rPr>
            </w:pPr>
            <w:r>
              <w:rPr>
                <w:rFonts w:ascii="Arial" w:cs="Arial" w:eastAsia="Arial" w:hAnsi="Arial"/>
                <w:sz w:val="12"/>
                <w:szCs w:val="12"/>
                <w:b w:val="1"/>
                <w:bCs w:val="1"/>
                <w:color w:val="auto"/>
              </w:rPr>
              <w:t>Six Months Ended December 31,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20" w:type="dxa"/>
            <w:vAlign w:val="bottom"/>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Currency</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Acquisitions/Divestitures:</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Revenue Growth</w:t>
            </w:r>
          </w:p>
        </w:tc>
        <w:tc>
          <w:tcPr>
            <w:tcW w:w="0" w:type="dxa"/>
            <w:vAlign w:val="bottom"/>
          </w:tcPr>
          <w:p>
            <w:pPr>
              <w:spacing w:after="0"/>
              <w:rPr>
                <w:sz w:val="1"/>
                <w:szCs w:val="1"/>
                <w:color w:val="auto"/>
              </w:rPr>
            </w:pPr>
          </w:p>
        </w:tc>
      </w:tr>
      <w:tr>
        <w:trPr>
          <w:trHeight w:val="99"/>
        </w:trPr>
        <w:tc>
          <w:tcPr>
            <w:tcW w:w="2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gridSpan w:val="2"/>
            <w:vMerge w:val="restart"/>
          </w:tcPr>
          <w:p>
            <w:pPr>
              <w:jc w:val="center"/>
              <w:ind w:left="2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Revenue</w:t>
            </w: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center"/>
              <w:spacing w:after="0" w:line="99" w:lineRule="exact"/>
              <w:rPr>
                <w:sz w:val="20"/>
                <w:szCs w:val="20"/>
                <w:color w:val="auto"/>
              </w:rPr>
            </w:pPr>
            <w:r>
              <w:rPr>
                <w:rFonts w:ascii="Arial" w:cs="Arial" w:eastAsia="Arial" w:hAnsi="Arial"/>
                <w:sz w:val="11"/>
                <w:szCs w:val="11"/>
                <w:b w:val="1"/>
                <w:bCs w:val="1"/>
                <w:color w:val="auto"/>
              </w:rPr>
              <w:t>Excluding</w:t>
            </w: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366"/>
              <w:spacing w:after="0"/>
              <w:rPr>
                <w:sz w:val="20"/>
                <w:szCs w:val="20"/>
                <w:color w:val="auto"/>
              </w:rPr>
            </w:pPr>
            <w:r>
              <w:rPr>
                <w:rFonts w:ascii="Arial" w:cs="Arial" w:eastAsia="Arial" w:hAnsi="Arial"/>
                <w:sz w:val="12"/>
                <w:szCs w:val="12"/>
                <w:b w:val="1"/>
                <w:bCs w:val="1"/>
                <w:color w:val="auto"/>
              </w:rPr>
              <w:t>2024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ind w:right="324"/>
              <w:spacing w:after="0"/>
              <w:rPr>
                <w:sz w:val="20"/>
                <w:szCs w:val="20"/>
                <w:color w:val="auto"/>
              </w:rPr>
            </w:pPr>
            <w:r>
              <w:rPr>
                <w:rFonts w:ascii="Arial" w:cs="Arial" w:eastAsia="Arial" w:hAnsi="Arial"/>
                <w:sz w:val="12"/>
                <w:szCs w:val="12"/>
                <w:b w:val="1"/>
                <w:bCs w:val="1"/>
                <w:color w:val="auto"/>
              </w:rPr>
              <w:t>2023 (1)</w:t>
            </w: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00" w:type="dxa"/>
            <w:vAlign w:val="bottom"/>
            <w:vMerge w:val="restart"/>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20" w:type="dxa"/>
            <w:vAlign w:val="bottom"/>
            <w:vMerge w:val="restart"/>
          </w:tcPr>
          <w:p>
            <w:pPr>
              <w:spacing w:after="0"/>
              <w:rPr>
                <w:sz w:val="10"/>
                <w:szCs w:val="10"/>
                <w:color w:val="auto"/>
              </w:rPr>
            </w:pPr>
          </w:p>
        </w:tc>
        <w:tc>
          <w:tcPr>
            <w:tcW w:w="14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9"/>
              </w:rPr>
              <w:t>Acquisitions/Divestitures</w:t>
            </w:r>
          </w:p>
        </w:tc>
        <w:tc>
          <w:tcPr>
            <w:tcW w:w="0" w:type="dxa"/>
            <w:vAlign w:val="bottom"/>
          </w:tcPr>
          <w:p>
            <w:pPr>
              <w:spacing w:after="0"/>
              <w:rPr>
                <w:sz w:val="1"/>
                <w:szCs w:val="1"/>
                <w:color w:val="auto"/>
              </w:rPr>
            </w:pPr>
          </w:p>
        </w:tc>
      </w:tr>
      <w:tr>
        <w:trPr>
          <w:trHeight w:val="178"/>
        </w:trPr>
        <w:tc>
          <w:tcPr>
            <w:tcW w:w="20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Growth (2)</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05"/>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927,171</w:t>
            </w:r>
          </w:p>
        </w:tc>
        <w:tc>
          <w:tcPr>
            <w:tcW w:w="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882,295</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334,923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318,124</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40" w:type="dxa"/>
            <w:vAlign w:val="bottom"/>
          </w:tcPr>
          <w:p>
            <w:pPr>
              <w:jc w:val="right"/>
              <w:ind w:right="528"/>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5%</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171,572</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224,827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216,892</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40" w:type="dxa"/>
            <w:vAlign w:val="bottom"/>
          </w:tcPr>
          <w:p>
            <w:pPr>
              <w:jc w:val="right"/>
              <w:ind w:right="488"/>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111,187</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2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9"/>
              </w:rPr>
              <w:t>Inter-segment eliminations</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(42,969)</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(21,413)</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1,744,128</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1,678,657</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28"/>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p>
      <w:pPr>
        <w:ind w:left="240" w:right="80" w:hanging="236"/>
        <w:spacing w:after="0" w:line="242" w:lineRule="auto"/>
        <w:tabs>
          <w:tab w:leader="none" w:pos="214"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Note 11 of the accompanying consolidated financial statements for additional details.</w:t>
      </w:r>
    </w:p>
    <w:p>
      <w:pPr>
        <w:spacing w:after="0" w:line="25" w:lineRule="exact"/>
        <w:rPr>
          <w:rFonts w:ascii="Arial" w:cs="Arial" w:eastAsia="Arial" w:hAnsi="Arial"/>
          <w:sz w:val="14"/>
          <w:szCs w:val="14"/>
          <w:color w:val="auto"/>
        </w:rPr>
      </w:pPr>
    </w:p>
    <w:p>
      <w:pPr>
        <w:ind w:left="240" w:right="140" w:hanging="236"/>
        <w:spacing w:after="0" w:line="266" w:lineRule="auto"/>
        <w:tabs>
          <w:tab w:leader="none" w:pos="214"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9" w:lineRule="exact"/>
        <w:rPr>
          <w:rFonts w:ascii="Arial" w:cs="Arial" w:eastAsia="Arial" w:hAnsi="Arial"/>
          <w:sz w:val="14"/>
          <w:szCs w:val="14"/>
          <w:color w:val="auto"/>
        </w:rPr>
      </w:pPr>
    </w:p>
    <w:p>
      <w:pPr>
        <w:ind w:left="240" w:right="240" w:hanging="236"/>
        <w:spacing w:after="0" w:line="262" w:lineRule="auto"/>
        <w:tabs>
          <w:tab w:leader="none" w:pos="214"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w:t>
      </w:r>
    </w:p>
    <w:p>
      <w:pPr>
        <w:spacing w:after="0" w:line="12" w:lineRule="exact"/>
        <w:rPr>
          <w:sz w:val="20"/>
          <w:szCs w:val="20"/>
          <w:color w:val="auto"/>
        </w:rPr>
      </w:pPr>
    </w:p>
    <w:p>
      <w:pPr>
        <w:ind w:left="240" w:right="40"/>
        <w:spacing w:after="0" w:line="256" w:lineRule="auto"/>
        <w:rPr>
          <w:sz w:val="20"/>
          <w:szCs w:val="20"/>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Cost of Revenue</w:t>
      </w:r>
    </w:p>
    <w:p>
      <w:pPr>
        <w:spacing w:after="0" w:line="194"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6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7"/>
                <w:szCs w:val="17"/>
                <w:color w:val="auto"/>
              </w:rPr>
            </w:pPr>
          </w:p>
        </w:tc>
        <w:tc>
          <w:tcPr>
            <w:tcW w:w="3180" w:type="dxa"/>
            <w:vAlign w:val="bottom"/>
            <w:gridSpan w:val="5"/>
          </w:tcPr>
          <w:p>
            <w:pPr>
              <w:ind w:left="320"/>
              <w:spacing w:after="0"/>
              <w:rPr>
                <w:sz w:val="20"/>
                <w:szCs w:val="20"/>
                <w:color w:val="auto"/>
              </w:rPr>
            </w:pPr>
            <w:r>
              <w:rPr>
                <w:rFonts w:ascii="Arial" w:cs="Arial" w:eastAsia="Arial" w:hAnsi="Arial"/>
                <w:sz w:val="12"/>
                <w:szCs w:val="12"/>
                <w:b w:val="1"/>
                <w:bCs w:val="1"/>
                <w:color w:val="auto"/>
              </w:rPr>
              <w:t>Three Months Ended December 31,</w:t>
            </w:r>
          </w:p>
        </w:tc>
        <w:tc>
          <w:tcPr>
            <w:tcW w:w="400" w:type="dxa"/>
            <w:vAlign w:val="bottom"/>
          </w:tcPr>
          <w:p>
            <w:pPr>
              <w:spacing w:after="0"/>
              <w:rPr>
                <w:sz w:val="17"/>
                <w:szCs w:val="17"/>
                <w:color w:val="auto"/>
              </w:rPr>
            </w:pPr>
          </w:p>
        </w:tc>
        <w:tc>
          <w:tcPr>
            <w:tcW w:w="3080" w:type="dxa"/>
            <w:vAlign w:val="bottom"/>
            <w:gridSpan w:val="4"/>
          </w:tcPr>
          <w:p>
            <w:pPr>
              <w:jc w:val="right"/>
              <w:ind w:right="748"/>
              <w:spacing w:after="0"/>
              <w:rPr>
                <w:sz w:val="20"/>
                <w:szCs w:val="20"/>
                <w:color w:val="auto"/>
              </w:rPr>
            </w:pPr>
            <w:r>
              <w:rPr>
                <w:rFonts w:ascii="Arial" w:cs="Arial" w:eastAsia="Arial" w:hAnsi="Arial"/>
                <w:sz w:val="12"/>
                <w:szCs w:val="12"/>
                <w:b w:val="1"/>
                <w:bCs w:val="1"/>
                <w:color w:val="auto"/>
              </w:rPr>
              <w:t>Six Months Ended December 31,</w:t>
            </w:r>
          </w:p>
        </w:tc>
      </w:tr>
      <w:tr>
        <w:trPr>
          <w:trHeight w:val="161"/>
        </w:trPr>
        <w:tc>
          <w:tcPr>
            <w:tcW w:w="416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2"/>
                <w:szCs w:val="12"/>
                <w:b w:val="1"/>
                <w:bCs w:val="1"/>
                <w:color w:val="auto"/>
              </w:rPr>
              <w:t>2023</w:t>
            </w:r>
          </w:p>
        </w:tc>
      </w:tr>
      <w:tr>
        <w:trPr>
          <w:trHeight w:val="202"/>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489,256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463,423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911,992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148"/>
              <w:spacing w:after="0"/>
              <w:rPr>
                <w:sz w:val="20"/>
                <w:szCs w:val="20"/>
                <w:color w:val="auto"/>
              </w:rPr>
            </w:pPr>
            <w:r>
              <w:rPr>
                <w:rFonts w:ascii="Arial" w:cs="Arial" w:eastAsia="Arial" w:hAnsi="Arial"/>
                <w:sz w:val="16"/>
                <w:szCs w:val="16"/>
                <w:color w:val="auto"/>
              </w:rPr>
              <w:t>862,206</w:t>
            </w:r>
          </w:p>
        </w:tc>
      </w:tr>
      <w:tr>
        <w:trPr>
          <w:trHeight w:val="206"/>
        </w:trPr>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52.1 %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50.3 %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52.3 %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51.4 %</w:t>
            </w:r>
          </w:p>
        </w:tc>
      </w:tr>
    </w:tbl>
    <w:p>
      <w:pPr>
        <w:spacing w:after="0" w:line="180"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For the three and six months ended December 31, 2024, cost of revenue increased by $25.8 million and $49.8 million year over year, partially driven by higher production and shipping costs due to volume growth as well as increases in third-party fulfillment costs in some of our businesses, primarily due to product mix shifts toward faster growing complex product categories, some of which leverage our third-party fulfillment network. In addition, cost of revenue was negatively impacted year-over-year by $4.2 million due to the non-recurrence of several items that benefited the prior year periods which included a favorable indirect tax ruling.</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Operating Expenses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comparative operating expenses for the following periods: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8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December 31,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gridSpan w:val="5"/>
          </w:tcPr>
          <w:p>
            <w:pPr>
              <w:ind w:left="260"/>
              <w:spacing w:after="0"/>
              <w:rPr>
                <w:sz w:val="20"/>
                <w:szCs w:val="20"/>
                <w:color w:val="auto"/>
              </w:rPr>
            </w:pPr>
            <w:r>
              <w:rPr>
                <w:rFonts w:ascii="Arial" w:cs="Arial" w:eastAsia="Arial" w:hAnsi="Arial"/>
                <w:sz w:val="12"/>
                <w:szCs w:val="12"/>
                <w:b w:val="1"/>
                <w:bCs w:val="1"/>
                <w:color w:val="auto"/>
              </w:rPr>
              <w:t>Six Months Ended December 31,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6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2"/>
                <w:szCs w:val="12"/>
                <w:b w:val="1"/>
                <w:bCs w:val="1"/>
                <w:color w:val="auto"/>
              </w:rPr>
              <w:t>2023</w:t>
            </w:r>
          </w:p>
        </w:tc>
        <w:tc>
          <w:tcPr>
            <w:tcW w:w="12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b w:val="1"/>
                <w:bCs w:val="1"/>
                <w:color w:val="auto"/>
              </w:rPr>
              <w:t>2024 vs. 2023</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2"/>
                <w:szCs w:val="12"/>
                <w:b w:val="1"/>
                <w:bCs w:val="1"/>
                <w:color w:val="auto"/>
              </w:rPr>
              <w:t>2023</w:t>
            </w:r>
          </w:p>
        </w:tc>
        <w:tc>
          <w:tcPr>
            <w:tcW w:w="12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2024 vs. 2023</w:t>
            </w:r>
          </w:p>
        </w:tc>
        <w:tc>
          <w:tcPr>
            <w:tcW w:w="0" w:type="dxa"/>
            <w:vAlign w:val="bottom"/>
          </w:tcPr>
          <w:p>
            <w:pPr>
              <w:spacing w:after="0"/>
              <w:rPr>
                <w:sz w:val="1"/>
                <w:szCs w:val="1"/>
                <w:color w:val="auto"/>
              </w:rPr>
            </w:pPr>
          </w:p>
        </w:tc>
      </w:tr>
      <w:tr>
        <w:trPr>
          <w:trHeight w:val="137"/>
        </w:trPr>
        <w:tc>
          <w:tcPr>
            <w:tcW w:w="268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Technology and development</w:t>
            </w:r>
          </w:p>
        </w:tc>
        <w:tc>
          <w:tcPr>
            <w:tcW w:w="32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82,878</w:t>
            </w:r>
          </w:p>
        </w:tc>
        <w:tc>
          <w:tcPr>
            <w:tcW w:w="1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79,961</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164,739</w:t>
            </w:r>
          </w:p>
        </w:tc>
        <w:tc>
          <w:tcPr>
            <w:tcW w:w="1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154,291</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w:t>
            </w:r>
          </w:p>
        </w:tc>
        <w:tc>
          <w:tcPr>
            <w:tcW w:w="32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8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8.8 %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8.7 %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9.4 %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9.2 %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Marketing and selling expense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223,861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211,843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427,708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404,031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68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23.8 %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23.0 %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24.5 %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24.1 %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General and administrative</w:t>
            </w:r>
          </w:p>
        </w:tc>
        <w:tc>
          <w:tcPr>
            <w:tcW w:w="32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56,936</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48,793</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17%</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108,868</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97,134</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12%</w:t>
            </w: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w:t>
            </w:r>
          </w:p>
        </w:tc>
        <w:tc>
          <w:tcPr>
            <w:tcW w:w="32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8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6.1 %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5.3 %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6.2 %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5.8 %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68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w w:val="98"/>
              </w:rPr>
              <w:t>Amortization of acquired intangible</w:t>
            </w:r>
          </w:p>
        </w:tc>
        <w:tc>
          <w:tcPr>
            <w:tcW w:w="32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5,116</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9,181</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8"/>
              </w:rPr>
              <w:t>(44)%</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10,271</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19,067</w:t>
            </w: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(46)%</w:t>
            </w: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8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0.5 %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1.0 %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0.6 %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1.1 %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Restructuring expense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483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c>
          <w:tcPr>
            <w:tcW w:w="0" w:type="dxa"/>
            <w:vAlign w:val="bottom"/>
          </w:tcPr>
          <w:p>
            <w:pPr>
              <w:spacing w:after="0"/>
              <w:rPr>
                <w:sz w:val="1"/>
                <w:szCs w:val="1"/>
                <w:color w:val="auto"/>
              </w:rPr>
            </w:pPr>
          </w:p>
        </w:tc>
      </w:tr>
      <w:tr>
        <w:trPr>
          <w:trHeight w:val="206"/>
        </w:trPr>
        <w:tc>
          <w:tcPr>
            <w:tcW w:w="268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0.0 %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0.1 %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0.0 %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0.0 %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development expense</w:t>
      </w:r>
    </w:p>
    <w:p>
      <w:pPr>
        <w:spacing w:after="0" w:line="207" w:lineRule="exact"/>
        <w:rPr>
          <w:sz w:val="20"/>
          <w:szCs w:val="20"/>
          <w:color w:val="auto"/>
        </w:rPr>
      </w:pPr>
    </w:p>
    <w:p>
      <w:pPr>
        <w:ind w:right="140" w:firstLine="623"/>
        <w:spacing w:after="0" w:line="265" w:lineRule="auto"/>
        <w:rPr>
          <w:sz w:val="20"/>
          <w:szCs w:val="20"/>
          <w:color w:val="auto"/>
        </w:rPr>
      </w:pPr>
      <w:r>
        <w:rPr>
          <w:rFonts w:ascii="Arial" w:cs="Arial" w:eastAsia="Arial" w:hAnsi="Arial"/>
          <w:sz w:val="17"/>
          <w:szCs w:val="17"/>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32" w:name="page33"/>
    <w:bookmarkEnd w:id="32"/>
    <w:p>
      <w:pPr>
        <w:ind w:right="20" w:firstLine="623"/>
        <w:spacing w:after="0"/>
        <w:rPr>
          <w:sz w:val="20"/>
          <w:szCs w:val="20"/>
          <w:color w:val="auto"/>
        </w:rPr>
      </w:pPr>
      <w:r>
        <w:rPr>
          <w:rFonts w:ascii="Arial" w:cs="Arial" w:eastAsia="Arial" w:hAnsi="Arial"/>
          <w:sz w:val="17"/>
          <w:szCs w:val="17"/>
          <w:color w:val="auto"/>
        </w:rPr>
        <w:t>Technology and development expense increased by $2.9 million and $10.4 million for the three and six months ended December 31, 2024, respectively, as compared to the prior year periods. The year-over-year increase was driven in part by $1.9 million and $3.7 million, respectively, of</w:t>
      </w:r>
    </w:p>
    <w:p>
      <w:pPr>
        <w:spacing w:after="0" w:line="1" w:lineRule="exact"/>
        <w:rPr>
          <w:sz w:val="20"/>
          <w:szCs w:val="20"/>
          <w:color w:val="auto"/>
        </w:rPr>
      </w:pPr>
    </w:p>
    <w:p>
      <w:pPr>
        <w:ind w:right="320"/>
        <w:spacing w:after="0" w:line="232" w:lineRule="auto"/>
        <w:rPr>
          <w:sz w:val="20"/>
          <w:szCs w:val="20"/>
          <w:color w:val="auto"/>
        </w:rPr>
      </w:pPr>
      <w:r>
        <w:rPr>
          <w:rFonts w:ascii="Arial" w:cs="Arial" w:eastAsia="Arial" w:hAnsi="Arial"/>
          <w:sz w:val="17"/>
          <w:szCs w:val="17"/>
          <w:color w:val="auto"/>
        </w:rPr>
        <w:t>higher third-party technology costs driven partly by our businesses' further adoption of certain products offered through our mass customization platform, as well as increased business volumes, which has collectively increased consumption of those services. Amortization of capitalized software also increased $1.1 million and $2.3 million, respectively, as compared to the prior year periods, due to an increase in the capitalized asset base driven by continued investment in technology capabilities across many of our businesses.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and selling expense</w:t>
      </w:r>
    </w:p>
    <w:p>
      <w:pPr>
        <w:spacing w:after="0" w:line="207"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spacing w:after="0" w:line="152"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For the three and six months ended December 31, 2024, marketing and selling expenses increased by $12.0 million and $23.7 million, respectively, partly due to higher advertising spend of $8.3 million and $14.6 million, respectively, as compared to the prior-year periods, largely driven by increases in mid- and upper-funnel spend in our Vista business, as well as higher cost of performance advertising in the U.S. market during the holiday peak. Cash compensation costs increased by $4.8 million and $9.2 million, respectively, driven by our annual merit cycle, as well as hiring in our Vista business.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07" w:lineRule="exact"/>
        <w:rPr>
          <w:sz w:val="20"/>
          <w:szCs w:val="20"/>
          <w:color w:val="auto"/>
        </w:rPr>
      </w:pPr>
    </w:p>
    <w:p>
      <w:pPr>
        <w:ind w:right="180" w:firstLine="623"/>
        <w:spacing w:after="0" w:line="295"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30" w:lineRule="exact"/>
        <w:rPr>
          <w:sz w:val="20"/>
          <w:szCs w:val="20"/>
          <w:color w:val="auto"/>
        </w:rPr>
      </w:pPr>
    </w:p>
    <w:p>
      <w:pPr>
        <w:ind w:right="140" w:firstLine="623"/>
        <w:spacing w:after="0" w:line="263" w:lineRule="auto"/>
        <w:rPr>
          <w:sz w:val="20"/>
          <w:szCs w:val="20"/>
          <w:color w:val="auto"/>
        </w:rPr>
      </w:pPr>
      <w:r>
        <w:rPr>
          <w:rFonts w:ascii="Arial" w:cs="Arial" w:eastAsia="Arial" w:hAnsi="Arial"/>
          <w:sz w:val="17"/>
          <w:szCs w:val="17"/>
          <w:color w:val="auto"/>
        </w:rPr>
        <w:t>General and administrative expenses increased by $8.1 million and $11.7 million, respectively, during the three and six months ended December 31, 2024 as compared to the prior year periods. The increase in general and administrative expenses was driven by higher long-term incentive compensation of $4.8 million and $4.4 million, respectively, due to variability year-over-year in estimated payouts which resulted in a benefit in the prior year periods, as compared to expense in the current year periods, as well as higher cash compensation costs which were impacted by our annual merit cycle. The increase was also impacted by a $2.9 million charge recognized in the current quarter for a land duty tax in Australia related to our 2019 redomiciliation to Ireland that we are appealing.</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Consolidated Results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07"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Other income (expense),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33" w:name="page34"/>
    <w:bookmarkEnd w:id="33"/>
    <w:p>
      <w:pPr>
        <w:ind w:left="620"/>
        <w:spacing w:after="0"/>
        <w:rPr>
          <w:sz w:val="20"/>
          <w:szCs w:val="20"/>
          <w:color w:val="auto"/>
        </w:rPr>
      </w:pPr>
      <w:r>
        <w:rPr>
          <w:rFonts w:ascii="Arial" w:cs="Arial" w:eastAsia="Arial" w:hAnsi="Arial"/>
          <w:sz w:val="17"/>
          <w:szCs w:val="17"/>
          <w:color w:val="auto"/>
        </w:rPr>
        <w:t>The following table summarizes the components of other income (expense), net:</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7"/>
                <w:szCs w:val="17"/>
                <w:color w:val="auto"/>
              </w:rPr>
            </w:pPr>
          </w:p>
        </w:tc>
        <w:tc>
          <w:tcPr>
            <w:tcW w:w="3080" w:type="dxa"/>
            <w:vAlign w:val="bottom"/>
            <w:gridSpan w:val="5"/>
          </w:tcPr>
          <w:p>
            <w:pPr>
              <w:ind w:left="280"/>
              <w:spacing w:after="0"/>
              <w:rPr>
                <w:sz w:val="20"/>
                <w:szCs w:val="20"/>
                <w:color w:val="auto"/>
              </w:rPr>
            </w:pPr>
            <w:r>
              <w:rPr>
                <w:rFonts w:ascii="Arial" w:cs="Arial" w:eastAsia="Arial" w:hAnsi="Arial"/>
                <w:sz w:val="12"/>
                <w:szCs w:val="12"/>
                <w:b w:val="1"/>
                <w:bCs w:val="1"/>
                <w:color w:val="auto"/>
              </w:rPr>
              <w:t>Three Months Ended December 31,</w:t>
            </w:r>
          </w:p>
        </w:tc>
        <w:tc>
          <w:tcPr>
            <w:tcW w:w="380" w:type="dxa"/>
            <w:vAlign w:val="bottom"/>
          </w:tcPr>
          <w:p>
            <w:pPr>
              <w:spacing w:after="0"/>
              <w:rPr>
                <w:sz w:val="17"/>
                <w:szCs w:val="17"/>
                <w:color w:val="auto"/>
              </w:rPr>
            </w:pPr>
          </w:p>
        </w:tc>
        <w:tc>
          <w:tcPr>
            <w:tcW w:w="2960" w:type="dxa"/>
            <w:vAlign w:val="bottom"/>
            <w:gridSpan w:val="4"/>
          </w:tcPr>
          <w:p>
            <w:pPr>
              <w:jc w:val="right"/>
              <w:ind w:right="666"/>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1"/>
        </w:trPr>
        <w:tc>
          <w:tcPr>
            <w:tcW w:w="436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38"/>
        </w:trPr>
        <w:tc>
          <w:tcPr>
            <w:tcW w:w="436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Gains (losses) on derivatives not designated as hedging</w:t>
            </w: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33,632</w:t>
            </w:r>
          </w:p>
        </w:tc>
        <w:tc>
          <w:tcPr>
            <w:tcW w:w="12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(13,668)</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13,063</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(5,356)</w:t>
            </w:r>
          </w:p>
        </w:tc>
        <w:tc>
          <w:tcPr>
            <w:tcW w:w="0" w:type="dxa"/>
            <w:vAlign w:val="bottom"/>
          </w:tcPr>
          <w:p>
            <w:pPr>
              <w:spacing w:after="0"/>
              <w:rPr>
                <w:sz w:val="1"/>
                <w:szCs w:val="1"/>
                <w:color w:val="auto"/>
              </w:rPr>
            </w:pPr>
          </w:p>
        </w:tc>
      </w:tr>
      <w:tr>
        <w:trPr>
          <w:trHeight w:val="20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38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60" w:type="dxa"/>
            <w:vAlign w:val="bottom"/>
          </w:tcPr>
          <w:p>
            <w:pPr>
              <w:ind w:left="20"/>
              <w:spacing w:after="0"/>
              <w:rPr>
                <w:sz w:val="20"/>
                <w:szCs w:val="20"/>
                <w:color w:val="auto"/>
              </w:rPr>
            </w:pPr>
            <w:r>
              <w:rPr>
                <w:rFonts w:ascii="Arial" w:cs="Arial" w:eastAsia="Arial" w:hAnsi="Arial"/>
                <w:sz w:val="16"/>
                <w:szCs w:val="16"/>
                <w:color w:val="auto"/>
              </w:rPr>
              <w:t>Currency-related (losses) gains, net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(2,107)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13,062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6"/>
                <w:szCs w:val="16"/>
                <w:color w:val="auto"/>
              </w:rPr>
              <w:t>6,560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10,363</w:t>
            </w:r>
          </w:p>
        </w:tc>
        <w:tc>
          <w:tcPr>
            <w:tcW w:w="0" w:type="dxa"/>
            <w:vAlign w:val="bottom"/>
          </w:tcPr>
          <w:p>
            <w:pPr>
              <w:spacing w:after="0"/>
              <w:rPr>
                <w:sz w:val="1"/>
                <w:szCs w:val="1"/>
                <w:color w:val="auto"/>
              </w:rPr>
            </w:pPr>
          </w:p>
        </w:tc>
      </w:tr>
      <w:tr>
        <w:trPr>
          <w:trHeight w:val="208"/>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02"/>
        </w:trPr>
        <w:tc>
          <w:tcPr>
            <w:tcW w:w="4360" w:type="dxa"/>
            <w:vAlign w:val="bottom"/>
          </w:tcPr>
          <w:p>
            <w:pPr>
              <w:ind w:left="20"/>
              <w:spacing w:after="0"/>
              <w:rPr>
                <w:sz w:val="20"/>
                <w:szCs w:val="20"/>
                <w:color w:val="auto"/>
              </w:rPr>
            </w:pPr>
            <w:r>
              <w:rPr>
                <w:rFonts w:ascii="Arial" w:cs="Arial" w:eastAsia="Arial" w:hAnsi="Arial"/>
                <w:sz w:val="16"/>
                <w:szCs w:val="16"/>
                <w:color w:val="auto"/>
              </w:rPr>
              <w:t>Total other income (expense), net</w:t>
            </w: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31,678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20,186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40" w:firstLine="623"/>
        <w:spacing w:after="0" w:line="275" w:lineRule="auto"/>
        <w:rPr>
          <w:sz w:val="20"/>
          <w:szCs w:val="20"/>
          <w:color w:val="auto"/>
        </w:rPr>
      </w:pPr>
      <w:r>
        <w:rPr>
          <w:rFonts w:ascii="Arial" w:cs="Arial" w:eastAsia="Arial" w:hAnsi="Arial"/>
          <w:sz w:val="17"/>
          <w:szCs w:val="17"/>
          <w:color w:val="auto"/>
        </w:rPr>
        <w:t>The increase in other income (expense), net was primarily due to the currency exchange rate volatility impacting our derivatives that are not designated as hedging instruments, of which our Euro and British Pound contracts are the most significant exposures that we economically hedge. We expect volatility to continue in future periods, as we do not apply hedge accounting for most of our derivative currency contracts.</w:t>
      </w:r>
    </w:p>
    <w:p>
      <w:pPr>
        <w:spacing w:after="0" w:line="133" w:lineRule="exact"/>
        <w:rPr>
          <w:sz w:val="20"/>
          <w:szCs w:val="20"/>
          <w:color w:val="auto"/>
        </w:rPr>
      </w:pPr>
    </w:p>
    <w:p>
      <w:pPr>
        <w:jc w:val="both"/>
        <w:ind w:right="20" w:firstLine="623"/>
        <w:spacing w:after="0" w:line="275" w:lineRule="auto"/>
        <w:rPr>
          <w:sz w:val="20"/>
          <w:szCs w:val="20"/>
          <w:color w:val="auto"/>
        </w:rPr>
      </w:pPr>
      <w:r>
        <w:rPr>
          <w:rFonts w:ascii="Arial" w:cs="Arial" w:eastAsia="Arial" w:hAnsi="Arial"/>
          <w:sz w:val="17"/>
          <w:szCs w:val="17"/>
          <w:color w:val="auto"/>
        </w:rPr>
        <w:t>We experience currency-related net gains and losses due to currency exchange rate volatility on our non-functional currency intercompany relationships, which we may alter from time to time. Losses on the revaluation of non-functional currency debt are included in our currency-related gains (losses), net, offsetting the impact of certain non-functional currency intercompany relationships.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207" w:lineRule="exact"/>
        <w:rPr>
          <w:sz w:val="20"/>
          <w:szCs w:val="20"/>
          <w:color w:val="auto"/>
        </w:rPr>
      </w:pPr>
    </w:p>
    <w:p>
      <w:pPr>
        <w:ind w:right="340" w:firstLine="623"/>
        <w:spacing w:after="0" w:line="275" w:lineRule="auto"/>
        <w:rPr>
          <w:sz w:val="20"/>
          <w:szCs w:val="20"/>
          <w:color w:val="auto"/>
        </w:rPr>
      </w:pPr>
      <w:r>
        <w:rPr>
          <w:rFonts w:ascii="Arial" w:cs="Arial" w:eastAsia="Arial" w:hAnsi="Arial"/>
          <w:sz w:val="17"/>
          <w:szCs w:val="17"/>
          <w:color w:val="auto"/>
        </w:rPr>
        <w:t>Interest expense, net primarily consists of interest on outstanding debt balances, amortization of debt issuance costs, debt discounts, interest related to finance lease obligations, accretion adjustments related to our mandatorily redeemable noncontrolling interests, and realized gains (losses) on effective interest rate swap contracts and certain cross-currency swap contracts.</w:t>
      </w:r>
    </w:p>
    <w:p>
      <w:pPr>
        <w:spacing w:after="0" w:line="133" w:lineRule="exact"/>
        <w:rPr>
          <w:sz w:val="20"/>
          <w:szCs w:val="20"/>
          <w:color w:val="auto"/>
        </w:rPr>
      </w:pPr>
    </w:p>
    <w:p>
      <w:pPr>
        <w:ind w:right="320" w:firstLine="623"/>
        <w:spacing w:after="0" w:line="275" w:lineRule="auto"/>
        <w:rPr>
          <w:sz w:val="20"/>
          <w:szCs w:val="20"/>
          <w:color w:val="auto"/>
        </w:rPr>
      </w:pPr>
      <w:r>
        <w:rPr>
          <w:rFonts w:ascii="Arial" w:cs="Arial" w:eastAsia="Arial" w:hAnsi="Arial"/>
          <w:sz w:val="17"/>
          <w:szCs w:val="17"/>
          <w:color w:val="auto"/>
        </w:rPr>
        <w:t>Interest expense, net decreased $ 1.4 million during the three months ended December 31, 2024, primarily due to a year-over-year decrease to our weighted average interest rate (net of interest rate swaps) on our senior secured Term Loan B arising in part from our repricing actions in May 2024 and December 2024 that reduced our credit spread.</w:t>
      </w:r>
    </w:p>
    <w:p>
      <w:pPr>
        <w:spacing w:after="0" w:line="146"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Interest expense, net increased $0.8 million during the six months ended December 31, 2024, primarily due to the impact of changes in our estimated redemption amount of mandatorily redeemable noncontrolling interests, which has resulted in $2.7 million of higher interest expense, net, year over year. This was partially offset by a year-over-year decrease to our weighted average interest rate (net of interest rate swaps) on our senior secured Term Loan B arising in part from our recent repricing actions as well as less interest expense associated with our 2026 Notes driven by the prior-year purchase of a portion of those notes.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extinguishment of debt</w:t>
      </w:r>
    </w:p>
    <w:p>
      <w:pPr>
        <w:spacing w:after="0" w:line="220" w:lineRule="exact"/>
        <w:rPr>
          <w:sz w:val="20"/>
          <w:szCs w:val="20"/>
          <w:color w:val="auto"/>
        </w:rPr>
      </w:pPr>
    </w:p>
    <w:p>
      <w:pPr>
        <w:ind w:right="20" w:firstLine="623"/>
        <w:spacing w:after="0" w:line="268" w:lineRule="auto"/>
        <w:rPr>
          <w:sz w:val="20"/>
          <w:szCs w:val="20"/>
          <w:color w:val="auto"/>
        </w:rPr>
      </w:pPr>
      <w:r>
        <w:rPr>
          <w:rFonts w:ascii="Arial" w:cs="Arial" w:eastAsia="Arial" w:hAnsi="Arial"/>
          <w:sz w:val="17"/>
          <w:szCs w:val="17"/>
          <w:color w:val="auto"/>
        </w:rPr>
        <w:t>During the three and six months ended December 31, 2024, we recognized $ 0.7 million and $ 0.5 million of losses on the extinguishment of debt primarily due to the net write-off of unamortized debt discount and financing fees associated with the refinancing of our Term Loan B. Refer to Note 8 in our accompanying consolidated financial statements for additional details. The prior year periods includes gains of $0.3 million and $1.7 million, respectively, arising from the purchase of a portion of our previously outstanding 2026 Notes.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7"/>
                <w:szCs w:val="17"/>
                <w:color w:val="auto"/>
              </w:rPr>
            </w:pPr>
          </w:p>
        </w:tc>
        <w:tc>
          <w:tcPr>
            <w:tcW w:w="3180" w:type="dxa"/>
            <w:vAlign w:val="bottom"/>
            <w:gridSpan w:val="5"/>
          </w:tcPr>
          <w:p>
            <w:pPr>
              <w:ind w:left="320"/>
              <w:spacing w:after="0"/>
              <w:rPr>
                <w:sz w:val="20"/>
                <w:szCs w:val="20"/>
                <w:color w:val="auto"/>
              </w:rPr>
            </w:pPr>
            <w:r>
              <w:rPr>
                <w:rFonts w:ascii="Arial" w:cs="Arial" w:eastAsia="Arial" w:hAnsi="Arial"/>
                <w:sz w:val="12"/>
                <w:szCs w:val="12"/>
                <w:b w:val="1"/>
                <w:bCs w:val="1"/>
                <w:color w:val="auto"/>
              </w:rPr>
              <w:t>Three Months Ended December 31,</w:t>
            </w:r>
          </w:p>
        </w:tc>
        <w:tc>
          <w:tcPr>
            <w:tcW w:w="400" w:type="dxa"/>
            <w:vAlign w:val="bottom"/>
          </w:tcPr>
          <w:p>
            <w:pPr>
              <w:spacing w:after="0"/>
              <w:rPr>
                <w:sz w:val="17"/>
                <w:szCs w:val="17"/>
                <w:color w:val="auto"/>
              </w:rPr>
            </w:pPr>
          </w:p>
        </w:tc>
        <w:tc>
          <w:tcPr>
            <w:tcW w:w="3080" w:type="dxa"/>
            <w:vAlign w:val="bottom"/>
            <w:gridSpan w:val="4"/>
          </w:tcPr>
          <w:p>
            <w:pPr>
              <w:jc w:val="right"/>
              <w:ind w:right="748"/>
              <w:spacing w:after="0"/>
              <w:rPr>
                <w:sz w:val="20"/>
                <w:szCs w:val="20"/>
                <w:color w:val="auto"/>
              </w:rPr>
            </w:pPr>
            <w:r>
              <w:rPr>
                <w:rFonts w:ascii="Arial" w:cs="Arial" w:eastAsia="Arial" w:hAnsi="Arial"/>
                <w:sz w:val="12"/>
                <w:szCs w:val="12"/>
                <w:b w:val="1"/>
                <w:bCs w:val="1"/>
                <w:color w:val="auto"/>
              </w:rPr>
              <w:t>Six Months Ended December 31,</w:t>
            </w:r>
          </w:p>
        </w:tc>
      </w:tr>
      <w:tr>
        <w:trPr>
          <w:trHeight w:val="161"/>
        </w:trPr>
        <w:tc>
          <w:tcPr>
            <w:tcW w:w="416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2"/>
                <w:szCs w:val="12"/>
                <w:b w:val="1"/>
                <w:bCs w:val="1"/>
                <w:color w:val="auto"/>
              </w:rPr>
              <w:t>2023</w:t>
            </w:r>
          </w:p>
        </w:tc>
        <w:tc>
          <w:tcPr>
            <w:tcW w:w="12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2"/>
                <w:szCs w:val="12"/>
                <w:b w:val="1"/>
                <w:bCs w:val="1"/>
                <w:color w:val="auto"/>
              </w:rPr>
              <w:t>2023</w:t>
            </w:r>
          </w:p>
        </w:tc>
      </w:tr>
      <w:tr>
        <w:trPr>
          <w:trHeight w:val="202"/>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21,151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16,795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30,146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24,917</w:t>
            </w:r>
          </w:p>
        </w:tc>
      </w:tr>
      <w:tr>
        <w:trPr>
          <w:trHeight w:val="206"/>
        </w:trPr>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Effective tax rate</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25.6 %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21.8 %</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38.0 %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27.8 %</w:t>
            </w:r>
          </w:p>
        </w:tc>
      </w:tr>
    </w:tbl>
    <w:p>
      <w:pPr>
        <w:spacing w:after="0" w:line="76" w:lineRule="exact"/>
        <w:rPr>
          <w:sz w:val="20"/>
          <w:szCs w:val="20"/>
          <w:color w:val="auto"/>
        </w:rPr>
      </w:pPr>
    </w:p>
    <w:p>
      <w:pPr>
        <w:ind w:right="360" w:firstLine="623"/>
        <w:spacing w:after="0" w:line="295" w:lineRule="auto"/>
        <w:rPr>
          <w:sz w:val="20"/>
          <w:szCs w:val="20"/>
          <w:color w:val="auto"/>
        </w:rPr>
      </w:pPr>
      <w:r>
        <w:rPr>
          <w:rFonts w:ascii="Arial" w:cs="Arial" w:eastAsia="Arial" w:hAnsi="Arial"/>
          <w:sz w:val="17"/>
          <w:szCs w:val="17"/>
          <w:color w:val="auto"/>
        </w:rPr>
        <w:t>Income tax expense for the three and six months ended December 31, 2024 increased versus the prior comparative periods due to an increased full-year forecasted effective tax rate, excluding loss entities with no tax benefit.</w:t>
      </w:r>
    </w:p>
    <w:p>
      <w:pPr>
        <w:spacing w:after="0" w:line="168" w:lineRule="exact"/>
        <w:rPr>
          <w:sz w:val="20"/>
          <w:szCs w:val="20"/>
          <w:color w:val="auto"/>
        </w:rPr>
      </w:pPr>
    </w:p>
    <w:p>
      <w:pPr>
        <w:ind w:right="100" w:firstLine="623"/>
        <w:spacing w:after="0" w:line="295" w:lineRule="auto"/>
        <w:rPr>
          <w:sz w:val="20"/>
          <w:szCs w:val="20"/>
          <w:color w:val="auto"/>
        </w:rPr>
      </w:pPr>
      <w:r>
        <w:rPr>
          <w:rFonts w:ascii="Arial" w:cs="Arial" w:eastAsia="Arial" w:hAnsi="Arial"/>
          <w:sz w:val="17"/>
          <w:szCs w:val="17"/>
          <w:color w:val="auto"/>
        </w:rPr>
        <w:t>We believe that our income tax reserves are adequately maintained by taking into consideration both the technical merits of our tax return positions and ongoing developments in our income tax audits. However, the final</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4" w:name="page35"/>
    <w:bookmarkEnd w:id="34"/>
    <w:p>
      <w:pPr>
        <w:ind w:right="60"/>
        <w:spacing w:after="0" w:line="275" w:lineRule="auto"/>
        <w:rPr>
          <w:sz w:val="20"/>
          <w:szCs w:val="20"/>
          <w:color w:val="auto"/>
        </w:rPr>
      </w:pPr>
      <w:r>
        <w:rPr>
          <w:rFonts w:ascii="Arial" w:cs="Arial" w:eastAsia="Arial" w:hAnsi="Arial"/>
          <w:sz w:val="17"/>
          <w:szCs w:val="17"/>
          <w:color w:val="auto"/>
        </w:rPr>
        <w:t>determination of our tax return positions, if audited, is uncertain, and therefore there is a possibility that final resolution of these matters could have a material impact on our results of operations or cash flows. Refer to Note 9 in our accompanying consolidated financial statements for additional details.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 Results</w:t>
      </w:r>
    </w:p>
    <w:p>
      <w:pPr>
        <w:spacing w:after="0" w:line="196" w:lineRule="exact"/>
        <w:rPr>
          <w:sz w:val="20"/>
          <w:szCs w:val="20"/>
          <w:color w:val="auto"/>
        </w:rPr>
      </w:pPr>
    </w:p>
    <w:p>
      <w:pPr>
        <w:ind w:right="160" w:firstLine="623"/>
        <w:spacing w:after="0" w:line="265" w:lineRule="auto"/>
        <w:rPr>
          <w:sz w:val="20"/>
          <w:szCs w:val="20"/>
          <w:color w:val="auto"/>
        </w:rPr>
      </w:pPr>
      <w:r>
        <w:rPr>
          <w:rFonts w:ascii="Arial" w:cs="Arial" w:eastAsia="Arial" w:hAnsi="Arial"/>
          <w:sz w:val="17"/>
          <w:szCs w:val="17"/>
          <w:color w:val="auto"/>
        </w:rPr>
        <w:t>Our segment financial performance is measured based on segment EBITDA, which is defined as operating income plus depreciation and amortization; plus proceeds from insurance not already included in operating income; plus share-based compensation expense related to investment consideration; plus earn-out related charges; plus certain impairments and other adjustments; plus restructuring related charges; less gain or loss on the purchase or sale of subsidiaries as well as the disposal of assets. The effects of currency exchange rate fluctuations impact segment EBITDA and we do not allocate to segment EBITDA any gains or losses that are realized by our currency hedging program.</w:t>
      </w:r>
    </w:p>
    <w:p>
      <w:pPr>
        <w:spacing w:after="0" w:line="154" w:lineRule="exact"/>
        <w:rPr>
          <w:sz w:val="20"/>
          <w:szCs w:val="20"/>
          <w:color w:val="auto"/>
        </w:rPr>
      </w:pPr>
    </w:p>
    <w:p>
      <w:pPr>
        <w:ind w:right="80" w:firstLine="623"/>
        <w:spacing w:after="0" w:line="253" w:lineRule="auto"/>
        <w:rPr>
          <w:sz w:val="20"/>
          <w:szCs w:val="20"/>
          <w:color w:val="auto"/>
        </w:rPr>
      </w:pPr>
      <w:r>
        <w:rPr>
          <w:rFonts w:ascii="Arial" w:cs="Arial" w:eastAsia="Arial" w:hAnsi="Arial"/>
          <w:sz w:val="17"/>
          <w:szCs w:val="17"/>
          <w:color w:val="auto"/>
        </w:rPr>
        <w:t>For purposes of measuring and reporting our segment financial performance, we implemented changes to the methodology used for inter-segment transactions during the first quarter of fiscal 2025. These transactions are when one Cimpress business chooses to buy from or sell to another Cimpress business. We have recast the prior periods presented for segment revenue and segment EBITDA to ensure comparability with the current fiscal year. These changes in methodology have no impact on our consolidated financial results. Refer to Note 11 in our accompanying consolidated financial statements for additional details.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Vista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8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December 31,</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ind w:left="300"/>
              <w:spacing w:after="0"/>
              <w:rPr>
                <w:sz w:val="20"/>
                <w:szCs w:val="20"/>
                <w:color w:val="auto"/>
              </w:rPr>
            </w:pPr>
            <w:r>
              <w:rPr>
                <w:rFonts w:ascii="Arial" w:cs="Arial" w:eastAsia="Arial" w:hAnsi="Arial"/>
                <w:sz w:val="12"/>
                <w:szCs w:val="12"/>
                <w:b w:val="1"/>
                <w:bCs w:val="1"/>
                <w:color w:val="auto"/>
              </w:rPr>
              <w:t>Six Months Ended December 31,</w:t>
            </w:r>
          </w:p>
        </w:tc>
        <w:tc>
          <w:tcPr>
            <w:tcW w:w="1120" w:type="dxa"/>
            <w:vAlign w:val="bottom"/>
          </w:tcPr>
          <w:p>
            <w:pPr>
              <w:spacing w:after="0"/>
              <w:rPr>
                <w:sz w:val="17"/>
                <w:szCs w:val="17"/>
                <w:color w:val="auto"/>
              </w:rPr>
            </w:pPr>
          </w:p>
        </w:tc>
      </w:tr>
      <w:tr>
        <w:trPr>
          <w:trHeight w:val="161"/>
        </w:trPr>
        <w:tc>
          <w:tcPr>
            <w:tcW w:w="25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2024 vs. 2023</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2023 (1)</w:t>
            </w:r>
          </w:p>
        </w:tc>
        <w:tc>
          <w:tcPr>
            <w:tcW w:w="80" w:type="dxa"/>
            <w:vAlign w:val="bottom"/>
            <w:tcBorders>
              <w:top w:val="single" w:sz="8" w:color="auto"/>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2024 vs. 2023</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497,677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485,445</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927,171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882,295</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5%</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6"/>
                <w:szCs w:val="16"/>
                <w:color w:val="auto"/>
              </w:rPr>
              <w:t>92,423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107,870</w:t>
            </w:r>
          </w:p>
        </w:tc>
        <w:tc>
          <w:tcPr>
            <w:tcW w:w="100" w:type="dxa"/>
            <w:vAlign w:val="bottom"/>
          </w:tcPr>
          <w:p>
            <w:pPr>
              <w:spacing w:after="0"/>
              <w:rPr>
                <w:sz w:val="17"/>
                <w:szCs w:val="17"/>
                <w:color w:val="auto"/>
              </w:rPr>
            </w:pPr>
          </w:p>
        </w:tc>
        <w:tc>
          <w:tcPr>
            <w:tcW w:w="1120" w:type="dxa"/>
            <w:vAlign w:val="bottom"/>
          </w:tcPr>
          <w:p>
            <w:pPr>
              <w:jc w:val="right"/>
              <w:ind w:right="288"/>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169,270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26"/>
              <w:spacing w:after="0"/>
              <w:rPr>
                <w:sz w:val="20"/>
                <w:szCs w:val="20"/>
                <w:color w:val="auto"/>
              </w:rPr>
            </w:pPr>
            <w:r>
              <w:rPr>
                <w:rFonts w:ascii="Arial" w:cs="Arial" w:eastAsia="Arial" w:hAnsi="Arial"/>
                <w:sz w:val="16"/>
                <w:szCs w:val="16"/>
                <w:color w:val="auto"/>
              </w:rPr>
              <w:t>186,448</w:t>
            </w:r>
          </w:p>
        </w:tc>
        <w:tc>
          <w:tcPr>
            <w:tcW w:w="80" w:type="dxa"/>
            <w:vAlign w:val="bottom"/>
          </w:tcPr>
          <w:p>
            <w:pPr>
              <w:spacing w:after="0"/>
              <w:rPr>
                <w:sz w:val="17"/>
                <w:szCs w:val="17"/>
                <w:color w:val="auto"/>
              </w:rPr>
            </w:pPr>
          </w:p>
        </w:tc>
        <w:tc>
          <w:tcPr>
            <w:tcW w:w="1120" w:type="dxa"/>
            <w:vAlign w:val="bottom"/>
          </w:tcPr>
          <w:p>
            <w:pPr>
              <w:jc w:val="right"/>
              <w:ind w:right="308"/>
              <w:spacing w:after="0"/>
              <w:rPr>
                <w:sz w:val="20"/>
                <w:szCs w:val="20"/>
                <w:color w:val="auto"/>
              </w:rPr>
            </w:pPr>
            <w:r>
              <w:rPr>
                <w:rFonts w:ascii="Arial" w:cs="Arial" w:eastAsia="Arial" w:hAnsi="Arial"/>
                <w:sz w:val="16"/>
                <w:szCs w:val="16"/>
                <w:color w:val="auto"/>
              </w:rPr>
              <w:t>(9)%</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22 %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21 %</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6" w:lineRule="exact"/>
        <w:rPr>
          <w:sz w:val="20"/>
          <w:szCs w:val="20"/>
          <w:color w:val="auto"/>
        </w:rPr>
      </w:pPr>
    </w:p>
    <w:p>
      <w:pPr>
        <w:ind w:left="240" w:right="80" w:hanging="236"/>
        <w:spacing w:after="0" w:line="242" w:lineRule="auto"/>
        <w:tabs>
          <w:tab w:leader="none" w:pos="214"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Note 11 of the accompanying consolidated financial statements for additional details.</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220" w:firstLine="623"/>
        <w:spacing w:after="0" w:line="260" w:lineRule="auto"/>
        <w:rPr>
          <w:sz w:val="20"/>
          <w:szCs w:val="20"/>
          <w:color w:val="auto"/>
        </w:rPr>
      </w:pPr>
      <w:r>
        <w:rPr>
          <w:rFonts w:ascii="Arial" w:cs="Arial" w:eastAsia="Arial" w:hAnsi="Arial"/>
          <w:sz w:val="17"/>
          <w:szCs w:val="17"/>
          <w:color w:val="auto"/>
        </w:rPr>
        <w:t>Vista's reported and constant-currency revenue growth for the three and six months ended December 31, 2024 was 3% and 5%, respectively. Revenue growth for the three and six months ended December 31, 2024 was stronger in Europe, as well as globally from product categories like promotional products, apparel, signage and packaging and labels. Revenue growth was dampened by a decline in consumer products in North America during the seasonally important second quarter and a decline in business cards and stationery in the U.S. in both periods presented. For holiday products in the U.S. more intensive discounting from competitors, significantly higher advertising costs in performance channels and fewer buying days during the holiday season combined to reduce revenue versus the prior year periods. Additionally, there was a postal strike in Canada during the second quarter of the current fiscal year that also negatively impacted demand during the holiday peak.</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7" w:lineRule="exact"/>
        <w:rPr>
          <w:sz w:val="20"/>
          <w:szCs w:val="20"/>
          <w:color w:val="auto"/>
        </w:rPr>
      </w:pPr>
    </w:p>
    <w:p>
      <w:pPr>
        <w:ind w:right="80" w:firstLine="623"/>
        <w:spacing w:after="0" w:line="261" w:lineRule="auto"/>
        <w:rPr>
          <w:sz w:val="20"/>
          <w:szCs w:val="20"/>
          <w:color w:val="auto"/>
        </w:rPr>
      </w:pPr>
      <w:r>
        <w:rPr>
          <w:rFonts w:ascii="Arial" w:cs="Arial" w:eastAsia="Arial" w:hAnsi="Arial"/>
          <w:sz w:val="17"/>
          <w:szCs w:val="17"/>
          <w:color w:val="auto"/>
        </w:rPr>
        <w:t>For the three and six months ended December 31, 2024, segment EBITDA decreased by $15.4 million and $17.2 million, respectively, primarily due to the non-recurrence of items that benefited the prior-year periods of $4.6 million and $6.4 million, respectively, and the impact of product mix shifts largely driven by the declines in North American consumer products that was influenced in part by the Canadian postal strikes, as well as declines in business cards and stationery, each of which have high gross margins. Vista advertising expense increased year-over-year by $6.4 million and $13.6 million, respectively, which drove the revenue growth described above, and was impacted by a higher cost of advertising during the peak consumer weeks in North America, as well as unfavorable shifts in channel mix due to weaker performance in organic search and free channels.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PrintBrothers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6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December 31,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ind w:left="300"/>
              <w:spacing w:after="0"/>
              <w:rPr>
                <w:sz w:val="20"/>
                <w:szCs w:val="20"/>
                <w:color w:val="auto"/>
              </w:rPr>
            </w:pPr>
            <w:r>
              <w:rPr>
                <w:rFonts w:ascii="Arial" w:cs="Arial" w:eastAsia="Arial" w:hAnsi="Arial"/>
                <w:sz w:val="12"/>
                <w:szCs w:val="12"/>
                <w:b w:val="1"/>
                <w:bCs w:val="1"/>
                <w:color w:val="auto"/>
              </w:rPr>
              <w:t>Six Months Ended December 31,</w:t>
            </w:r>
          </w:p>
        </w:tc>
        <w:tc>
          <w:tcPr>
            <w:tcW w:w="1120" w:type="dxa"/>
            <w:vAlign w:val="bottom"/>
          </w:tcPr>
          <w:p>
            <w:pPr>
              <w:spacing w:after="0"/>
              <w:rPr>
                <w:sz w:val="17"/>
                <w:szCs w:val="17"/>
                <w:color w:val="auto"/>
              </w:rPr>
            </w:pPr>
          </w:p>
        </w:tc>
      </w:tr>
      <w:tr>
        <w:trPr>
          <w:trHeight w:val="161"/>
        </w:trPr>
        <w:tc>
          <w:tcPr>
            <w:tcW w:w="25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2024 vs. 2023</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2023 (1)</w:t>
            </w:r>
          </w:p>
        </w:tc>
        <w:tc>
          <w:tcPr>
            <w:tcW w:w="80" w:type="dxa"/>
            <w:vAlign w:val="bottom"/>
            <w:tcBorders>
              <w:top w:val="single" w:sz="8" w:color="auto"/>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2024 vs. 2023</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174,508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165,551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334,923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318,124</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5%</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6"/>
                <w:szCs w:val="16"/>
                <w:color w:val="auto"/>
              </w:rPr>
              <w:t>23,333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28,802</w:t>
            </w:r>
          </w:p>
        </w:tc>
        <w:tc>
          <w:tcPr>
            <w:tcW w:w="100" w:type="dxa"/>
            <w:vAlign w:val="bottom"/>
          </w:tcPr>
          <w:p>
            <w:pPr>
              <w:spacing w:after="0"/>
              <w:rPr>
                <w:sz w:val="17"/>
                <w:szCs w:val="17"/>
                <w:color w:val="auto"/>
              </w:rPr>
            </w:pPr>
          </w:p>
        </w:tc>
        <w:tc>
          <w:tcPr>
            <w:tcW w:w="1120" w:type="dxa"/>
            <w:vAlign w:val="bottom"/>
          </w:tcPr>
          <w:p>
            <w:pPr>
              <w:jc w:val="right"/>
              <w:ind w:right="268"/>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43,489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26"/>
              <w:spacing w:after="0"/>
              <w:rPr>
                <w:sz w:val="20"/>
                <w:szCs w:val="20"/>
                <w:color w:val="auto"/>
              </w:rPr>
            </w:pPr>
            <w:r>
              <w:rPr>
                <w:rFonts w:ascii="Arial" w:cs="Arial" w:eastAsia="Arial" w:hAnsi="Arial"/>
                <w:sz w:val="16"/>
                <w:szCs w:val="16"/>
                <w:color w:val="auto"/>
              </w:rPr>
              <w:t>49,012</w:t>
            </w:r>
          </w:p>
        </w:tc>
        <w:tc>
          <w:tcPr>
            <w:tcW w:w="80" w:type="dxa"/>
            <w:vAlign w:val="bottom"/>
          </w:tcPr>
          <w:p>
            <w:pPr>
              <w:spacing w:after="0"/>
              <w:rPr>
                <w:sz w:val="17"/>
                <w:szCs w:val="17"/>
                <w:color w:val="auto"/>
              </w:rPr>
            </w:pPr>
          </w:p>
        </w:tc>
        <w:tc>
          <w:tcPr>
            <w:tcW w:w="1120" w:type="dxa"/>
            <w:vAlign w:val="bottom"/>
          </w:tcPr>
          <w:p>
            <w:pPr>
              <w:jc w:val="right"/>
              <w:ind w:right="288"/>
              <w:spacing w:after="0"/>
              <w:rPr>
                <w:sz w:val="20"/>
                <w:szCs w:val="20"/>
                <w:color w:val="auto"/>
              </w:rPr>
            </w:pPr>
            <w:r>
              <w:rPr>
                <w:rFonts w:ascii="Arial" w:cs="Arial" w:eastAsia="Arial" w:hAnsi="Arial"/>
                <w:sz w:val="16"/>
                <w:szCs w:val="16"/>
                <w:color w:val="auto"/>
              </w:rPr>
              <w:t>(11)%</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15 %</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6" w:lineRule="exact"/>
        <w:rPr>
          <w:sz w:val="20"/>
          <w:szCs w:val="20"/>
          <w:color w:val="auto"/>
        </w:rPr>
      </w:pPr>
    </w:p>
    <w:p>
      <w:pPr>
        <w:ind w:left="240" w:right="80" w:hanging="236"/>
        <w:spacing w:after="0" w:line="262" w:lineRule="auto"/>
        <w:tabs>
          <w:tab w:leader="none" w:pos="214"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Note 11 of the accompanying consolidated financial statements for additional details.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color w:val="auto"/>
        </w:rPr>
        <w:t>PrintBrothers' reported revenue growth for the three months ended December 31, 2024 was negatively affected by currency impact of 1%, while currency exchange fluctuations had a minimal effect on the six months ended December 31, 2024, resulting in constant currency revenue growth of 6% and 5%, respectively. Constant-currency growth was driven primarily by continued order volume growth, partially offset by customers purchasing lower quantities in certain product categories.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94" w:lineRule="exact"/>
        <w:rPr>
          <w:sz w:val="20"/>
          <w:szCs w:val="20"/>
          <w:color w:val="auto"/>
        </w:rPr>
      </w:pPr>
    </w:p>
    <w:p>
      <w:pPr>
        <w:ind w:right="180" w:firstLine="623"/>
        <w:spacing w:after="0" w:line="263" w:lineRule="auto"/>
        <w:rPr>
          <w:sz w:val="20"/>
          <w:szCs w:val="20"/>
          <w:color w:val="auto"/>
        </w:rPr>
      </w:pPr>
      <w:r>
        <w:rPr>
          <w:rFonts w:ascii="Arial" w:cs="Arial" w:eastAsia="Arial" w:hAnsi="Arial"/>
          <w:sz w:val="17"/>
          <w:szCs w:val="17"/>
          <w:color w:val="auto"/>
        </w:rPr>
        <w:t>PrintBrothers' segment EBITDA for the three and six months ended December 31, 2024 decreased $5.5 million year over year for both periods presented. The segment EBITDA decrease for the three and six months ended December 31, 2024 was driven by the non-recurrence of discrete items, including government incentives from one jurisdiction, which benefited the prior year periods by $4.1 million and $2.1 million, respectively. In addition, advertising spend was higher by $1.6 million and $3.0 million, respectively, driven by one of the segment's businesses testing into new digital marketing channels, as well as higher variable long-term incentive compensation expense of $0.3 million and $0.7 million, respectively, due to in part to variability in estimated payouts.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Print Group</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8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December 31,</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gridSpan w:val="5"/>
          </w:tcPr>
          <w:p>
            <w:pPr>
              <w:ind w:left="300"/>
              <w:spacing w:after="0"/>
              <w:rPr>
                <w:sz w:val="20"/>
                <w:szCs w:val="20"/>
                <w:color w:val="auto"/>
              </w:rPr>
            </w:pPr>
            <w:r>
              <w:rPr>
                <w:rFonts w:ascii="Arial" w:cs="Arial" w:eastAsia="Arial" w:hAnsi="Arial"/>
                <w:sz w:val="12"/>
                <w:szCs w:val="12"/>
                <w:b w:val="1"/>
                <w:bCs w:val="1"/>
                <w:color w:val="auto"/>
              </w:rPr>
              <w:t>Six Months Ended December 31,</w:t>
            </w:r>
          </w:p>
        </w:tc>
        <w:tc>
          <w:tcPr>
            <w:tcW w:w="1120" w:type="dxa"/>
            <w:vAlign w:val="bottom"/>
          </w:tcPr>
          <w:p>
            <w:pPr>
              <w:spacing w:after="0"/>
              <w:rPr>
                <w:sz w:val="17"/>
                <w:szCs w:val="17"/>
                <w:color w:val="auto"/>
              </w:rPr>
            </w:pPr>
          </w:p>
        </w:tc>
      </w:tr>
      <w:tr>
        <w:trPr>
          <w:trHeight w:val="161"/>
        </w:trPr>
        <w:tc>
          <w:tcPr>
            <w:tcW w:w="25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2024 vs. 2023</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2023 (1)</w:t>
            </w:r>
          </w:p>
        </w:tc>
        <w:tc>
          <w:tcPr>
            <w:tcW w:w="100" w:type="dxa"/>
            <w:vAlign w:val="bottom"/>
            <w:tcBorders>
              <w:top w:val="single" w:sz="8" w:color="auto"/>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2024 vs. 2023</w:t>
            </w:r>
          </w:p>
        </w:tc>
      </w:tr>
      <w:tr>
        <w:trPr>
          <w:trHeight w:val="202"/>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98,628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92,135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182,700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171,572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6%</w:t>
            </w:r>
          </w:p>
        </w:tc>
      </w:tr>
      <w:tr>
        <w:trPr>
          <w:trHeight w:val="207"/>
        </w:trPr>
        <w:tc>
          <w:tcPr>
            <w:tcW w:w="25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6"/>
                <w:szCs w:val="16"/>
                <w:color w:val="auto"/>
              </w:rPr>
              <w:t>18,526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17,309</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36,428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29,816</w:t>
            </w:r>
          </w:p>
        </w:tc>
        <w:tc>
          <w:tcPr>
            <w:tcW w:w="100" w:type="dxa"/>
            <w:vAlign w:val="bottom"/>
          </w:tcPr>
          <w:p>
            <w:pPr>
              <w:spacing w:after="0"/>
              <w:rPr>
                <w:sz w:val="17"/>
                <w:szCs w:val="17"/>
                <w:color w:val="auto"/>
              </w:rPr>
            </w:pPr>
          </w:p>
        </w:tc>
        <w:tc>
          <w:tcPr>
            <w:tcW w:w="1120" w:type="dxa"/>
            <w:vAlign w:val="bottom"/>
          </w:tcPr>
          <w:p>
            <w:pPr>
              <w:jc w:val="right"/>
              <w:ind w:right="328"/>
              <w:spacing w:after="0"/>
              <w:rPr>
                <w:sz w:val="20"/>
                <w:szCs w:val="20"/>
                <w:color w:val="auto"/>
              </w:rPr>
            </w:pPr>
            <w:r>
              <w:rPr>
                <w:rFonts w:ascii="Arial" w:cs="Arial" w:eastAsia="Arial" w:hAnsi="Arial"/>
                <w:sz w:val="16"/>
                <w:szCs w:val="16"/>
                <w:color w:val="auto"/>
              </w:rPr>
              <w:t>22%</w:t>
            </w:r>
          </w:p>
        </w:tc>
      </w:tr>
      <w:tr>
        <w:trPr>
          <w:trHeight w:val="20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49" w:lineRule="exact"/>
        <w:rPr>
          <w:sz w:val="20"/>
          <w:szCs w:val="20"/>
          <w:color w:val="auto"/>
        </w:rPr>
      </w:pPr>
    </w:p>
    <w:p>
      <w:pPr>
        <w:ind w:left="240" w:right="80" w:hanging="236"/>
        <w:spacing w:after="0" w:line="242" w:lineRule="auto"/>
        <w:tabs>
          <w:tab w:leader="none" w:pos="214"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Note 11 of the accompanying consolidated financial statements for additional details.</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ind w:right="180" w:firstLine="623"/>
        <w:spacing w:after="0" w:line="295" w:lineRule="auto"/>
        <w:rPr>
          <w:sz w:val="20"/>
          <w:szCs w:val="20"/>
          <w:color w:val="auto"/>
        </w:rPr>
      </w:pPr>
      <w:r>
        <w:rPr>
          <w:rFonts w:ascii="Arial" w:cs="Arial" w:eastAsia="Arial" w:hAnsi="Arial"/>
          <w:sz w:val="17"/>
          <w:szCs w:val="17"/>
          <w:color w:val="auto"/>
        </w:rPr>
        <w:t>The Print Group's reported and constant-currency revenue growth for the three and six months ended December 31, 2024 was 7% and 6%, respectively. The Print Group revenue has benefited from increased fulfillment to other Cimpress businesses, as well as pricing optimization.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7"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The increase in The Print Group's segment EBITDA during the three and six months ended December 31, 2024 as compared to the prior year periods was largely driven by revenue growth described above and gross margin expansion due to reductions in key input costs such as raw materials. The gross profit growth for the three months ended December 31, 2024 was partially offset by higher variable long-term incentive compensation expense of $1.9 million, while variable long-term incentive compensation was lower for the six months ended December 31, 2024 by $0.9 million due to variability in estimated payouts.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i w:val="1"/>
          <w:iCs w:val="1"/>
          <w:color w:val="auto"/>
        </w:rPr>
        <w:t>National Pen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8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December 31,</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ind w:left="300"/>
              <w:spacing w:after="0"/>
              <w:rPr>
                <w:sz w:val="20"/>
                <w:szCs w:val="20"/>
                <w:color w:val="auto"/>
              </w:rPr>
            </w:pPr>
            <w:r>
              <w:rPr>
                <w:rFonts w:ascii="Arial" w:cs="Arial" w:eastAsia="Arial" w:hAnsi="Arial"/>
                <w:sz w:val="12"/>
                <w:szCs w:val="12"/>
                <w:b w:val="1"/>
                <w:bCs w:val="1"/>
                <w:color w:val="auto"/>
              </w:rPr>
              <w:t>Six Months Ended December 31,</w:t>
            </w:r>
          </w:p>
        </w:tc>
        <w:tc>
          <w:tcPr>
            <w:tcW w:w="1120" w:type="dxa"/>
            <w:vAlign w:val="bottom"/>
          </w:tcPr>
          <w:p>
            <w:pPr>
              <w:spacing w:after="0"/>
              <w:rPr>
                <w:sz w:val="17"/>
                <w:szCs w:val="17"/>
                <w:color w:val="auto"/>
              </w:rPr>
            </w:pPr>
          </w:p>
        </w:tc>
      </w:tr>
      <w:tr>
        <w:trPr>
          <w:trHeight w:val="161"/>
        </w:trPr>
        <w:tc>
          <w:tcPr>
            <w:tcW w:w="25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2024 vs. 2023</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2023 (1)</w:t>
            </w:r>
          </w:p>
        </w:tc>
        <w:tc>
          <w:tcPr>
            <w:tcW w:w="80" w:type="dxa"/>
            <w:vAlign w:val="bottom"/>
            <w:tcBorders>
              <w:top w:val="single" w:sz="8" w:color="auto"/>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2024 vs. 2023</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131,423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130,096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224,827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216,892</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4%</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180" w:type="dxa"/>
            <w:vAlign w:val="bottom"/>
          </w:tcPr>
          <w:p>
            <w:pPr>
              <w:jc w:val="right"/>
              <w:ind w:right="129"/>
              <w:spacing w:after="0"/>
              <w:rPr>
                <w:sz w:val="20"/>
                <w:szCs w:val="20"/>
                <w:color w:val="auto"/>
              </w:rPr>
            </w:pPr>
            <w:r>
              <w:rPr>
                <w:rFonts w:ascii="Arial" w:cs="Arial" w:eastAsia="Arial" w:hAnsi="Arial"/>
                <w:sz w:val="16"/>
                <w:szCs w:val="16"/>
                <w:color w:val="auto"/>
              </w:rPr>
              <w:t>23,299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25,389</w:t>
            </w:r>
          </w:p>
        </w:tc>
        <w:tc>
          <w:tcPr>
            <w:tcW w:w="100" w:type="dxa"/>
            <w:vAlign w:val="bottom"/>
          </w:tcPr>
          <w:p>
            <w:pPr>
              <w:spacing w:after="0"/>
              <w:rPr>
                <w:sz w:val="17"/>
                <w:szCs w:val="17"/>
                <w:color w:val="auto"/>
              </w:rPr>
            </w:pPr>
          </w:p>
        </w:tc>
        <w:tc>
          <w:tcPr>
            <w:tcW w:w="1100" w:type="dxa"/>
            <w:vAlign w:val="bottom"/>
          </w:tcPr>
          <w:p>
            <w:pPr>
              <w:jc w:val="right"/>
              <w:ind w:right="308"/>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18,541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26"/>
              <w:spacing w:after="0"/>
              <w:rPr>
                <w:sz w:val="20"/>
                <w:szCs w:val="20"/>
                <w:color w:val="auto"/>
              </w:rPr>
            </w:pPr>
            <w:r>
              <w:rPr>
                <w:rFonts w:ascii="Arial" w:cs="Arial" w:eastAsia="Arial" w:hAnsi="Arial"/>
                <w:sz w:val="16"/>
                <w:szCs w:val="16"/>
                <w:color w:val="auto"/>
              </w:rPr>
              <w:t>16,627</w:t>
            </w:r>
          </w:p>
        </w:tc>
        <w:tc>
          <w:tcPr>
            <w:tcW w:w="80" w:type="dxa"/>
            <w:vAlign w:val="bottom"/>
          </w:tcPr>
          <w:p>
            <w:pPr>
              <w:spacing w:after="0"/>
              <w:rPr>
                <w:sz w:val="17"/>
                <w:szCs w:val="17"/>
                <w:color w:val="auto"/>
              </w:rPr>
            </w:pPr>
          </w:p>
        </w:tc>
        <w:tc>
          <w:tcPr>
            <w:tcW w:w="1120" w:type="dxa"/>
            <w:vAlign w:val="bottom"/>
          </w:tcPr>
          <w:p>
            <w:pPr>
              <w:jc w:val="right"/>
              <w:ind w:right="328"/>
              <w:spacing w:after="0"/>
              <w:rPr>
                <w:sz w:val="20"/>
                <w:szCs w:val="20"/>
                <w:color w:val="auto"/>
              </w:rPr>
            </w:pPr>
            <w:r>
              <w:rPr>
                <w:rFonts w:ascii="Arial" w:cs="Arial" w:eastAsia="Arial" w:hAnsi="Arial"/>
                <w:sz w:val="16"/>
                <w:szCs w:val="16"/>
                <w:color w:val="auto"/>
              </w:rPr>
              <w:t>12%</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8 %</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6" w:lineRule="exact"/>
        <w:rPr>
          <w:sz w:val="20"/>
          <w:szCs w:val="20"/>
          <w:color w:val="auto"/>
        </w:rPr>
      </w:pPr>
    </w:p>
    <w:p>
      <w:pPr>
        <w:ind w:left="240" w:right="80" w:hanging="236"/>
        <w:spacing w:after="0" w:line="262" w:lineRule="auto"/>
        <w:tabs>
          <w:tab w:leader="none" w:pos="214"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Note 11 of the accompanying consolidated financial statements for additional details.</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180" w:firstLine="623"/>
        <w:spacing w:after="0" w:line="265" w:lineRule="auto"/>
        <w:rPr>
          <w:sz w:val="20"/>
          <w:szCs w:val="20"/>
          <w:color w:val="auto"/>
        </w:rPr>
      </w:pPr>
      <w:r>
        <w:rPr>
          <w:rFonts w:ascii="Arial" w:cs="Arial" w:eastAsia="Arial" w:hAnsi="Arial"/>
          <w:sz w:val="17"/>
          <w:szCs w:val="17"/>
          <w:color w:val="auto"/>
        </w:rPr>
        <w:t>For the three and six months ended December 31, 2024, currency exchange fluctuations positively impacted National Pen's revenue growth by 0% and 1%, respectively. The segment's constant-currency revenue growth was 1% and 3% as compared to the prior year periods, respectively. National Pen revenue growth was driven by growth in e-commerce, cross-Cimpress fulfillment for other Cimpress businesses, and telesales. These growing channels were offset by revenue declines in mail order where National Pen continued to optimize for efficiency of direct mail advertising.</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42" w:lineRule="exact"/>
        <w:rPr>
          <w:sz w:val="20"/>
          <w:szCs w:val="20"/>
          <w:color w:val="auto"/>
        </w:rPr>
      </w:pPr>
    </w:p>
    <w:p>
      <w:pPr>
        <w:ind w:right="40" w:firstLine="623"/>
        <w:spacing w:after="0" w:line="275" w:lineRule="auto"/>
        <w:rPr>
          <w:sz w:val="20"/>
          <w:szCs w:val="20"/>
          <w:color w:val="auto"/>
        </w:rPr>
      </w:pPr>
      <w:r>
        <w:rPr>
          <w:rFonts w:ascii="Arial" w:cs="Arial" w:eastAsia="Arial" w:hAnsi="Arial"/>
          <w:sz w:val="17"/>
          <w:szCs w:val="17"/>
          <w:color w:val="auto"/>
        </w:rPr>
        <w:t>The decrease in National Pen's segment EBITDA for the three months ended December 31, 2024 was driven by a reduction in gross profit, due to gross margin compression driven by unfavorable product mix shift and increased freight costs versus the prior year periods. Currency exchange fluctuations had a positive year-over-year impact of $0.7 million for the three months ended December 31, 2024.</w:t>
      </w:r>
    </w:p>
    <w:p>
      <w:pPr>
        <w:spacing w:after="0" w:line="94" w:lineRule="exact"/>
        <w:rPr>
          <w:sz w:val="20"/>
          <w:szCs w:val="20"/>
          <w:color w:val="auto"/>
        </w:rPr>
      </w:pPr>
    </w:p>
    <w:p>
      <w:pPr>
        <w:ind w:right="200" w:firstLine="623"/>
        <w:spacing w:after="0" w:line="275" w:lineRule="auto"/>
        <w:rPr>
          <w:sz w:val="20"/>
          <w:szCs w:val="20"/>
          <w:color w:val="auto"/>
        </w:rPr>
      </w:pPr>
      <w:r>
        <w:rPr>
          <w:rFonts w:ascii="Arial" w:cs="Arial" w:eastAsia="Arial" w:hAnsi="Arial"/>
          <w:sz w:val="17"/>
          <w:szCs w:val="17"/>
          <w:color w:val="auto"/>
        </w:rPr>
        <w:t>The increase in National Pen's segment EBITDA for the six months ended December 31, 2024 was driven by the revenue growth described above, and $ 1.6 million of lower advertising spend intended to drive efficiency across channels. Currency exchange fluctuations had a positive year-over-year impact of $1.3 million for the six months ended December 31, 2024.</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 Other Businesses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860" w:type="dxa"/>
            <w:vAlign w:val="bottom"/>
            <w:gridSpan w:val="5"/>
          </w:tcPr>
          <w:p>
            <w:pPr>
              <w:ind w:left="220"/>
              <w:spacing w:after="0"/>
              <w:rPr>
                <w:sz w:val="20"/>
                <w:szCs w:val="20"/>
                <w:color w:val="auto"/>
              </w:rPr>
            </w:pPr>
            <w:r>
              <w:rPr>
                <w:rFonts w:ascii="Arial" w:cs="Arial" w:eastAsia="Arial" w:hAnsi="Arial"/>
                <w:sz w:val="12"/>
                <w:szCs w:val="12"/>
                <w:b w:val="1"/>
                <w:bCs w:val="1"/>
                <w:color w:val="auto"/>
              </w:rPr>
              <w:t>Three Months Ended December 31,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ind w:left="300"/>
              <w:spacing w:after="0"/>
              <w:rPr>
                <w:sz w:val="20"/>
                <w:szCs w:val="20"/>
                <w:color w:val="auto"/>
              </w:rPr>
            </w:pPr>
            <w:r>
              <w:rPr>
                <w:rFonts w:ascii="Arial" w:cs="Arial" w:eastAsia="Arial" w:hAnsi="Arial"/>
                <w:sz w:val="12"/>
                <w:szCs w:val="12"/>
                <w:b w:val="1"/>
                <w:bCs w:val="1"/>
                <w:color w:val="auto"/>
              </w:rPr>
              <w:t>Six Months Ended December 31,</w:t>
            </w:r>
          </w:p>
        </w:tc>
        <w:tc>
          <w:tcPr>
            <w:tcW w:w="1120" w:type="dxa"/>
            <w:vAlign w:val="bottom"/>
          </w:tcPr>
          <w:p>
            <w:pPr>
              <w:spacing w:after="0"/>
              <w:rPr>
                <w:sz w:val="17"/>
                <w:szCs w:val="17"/>
                <w:color w:val="auto"/>
              </w:rPr>
            </w:pPr>
          </w:p>
        </w:tc>
      </w:tr>
      <w:tr>
        <w:trPr>
          <w:trHeight w:val="161"/>
        </w:trPr>
        <w:tc>
          <w:tcPr>
            <w:tcW w:w="25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2024 vs. 2023</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2023 (1)</w:t>
            </w:r>
          </w:p>
        </w:tc>
        <w:tc>
          <w:tcPr>
            <w:tcW w:w="80" w:type="dxa"/>
            <w:vAlign w:val="bottom"/>
            <w:tcBorders>
              <w:top w:val="single" w:sz="8" w:color="auto"/>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2024 vs. 2023</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60,333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59,762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117,476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111,187</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6%</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6"/>
                <w:szCs w:val="16"/>
                <w:color w:val="auto"/>
              </w:rPr>
              <w:t>3,667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7,371</w:t>
            </w:r>
          </w:p>
        </w:tc>
        <w:tc>
          <w:tcPr>
            <w:tcW w:w="100" w:type="dxa"/>
            <w:vAlign w:val="bottom"/>
          </w:tcPr>
          <w:p>
            <w:pPr>
              <w:spacing w:after="0"/>
              <w:rPr>
                <w:sz w:val="17"/>
                <w:szCs w:val="17"/>
                <w:color w:val="auto"/>
              </w:rPr>
            </w:pPr>
          </w:p>
        </w:tc>
        <w:tc>
          <w:tcPr>
            <w:tcW w:w="1120" w:type="dxa"/>
            <w:vAlign w:val="bottom"/>
          </w:tcPr>
          <w:p>
            <w:pPr>
              <w:jc w:val="right"/>
              <w:ind w:right="268"/>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10,402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26"/>
              <w:spacing w:after="0"/>
              <w:rPr>
                <w:sz w:val="20"/>
                <w:szCs w:val="20"/>
                <w:color w:val="auto"/>
              </w:rPr>
            </w:pPr>
            <w:r>
              <w:rPr>
                <w:rFonts w:ascii="Arial" w:cs="Arial" w:eastAsia="Arial" w:hAnsi="Arial"/>
                <w:sz w:val="16"/>
                <w:szCs w:val="16"/>
                <w:color w:val="auto"/>
              </w:rPr>
              <w:t>13,389</w:t>
            </w:r>
          </w:p>
        </w:tc>
        <w:tc>
          <w:tcPr>
            <w:tcW w:w="80" w:type="dxa"/>
            <w:vAlign w:val="bottom"/>
          </w:tcPr>
          <w:p>
            <w:pPr>
              <w:spacing w:after="0"/>
              <w:rPr>
                <w:sz w:val="17"/>
                <w:szCs w:val="17"/>
                <w:color w:val="auto"/>
              </w:rPr>
            </w:pPr>
          </w:p>
        </w:tc>
        <w:tc>
          <w:tcPr>
            <w:tcW w:w="1120" w:type="dxa"/>
            <w:vAlign w:val="bottom"/>
          </w:tcPr>
          <w:p>
            <w:pPr>
              <w:jc w:val="right"/>
              <w:ind w:right="268"/>
              <w:spacing w:after="0"/>
              <w:rPr>
                <w:sz w:val="20"/>
                <w:szCs w:val="20"/>
                <w:color w:val="auto"/>
              </w:rPr>
            </w:pPr>
            <w:r>
              <w:rPr>
                <w:rFonts w:ascii="Arial" w:cs="Arial" w:eastAsia="Arial" w:hAnsi="Arial"/>
                <w:sz w:val="16"/>
                <w:szCs w:val="16"/>
                <w:color w:val="auto"/>
              </w:rPr>
              <w:t>(22)%</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6" w:lineRule="exact"/>
        <w:rPr>
          <w:sz w:val="20"/>
          <w:szCs w:val="20"/>
          <w:color w:val="auto"/>
        </w:rPr>
      </w:pPr>
    </w:p>
    <w:p>
      <w:pPr>
        <w:ind w:left="240" w:right="80" w:hanging="236"/>
        <w:spacing w:after="0" w:line="262" w:lineRule="auto"/>
        <w:tabs>
          <w:tab w:leader="none" w:pos="214"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Note 11 of the accompanying consolidated financial statements for additional details.</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segment includes BuildASign and Printi, a smaller business that is an online printing leader in Brazil.</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color w:val="auto"/>
        </w:rPr>
        <w:t>All Other Businesses' revenue growth was negatively impacted 2% and 1% by currency, resulting in constant-currency revenue growth of 3% and 7% during the three and six months ended December 31, 2024, respectively. BuildASign, the largest business in this segment, delivered strong growth from fulfillment for other Cimpress businesses, as well as growth in their signage products, which was partially offset by lower revenue for home decor products. Our smaller Printi business delivered constant-currency revenue growth versus the prior year periods.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94"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color w:val="auto"/>
        </w:rPr>
        <w:t>For the three and six months ended December 31, 2024, segment EBITDA decreased $3.7 million and $3.0 million versus prior year periods, largely driven by higher long-term incentive compensation expense of $2.8 million and $3.8 million due to a prior year reversal of expense driven by changes in estimated payouts year over year that was a benefit in the prior year periods and did not recur during the current year periods. In addition,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ind w:right="440"/>
        <w:spacing w:after="0" w:line="295" w:lineRule="auto"/>
        <w:rPr>
          <w:sz w:val="20"/>
          <w:szCs w:val="20"/>
          <w:color w:val="auto"/>
        </w:rPr>
      </w:pPr>
      <w:r>
        <w:rPr>
          <w:rFonts w:ascii="Arial" w:cs="Arial" w:eastAsia="Arial" w:hAnsi="Arial"/>
          <w:sz w:val="17"/>
          <w:szCs w:val="17"/>
          <w:color w:val="auto"/>
        </w:rPr>
        <w:t>gross profits declined year-over-year during the seasonally significant second quarter for our BuildASign business, driven by lower revenue in home decor products, as well as gross margin compression driven in part by temporary production inefficiencies related to new capabilities.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Central and Corporate Costs</w:t>
      </w:r>
    </w:p>
    <w:p>
      <w:pPr>
        <w:spacing w:after="0" w:line="209" w:lineRule="exact"/>
        <w:rPr>
          <w:sz w:val="20"/>
          <w:szCs w:val="20"/>
          <w:color w:val="auto"/>
        </w:rPr>
      </w:pPr>
    </w:p>
    <w:p>
      <w:pPr>
        <w:ind w:right="160" w:firstLine="623"/>
        <w:spacing w:after="0" w:line="265"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security; administrative costs of our Cimpress India offices where numerous Cimpress businesses have dedicated business-specific team members; and corporate functions including our tax, treasury, internal audit, legal, sustainability, corporate communications, remote first enablement, consolidated reporting and compliance, investor relations, and the functions of our CEO and CFO. These costs also include certain unallocated share-based compensation costs.</w:t>
      </w:r>
    </w:p>
    <w:p>
      <w:pPr>
        <w:spacing w:after="0" w:line="154"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During the three and six months ended December 31, 2024, central and corporate costs increased by $1.2 million and $6.4 million, respectively, as compared to the prior year periods, due in part to a $2.9 million charge recognized in the current quarter for a land duty tax in Australia related to our 2019 redomiciliation to Ireland that we are appealing. In addition, third party technology costs increased, as a result of continued adoption and usage of mass customization platform products that are developed by our central technology teams. These increases were partially offset by lower unallocated share-based compensation expense year-over-year of $2.4 million and $4.6 million, respectively, due to lower attainment estimates associated with performance share units granted during the current fiscal year.</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Statements of Cash Flows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806"/>
              <w:spacing w:after="0"/>
              <w:rPr>
                <w:sz w:val="20"/>
                <w:szCs w:val="20"/>
                <w:color w:val="auto"/>
              </w:rPr>
            </w:pPr>
            <w:r>
              <w:rPr>
                <w:rFonts w:ascii="Arial" w:cs="Arial" w:eastAsia="Arial" w:hAnsi="Arial"/>
                <w:sz w:val="12"/>
                <w:szCs w:val="12"/>
                <w:b w:val="1"/>
                <w:bCs w:val="1"/>
                <w:color w:val="auto"/>
              </w:rPr>
              <w:t>Six Months Ended December 31,</w:t>
            </w:r>
          </w:p>
        </w:tc>
      </w:tr>
      <w:tr>
        <w:trPr>
          <w:trHeight w:val="161"/>
        </w:trPr>
        <w:tc>
          <w:tcPr>
            <w:tcW w:w="76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6"/>
              <w:spacing w:after="0"/>
              <w:rPr>
                <w:sz w:val="20"/>
                <w:szCs w:val="20"/>
                <w:color w:val="auto"/>
              </w:rPr>
            </w:pPr>
            <w:r>
              <w:rPr>
                <w:rFonts w:ascii="Arial" w:cs="Arial" w:eastAsia="Arial" w:hAnsi="Arial"/>
                <w:sz w:val="12"/>
                <w:szCs w:val="12"/>
                <w:b w:val="1"/>
                <w:bCs w:val="1"/>
                <w:color w:val="auto"/>
              </w:rPr>
              <w:t>2023</w:t>
            </w:r>
          </w:p>
        </w:tc>
      </w:tr>
      <w:tr>
        <w:trPr>
          <w:trHeight w:val="202"/>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180,903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217,200</w:t>
            </w:r>
          </w:p>
        </w:tc>
      </w:tr>
      <w:tr>
        <w:trPr>
          <w:trHeight w:val="207"/>
        </w:trPr>
        <w:tc>
          <w:tcPr>
            <w:tcW w:w="76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(63,061)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(30,395)</w:t>
            </w: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(47,155)</w:t>
            </w:r>
          </w:p>
        </w:tc>
      </w:tr>
    </w:tbl>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cash flows during the six months ended December 31, 2024 related primarily to the following items: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inflows:</w:t>
      </w:r>
    </w:p>
    <w:p>
      <w:pPr>
        <w:spacing w:after="0" w:line="207" w:lineRule="exact"/>
        <w:rPr>
          <w:sz w:val="20"/>
          <w:szCs w:val="20"/>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Net income of $49.2 million</w:t>
      </w:r>
    </w:p>
    <w:p>
      <w:pPr>
        <w:spacing w:after="0" w:line="206" w:lineRule="exact"/>
        <w:rPr>
          <w:rFonts w:ascii="Arial" w:cs="Arial" w:eastAsia="Arial" w:hAnsi="Arial"/>
          <w:sz w:val="17"/>
          <w:szCs w:val="17"/>
          <w:color w:val="auto"/>
        </w:rPr>
      </w:pPr>
    </w:p>
    <w:p>
      <w:pPr>
        <w:ind w:left="620" w:right="20" w:hanging="305"/>
        <w:spacing w:after="0" w:line="275"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Adjustments for non-cash items of $85.9 million primarily related to adjustments for depreciation and amortization of $70.8 million, share-based compensation costs of $30.0 million, and deferred taxes of $3.4 million, partially offset by unrealized currency-related gains of $21.8 million</w:t>
      </w:r>
    </w:p>
    <w:p>
      <w:pPr>
        <w:spacing w:after="0" w:line="132" w:lineRule="exact"/>
        <w:rPr>
          <w:rFonts w:ascii="Arial" w:cs="Arial" w:eastAsia="Arial" w:hAnsi="Arial"/>
          <w:sz w:val="17"/>
          <w:szCs w:val="17"/>
          <w:color w:val="auto"/>
        </w:rPr>
      </w:pPr>
    </w:p>
    <w:p>
      <w:pPr>
        <w:ind w:left="620" w:right="160" w:hanging="305"/>
        <w:spacing w:after="0" w:line="295"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Net working capital inflow of $45.8 million, primarily due to favorable changes to accounts payable and accrued expenses, driven in large part by timing impacts from our seasonally significant second quarter</w:t>
      </w:r>
    </w:p>
    <w:p>
      <w:pPr>
        <w:spacing w:after="0" w:line="129"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Proceeds from the settlement of derivatives designated as hedging instruments of $5.4 million</w:t>
      </w:r>
    </w:p>
    <w:p>
      <w:pPr>
        <w:spacing w:after="0" w:line="206"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Proceeds from the maturity of held-to-maturity securities of $4.5 million</w:t>
      </w:r>
    </w:p>
    <w:p>
      <w:pPr>
        <w:spacing w:after="0" w:line="193"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Proceeds from the sale of assets of $1.7 million</w:t>
      </w:r>
    </w:p>
    <w:p>
      <w:pPr>
        <w:spacing w:after="0" w:line="206"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Proceeds from the exercise of options of $1.4 million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outflows:</w:t>
      </w:r>
    </w:p>
    <w:p>
      <w:pPr>
        <w:spacing w:after="0" w:line="194" w:lineRule="exact"/>
        <w:rPr>
          <w:sz w:val="20"/>
          <w:szCs w:val="20"/>
          <w:color w:val="auto"/>
        </w:rPr>
      </w:pPr>
    </w:p>
    <w:p>
      <w:pPr>
        <w:ind w:left="620" w:hanging="30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Purchases of our ordinary shares for $53.0 million</w:t>
      </w:r>
    </w:p>
    <w:p>
      <w:pPr>
        <w:spacing w:after="0" w:line="206" w:lineRule="exact"/>
        <w:rPr>
          <w:rFonts w:ascii="Arial" w:cs="Arial" w:eastAsia="Arial" w:hAnsi="Arial"/>
          <w:sz w:val="17"/>
          <w:szCs w:val="17"/>
          <w:color w:val="auto"/>
        </w:rPr>
      </w:pPr>
    </w:p>
    <w:p>
      <w:pPr>
        <w:ind w:left="620" w:right="360" w:hanging="305"/>
        <w:spacing w:after="0" w:line="295"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Capital expenditures of $43.4 million, of which the majority related to the purchase of manufacturing and automation equipment for our production facilities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p>
      <w:pPr>
        <w:ind w:left="620" w:hanging="30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Internal and external costs of $31.2 million for software and website development that we have capitalized</w:t>
      </w:r>
    </w:p>
    <w:p>
      <w:pPr>
        <w:spacing w:after="0" w:line="193" w:lineRule="exact"/>
        <w:rPr>
          <w:rFonts w:ascii="Arial" w:cs="Arial" w:eastAsia="Arial" w:hAnsi="Arial"/>
          <w:sz w:val="17"/>
          <w:szCs w:val="17"/>
          <w:color w:val="auto"/>
        </w:rPr>
      </w:pPr>
    </w:p>
    <w:p>
      <w:pPr>
        <w:ind w:left="620" w:right="980" w:hanging="305"/>
        <w:spacing w:after="0" w:line="295"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Payment of withholding taxes in connection with share awards of $16.8 million, primarily driven by the vesting of restricted and performance share unit grants</w:t>
      </w:r>
    </w:p>
    <w:p>
      <w:pPr>
        <w:spacing w:after="0" w:line="129" w:lineRule="exact"/>
        <w:rPr>
          <w:rFonts w:ascii="Arial" w:cs="Arial" w:eastAsia="Arial" w:hAnsi="Arial"/>
          <w:sz w:val="17"/>
          <w:szCs w:val="17"/>
          <w:color w:val="auto"/>
        </w:rPr>
      </w:pPr>
    </w:p>
    <w:p>
      <w:pPr>
        <w:ind w:left="620" w:hanging="30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Repayments of other debt, net of proceeds from borrowings, of $8.0 million</w:t>
      </w:r>
    </w:p>
    <w:p>
      <w:pPr>
        <w:spacing w:after="0" w:line="206" w:lineRule="exact"/>
        <w:rPr>
          <w:rFonts w:ascii="Arial" w:cs="Arial" w:eastAsia="Arial" w:hAnsi="Arial"/>
          <w:sz w:val="17"/>
          <w:szCs w:val="17"/>
          <w:color w:val="auto"/>
        </w:rPr>
      </w:pPr>
    </w:p>
    <w:p>
      <w:pPr>
        <w:ind w:left="620" w:right="300" w:hanging="305"/>
        <w:spacing w:after="0" w:line="295"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Net payments of $5.6 million associated with the refinancing of our 2026 Notes and amendment to our revolving credit facility, including financing fees paid. Refer to Note 8 in the accompanying consolidated financial statements for additional details.</w:t>
      </w:r>
    </w:p>
    <w:p>
      <w:pPr>
        <w:spacing w:after="0" w:line="116" w:lineRule="exact"/>
        <w:rPr>
          <w:rFonts w:ascii="Arial" w:cs="Arial" w:eastAsia="Arial" w:hAnsi="Arial"/>
          <w:sz w:val="17"/>
          <w:szCs w:val="17"/>
          <w:color w:val="auto"/>
        </w:rPr>
      </w:pPr>
    </w:p>
    <w:p>
      <w:pPr>
        <w:ind w:left="620" w:hanging="30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Payments for finance lease arrangements of $4.2 million</w:t>
      </w:r>
    </w:p>
    <w:p>
      <w:pPr>
        <w:spacing w:after="0" w:line="206" w:lineRule="exact"/>
        <w:rPr>
          <w:rFonts w:ascii="Arial" w:cs="Arial" w:eastAsia="Arial" w:hAnsi="Arial"/>
          <w:sz w:val="17"/>
          <w:szCs w:val="17"/>
          <w:color w:val="auto"/>
        </w:rPr>
      </w:pPr>
    </w:p>
    <w:p>
      <w:pPr>
        <w:ind w:left="620" w:hanging="30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Purchase of noncontrolling interests of $4.1 million</w:t>
      </w:r>
    </w:p>
    <w:p>
      <w:pPr>
        <w:spacing w:after="0" w:line="207" w:lineRule="exact"/>
        <w:rPr>
          <w:sz w:val="20"/>
          <w:szCs w:val="20"/>
          <w:color w:val="auto"/>
        </w:rPr>
      </w:pPr>
    </w:p>
    <w:p>
      <w:pPr>
        <w:ind w:right="220" w:firstLine="623"/>
        <w:spacing w:after="0" w:line="268" w:lineRule="auto"/>
        <w:rPr>
          <w:sz w:val="20"/>
          <w:szCs w:val="20"/>
          <w:color w:val="auto"/>
        </w:rPr>
      </w:pPr>
      <w:r>
        <w:rPr>
          <w:rFonts w:ascii="Arial" w:cs="Arial" w:eastAsia="Arial" w:hAnsi="Arial"/>
          <w:sz w:val="17"/>
          <w:szCs w:val="17"/>
          <w:i w:val="1"/>
          <w:iCs w:val="1"/>
          <w:color w:val="auto"/>
        </w:rPr>
        <w:t xml:space="preserve">Additional Liquidity and Capital Resources Information. </w:t>
      </w:r>
      <w:r>
        <w:rPr>
          <w:rFonts w:ascii="Arial" w:cs="Arial" w:eastAsia="Arial" w:hAnsi="Arial"/>
          <w:sz w:val="17"/>
          <w:szCs w:val="17"/>
          <w:color w:val="auto"/>
        </w:rPr>
        <w:t>At December 31, 2024, we had $224.4 million of cash and cash equivalents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$1,610.5 million of debt, excluding debt issuance costs and debt premiums and discounts. During the six months ended December 31, 2024, we financed our operations and strategic investments through internally generated cash flows from operations and cash on hand. We expect to finance our future operations through our cash, operating cash flow, and borrowings under our debt arrangements.</w:t>
      </w:r>
    </w:p>
    <w:p>
      <w:pPr>
        <w:spacing w:after="0" w:line="139" w:lineRule="exact"/>
        <w:rPr>
          <w:sz w:val="20"/>
          <w:szCs w:val="20"/>
          <w:color w:val="auto"/>
        </w:rPr>
      </w:pPr>
    </w:p>
    <w:p>
      <w:pPr>
        <w:ind w:right="220" w:firstLine="623"/>
        <w:spacing w:after="0" w:line="268" w:lineRule="auto"/>
        <w:rPr>
          <w:sz w:val="20"/>
          <w:szCs w:val="20"/>
          <w:color w:val="auto"/>
        </w:rPr>
      </w:pPr>
      <w:r>
        <w:rPr>
          <w:rFonts w:ascii="Arial" w:cs="Arial" w:eastAsia="Arial" w:hAnsi="Arial"/>
          <w:sz w:val="17"/>
          <w:szCs w:val="17"/>
          <w:color w:val="auto"/>
        </w:rPr>
        <w:t>We have historically used excess cash and cash equivalents for organic investments, share repurchases, acquisitions and equity investments, and debt reduction. During the six months ended December 31, 2024, we purchased and retired 657,193 of our ordinary shares for $53.0 million. We evaluate share repurchases, as any other use of capital, relative to our view of the impact on our intrinsic value per share compared against other opportunities.</w:t>
      </w:r>
    </w:p>
    <w:p>
      <w:pPr>
        <w:spacing w:after="0" w:line="152"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i w:val="1"/>
          <w:iCs w:val="1"/>
          <w:color w:val="auto"/>
        </w:rPr>
        <w:t xml:space="preserve">Supply Chain Financing Program. </w:t>
      </w:r>
      <w:r>
        <w:rPr>
          <w:rFonts w:ascii="Arial" w:cs="Arial" w:eastAsia="Arial" w:hAnsi="Arial"/>
          <w:sz w:val="17"/>
          <w:szCs w:val="17"/>
          <w:color w:val="auto"/>
        </w:rPr>
        <w:t>As part of our ongoing efforts to manage our liquidity, we work with our suppliers to optimize our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which includes the extension of payment terms. We facilitate a voluntary supply chain finance program through a financial intermediary to allow our suppliers to receive funds earlier than our contractual payment date. We do not believe there is a substantial risk that our payment terms will be shortened in the near future. Refer to Note 12 of the accompanying consolidated financial statements for additional information.</w:t>
      </w:r>
    </w:p>
    <w:p>
      <w:pPr>
        <w:spacing w:after="0" w:line="154"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i w:val="1"/>
          <w:iCs w:val="1"/>
          <w:color w:val="auto"/>
        </w:rPr>
        <w:t xml:space="preserve">Indefinitely Reinvested Earnings. </w:t>
      </w:r>
      <w:r>
        <w:rPr>
          <w:rFonts w:ascii="Arial" w:cs="Arial" w:eastAsia="Arial" w:hAnsi="Arial"/>
          <w:sz w:val="17"/>
          <w:szCs w:val="17"/>
          <w:color w:val="auto"/>
        </w:rPr>
        <w:t>As of December 31, 2024, a portion of our cash and cash equivalents were held by our subsidiaries,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undistributed earnings of our subsidiaries that are considered to be indefinitely reinvested were $86.6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Contractual obligations at December 31, 2024 are as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Payments Due by Period</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4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jc w:val="center"/>
              <w:ind w:right="227"/>
              <w:spacing w:after="0" w:line="111" w:lineRule="exact"/>
              <w:rPr>
                <w:sz w:val="20"/>
                <w:szCs w:val="20"/>
                <w:color w:val="auto"/>
              </w:rPr>
            </w:pPr>
            <w:r>
              <w:rPr>
                <w:rFonts w:ascii="Arial" w:cs="Arial" w:eastAsia="Arial" w:hAnsi="Arial"/>
                <w:sz w:val="12"/>
                <w:szCs w:val="12"/>
                <w:b w:val="1"/>
                <w:bCs w:val="1"/>
                <w:color w:val="auto"/>
              </w:rPr>
              <w:t>Less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restart"/>
          </w:tcPr>
          <w:p>
            <w:pPr>
              <w:jc w:val="center"/>
              <w:ind w:right="206"/>
              <w:spacing w:after="0"/>
              <w:rPr>
                <w:sz w:val="20"/>
                <w:szCs w:val="20"/>
                <w:color w:val="auto"/>
              </w:rPr>
            </w:pPr>
            <w:r>
              <w:rPr>
                <w:rFonts w:ascii="Arial" w:cs="Arial" w:eastAsia="Arial" w:hAnsi="Arial"/>
                <w:sz w:val="12"/>
                <w:szCs w:val="12"/>
                <w:b w:val="1"/>
                <w:bCs w:val="1"/>
                <w:color w:val="auto"/>
              </w:rPr>
              <w:t>1-3</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vMerge w:val="restart"/>
          </w:tcPr>
          <w:p>
            <w:pPr>
              <w:jc w:val="right"/>
              <w:ind w:right="526"/>
              <w:spacing w:after="0"/>
              <w:rPr>
                <w:sz w:val="20"/>
                <w:szCs w:val="20"/>
                <w:color w:val="auto"/>
              </w:rPr>
            </w:pPr>
            <w:r>
              <w:rPr>
                <w:rFonts w:ascii="Arial" w:cs="Arial" w:eastAsia="Arial" w:hAnsi="Arial"/>
                <w:sz w:val="12"/>
                <w:szCs w:val="12"/>
                <w:b w:val="1"/>
                <w:bCs w:val="1"/>
                <w:color w:val="auto"/>
              </w:rPr>
              <w:t>3-5</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center"/>
              <w:ind w:right="247"/>
              <w:spacing w:after="0" w:line="111" w:lineRule="exact"/>
              <w:rPr>
                <w:sz w:val="20"/>
                <w:szCs w:val="20"/>
                <w:color w:val="auto"/>
              </w:rPr>
            </w:pPr>
            <w:r>
              <w:rPr>
                <w:rFonts w:ascii="Arial" w:cs="Arial" w:eastAsia="Arial" w:hAnsi="Arial"/>
                <w:sz w:val="12"/>
                <w:szCs w:val="12"/>
                <w:b w:val="1"/>
                <w:bCs w:val="1"/>
                <w:color w:val="auto"/>
                <w:w w:val="97"/>
              </w:rPr>
              <w:t>More</w:t>
            </w: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64"/>
              <w:spacing w:after="0"/>
              <w:rPr>
                <w:sz w:val="20"/>
                <w:szCs w:val="20"/>
                <w:color w:val="auto"/>
              </w:rPr>
            </w:pPr>
            <w:r>
              <w:rPr>
                <w:rFonts w:ascii="Arial" w:cs="Arial" w:eastAsia="Arial" w:hAnsi="Arial"/>
                <w:sz w:val="12"/>
                <w:szCs w:val="12"/>
                <w:b w:val="1"/>
                <w:bCs w:val="1"/>
                <w:color w:val="auto"/>
              </w:rPr>
              <w:t>Total</w:t>
            </w:r>
          </w:p>
        </w:tc>
        <w:tc>
          <w:tcPr>
            <w:tcW w:w="10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center"/>
              <w:ind w:right="227"/>
              <w:spacing w:after="0" w:line="117" w:lineRule="exact"/>
              <w:rPr>
                <w:sz w:val="20"/>
                <w:szCs w:val="20"/>
                <w:color w:val="auto"/>
              </w:rPr>
            </w:pPr>
            <w:r>
              <w:rPr>
                <w:rFonts w:ascii="Arial" w:cs="Arial" w:eastAsia="Arial" w:hAnsi="Arial"/>
                <w:sz w:val="12"/>
                <w:szCs w:val="12"/>
                <w:b w:val="1"/>
                <w:bCs w:val="1"/>
                <w:color w:val="auto"/>
              </w:rPr>
              <w:t>than 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47"/>
              <w:spacing w:after="0" w:line="117" w:lineRule="exact"/>
              <w:rPr>
                <w:sz w:val="20"/>
                <w:szCs w:val="20"/>
                <w:color w:val="auto"/>
              </w:rPr>
            </w:pPr>
            <w:r>
              <w:rPr>
                <w:rFonts w:ascii="Arial" w:cs="Arial" w:eastAsia="Arial" w:hAnsi="Arial"/>
                <w:sz w:val="12"/>
                <w:szCs w:val="12"/>
                <w:b w:val="1"/>
                <w:bCs w:val="1"/>
                <w:color w:val="auto"/>
              </w:rPr>
              <w:t>than 5</w:t>
            </w:r>
          </w:p>
        </w:tc>
        <w:tc>
          <w:tcPr>
            <w:tcW w:w="0" w:type="dxa"/>
            <w:vAlign w:val="bottom"/>
          </w:tcPr>
          <w:p>
            <w:pPr>
              <w:spacing w:after="0"/>
              <w:rPr>
                <w:sz w:val="1"/>
                <w:szCs w:val="1"/>
                <w:color w:val="auto"/>
              </w:rPr>
            </w:pPr>
          </w:p>
        </w:tc>
      </w:tr>
      <w:tr>
        <w:trPr>
          <w:trHeight w:val="178"/>
        </w:trPr>
        <w:tc>
          <w:tcPr>
            <w:tcW w:w="4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7"/>
              <w:spacing w:after="0"/>
              <w:rPr>
                <w:sz w:val="20"/>
                <w:szCs w:val="20"/>
                <w:color w:val="auto"/>
              </w:rPr>
            </w:pPr>
            <w:r>
              <w:rPr>
                <w:rFonts w:ascii="Arial" w:cs="Arial" w:eastAsia="Arial" w:hAnsi="Arial"/>
                <w:sz w:val="12"/>
                <w:szCs w:val="12"/>
                <w:b w:val="1"/>
                <w:bCs w:val="1"/>
                <w:color w:val="auto"/>
                <w:w w:val="97"/>
              </w:rPr>
              <w:t>year</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6"/>
              <w:spacing w:after="0"/>
              <w:rPr>
                <w:sz w:val="20"/>
                <w:szCs w:val="20"/>
                <w:color w:val="auto"/>
              </w:rPr>
            </w:pPr>
            <w:r>
              <w:rPr>
                <w:rFonts w:ascii="Arial" w:cs="Arial" w:eastAsia="Arial" w:hAnsi="Arial"/>
                <w:sz w:val="12"/>
                <w:szCs w:val="12"/>
                <w:b w:val="1"/>
                <w:bCs w:val="1"/>
                <w:color w:val="auto"/>
              </w:rPr>
              <w:t>years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7"/>
              <w:spacing w:after="0"/>
              <w:rPr>
                <w:sz w:val="20"/>
                <w:szCs w:val="20"/>
                <w:color w:val="auto"/>
              </w:rPr>
            </w:pPr>
            <w:r>
              <w:rPr>
                <w:rFonts w:ascii="Arial" w:cs="Arial" w:eastAsia="Arial" w:hAnsi="Arial"/>
                <w:sz w:val="12"/>
                <w:szCs w:val="12"/>
                <w:b w:val="1"/>
                <w:bCs w:val="1"/>
                <w:color w:val="auto"/>
              </w:rPr>
              <w:t>years</w:t>
            </w: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net of subleases (1)</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92,251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19,547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17,713</w:t>
            </w:r>
          </w:p>
        </w:tc>
        <w:tc>
          <w:tcPr>
            <w:tcW w:w="0" w:type="dxa"/>
            <w:vAlign w:val="bottom"/>
          </w:tcPr>
          <w:p>
            <w:pPr>
              <w:spacing w:after="0"/>
              <w:rPr>
                <w:sz w:val="1"/>
                <w:szCs w:val="1"/>
                <w:color w:val="auto"/>
              </w:rPr>
            </w:pPr>
          </w:p>
        </w:tc>
      </w:tr>
      <w:tr>
        <w:trPr>
          <w:trHeight w:val="207"/>
        </w:trPr>
        <w:tc>
          <w:tcPr>
            <w:tcW w:w="4140" w:type="dxa"/>
            <w:vAlign w:val="bottom"/>
          </w:tcPr>
          <w:p>
            <w:pPr>
              <w:ind w:left="20"/>
              <w:spacing w:after="0"/>
              <w:rPr>
                <w:sz w:val="20"/>
                <w:szCs w:val="20"/>
                <w:color w:val="auto"/>
              </w:rPr>
            </w:pPr>
            <w:r>
              <w:rPr>
                <w:rFonts w:ascii="Arial" w:cs="Arial" w:eastAsia="Arial" w:hAnsi="Arial"/>
                <w:sz w:val="16"/>
                <w:szCs w:val="16"/>
                <w:color w:val="auto"/>
              </w:rPr>
              <w:t>Purchase commitments</w:t>
            </w: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207,240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145,770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34,168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20,165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7,137</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credit facility and interest payments (2)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1,297,458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1,063,619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40" w:type="dxa"/>
            <w:vAlign w:val="bottom"/>
          </w:tcPr>
          <w:p>
            <w:pPr>
              <w:ind w:left="20"/>
              <w:spacing w:after="0"/>
              <w:rPr>
                <w:sz w:val="20"/>
                <w:szCs w:val="20"/>
                <w:color w:val="auto"/>
              </w:rPr>
            </w:pPr>
            <w:r>
              <w:rPr>
                <w:rFonts w:ascii="Arial" w:cs="Arial" w:eastAsia="Arial" w:hAnsi="Arial"/>
                <w:sz w:val="16"/>
                <w:szCs w:val="16"/>
                <w:color w:val="auto"/>
              </w:rPr>
              <w:t>2032 Notes and interest payments</w:t>
            </w: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833,568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37,536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77,438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77,438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641,156</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7,240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leases, net of subleases (1)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36,374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5,734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11,731</w:t>
            </w:r>
          </w:p>
        </w:tc>
        <w:tc>
          <w:tcPr>
            <w:tcW w:w="0" w:type="dxa"/>
            <w:vAlign w:val="bottom"/>
          </w:tcPr>
          <w:p>
            <w:pPr>
              <w:spacing w:after="0"/>
              <w:rPr>
                <w:sz w:val="1"/>
                <w:szCs w:val="1"/>
                <w:color w:val="auto"/>
              </w:rPr>
            </w:pPr>
          </w:p>
        </w:tc>
      </w:tr>
      <w:tr>
        <w:trPr>
          <w:trHeight w:val="22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(3)</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2,474,131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297,558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312,333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1,186,503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677,737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(1) Operating and finance lease payments above include only amounts which are fixed under lease agreements. Our leases may also incur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9" w:name="page40"/>
    <w:bookmarkEnd w:id="39"/>
    <w:p>
      <w:pPr>
        <w:ind w:left="240"/>
        <w:spacing w:after="0"/>
        <w:rPr>
          <w:sz w:val="20"/>
          <w:szCs w:val="20"/>
          <w:color w:val="auto"/>
        </w:rPr>
      </w:pPr>
      <w:r>
        <w:rPr>
          <w:rFonts w:ascii="Arial" w:cs="Arial" w:eastAsia="Arial" w:hAnsi="Arial"/>
          <w:sz w:val="14"/>
          <w:szCs w:val="14"/>
          <w:color w:val="auto"/>
        </w:rPr>
        <w:t>variable expenses which are not reflected in the contractual obligations above.</w:t>
      </w:r>
    </w:p>
    <w:p>
      <w:pPr>
        <w:spacing w:after="0" w:line="47" w:lineRule="exact"/>
        <w:rPr>
          <w:sz w:val="20"/>
          <w:szCs w:val="20"/>
          <w:color w:val="auto"/>
        </w:rPr>
      </w:pPr>
    </w:p>
    <w:p>
      <w:pPr>
        <w:ind w:left="240" w:right="80" w:hanging="236"/>
        <w:spacing w:after="0" w:line="266" w:lineRule="auto"/>
        <w:tabs>
          <w:tab w:leader="none" w:pos="214"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Interest payments are based on the interest rate as of December 31, 2024 and assume all Term SOFR-based revolving loan amounts outstanding will not be paid until maturity but that the term loan amortization payments will be made according to our defined schedule. Senior secured credit facility and interest payments include the effects of interest rate swaps, whether they are expected to be payments or receipts of cash.</w:t>
      </w:r>
    </w:p>
    <w:p>
      <w:pPr>
        <w:spacing w:after="0" w:line="61" w:lineRule="exact"/>
        <w:rPr>
          <w:rFonts w:ascii="Arial" w:cs="Arial" w:eastAsia="Arial" w:hAnsi="Arial"/>
          <w:sz w:val="14"/>
          <w:szCs w:val="14"/>
          <w:color w:val="auto"/>
        </w:rPr>
      </w:pPr>
    </w:p>
    <w:p>
      <w:pPr>
        <w:ind w:left="240" w:right="40" w:hanging="236"/>
        <w:spacing w:after="0" w:line="255" w:lineRule="auto"/>
        <w:tabs>
          <w:tab w:leader="none" w:pos="214"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$9.0 million as of December 31, 2024 have been excluded from the contractual obligations table above. See Note 9 in our accompanying consolidated financial statements for additional information on uncertain tax positions.</w:t>
      </w:r>
    </w:p>
    <w:p>
      <w:pPr>
        <w:spacing w:after="0" w:line="150" w:lineRule="exact"/>
        <w:rPr>
          <w:sz w:val="20"/>
          <w:szCs w:val="20"/>
          <w:color w:val="auto"/>
        </w:rPr>
      </w:pPr>
    </w:p>
    <w:p>
      <w:pPr>
        <w:jc w:val="both"/>
        <w:ind w:right="120" w:firstLine="623"/>
        <w:spacing w:after="0" w:line="275"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rent manufacturing facilities and office space under operating leases expiring on various dates through 2037.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certain lease agreements require security deposits in the form of bank guarantees and letters of credit, with $2.8 million in the aggregate outstanding as of December 31, 2024.</w:t>
      </w:r>
    </w:p>
    <w:p>
      <w:pPr>
        <w:spacing w:after="0" w:line="146" w:lineRule="exact"/>
        <w:rPr>
          <w:sz w:val="20"/>
          <w:szCs w:val="20"/>
          <w:color w:val="auto"/>
        </w:rPr>
      </w:pPr>
    </w:p>
    <w:p>
      <w:pPr>
        <w:ind w:right="200" w:firstLine="623"/>
        <w:spacing w:after="0" w:line="268"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At December 31, 2024, we had unrecorded commitments under contract of $207.2 million.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consisted of third-party fulfillment and digital services of $93.2 million; software of $38.3 million; third-party cloud services of $36.6 million; production and computer equipment purchases of $7.6 million; insurance costs of $5.4 million; professional and consulting fees of $5.2 million; production-related temporary labor of $4.0 million; advertising of $0.7 million; and other commitments of $16.2 million.</w:t>
      </w:r>
    </w:p>
    <w:p>
      <w:pPr>
        <w:spacing w:after="0" w:line="152"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i w:val="1"/>
          <w:iCs w:val="1"/>
          <w:color w:val="auto"/>
        </w:rPr>
        <w:t xml:space="preserve">Senior Secured Credit Facility and Interest Payments. </w:t>
      </w:r>
      <w:r>
        <w:rPr>
          <w:rFonts w:ascii="Arial" w:cs="Arial" w:eastAsia="Arial" w:hAnsi="Arial"/>
          <w:sz w:val="17"/>
          <w:szCs w:val="17"/>
          <w:color w:val="auto"/>
        </w:rPr>
        <w:t>On September 26, 2024, we entered into an amendment to our Restated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to extend the maturity date of our senior secured revolving credit facility to September 26, 2029 and reduced the minimum credit spread on borrowing and the minimum commitment fee on unused balances, depending on our first lien leverage ratio. Our $250.0 million senior secured revolving credit facility has $237.3 million unused as of December 31, 2024. There are no drawn amounts on the revolving credit facility.</w:t>
      </w:r>
    </w:p>
    <w:p>
      <w:pPr>
        <w:spacing w:after="0" w:line="139" w:lineRule="exact"/>
        <w:rPr>
          <w:sz w:val="20"/>
          <w:szCs w:val="20"/>
          <w:color w:val="auto"/>
        </w:rPr>
      </w:pPr>
    </w:p>
    <w:p>
      <w:pPr>
        <w:ind w:right="160" w:firstLine="623"/>
        <w:spacing w:after="0" w:line="295" w:lineRule="auto"/>
        <w:rPr>
          <w:sz w:val="20"/>
          <w:szCs w:val="20"/>
          <w:color w:val="auto"/>
        </w:rPr>
      </w:pPr>
      <w:r>
        <w:rPr>
          <w:rFonts w:ascii="Arial" w:cs="Arial" w:eastAsia="Arial" w:hAnsi="Arial"/>
          <w:sz w:val="17"/>
          <w:szCs w:val="17"/>
          <w:color w:val="auto"/>
        </w:rPr>
        <w:t>As of December 31, 2024, we have borrowings under our Restated Credit Agreement of $1,078.2 million, consisting of the Term Loan B, which amortizes over the loan period, with a final maturity date of May 17, 2028.</w:t>
      </w:r>
    </w:p>
    <w:p>
      <w:pPr>
        <w:spacing w:after="0" w:line="130" w:lineRule="exact"/>
        <w:rPr>
          <w:sz w:val="20"/>
          <w:szCs w:val="20"/>
          <w:color w:val="auto"/>
        </w:rPr>
      </w:pPr>
    </w:p>
    <w:p>
      <w:pPr>
        <w:ind w:right="200" w:firstLine="623"/>
        <w:spacing w:after="0" w:line="265" w:lineRule="auto"/>
        <w:rPr>
          <w:sz w:val="20"/>
          <w:szCs w:val="20"/>
          <w:color w:val="auto"/>
        </w:rPr>
      </w:pPr>
      <w:r>
        <w:rPr>
          <w:rFonts w:ascii="Arial" w:cs="Arial" w:eastAsia="Arial" w:hAnsi="Arial"/>
          <w:sz w:val="17"/>
          <w:szCs w:val="17"/>
          <w:i w:val="1"/>
          <w:iCs w:val="1"/>
          <w:color w:val="auto"/>
        </w:rPr>
        <w:t xml:space="preserve">2032 Senior Notes and Interest Payments. </w:t>
      </w:r>
      <w:r>
        <w:rPr>
          <w:rFonts w:ascii="Arial" w:cs="Arial" w:eastAsia="Arial" w:hAnsi="Arial"/>
          <w:sz w:val="17"/>
          <w:szCs w:val="17"/>
          <w:color w:val="auto"/>
        </w:rPr>
        <w:t>On September 26, 2024, we completed a private placement of $525.0 million in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senior unsecured notes due 2032 (the "2032 Notes"). We used the net proceeds from the 2032 Notes, together with cash on hand, to redeem all of the outstanding 2026 Notes, and pay associated accrued interest and all related financing fees. Our $525.0 million 2032 Notes bear interest at a rate of 7.375% per annum and mature on September 15, 2032. Interest on the 2032 Notes is payable semi-annually on March 15 and September 15 of each year. Refer to Note 8 in the accompanying consolidated financial statements for additional information.</w:t>
      </w:r>
    </w:p>
    <w:p>
      <w:pPr>
        <w:spacing w:after="0" w:line="154" w:lineRule="exact"/>
        <w:rPr>
          <w:sz w:val="20"/>
          <w:szCs w:val="20"/>
          <w:color w:val="auto"/>
        </w:rPr>
      </w:pPr>
    </w:p>
    <w:p>
      <w:pPr>
        <w:ind w:right="240" w:firstLine="623"/>
        <w:spacing w:after="0" w:line="268" w:lineRule="auto"/>
        <w:rPr>
          <w:sz w:val="20"/>
          <w:szCs w:val="20"/>
          <w:color w:val="auto"/>
        </w:rPr>
      </w:pPr>
      <w:r>
        <w:rPr>
          <w:rFonts w:ascii="Arial" w:cs="Arial" w:eastAsia="Arial" w:hAnsi="Arial"/>
          <w:sz w:val="17"/>
          <w:szCs w:val="17"/>
          <w:i w:val="1"/>
          <w:iCs w:val="1"/>
          <w:color w:val="auto"/>
        </w:rPr>
        <w:t xml:space="preserve">Debt Covenants. </w:t>
      </w:r>
      <w:r>
        <w:rPr>
          <w:rFonts w:ascii="Arial" w:cs="Arial" w:eastAsia="Arial" w:hAnsi="Arial"/>
          <w:sz w:val="17"/>
          <w:szCs w:val="17"/>
          <w:color w:val="auto"/>
        </w:rPr>
        <w:t>The Restated Credit Agreement and the indenture that governs our 2032 Notes contain covenants that restrict or limit</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activities and transactions by Cimpress and our subsidiaries. As of December 31, 2024, we were in compliance with all covenants under our Restated Credit Agreement and the indenture governing our 2032 Notes. Refer to Note 8 in the accompanying consolidated financial statements for additional information.</w:t>
      </w:r>
    </w:p>
    <w:p>
      <w:pPr>
        <w:spacing w:after="0" w:line="139" w:lineRule="exact"/>
        <w:rPr>
          <w:sz w:val="20"/>
          <w:szCs w:val="20"/>
          <w:color w:val="auto"/>
        </w:rPr>
      </w:pPr>
    </w:p>
    <w:p>
      <w:pPr>
        <w:jc w:val="both"/>
        <w:ind w:right="320" w:firstLine="623"/>
        <w:spacing w:after="0" w:line="275" w:lineRule="auto"/>
        <w:rPr>
          <w:sz w:val="20"/>
          <w:szCs w:val="20"/>
          <w:color w:val="auto"/>
        </w:rPr>
      </w:pPr>
      <w:r>
        <w:rPr>
          <w:rFonts w:ascii="Arial" w:cs="Arial" w:eastAsia="Arial" w:hAnsi="Arial"/>
          <w:sz w:val="17"/>
          <w:szCs w:val="17"/>
          <w:i w:val="1"/>
          <w:iCs w:val="1"/>
          <w:color w:val="auto"/>
        </w:rPr>
        <w:t xml:space="preserve">Other Debt. </w:t>
      </w:r>
      <w:r>
        <w:rPr>
          <w:rFonts w:ascii="Arial" w:cs="Arial" w:eastAsia="Arial" w:hAnsi="Arial"/>
          <w:sz w:val="17"/>
          <w:szCs w:val="17"/>
          <w:color w:val="auto"/>
        </w:rPr>
        <w:t>In addition, we have other debt which consists primarily of term loans acquired through our various acquisitions or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fund certain capital investments. As of December 31, 2024, we had $7.2 million outstanding for those obligations that have repayments due on various dates through September 2027.</w:t>
      </w:r>
    </w:p>
    <w:p>
      <w:pPr>
        <w:spacing w:after="0" w:line="146"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i w:val="1"/>
          <w:iCs w:val="1"/>
          <w:color w:val="auto"/>
        </w:rPr>
        <w:t xml:space="preserve">Finance Leases. </w:t>
      </w:r>
      <w:r>
        <w:rPr>
          <w:rFonts w:ascii="Arial" w:cs="Arial" w:eastAsia="Arial" w:hAnsi="Arial"/>
          <w:sz w:val="17"/>
          <w:szCs w:val="17"/>
          <w:color w:val="auto"/>
        </w:rPr>
        <w:t>We lease certain facilities, machinery, and plant equipment under finance lease agreements that expire at various dates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2037. The aggregate carrying value of the leased assets under finance leases included in property, plant and equipment, net in our consolidated balance sheet at December 31, 2024 is $27.6 million, net of accumulated depreciation of $31.3 million. The present value of lease installments not yet due included in other current liabilities and other liabilities in our consolidated balance sheet at December 31, 2024 amounts to $31.9 million.</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Additional Non-GAAP Financial Measures</w:t>
      </w:r>
    </w:p>
    <w:p>
      <w:pPr>
        <w:spacing w:after="0" w:line="196" w:lineRule="exact"/>
        <w:rPr>
          <w:sz w:val="20"/>
          <w:szCs w:val="20"/>
          <w:color w:val="auto"/>
        </w:rPr>
      </w:pPr>
    </w:p>
    <w:p>
      <w:pPr>
        <w:ind w:right="260" w:firstLine="623"/>
        <w:spacing w:after="0" w:line="265" w:lineRule="auto"/>
        <w:rPr>
          <w:sz w:val="20"/>
          <w:szCs w:val="20"/>
          <w:color w:val="auto"/>
        </w:rPr>
      </w:pPr>
      <w:r>
        <w:rPr>
          <w:rFonts w:ascii="Arial" w:cs="Arial" w:eastAsia="Arial" w:hAnsi="Arial"/>
          <w:sz w:val="17"/>
          <w:szCs w:val="17"/>
          <w:color w:val="auto"/>
        </w:rPr>
        <w:t>Adjusted EBITDA and adjusted free cash flow presented below, and constant-currency revenue growth and constant-currency revenue growth excluding acquisitions/divestitures presented in the consolidated results of operations section above (which we refer to above as organic constant-currency revenue growth), are supplemental measures of our performance that are not required by, or presented in accordance with, GAAP. We do not, nor do we suggest, that investors should consider such non-GAAP financial measures in isolation from, or as a substitute for, financial information prepared in accordance with GAAP.</w:t>
      </w:r>
    </w:p>
    <w:p>
      <w:pPr>
        <w:spacing w:after="0" w:line="154" w:lineRule="exact"/>
        <w:rPr>
          <w:sz w:val="20"/>
          <w:szCs w:val="20"/>
          <w:color w:val="auto"/>
        </w:rPr>
      </w:pPr>
    </w:p>
    <w:p>
      <w:pPr>
        <w:ind w:right="120" w:firstLine="623"/>
        <w:spacing w:after="0" w:line="268" w:lineRule="auto"/>
        <w:rPr>
          <w:sz w:val="20"/>
          <w:szCs w:val="20"/>
          <w:color w:val="auto"/>
        </w:rPr>
      </w:pPr>
      <w:r>
        <w:rPr>
          <w:rFonts w:ascii="Arial" w:cs="Arial" w:eastAsia="Arial" w:hAnsi="Arial"/>
          <w:sz w:val="17"/>
          <w:szCs w:val="17"/>
          <w:color w:val="auto"/>
        </w:rPr>
        <w:t>Adjusted EBITDA is defined as GAAP operating income (loss) plus depreciation and amortization plus share-based compensation expense plus proceeds from insurance not already included in operating income plus earn-out related charges plus certain impairments plus restructuring related charges plus realized gains or losses on currency derivatives less the gain or loss on purchase or sale of subsidiaries as well as the disposal of assets.</w:t>
      </w:r>
    </w:p>
    <w:p>
      <w:pPr>
        <w:spacing w:after="0" w:line="152"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for acquisitions,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w:t>
      </w:r>
    </w:p>
    <w:p>
      <w:pPr>
        <w:spacing w:after="0" w:line="147" w:lineRule="exact"/>
        <w:rPr>
          <w:sz w:val="20"/>
          <w:szCs w:val="20"/>
          <w:color w:val="auto"/>
        </w:rPr>
      </w:pPr>
    </w:p>
    <w:p>
      <w:pPr>
        <w:ind w:right="100" w:firstLine="623"/>
        <w:spacing w:after="0" w:line="260" w:lineRule="auto"/>
        <w:rPr>
          <w:sz w:val="20"/>
          <w:szCs w:val="20"/>
          <w:color w:val="auto"/>
        </w:rPr>
      </w:pPr>
      <w:r>
        <w:rPr>
          <w:rFonts w:ascii="Arial" w:cs="Arial" w:eastAsia="Arial" w:hAnsi="Arial"/>
          <w:sz w:val="17"/>
          <w:szCs w:val="17"/>
          <w:color w:val="auto"/>
        </w:rPr>
        <w:t>Adjusted free cash flow is the primary financial metric by which we set quarterly and annual budgets both for individual businesses and Cimpress-wide. Adjusted free cash flow is defined as net cash provided by (used in) operating activities less purchases of property, plant and equipment, purchases of intangible assets not related to acquisitions, and capitalization of software and website development costs that are included in net cash used in investing activities, plus the proceeds from sale of assets, payment of contingent consideration in excess of acquisition-date fair value, and gains on proceeds from insurance that are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spacing w:after="0" w:line="162"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41" w:name="page42"/>
    <w:bookmarkEnd w:id="41"/>
    <w:p>
      <w:pPr>
        <w:ind w:left="620"/>
        <w:spacing w:after="0"/>
        <w:rPr>
          <w:sz w:val="20"/>
          <w:szCs w:val="20"/>
          <w:color w:val="auto"/>
        </w:rPr>
      </w:pPr>
      <w:r>
        <w:rPr>
          <w:rFonts w:ascii="Arial" w:cs="Arial" w:eastAsia="Arial" w:hAnsi="Arial"/>
          <w:sz w:val="17"/>
          <w:szCs w:val="17"/>
          <w:color w:val="auto"/>
        </w:rPr>
        <w:t>The table below sets forth operating income and adjusted EBITDA for the three and six months ended December 31, 2024 and 2023:</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7"/>
                <w:szCs w:val="17"/>
                <w:color w:val="auto"/>
              </w:rPr>
            </w:pPr>
          </w:p>
        </w:tc>
        <w:tc>
          <w:tcPr>
            <w:tcW w:w="3060" w:type="dxa"/>
            <w:vAlign w:val="bottom"/>
            <w:gridSpan w:val="5"/>
          </w:tcPr>
          <w:p>
            <w:pPr>
              <w:ind w:left="280"/>
              <w:spacing w:after="0"/>
              <w:rPr>
                <w:sz w:val="20"/>
                <w:szCs w:val="20"/>
                <w:color w:val="auto"/>
              </w:rPr>
            </w:pPr>
            <w:r>
              <w:rPr>
                <w:rFonts w:ascii="Arial" w:cs="Arial" w:eastAsia="Arial" w:hAnsi="Arial"/>
                <w:sz w:val="12"/>
                <w:szCs w:val="12"/>
                <w:b w:val="1"/>
                <w:bCs w:val="1"/>
                <w:color w:val="auto"/>
              </w:rPr>
              <w:t>Three Months Ended December 31,</w:t>
            </w:r>
          </w:p>
        </w:tc>
        <w:tc>
          <w:tcPr>
            <w:tcW w:w="380" w:type="dxa"/>
            <w:vAlign w:val="bottom"/>
          </w:tcPr>
          <w:p>
            <w:pPr>
              <w:spacing w:after="0"/>
              <w:rPr>
                <w:sz w:val="17"/>
                <w:szCs w:val="17"/>
                <w:color w:val="auto"/>
              </w:rPr>
            </w:pPr>
          </w:p>
        </w:tc>
        <w:tc>
          <w:tcPr>
            <w:tcW w:w="2920" w:type="dxa"/>
            <w:vAlign w:val="bottom"/>
            <w:gridSpan w:val="4"/>
          </w:tcPr>
          <w:p>
            <w:pPr>
              <w:jc w:val="right"/>
              <w:ind w:right="644"/>
              <w:spacing w:after="0"/>
              <w:rPr>
                <w:sz w:val="20"/>
                <w:szCs w:val="20"/>
                <w:color w:val="auto"/>
              </w:rPr>
            </w:pPr>
            <w:r>
              <w:rPr>
                <w:rFonts w:ascii="Arial" w:cs="Arial" w:eastAsia="Arial" w:hAnsi="Arial"/>
                <w:sz w:val="12"/>
                <w:szCs w:val="12"/>
                <w:b w:val="1"/>
                <w:bCs w:val="1"/>
                <w:color w:val="auto"/>
              </w:rPr>
              <w:t>Six Months Ended December 31,</w:t>
            </w:r>
          </w:p>
        </w:tc>
        <w:tc>
          <w:tcPr>
            <w:tcW w:w="0" w:type="dxa"/>
            <w:vAlign w:val="bottom"/>
          </w:tcPr>
          <w:p>
            <w:pPr>
              <w:spacing w:after="0"/>
              <w:rPr>
                <w:sz w:val="1"/>
                <w:szCs w:val="1"/>
                <w:color w:val="auto"/>
              </w:rPr>
            </w:pPr>
          </w:p>
        </w:tc>
      </w:tr>
      <w:tr>
        <w:trPr>
          <w:trHeight w:val="161"/>
        </w:trPr>
        <w:tc>
          <w:tcPr>
            <w:tcW w:w="45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income</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80,949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107,679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120,288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141,779</w:t>
            </w:r>
          </w:p>
        </w:tc>
        <w:tc>
          <w:tcPr>
            <w:tcW w:w="0" w:type="dxa"/>
            <w:vAlign w:val="bottom"/>
          </w:tcPr>
          <w:p>
            <w:pPr>
              <w:spacing w:after="0"/>
              <w:rPr>
                <w:sz w:val="1"/>
                <w:szCs w:val="1"/>
                <w:color w:val="auto"/>
              </w:rPr>
            </w:pPr>
          </w:p>
        </w:tc>
      </w:tr>
      <w:tr>
        <w:trPr>
          <w:trHeight w:val="207"/>
        </w:trPr>
        <w:tc>
          <w:tcPr>
            <w:tcW w:w="4500" w:type="dxa"/>
            <w:vAlign w:val="bottom"/>
          </w:tcPr>
          <w:p>
            <w:pPr>
              <w:ind w:left="20"/>
              <w:spacing w:after="0"/>
              <w:rPr>
                <w:sz w:val="20"/>
                <w:szCs w:val="20"/>
                <w:color w:val="auto"/>
              </w:rPr>
            </w:pPr>
            <w:r>
              <w:rPr>
                <w:rFonts w:ascii="Arial" w:cs="Arial" w:eastAsia="Arial" w:hAnsi="Arial"/>
                <w:sz w:val="16"/>
                <w:szCs w:val="16"/>
                <w:color w:val="auto"/>
              </w:rPr>
              <w:t>Exclude expense (benefit) impact of:</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35,211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39,089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70,757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79,031</w:t>
            </w:r>
          </w:p>
        </w:tc>
        <w:tc>
          <w:tcPr>
            <w:tcW w:w="0" w:type="dxa"/>
            <w:vAlign w:val="bottom"/>
          </w:tcPr>
          <w:p>
            <w:pPr>
              <w:spacing w:after="0"/>
              <w:rPr>
                <w:sz w:val="1"/>
                <w:szCs w:val="1"/>
                <w:color w:val="auto"/>
              </w:rPr>
            </w:pPr>
          </w:p>
        </w:tc>
      </w:tr>
      <w:tr>
        <w:trPr>
          <w:trHeight w:val="207"/>
        </w:trPr>
        <w:tc>
          <w:tcPr>
            <w:tcW w:w="450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36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14,373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17,649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30,006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30,102</w:t>
            </w: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Certain impairments and other adjustments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1,183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589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07"/>
        </w:trPr>
        <w:tc>
          <w:tcPr>
            <w:tcW w:w="4500" w:type="dxa"/>
            <w:vAlign w:val="bottom"/>
          </w:tcPr>
          <w:p>
            <w:pPr>
              <w:ind w:left="140"/>
              <w:spacing w:after="0"/>
              <w:rPr>
                <w:sz w:val="20"/>
                <w:szCs w:val="20"/>
                <w:color w:val="auto"/>
              </w:rPr>
            </w:pPr>
            <w:r>
              <w:rPr>
                <w:rFonts w:ascii="Arial" w:cs="Arial" w:eastAsia="Arial" w:hAnsi="Arial"/>
                <w:sz w:val="16"/>
                <w:szCs w:val="16"/>
                <w:color w:val="auto"/>
              </w:rPr>
              <w:t>Restructuring-related charges</w:t>
            </w:r>
          </w:p>
        </w:tc>
        <w:tc>
          <w:tcPr>
            <w:tcW w:w="36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Include (expense) benefit impact of:</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500" w:type="dxa"/>
            <w:vAlign w:val="bottom"/>
          </w:tcPr>
          <w:p>
            <w:pPr>
              <w:ind w:left="140"/>
              <w:spacing w:after="0" w:line="157" w:lineRule="exact"/>
              <w:rPr>
                <w:sz w:val="20"/>
                <w:szCs w:val="20"/>
                <w:color w:val="auto"/>
              </w:rPr>
            </w:pPr>
            <w:r>
              <w:rPr>
                <w:rFonts w:ascii="Arial" w:cs="Arial" w:eastAsia="Arial" w:hAnsi="Arial"/>
                <w:sz w:val="16"/>
                <w:szCs w:val="16"/>
                <w:color w:val="auto"/>
                <w:w w:val="98"/>
              </w:rPr>
              <w:t>Realized gains (losses) on currency derivatives not included in</w:t>
            </w:r>
          </w:p>
        </w:tc>
        <w:tc>
          <w:tcPr>
            <w:tcW w:w="360" w:type="dxa"/>
            <w:vAlign w:val="bottom"/>
          </w:tcPr>
          <w:p>
            <w:pPr>
              <w:spacing w:after="0"/>
              <w:rPr>
                <w:sz w:val="13"/>
                <w:szCs w:val="13"/>
                <w:color w:val="auto"/>
              </w:rPr>
            </w:pPr>
          </w:p>
        </w:tc>
        <w:tc>
          <w:tcPr>
            <w:tcW w:w="1240" w:type="dxa"/>
            <w:vAlign w:val="bottom"/>
            <w:vMerge w:val="restart"/>
          </w:tcPr>
          <w:p>
            <w:pPr>
              <w:jc w:val="right"/>
              <w:ind w:right="6"/>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vMerge w:val="restart"/>
          </w:tcPr>
          <w:p>
            <w:pPr>
              <w:jc w:val="right"/>
              <w:ind w:right="4"/>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(1,857)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vMerge w:val="restart"/>
          </w:tcPr>
          <w:p>
            <w:pPr>
              <w:jc w:val="right"/>
              <w:ind w:right="4"/>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06"/>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operating income (1)</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132,254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166,434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220,025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255,170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60" w:lineRule="exact"/>
        <w:rPr>
          <w:sz w:val="20"/>
          <w:szCs w:val="20"/>
          <w:color w:val="auto"/>
        </w:rPr>
      </w:pPr>
    </w:p>
    <w:p>
      <w:pPr>
        <w:ind w:left="240" w:right="220" w:hanging="236"/>
        <w:spacing w:after="0" w:line="281" w:lineRule="auto"/>
        <w:tabs>
          <w:tab w:leader="none" w:pos="214"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realized gains (losses) include only the impacts of certain currency derivative contracts that are intended to hedge our adjusted EBITDA exposure to foreign currencies for which we do not apply hedge accounting. Refer to Note 4 in our accompanying consolidated financial statements for further information.</w:t>
      </w:r>
    </w:p>
    <w:p>
      <w:pPr>
        <w:spacing w:after="0" w:line="276" w:lineRule="exact"/>
        <w:rPr>
          <w:sz w:val="20"/>
          <w:szCs w:val="20"/>
          <w:color w:val="auto"/>
        </w:rPr>
      </w:pPr>
    </w:p>
    <w:p>
      <w:pPr>
        <w:ind w:right="280" w:firstLine="623"/>
        <w:spacing w:after="0" w:line="295" w:lineRule="auto"/>
        <w:rPr>
          <w:sz w:val="20"/>
          <w:szCs w:val="20"/>
          <w:color w:val="auto"/>
        </w:rPr>
      </w:pPr>
      <w:r>
        <w:rPr>
          <w:rFonts w:ascii="Arial" w:cs="Arial" w:eastAsia="Arial" w:hAnsi="Arial"/>
          <w:sz w:val="17"/>
          <w:szCs w:val="17"/>
          <w:color w:val="auto"/>
        </w:rPr>
        <w:t>The table below sets forth net cash provided by operating activities and adjusted free cash flow for the six months ended December 31, 2024 and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2"/>
                <w:szCs w:val="12"/>
                <w:b w:val="1"/>
                <w:bCs w:val="1"/>
                <w:color w:val="auto"/>
              </w:rPr>
              <w:t>Six Months Ended December 31,</w:t>
            </w:r>
          </w:p>
        </w:tc>
      </w:tr>
      <w:tr>
        <w:trPr>
          <w:trHeight w:val="161"/>
        </w:trPr>
        <w:tc>
          <w:tcPr>
            <w:tcW w:w="78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5"/>
              <w:spacing w:after="0"/>
              <w:rPr>
                <w:sz w:val="20"/>
                <w:szCs w:val="20"/>
                <w:color w:val="auto"/>
              </w:rPr>
            </w:pPr>
            <w:r>
              <w:rPr>
                <w:rFonts w:ascii="Arial" w:cs="Arial" w:eastAsia="Arial" w:hAnsi="Arial"/>
                <w:sz w:val="12"/>
                <w:szCs w:val="12"/>
                <w:b w:val="1"/>
                <w:bCs w:val="1"/>
                <w:color w:val="auto"/>
              </w:rPr>
              <w:t>2023</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180,903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217,200</w:t>
            </w:r>
          </w:p>
        </w:tc>
      </w:tr>
      <w:tr>
        <w:trPr>
          <w:trHeight w:val="207"/>
        </w:trPr>
        <w:tc>
          <w:tcPr>
            <w:tcW w:w="786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(43,419)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(33,955)</w:t>
            </w:r>
          </w:p>
        </w:tc>
      </w:tr>
      <w:tr>
        <w:trPr>
          <w:trHeight w:val="20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Capitalization of software and website development costs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(28,344)</w:t>
            </w:r>
          </w:p>
        </w:tc>
      </w:tr>
      <w:tr>
        <w:trPr>
          <w:trHeight w:val="207"/>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the sale of assets</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5,988</w:t>
            </w:r>
          </w:p>
        </w:tc>
      </w:tr>
      <w:tr>
        <w:trPr>
          <w:trHeight w:val="22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free cash flow</w:t>
            </w: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107,904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160,889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exposure to interest rate risk relates primarily to our cash, cash equivalents, and debt.</w:t>
      </w:r>
    </w:p>
    <w:p>
      <w:pPr>
        <w:spacing w:after="0" w:line="194" w:lineRule="exact"/>
        <w:rPr>
          <w:sz w:val="20"/>
          <w:szCs w:val="20"/>
          <w:color w:val="auto"/>
        </w:rPr>
      </w:pPr>
    </w:p>
    <w:p>
      <w:pPr>
        <w:jc w:val="both"/>
        <w:ind w:right="280" w:firstLine="623"/>
        <w:spacing w:after="0" w:line="275" w:lineRule="auto"/>
        <w:rPr>
          <w:sz w:val="20"/>
          <w:szCs w:val="20"/>
          <w:color w:val="auto"/>
        </w:rPr>
      </w:pPr>
      <w:r>
        <w:rPr>
          <w:rFonts w:ascii="Arial" w:cs="Arial" w:eastAsia="Arial" w:hAnsi="Arial"/>
          <w:sz w:val="17"/>
          <w:szCs w:val="17"/>
          <w:color w:val="auto"/>
        </w:rPr>
        <w:t>As of December 31, 2024,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spacing w:after="0" w:line="146"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As of December 31, 2024, we had $ 1,078.2 million of variable-rate debt. As a result, we have exposure to market risk for changes in interest rates related to these obligations. In order to mitigate our exposure to interest rate changes related to our variable-rate debt, we execute interest rate swap contracts to fix the interest rate on a portion of our outstanding or forecasted long-term debt with varying maturities. As of December 31, 2024, a hypothetical 100 basis point increase in rates, inclusive of the impact of our outstanding interest rate swaps that are accruing interest as of December 31, 2024, would result in a $8.5 million impact to interest expense over the next 12 months. This does not include any yield from cash and marketable securities.</w:t>
      </w:r>
    </w:p>
    <w:p>
      <w:pPr>
        <w:spacing w:after="0" w:line="155"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i w:val="1"/>
          <w:iCs w:val="1"/>
          <w:color w:val="auto"/>
        </w:rPr>
        <w:t xml:space="preserve">Currency Exchange Rate Risk. </w:t>
      </w:r>
      <w:r>
        <w:rPr>
          <w:rFonts w:ascii="Arial" w:cs="Arial" w:eastAsia="Arial" w:hAnsi="Arial"/>
          <w:sz w:val="17"/>
          <w:szCs w:val="17"/>
          <w:color w:val="auto"/>
        </w:rPr>
        <w:t>We conduct business in multiple currencies through our worldwide operations but report our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41" w:lineRule="exact"/>
        <w:rPr>
          <w:sz w:val="20"/>
          <w:szCs w:val="20"/>
          <w:color w:val="auto"/>
        </w:rPr>
      </w:pPr>
    </w:p>
    <w:p>
      <w:pPr>
        <w:ind w:left="620" w:right="740" w:hanging="305"/>
        <w:spacing w:after="0" w:line="295"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Translation of our non-U.S. dollar revenues and expenses: </w:t>
      </w:r>
      <w:r>
        <w:rPr>
          <w:rFonts w:ascii="Arial" w:cs="Arial" w:eastAsia="Arial" w:hAnsi="Arial"/>
          <w:sz w:val="17"/>
          <w:szCs w:val="17"/>
          <w:color w:val="auto"/>
        </w:rPr>
        <w:t>Revenue and related expenses generated in currencies other than the</w:t>
      </w:r>
      <w:r>
        <w:rPr>
          <w:rFonts w:ascii="Arial" w:cs="Arial" w:eastAsia="Arial" w:hAnsi="Arial"/>
          <w:sz w:val="17"/>
          <w:szCs w:val="17"/>
          <w:i w:val="1"/>
          <w:iCs w:val="1"/>
          <w:color w:val="auto"/>
        </w:rPr>
        <w:t xml:space="preserve"> </w:t>
      </w:r>
      <w:r>
        <w:rPr>
          <w:rFonts w:ascii="Arial" w:cs="Arial" w:eastAsia="Arial" w:hAnsi="Arial"/>
          <w:sz w:val="17"/>
          <w:szCs w:val="17"/>
          <w:color w:val="auto"/>
        </w:rPr>
        <w:t>U.S. dollar could result in higher or lower net loss when, upon consolidation, those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2" w:name="page43"/>
    <w:bookmarkEnd w:id="42"/>
    <w:p>
      <w:pPr>
        <w:ind w:left="620" w:right="140"/>
        <w:spacing w:after="0" w:line="295" w:lineRule="auto"/>
        <w:rPr>
          <w:sz w:val="20"/>
          <w:szCs w:val="20"/>
          <w:color w:val="auto"/>
        </w:rPr>
      </w:pPr>
      <w:r>
        <w:rPr>
          <w:rFonts w:ascii="Arial" w:cs="Arial" w:eastAsia="Arial" w:hAnsi="Arial"/>
          <w:sz w:val="17"/>
          <w:szCs w:val="17"/>
          <w:color w:val="auto"/>
        </w:rPr>
        <w:t>transactions are translated to U.S. dollars. When the value or timing of revenue and expenses in a given currency are materially different, we may be exposed to significant impacts on our net loss and non-GAAP financial metrics, such as adjusted EBITDA.</w:t>
      </w:r>
    </w:p>
    <w:p>
      <w:pPr>
        <w:spacing w:after="0" w:line="117" w:lineRule="exact"/>
        <w:rPr>
          <w:sz w:val="20"/>
          <w:szCs w:val="20"/>
          <w:color w:val="auto"/>
        </w:rPr>
      </w:pPr>
    </w:p>
    <w:p>
      <w:pPr>
        <w:ind w:left="620" w:right="160"/>
        <w:spacing w:after="0" w:line="268" w:lineRule="auto"/>
        <w:rPr>
          <w:sz w:val="20"/>
          <w:szCs w:val="20"/>
          <w:color w:val="auto"/>
        </w:rPr>
      </w:pPr>
      <w:r>
        <w:rPr>
          <w:rFonts w:ascii="Arial" w:cs="Arial" w:eastAsia="Arial" w:hAnsi="Arial"/>
          <w:sz w:val="17"/>
          <w:szCs w:val="17"/>
          <w:color w:val="auto"/>
        </w:rPr>
        <w:t>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we may experience increased, not decreased, volatility in our GAAP results due to our hedging approach. Our most significant net currency exposures by volume are in the Euro and British Pound.</w:t>
      </w:r>
    </w:p>
    <w:p>
      <w:pPr>
        <w:spacing w:after="0" w:line="152" w:lineRule="exact"/>
        <w:rPr>
          <w:sz w:val="20"/>
          <w:szCs w:val="20"/>
          <w:color w:val="auto"/>
        </w:rPr>
      </w:pPr>
    </w:p>
    <w:p>
      <w:pPr>
        <w:ind w:left="620" w:right="260"/>
        <w:spacing w:after="0" w:line="268" w:lineRule="auto"/>
        <w:rPr>
          <w:sz w:val="20"/>
          <w:szCs w:val="20"/>
          <w:color w:val="auto"/>
        </w:rPr>
      </w:pPr>
      <w:r>
        <w:rPr>
          <w:rFonts w:ascii="Arial" w:cs="Arial" w:eastAsia="Arial" w:hAnsi="Arial"/>
          <w:sz w:val="17"/>
          <w:szCs w:val="17"/>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income (expense), net, on the mark-to-market of outstanding contracts and (ii) realized gains and losses recognized in other income (expense), net, whereas the offsetting economic gains and losses are reported in the line item of the underlying activity, for example, revenue.</w:t>
      </w:r>
    </w:p>
    <w:p>
      <w:pPr>
        <w:spacing w:after="0" w:line="152" w:lineRule="exact"/>
        <w:rPr>
          <w:sz w:val="20"/>
          <w:szCs w:val="20"/>
          <w:color w:val="auto"/>
        </w:rPr>
      </w:pPr>
    </w:p>
    <w:p>
      <w:pPr>
        <w:ind w:left="620" w:right="40" w:hanging="305"/>
        <w:spacing w:after="0" w:line="265"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Translation of our non-U.S. dollar assets and liabilities</w:t>
      </w:r>
      <w:r>
        <w:rPr>
          <w:rFonts w:ascii="Arial" w:cs="Arial" w:eastAsia="Arial" w:hAnsi="Arial"/>
          <w:sz w:val="17"/>
          <w:szCs w:val="17"/>
          <w:color w:val="auto"/>
        </w:rPr>
        <w:t>: Each of our subsidiaries translates its assets and liabilities to U.S. dollars at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 We have currency exposure arising from our net investments in foreign operations. We enter into currency derivatives to mitigate the impact of currency rate changes on certain net investments.</w:t>
      </w:r>
    </w:p>
    <w:p>
      <w:pPr>
        <w:spacing w:after="0" w:line="140" w:lineRule="exact"/>
        <w:rPr>
          <w:rFonts w:ascii="Arial" w:cs="Arial" w:eastAsia="Arial" w:hAnsi="Arial"/>
          <w:sz w:val="17"/>
          <w:szCs w:val="17"/>
          <w:color w:val="auto"/>
        </w:rPr>
      </w:pPr>
    </w:p>
    <w:p>
      <w:pPr>
        <w:ind w:left="620" w:right="40" w:hanging="305"/>
        <w:spacing w:after="0" w:line="259"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Remeasurement of monetary assets and liabilities: </w:t>
      </w:r>
      <w:r>
        <w:rPr>
          <w:rFonts w:ascii="Arial" w:cs="Arial" w:eastAsia="Arial" w:hAnsi="Arial"/>
          <w:sz w:val="17"/>
          <w:szCs w:val="17"/>
          <w:color w:val="auto"/>
        </w:rPr>
        <w:t>Transaction gains and losses generated from remeasurement of monetary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denominated in currencies other than the functional currency of a subsidiary are included in other income (expense),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(expense), net. We expect these impacts may be volatile in the future, although our largest intercompany loans do not have a U.S. dollar cash impact for the consolidated group because they are either: 1) U.S. dollar loans or 2) we elect to hedge certain non-U.S. dollar loans with cross-currency swaps and forward contracts. A hypothetical 10% change in currency exchange rates was applied to total net monetary assets denominated in currencies other than the functional currencies at the balance sheet dates to compute the impact these changes would have had on our income before income taxes in the near term. A hypothetical decrease in exchange rates of 10% against the functional currency of our subsidiaries would have resulted in a change of $17.9 million and $29.1 million on our income before income taxes for the three and six months ended December 31, 2024.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92" w:lineRule="exact"/>
        <w:rPr>
          <w:sz w:val="20"/>
          <w:szCs w:val="20"/>
          <w:color w:val="auto"/>
        </w:rPr>
      </w:pPr>
    </w:p>
    <w:p>
      <w:pPr>
        <w:ind w:firstLine="623"/>
        <w:spacing w:after="0" w:line="258"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December 31, 2024.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92" w:lineRule="exact"/>
        <w:rPr>
          <w:sz w:val="20"/>
          <w:szCs w:val="20"/>
          <w:color w:val="auto"/>
        </w:rPr>
      </w:pPr>
    </w:p>
    <w:p>
      <w:pPr>
        <w:ind w:right="60" w:firstLine="623"/>
        <w:spacing w:after="0" w:line="275" w:lineRule="auto"/>
        <w:rPr>
          <w:sz w:val="20"/>
          <w:szCs w:val="20"/>
          <w:color w:val="auto"/>
        </w:rPr>
      </w:pPr>
      <w:r>
        <w:rPr>
          <w:rFonts w:ascii="Arial" w:cs="Arial" w:eastAsia="Arial" w:hAnsi="Arial"/>
          <w:sz w:val="17"/>
          <w:szCs w:val="17"/>
          <w:color w:val="auto"/>
        </w:rPr>
        <w:t>There were no significant changes in our internal control over financial reporting (as defined in Rules 13a-15(f) and 15d-15(f) under the Exchange Act) during the three months ended December 31, 2024 that materially affected, or are reasonably likely to materially affect, our internal control over financial reporting.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PART II. OTHER INFORMATION</w:t>
      </w:r>
    </w:p>
    <w:p>
      <w:pPr>
        <w:spacing w:after="0" w:line="16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157" w:lineRule="exact"/>
        <w:rPr>
          <w:sz w:val="20"/>
          <w:szCs w:val="20"/>
          <w:color w:val="auto"/>
        </w:rPr>
      </w:pPr>
    </w:p>
    <w:p>
      <w:pPr>
        <w:ind w:right="260" w:firstLine="623"/>
        <w:spacing w:after="0" w:line="252" w:lineRule="auto"/>
        <w:rPr>
          <w:sz w:val="20"/>
          <w:szCs w:val="20"/>
          <w:color w:val="auto"/>
        </w:rPr>
      </w:pPr>
      <w:r>
        <w:rPr>
          <w:rFonts w:ascii="Arial" w:cs="Arial" w:eastAsia="Arial" w:hAnsi="Arial"/>
          <w:sz w:val="17"/>
          <w:szCs w:val="17"/>
          <w:color w:val="auto"/>
        </w:rPr>
        <w:t>We are updating the following risk factors disclosed in our Form 10-K for the fiscal year ended June 30, 2024 (“Form 10-K”). You should carefully consider the risks set forth in our Form 10-K and the following risks, together with all the other information in this report, including our consolidated financial statements and notes thereto. If any of the risks actually materialize, our operating results, financial condition and liquidity could be materially and adversely affected.</w:t>
      </w:r>
    </w:p>
    <w:p>
      <w:pPr>
        <w:spacing w:after="0" w:line="114" w:lineRule="exact"/>
        <w:rPr>
          <w:sz w:val="20"/>
          <w:szCs w:val="20"/>
          <w:color w:val="auto"/>
        </w:rPr>
      </w:pPr>
    </w:p>
    <w:p>
      <w:pPr>
        <w:ind w:right="120" w:firstLine="623"/>
        <w:spacing w:after="0" w:line="289" w:lineRule="auto"/>
        <w:rPr>
          <w:sz w:val="20"/>
          <w:szCs w:val="20"/>
          <w:color w:val="auto"/>
        </w:rPr>
      </w:pPr>
      <w:r>
        <w:rPr>
          <w:rFonts w:ascii="Arial" w:cs="Arial" w:eastAsia="Arial" w:hAnsi="Arial"/>
          <w:sz w:val="17"/>
          <w:szCs w:val="17"/>
          <w:b w:val="1"/>
          <w:bCs w:val="1"/>
          <w:i w:val="1"/>
          <w:iCs w:val="1"/>
          <w:color w:val="auto"/>
        </w:rPr>
        <w:t>We manage our business for long-term results, and our quarterly and annual financial results often fluctuate, which may lead to volatility in our share price.</w:t>
      </w:r>
    </w:p>
    <w:p>
      <w:pPr>
        <w:spacing w:after="0" w:line="152" w:lineRule="exact"/>
        <w:rPr>
          <w:sz w:val="20"/>
          <w:szCs w:val="20"/>
          <w:color w:val="auto"/>
        </w:rPr>
      </w:pPr>
    </w:p>
    <w:p>
      <w:pPr>
        <w:ind w:firstLine="623"/>
        <w:spacing w:after="0" w:line="249" w:lineRule="auto"/>
        <w:rPr>
          <w:sz w:val="20"/>
          <w:szCs w:val="20"/>
          <w:color w:val="auto"/>
        </w:rPr>
      </w:pPr>
      <w:r>
        <w:rPr>
          <w:rFonts w:ascii="Arial" w:cs="Arial" w:eastAsia="Arial" w:hAnsi="Arial"/>
          <w:sz w:val="17"/>
          <w:szCs w:val="17"/>
          <w:color w:val="auto"/>
        </w:rPr>
        <w:t>Our revenue and operating results often vary significantly from period to period due to a number of factors, and as a result comparing our financial results on a period-to-period basis may not be meaningful. We prioritize our uppermost financial objective of maximizing our intrinsic value per share even at the expense of shorter-term results. Many of the factors that lead to period-to-period fluctuations are outside of our control; however, some factors are inherent in our business strategies. Some of the specific factors that could cause our operating results to fluctuate from quarter to quarter or year to year include among others:</w:t>
      </w:r>
    </w:p>
    <w:p>
      <w:pPr>
        <w:spacing w:after="0" w:line="63" w:lineRule="exact"/>
        <w:rPr>
          <w:sz w:val="20"/>
          <w:szCs w:val="20"/>
          <w:color w:val="auto"/>
        </w:rPr>
      </w:pPr>
    </w:p>
    <w:p>
      <w:pPr>
        <w:ind w:left="620" w:right="360" w:hanging="305"/>
        <w:spacing w:after="0"/>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investments in our business in the current period intended to generate longer-term returns, where the costs in the near term will not be offset by revenue or cost savings until future periods, if at all</w:t>
      </w:r>
    </w:p>
    <w:p>
      <w:pPr>
        <w:spacing w:after="0" w:line="1" w:lineRule="exact"/>
        <w:rPr>
          <w:rFonts w:ascii="Arial" w:cs="Arial" w:eastAsia="Arial" w:hAnsi="Arial"/>
          <w:sz w:val="17"/>
          <w:szCs w:val="17"/>
          <w:color w:val="auto"/>
        </w:rPr>
      </w:pP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costs to produce and deliver our products and provide our services</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attract and retain customers and generate purchases</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shifts in revenue mix toward less profitable products and brands</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supply chain challenges</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pricing and marketing strategies and those of our competitors</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variations in the demand for our products and services</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currency and interest rate fluctuations, which affect our revenue, costs, and fair value of our assets and liabilities</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U.S. trade policy and the implementation of any tariffs on our products or supply chain materials</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hedging activity</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commencement or termination of agreements with our strategic partners, suppliers, and others</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manage our production, fulfillment, and support operations</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general economic conditions, including volatility or economic downturns in some or all of our markets</w:t>
      </w:r>
    </w:p>
    <w:p>
      <w:pPr>
        <w:ind w:left="620" w:hanging="305"/>
        <w:spacing w:after="0" w:line="223"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expenses and charges related to our compensation arrangements with our executives and employees</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costs and charges resulting from litigation</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our effective income tax rate or tax-related benefits or costs</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costs to acquire businesses or integrate our acquired businesses</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financing costs</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impairments of our tangible and intangible assets including goodwill</w:t>
      </w: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results of our minority investments and joint ventures</w:t>
      </w:r>
    </w:p>
    <w:p>
      <w:pPr>
        <w:spacing w:after="0" w:line="87" w:lineRule="exact"/>
        <w:rPr>
          <w:sz w:val="20"/>
          <w:szCs w:val="20"/>
          <w:color w:val="auto"/>
        </w:rPr>
      </w:pPr>
    </w:p>
    <w:p>
      <w:pPr>
        <w:ind w:right="80" w:firstLine="623"/>
        <w:spacing w:after="0" w:line="252" w:lineRule="auto"/>
        <w:rPr>
          <w:sz w:val="20"/>
          <w:szCs w:val="20"/>
          <w:color w:val="auto"/>
        </w:rPr>
      </w:pPr>
      <w:r>
        <w:rPr>
          <w:rFonts w:ascii="Arial" w:cs="Arial" w:eastAsia="Arial" w:hAnsi="Arial"/>
          <w:sz w:val="17"/>
          <w:szCs w:val="17"/>
          <w:color w:val="auto"/>
        </w:rPr>
        <w:t>Some of our expenses, such as building leases, depreciation related to previously acquired property and equipment, and personnel costs, are relatively fixed, and we may be unable to, or may not choose to, adjust operating expenses to offset any revenue shortfall. Accordingly, any shortfall in revenue may cause significant variation in operating results in any period. Our operating results may sometimes be below the expectations of public market analysts and investors, in which case the price of our ordinary shares may decline.</w:t>
      </w:r>
    </w:p>
    <w:p>
      <w:pPr>
        <w:spacing w:after="0" w:line="191" w:lineRule="exact"/>
        <w:rPr>
          <w:sz w:val="20"/>
          <w:szCs w:val="20"/>
          <w:color w:val="auto"/>
        </w:rPr>
      </w:pPr>
    </w:p>
    <w:p>
      <w:pPr>
        <w:ind w:right="480" w:firstLine="623"/>
        <w:spacing w:after="0" w:line="289" w:lineRule="auto"/>
        <w:rPr>
          <w:sz w:val="20"/>
          <w:szCs w:val="20"/>
          <w:color w:val="auto"/>
        </w:rPr>
      </w:pPr>
      <w:r>
        <w:rPr>
          <w:rFonts w:ascii="Arial" w:cs="Arial" w:eastAsia="Arial" w:hAnsi="Arial"/>
          <w:sz w:val="17"/>
          <w:szCs w:val="17"/>
          <w:b w:val="1"/>
          <w:bCs w:val="1"/>
          <w:i w:val="1"/>
          <w:iCs w:val="1"/>
          <w:color w:val="auto"/>
        </w:rPr>
        <w:t>Our global operations and decentralized organizational structure place a significant strain on our management, employees, facilities, and other resources and subject us to additional risks.</w:t>
      </w:r>
    </w:p>
    <w:p>
      <w:pPr>
        <w:spacing w:after="0" w:line="152" w:lineRule="exact"/>
        <w:rPr>
          <w:sz w:val="20"/>
          <w:szCs w:val="20"/>
          <w:color w:val="auto"/>
        </w:rPr>
      </w:pPr>
    </w:p>
    <w:p>
      <w:pPr>
        <w:ind w:right="160" w:firstLine="623"/>
        <w:spacing w:after="0"/>
        <w:rPr>
          <w:sz w:val="20"/>
          <w:szCs w:val="20"/>
          <w:color w:val="auto"/>
        </w:rPr>
      </w:pPr>
      <w:r>
        <w:rPr>
          <w:rFonts w:ascii="Arial" w:cs="Arial" w:eastAsia="Arial" w:hAnsi="Arial"/>
          <w:sz w:val="17"/>
          <w:szCs w:val="17"/>
          <w:color w:val="auto"/>
        </w:rPr>
        <w:t>We are a global company with production facilities, offices, employees, and localized websites in many countries across six continents, and we manage our businesses and operations in a decentralized, autonomous manner. We are subject to a number of risks and challenges that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relate to our global operations, decentralization, and complexity including, among others: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44" w:name="page45"/>
    <w:bookmarkEnd w:id="44"/>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difficulty managing operations in, and communications among, multiple businesses, locations, and time zones</w:t>
      </w:r>
    </w:p>
    <w:p>
      <w:pPr>
        <w:spacing w:after="0" w:line="15" w:lineRule="exact"/>
        <w:rPr>
          <w:rFonts w:ascii="Arial" w:cs="Arial" w:eastAsia="Arial" w:hAnsi="Arial"/>
          <w:sz w:val="17"/>
          <w:szCs w:val="17"/>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challenges of ensuring speed, nimbleness, and entrepreneurialism in a large and complex organization</w:t>
      </w:r>
    </w:p>
    <w:p>
      <w:pPr>
        <w:ind w:left="620" w:right="360" w:hanging="305"/>
        <w:spacing w:after="0" w:line="23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difficulty complying with multiple tax laws, treaties, and regulations and limiting our exposure to onerous or unanticipated taxes, duties, tariffs, and other costs</w:t>
      </w:r>
    </w:p>
    <w:p>
      <w:pPr>
        <w:ind w:left="620" w:right="180" w:hanging="305"/>
        <w:spacing w:after="0" w:line="23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failure to maintain sufficient financial and operational controls and systems to manage our decentralized businesses and comply with our obligations as a public company</w:t>
      </w:r>
    </w:p>
    <w:p>
      <w:pPr>
        <w:ind w:left="620" w:right="320" w:hanging="305"/>
        <w:spacing w:after="0" w:line="233"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challenge of complying with disparate laws in multiple countries, such as local regulations that may impair our ability to conduct our business or impact the willingness of third parties to conduct business with us, protectionist laws that favor local businesses, and restrictions imposed by local labor laws</w:t>
      </w:r>
    </w:p>
    <w:p>
      <w:pPr>
        <w:spacing w:after="0" w:line="1" w:lineRule="exact"/>
        <w:rPr>
          <w:rFonts w:ascii="Arial" w:cs="Arial" w:eastAsia="Arial" w:hAnsi="Arial"/>
          <w:sz w:val="17"/>
          <w:szCs w:val="17"/>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challenge of maintaining management's focus on our strategic and operational priorities and minimizing lower priority distractions</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disruptions caused by political and social instability and war that may occur in some countries</w:t>
      </w:r>
    </w:p>
    <w:p>
      <w:pPr>
        <w:ind w:left="620" w:right="60" w:hanging="305"/>
        <w:spacing w:after="0" w:line="23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exposure to corrupt business practices that may be common in some countries or in some sales channels and markets, such as bribery or the willful infringement of intellectual property rights</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difficulty repatriating cash from some countries</w:t>
      </w:r>
    </w:p>
    <w:p>
      <w:pPr>
        <w:ind w:left="620" w:right="60" w:hanging="305"/>
        <w:spacing w:after="0" w:line="23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governmental trade policies, particularly in the U.S., Mexico, Canada and China, difficulty importing and exporting our products across country borders and difficulty complying with customs regulations in the many countries where we sell products</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increasing prices, disruptions or cessation of important components of our international supply chain</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failure of local laws to provide a sufficient degree of protection against infringement of our intellectual property</w:t>
      </w:r>
    </w:p>
    <w:p>
      <w:pPr>
        <w:spacing w:after="0" w:line="8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addition, we are exposed to fluctuations in currency exchange rates that may impact items such as the translation of our revenue and</w:t>
      </w:r>
    </w:p>
    <w:p>
      <w:pPr>
        <w:spacing w:after="0" w:line="15" w:lineRule="exact"/>
        <w:rPr>
          <w:sz w:val="20"/>
          <w:szCs w:val="20"/>
          <w:color w:val="auto"/>
        </w:rPr>
      </w:pPr>
    </w:p>
    <w:p>
      <w:pPr>
        <w:ind w:right="180"/>
        <w:spacing w:after="0" w:line="231" w:lineRule="auto"/>
        <w:rPr>
          <w:sz w:val="20"/>
          <w:szCs w:val="20"/>
          <w:color w:val="auto"/>
        </w:rPr>
      </w:pPr>
      <w:r>
        <w:rPr>
          <w:rFonts w:ascii="Arial" w:cs="Arial" w:eastAsia="Arial" w:hAnsi="Arial"/>
          <w:sz w:val="17"/>
          <w:szCs w:val="17"/>
          <w:color w:val="auto"/>
        </w:rPr>
        <w:t>expenses, remeasurement of our intercompany balances, and the value of our cash and cash equivalents and other assets and liabilities denominated in currencies other than the U.S. dollar, our reporting currency. The hedging activities we engage in may not mitigate the net impact</w:t>
      </w:r>
    </w:p>
    <w:p>
      <w:pPr>
        <w:spacing w:after="0"/>
        <w:rPr>
          <w:sz w:val="20"/>
          <w:szCs w:val="20"/>
          <w:color w:val="auto"/>
        </w:rPr>
      </w:pPr>
      <w:r>
        <w:rPr>
          <w:rFonts w:ascii="Arial" w:cs="Arial" w:eastAsia="Arial" w:hAnsi="Arial"/>
          <w:sz w:val="17"/>
          <w:szCs w:val="17"/>
          <w:color w:val="auto"/>
        </w:rPr>
        <w:t>of currency exchange rate fluctuations, and our financial results may differ materially from expectations as a result of such fluctuations.</w:t>
      </w:r>
    </w:p>
    <w:p>
      <w:pPr>
        <w:spacing w:after="0" w:line="217" w:lineRule="exact"/>
        <w:rPr>
          <w:sz w:val="20"/>
          <w:szCs w:val="20"/>
          <w:color w:val="auto"/>
        </w:rPr>
      </w:pPr>
    </w:p>
    <w:p>
      <w:pPr>
        <w:ind w:firstLine="623"/>
        <w:spacing w:after="0" w:line="241" w:lineRule="auto"/>
        <w:rPr>
          <w:sz w:val="20"/>
          <w:szCs w:val="20"/>
          <w:color w:val="auto"/>
        </w:rPr>
      </w:pPr>
      <w:r>
        <w:rPr>
          <w:rFonts w:ascii="Arial" w:cs="Arial" w:eastAsia="Arial" w:hAnsi="Arial"/>
          <w:sz w:val="17"/>
          <w:szCs w:val="17"/>
          <w:color w:val="auto"/>
        </w:rPr>
        <w:t>Furthermore, the new U.S. presidential administration has publicly expressed support for greater restrictions on free trade and the increase of tariffs on goods imported into the United States. Such changes could adversely affect the availability of the de minimis exemption from import taxes and duties codified in 19 U.S.C. § 1321(a)(2)(C), which currently benefits our business. We own manufacturing facilities throughout the world, including one in Ontario, Canada that primarily services our Vista business, and others in Mexico, the United States, Australia, Brazil and throughout Europe. If the United States makes significant changes to tariffs applicable to imports from Canada, Mexico or any of the other countries in which we manufacture our products, we would incur increased costs in operating our business and our financial results would likely be materially and adversely impacted. In addition, if other countries were to implement additional tariffs, our business would likely be adversely affected. In addition to changes in U.S. trade policy, other changes to U.S. policy may impact, among other things, the U.S. and global economy, international trade relations, unemployment, immigration, healthcare, taxation, the U.S. regulatory environment, inflation and other areas. At this time we cannot predict the impact, if any, of any of these potential changes to our business. Until we know what policy changes are made and how</w:t>
      </w:r>
    </w:p>
    <w:p>
      <w:pPr>
        <w:spacing w:after="0" w:line="244" w:lineRule="auto"/>
        <w:rPr>
          <w:sz w:val="20"/>
          <w:szCs w:val="20"/>
          <w:color w:val="auto"/>
        </w:rPr>
      </w:pPr>
      <w:r>
        <w:rPr>
          <w:rFonts w:ascii="Arial" w:cs="Arial" w:eastAsia="Arial" w:hAnsi="Arial"/>
          <w:sz w:val="17"/>
          <w:szCs w:val="17"/>
          <w:color w:val="auto"/>
        </w:rPr>
        <w:t>those changes impact our business and the business of our competitors over the long term, we will not know if, overall, we will benefit from them or be negatively affected by them.</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Supply chain disruptions could impair our ability to source raw materials.</w:t>
      </w:r>
    </w:p>
    <w:p>
      <w:pPr>
        <w:spacing w:after="0" w:line="103" w:lineRule="exact"/>
        <w:rPr>
          <w:sz w:val="20"/>
          <w:szCs w:val="20"/>
          <w:color w:val="auto"/>
        </w:rPr>
      </w:pPr>
    </w:p>
    <w:p>
      <w:pPr>
        <w:ind w:firstLine="623"/>
        <w:spacing w:after="0" w:line="249" w:lineRule="auto"/>
        <w:rPr>
          <w:sz w:val="20"/>
          <w:szCs w:val="20"/>
          <w:color w:val="auto"/>
        </w:rPr>
      </w:pPr>
      <w:r>
        <w:rPr>
          <w:rFonts w:ascii="Arial" w:cs="Arial" w:eastAsia="Arial" w:hAnsi="Arial"/>
          <w:sz w:val="17"/>
          <w:szCs w:val="17"/>
          <w:color w:val="auto"/>
        </w:rPr>
        <w:t>A number of factors have impacted in the past, and could impact in the future, the availability of materials we use in our business, including rising costs and other inflationary pressures, changes in trade policies such as increased tariffs on materials we use in our business, rationing measures, labor shortages, civil unrest and war, and climate change. Our inability to source sufficient materials for our business in a timely manner, or at all, would significantly impair our ability to fulfill customer orders and sell our products, which would reduce our revenue and harm our financial results.</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Changes in tax laws, regulations and treaties could affect our tax rate and our results of operations.</w:t>
      </w:r>
    </w:p>
    <w:p>
      <w:pPr>
        <w:spacing w:after="0" w:line="103" w:lineRule="exact"/>
        <w:rPr>
          <w:sz w:val="20"/>
          <w:szCs w:val="20"/>
          <w:color w:val="auto"/>
        </w:rPr>
      </w:pPr>
    </w:p>
    <w:p>
      <w:pPr>
        <w:ind w:right="140" w:firstLine="623"/>
        <w:spacing w:after="0" w:line="245" w:lineRule="auto"/>
        <w:rPr>
          <w:sz w:val="20"/>
          <w:szCs w:val="20"/>
          <w:color w:val="auto"/>
        </w:rPr>
      </w:pPr>
      <w:r>
        <w:rPr>
          <w:rFonts w:ascii="Arial" w:cs="Arial" w:eastAsia="Arial" w:hAnsi="Arial"/>
          <w:sz w:val="17"/>
          <w:szCs w:val="17"/>
          <w:color w:val="auto"/>
        </w:rPr>
        <w:t>A change in tax laws, treaties or regulations, or their interpretation, of any country in which we operate could have a materially adverse impact on us, including increasing our tax burden, increasing costs of our tax compliance, or otherwise adversely affecting our financial condition, results of operations, and cash flows. There are currently multiple initiatives for comprehensive tax reform underway in key jurisdictions where we</w:t>
      </w:r>
    </w:p>
    <w:p>
      <w:pPr>
        <w:spacing w:after="0" w:line="1" w:lineRule="exact"/>
        <w:rPr>
          <w:sz w:val="20"/>
          <w:szCs w:val="20"/>
          <w:color w:val="auto"/>
        </w:rPr>
      </w:pPr>
    </w:p>
    <w:p>
      <w:pPr>
        <w:ind w:right="200"/>
        <w:spacing w:after="0" w:line="231" w:lineRule="auto"/>
        <w:rPr>
          <w:sz w:val="20"/>
          <w:szCs w:val="20"/>
          <w:color w:val="auto"/>
        </w:rPr>
      </w:pPr>
      <w:r>
        <w:rPr>
          <w:rFonts w:ascii="Arial" w:cs="Arial" w:eastAsia="Arial" w:hAnsi="Arial"/>
          <w:sz w:val="17"/>
          <w:szCs w:val="17"/>
          <w:color w:val="auto"/>
        </w:rPr>
        <w:t>have operations, and we cannot predict whether any other specific legislation will be enacted or the terms of any such legislation. Furthermore, with the change in the U.S. presidential administration and composition of the U.S. Congress, the new administration may make changes to U.S.</w:t>
      </w:r>
    </w:p>
    <w:p>
      <w:pPr>
        <w:ind w:right="300"/>
        <w:spacing w:after="0" w:line="260" w:lineRule="auto"/>
        <w:rPr>
          <w:sz w:val="20"/>
          <w:szCs w:val="20"/>
          <w:color w:val="auto"/>
        </w:rPr>
      </w:pPr>
      <w:r>
        <w:rPr>
          <w:rFonts w:ascii="Arial" w:cs="Arial" w:eastAsia="Arial" w:hAnsi="Arial"/>
          <w:sz w:val="17"/>
          <w:szCs w:val="17"/>
          <w:color w:val="auto"/>
        </w:rPr>
        <w:t>tax law, regulations, treaties and policies. Although we cannot predict the impact, if any, of these changes to our business, they could adversely affect our business. In addition, the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5" w:name="page46"/>
    <w:bookmarkEnd w:id="45"/>
    <w:p>
      <w:pPr>
        <w:ind w:right="100"/>
        <w:spacing w:after="0" w:line="259" w:lineRule="auto"/>
        <w:rPr>
          <w:sz w:val="20"/>
          <w:szCs w:val="20"/>
          <w:color w:val="auto"/>
        </w:rPr>
      </w:pPr>
      <w:r>
        <w:rPr>
          <w:rFonts w:ascii="Arial" w:cs="Arial" w:eastAsia="Arial" w:hAnsi="Arial"/>
          <w:sz w:val="17"/>
          <w:szCs w:val="17"/>
          <w:color w:val="auto"/>
        </w:rPr>
        <w:t>application of sales, value added, or other consumption taxes to e-commerce businesses, such as Cimpress, is a complex and evolving issue. If a government entity claims that we should have been collecting such taxes on the sale of our products in a jurisdiction where we have not been doing so, then we could incur substantial tax liabilities for past sales.</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48" w:lineRule="exact"/>
        <w:rPr>
          <w:sz w:val="20"/>
          <w:szCs w:val="20"/>
          <w:color w:val="auto"/>
        </w:rPr>
      </w:pPr>
    </w:p>
    <w:p>
      <w:pPr>
        <w:ind w:firstLine="192"/>
        <w:spacing w:after="0" w:line="268" w:lineRule="auto"/>
        <w:rPr>
          <w:sz w:val="20"/>
          <w:szCs w:val="20"/>
          <w:color w:val="auto"/>
        </w:rPr>
      </w:pPr>
      <w:r>
        <w:rPr>
          <w:rFonts w:ascii="Arial" w:cs="Arial" w:eastAsia="Arial" w:hAnsi="Arial"/>
          <w:sz w:val="17"/>
          <w:szCs w:val="17"/>
          <w:color w:val="auto"/>
        </w:rPr>
        <w:t>On May 29, 2024, we announced that our Board had authorized the repurchase of up to an additional $200.0 million aggregate purchase price (excluding any fees, commissions, or other expenses of such purchases) of Cimpress' issued and outstanding ordinary shares on the open market, through privately negotiated transactions, or in one or more self tender offers. The Board did not set an expiration date for this new repurchase program, and we may suspend or discontinue our share repurchases at any time.</w:t>
      </w:r>
    </w:p>
    <w:p>
      <w:pPr>
        <w:spacing w:after="0" w:line="191" w:lineRule="exact"/>
        <w:rPr>
          <w:sz w:val="20"/>
          <w:szCs w:val="20"/>
          <w:color w:val="auto"/>
        </w:rPr>
      </w:pPr>
    </w:p>
    <w:p>
      <w:pPr>
        <w:ind w:right="160" w:firstLine="623"/>
        <w:spacing w:after="0" w:line="278" w:lineRule="auto"/>
        <w:rPr>
          <w:sz w:val="20"/>
          <w:szCs w:val="20"/>
          <w:color w:val="auto"/>
        </w:rPr>
      </w:pPr>
      <w:r>
        <w:rPr>
          <w:rFonts w:ascii="Arial" w:cs="Arial" w:eastAsia="Arial" w:hAnsi="Arial"/>
          <w:sz w:val="17"/>
          <w:szCs w:val="17"/>
          <w:color w:val="auto"/>
        </w:rPr>
        <w:t>The following table outlines the repurchase of our ordinary shares during the three months ended December 31, 2024 under the program described above:</w:t>
      </w:r>
    </w:p>
    <w:tbl>
      <w:tblPr>
        <w:tblLayout w:type="fixed"/>
        <w:tblInd w:w="0" w:type="dxa"/>
        <w:tblCellMar>
          <w:top w:w="0" w:type="dxa"/>
          <w:left w:w="0" w:type="dxa"/>
          <w:bottom w:w="0" w:type="dxa"/>
          <w:right w:w="0" w:type="dxa"/>
        </w:tblCellMar>
      </w:tblPr>
      <w:tr>
        <w:trPr>
          <w:trHeight w:val="122"/>
        </w:trPr>
        <w:tc>
          <w:tcPr>
            <w:tcW w:w="4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Total Number of Shares</w:t>
            </w:r>
          </w:p>
        </w:tc>
        <w:tc>
          <w:tcPr>
            <w:tcW w:w="1620" w:type="dxa"/>
            <w:vAlign w:val="bottom"/>
            <w:gridSpan w:val="2"/>
          </w:tcPr>
          <w:p>
            <w:pPr>
              <w:jc w:val="right"/>
              <w:ind w:right="10"/>
              <w:spacing w:after="0" w:line="122" w:lineRule="exact"/>
              <w:rPr>
                <w:sz w:val="20"/>
                <w:szCs w:val="20"/>
                <w:color w:val="auto"/>
              </w:rPr>
            </w:pPr>
            <w:r>
              <w:rPr>
                <w:rFonts w:ascii="Arial" w:cs="Arial" w:eastAsia="Arial" w:hAnsi="Arial"/>
                <w:sz w:val="12"/>
                <w:szCs w:val="12"/>
                <w:b w:val="1"/>
                <w:bCs w:val="1"/>
                <w:color w:val="auto"/>
              </w:rPr>
              <w:t>Approximate Dollar Value</w:t>
            </w:r>
          </w:p>
        </w:tc>
        <w:tc>
          <w:tcPr>
            <w:tcW w:w="0" w:type="dxa"/>
            <w:vAlign w:val="bottom"/>
          </w:tcPr>
          <w:p>
            <w:pPr>
              <w:spacing w:after="0"/>
              <w:rPr>
                <w:sz w:val="1"/>
                <w:szCs w:val="1"/>
                <w:color w:val="auto"/>
              </w:rPr>
            </w:pPr>
          </w:p>
        </w:tc>
      </w:tr>
      <w:tr>
        <w:trPr>
          <w:trHeight w:val="130"/>
        </w:trPr>
        <w:tc>
          <w:tcPr>
            <w:tcW w:w="4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620" w:type="dxa"/>
            <w:vAlign w:val="bottom"/>
            <w:gridSpan w:val="2"/>
          </w:tcPr>
          <w:p>
            <w:pPr>
              <w:jc w:val="right"/>
              <w:ind w:right="10"/>
              <w:spacing w:after="0" w:line="130" w:lineRule="exact"/>
              <w:rPr>
                <w:sz w:val="20"/>
                <w:szCs w:val="20"/>
                <w:color w:val="auto"/>
              </w:rPr>
            </w:pPr>
            <w:r>
              <w:rPr>
                <w:rFonts w:ascii="Arial" w:cs="Arial" w:eastAsia="Arial" w:hAnsi="Arial"/>
                <w:sz w:val="12"/>
                <w:szCs w:val="12"/>
                <w:b w:val="1"/>
                <w:bCs w:val="1"/>
                <w:color w:val="auto"/>
              </w:rPr>
              <w:t>of Shares that May Yet be</w:t>
            </w: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16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Total Number of Shares</w:t>
            </w:r>
          </w:p>
        </w:tc>
        <w:tc>
          <w:tcPr>
            <w:tcW w:w="120" w:type="dxa"/>
            <w:vAlign w:val="bottom"/>
          </w:tcPr>
          <w:p>
            <w:pPr>
              <w:spacing w:after="0"/>
              <w:rPr>
                <w:sz w:val="10"/>
                <w:szCs w:val="10"/>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Average Price Paid Per</w:t>
            </w:r>
          </w:p>
        </w:tc>
        <w:tc>
          <w:tcPr>
            <w:tcW w:w="170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rPr>
              <w:t>Purchased as Part of a</w:t>
            </w:r>
          </w:p>
        </w:tc>
        <w:tc>
          <w:tcPr>
            <w:tcW w:w="160" w:type="dxa"/>
            <w:vAlign w:val="bottom"/>
          </w:tcPr>
          <w:p>
            <w:pPr>
              <w:spacing w:after="0"/>
              <w:rPr>
                <w:sz w:val="10"/>
                <w:szCs w:val="10"/>
                <w:color w:val="auto"/>
              </w:rPr>
            </w:pPr>
          </w:p>
        </w:tc>
        <w:tc>
          <w:tcPr>
            <w:tcW w:w="1460" w:type="dxa"/>
            <w:vAlign w:val="bottom"/>
          </w:tcPr>
          <w:p>
            <w:pPr>
              <w:jc w:val="center"/>
              <w:ind w:right="90"/>
              <w:spacing w:after="0" w:line="117" w:lineRule="exact"/>
              <w:rPr>
                <w:sz w:val="20"/>
                <w:szCs w:val="20"/>
                <w:color w:val="auto"/>
              </w:rPr>
            </w:pPr>
            <w:r>
              <w:rPr>
                <w:rFonts w:ascii="Arial" w:cs="Arial" w:eastAsia="Arial" w:hAnsi="Arial"/>
                <w:sz w:val="12"/>
                <w:szCs w:val="12"/>
                <w:b w:val="1"/>
                <w:bCs w:val="1"/>
                <w:color w:val="auto"/>
              </w:rPr>
              <w:t>Purchased Under the</w:t>
            </w:r>
          </w:p>
        </w:tc>
        <w:tc>
          <w:tcPr>
            <w:tcW w:w="0" w:type="dxa"/>
            <w:vAlign w:val="bottom"/>
          </w:tcPr>
          <w:p>
            <w:pPr>
              <w:spacing w:after="0"/>
              <w:rPr>
                <w:sz w:val="1"/>
                <w:szCs w:val="1"/>
                <w:color w:val="auto"/>
              </w:rPr>
            </w:pPr>
          </w:p>
        </w:tc>
      </w:tr>
      <w:tr>
        <w:trPr>
          <w:trHeight w:val="130"/>
        </w:trPr>
        <w:tc>
          <w:tcPr>
            <w:tcW w:w="44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70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rPr>
              <w:t>Publicly Announced</w:t>
            </w:r>
          </w:p>
        </w:tc>
        <w:tc>
          <w:tcPr>
            <w:tcW w:w="160" w:type="dxa"/>
            <w:vAlign w:val="bottom"/>
          </w:tcPr>
          <w:p>
            <w:pPr>
              <w:spacing w:after="0"/>
              <w:rPr>
                <w:sz w:val="11"/>
                <w:szCs w:val="11"/>
                <w:color w:val="auto"/>
              </w:rPr>
            </w:pPr>
          </w:p>
        </w:tc>
        <w:tc>
          <w:tcPr>
            <w:tcW w:w="1460" w:type="dxa"/>
            <w:vAlign w:val="bottom"/>
          </w:tcPr>
          <w:p>
            <w:pPr>
              <w:jc w:val="center"/>
              <w:ind w:right="90"/>
              <w:spacing w:after="0" w:line="130" w:lineRule="exact"/>
              <w:rPr>
                <w:sz w:val="20"/>
                <w:szCs w:val="20"/>
                <w:color w:val="auto"/>
              </w:rPr>
            </w:pPr>
            <w:r>
              <w:rPr>
                <w:rFonts w:ascii="Arial" w:cs="Arial" w:eastAsia="Arial" w:hAnsi="Arial"/>
                <w:sz w:val="12"/>
                <w:szCs w:val="12"/>
                <w:b w:val="1"/>
                <w:bCs w:val="1"/>
                <w:color w:val="auto"/>
              </w:rPr>
              <w:t>Program</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Purchased</w:t>
            </w:r>
          </w:p>
        </w:tc>
        <w:tc>
          <w:tcPr>
            <w:tcW w:w="12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Share</w:t>
            </w:r>
          </w:p>
        </w:tc>
        <w:tc>
          <w:tcPr>
            <w:tcW w:w="1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Program</w:t>
            </w:r>
          </w:p>
        </w:tc>
        <w:tc>
          <w:tcPr>
            <w:tcW w:w="160" w:type="dxa"/>
            <w:vAlign w:val="bottom"/>
          </w:tcPr>
          <w:p>
            <w:pPr>
              <w:spacing w:after="0"/>
              <w:rPr>
                <w:sz w:val="14"/>
                <w:szCs w:val="14"/>
                <w:color w:val="auto"/>
              </w:rPr>
            </w:pPr>
          </w:p>
        </w:tc>
        <w:tc>
          <w:tcPr>
            <w:tcW w:w="1460" w:type="dxa"/>
            <w:vAlign w:val="bottom"/>
          </w:tcPr>
          <w:p>
            <w:pPr>
              <w:jc w:val="center"/>
              <w:ind w:right="110"/>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202"/>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October 1, 2024 through October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115,866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80.98</w:t>
            </w:r>
          </w:p>
        </w:tc>
        <w:tc>
          <w:tcPr>
            <w:tcW w:w="12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115,866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173.0</w:t>
            </w: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Arial" w:cs="Arial" w:eastAsia="Arial" w:hAnsi="Arial"/>
                <w:sz w:val="16"/>
                <w:szCs w:val="16"/>
                <w:color w:val="auto"/>
              </w:rPr>
              <w:t>November 1, 2024 through November 30, 2024</w:t>
            </w:r>
          </w:p>
        </w:tc>
        <w:tc>
          <w:tcPr>
            <w:tcW w:w="1580" w:type="dxa"/>
            <w:vAlign w:val="bottom"/>
          </w:tcPr>
          <w:p>
            <w:pPr>
              <w:jc w:val="right"/>
              <w:spacing w:after="0"/>
              <w:rPr>
                <w:sz w:val="20"/>
                <w:szCs w:val="20"/>
                <w:color w:val="auto"/>
              </w:rPr>
            </w:pPr>
            <w:r>
              <w:rPr>
                <w:rFonts w:ascii="Arial" w:cs="Arial" w:eastAsia="Arial" w:hAnsi="Arial"/>
                <w:sz w:val="16"/>
                <w:szCs w:val="16"/>
                <w:color w:val="auto"/>
              </w:rPr>
              <w:t>418,002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78.90</w:t>
            </w:r>
          </w:p>
        </w:tc>
        <w:tc>
          <w:tcPr>
            <w:tcW w:w="120" w:type="dxa"/>
            <w:vAlign w:val="bottom"/>
          </w:tcPr>
          <w:p>
            <w:pPr>
              <w:spacing w:after="0"/>
              <w:rPr>
                <w:sz w:val="17"/>
                <w:szCs w:val="17"/>
                <w:color w:val="auto"/>
              </w:rPr>
            </w:pPr>
          </w:p>
        </w:tc>
        <w:tc>
          <w:tcPr>
            <w:tcW w:w="1600" w:type="dxa"/>
            <w:vAlign w:val="bottom"/>
          </w:tcPr>
          <w:p>
            <w:pPr>
              <w:jc w:val="right"/>
              <w:ind w:right="11"/>
              <w:spacing w:after="0"/>
              <w:rPr>
                <w:sz w:val="20"/>
                <w:szCs w:val="20"/>
                <w:color w:val="auto"/>
              </w:rPr>
            </w:pPr>
            <w:r>
              <w:rPr>
                <w:rFonts w:ascii="Arial" w:cs="Arial" w:eastAsia="Arial" w:hAnsi="Arial"/>
                <w:sz w:val="16"/>
                <w:szCs w:val="16"/>
                <w:color w:val="auto"/>
              </w:rPr>
              <w:t>418,002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10"/>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 2024 through December 31, 2024</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533,868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79.36</w:t>
            </w:r>
          </w:p>
        </w:tc>
        <w:tc>
          <w:tcPr>
            <w:tcW w:w="12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6"/>
                <w:szCs w:val="16"/>
                <w:color w:val="auto"/>
              </w:rPr>
              <w:t>533,868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48" w:lineRule="exact"/>
        <w:rPr>
          <w:sz w:val="20"/>
          <w:szCs w:val="20"/>
          <w:color w:val="auto"/>
        </w:rPr>
      </w:pPr>
    </w:p>
    <w:p>
      <w:pPr>
        <w:ind w:right="280" w:firstLine="623"/>
        <w:spacing w:after="0" w:line="268" w:lineRule="auto"/>
        <w:rPr>
          <w:sz w:val="20"/>
          <w:szCs w:val="20"/>
          <w:color w:val="auto"/>
        </w:rPr>
      </w:pPr>
      <w:r>
        <w:rPr>
          <w:rFonts w:ascii="Arial" w:cs="Arial" w:eastAsia="Arial" w:hAnsi="Arial"/>
          <w:sz w:val="17"/>
          <w:szCs w:val="17"/>
          <w:color w:val="auto"/>
        </w:rPr>
        <w:t>On September 9, 2024, Robert Keane, our Founder, Chairman and Chief Executive Officer, adopted a plan for the sale of Cimpress ordinary shares that is intended to satisfy the affirmative defense conditions of Exchange Act Rule 10b5-1(c) (the "Original Plan"). The Original Plan provided for the sales, on the dates and at the prices set forth in the Original Plan, of up to 35,000 ordinary shares held by Mr. Keane as of the date of the Original Plan adoption. The Original Plan was scheduled to expire on August 1, 2025.</w:t>
      </w:r>
    </w:p>
    <w:p>
      <w:pPr>
        <w:spacing w:after="0" w:line="191"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color w:val="auto"/>
        </w:rPr>
        <w:t>On December 12, 2024, Mr. Keane adopted an amendment to the Original Plan that is intended to satisfy the affirmative defense conditions of Exchange Act Rule 10b5-1(c) (the "Amended Plan"). The Amended Plan provides for the sales, on the dates and at the prices set forth in the Amended Plan, of up to 102,000 ordinary shares held by Mr. Keane as of the date of the Amended Plan adoption. The Amended Plan expires on November 1, 2025.</w:t>
      </w:r>
    </w:p>
    <w:p>
      <w:pPr>
        <w:spacing w:after="0" w:line="191" w:lineRule="exact"/>
        <w:rPr>
          <w:sz w:val="20"/>
          <w:szCs w:val="20"/>
          <w:color w:val="auto"/>
        </w:rPr>
      </w:pPr>
    </w:p>
    <w:p>
      <w:pPr>
        <w:ind w:right="180" w:firstLine="623"/>
        <w:spacing w:after="0" w:line="268" w:lineRule="auto"/>
        <w:rPr>
          <w:sz w:val="20"/>
          <w:szCs w:val="20"/>
          <w:color w:val="auto"/>
        </w:rPr>
      </w:pPr>
      <w:r>
        <w:rPr>
          <w:rFonts w:ascii="Arial" w:cs="Arial" w:eastAsia="Arial" w:hAnsi="Arial"/>
          <w:sz w:val="17"/>
          <w:szCs w:val="17"/>
          <w:color w:val="auto"/>
        </w:rPr>
        <w:t>On September 9, 2024, Maarten Wensveen, our Executive Vice President and Chief Technology Officer, adopted a plan for the sale of Cimpress ordinary shares that is intended to satisfy the affirmative defense conditions of Exchange Act Rule 10b5-1(c). The plan provides for the sales, on the dates and at the prices set forth in the plan, of up to 22,830 ordinary shares held by Mr. Wensveen as of the date of the plan adoption. Mr. Wensveen's plan expires on September 9, 2025.</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 and Financial Statement Schedules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40" w:type="dxa"/>
            <w:vAlign w:val="bottom"/>
            <w:gridSpan w:val="10"/>
            <w:vMerge w:val="restart"/>
          </w:tcPr>
          <w:p>
            <w:pPr>
              <w:ind w:left="2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20"/>
                <w:szCs w:val="20"/>
                <w:color w:val="auto"/>
              </w:rPr>
            </w:pPr>
            <w:r>
              <w:rPr>
                <w:rFonts w:ascii="Arial" w:cs="Arial" w:eastAsia="Arial" w:hAnsi="Arial"/>
                <w:sz w:val="14"/>
                <w:szCs w:val="14"/>
                <w:b w:val="1"/>
                <w:bCs w:val="1"/>
                <w:color w:val="auto"/>
              </w:rPr>
              <w:t>No.</w:t>
            </w: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4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60" w:type="dxa"/>
            <w:vAlign w:val="bottom"/>
          </w:tcPr>
          <w:p>
            <w:pPr>
              <w:spacing w:after="0" w:line="168" w:lineRule="exact"/>
              <w:rPr>
                <w:sz w:val="20"/>
                <w:szCs w:val="20"/>
                <w:color w:val="auto"/>
              </w:rPr>
            </w:pPr>
            <w:r>
              <w:rPr>
                <w:rFonts w:ascii="Arial" w:cs="Arial" w:eastAsia="Arial" w:hAnsi="Arial"/>
                <w:sz w:val="16"/>
                <w:szCs w:val="16"/>
                <w:color w:val="auto"/>
              </w:rPr>
              <w:t>10.1</w:t>
            </w:r>
          </w:p>
        </w:tc>
        <w:tc>
          <w:tcPr>
            <w:tcW w:w="10220" w:type="dxa"/>
            <w:vAlign w:val="bottom"/>
            <w:gridSpan w:val="12"/>
          </w:tcPr>
          <w:p>
            <w:pPr>
              <w:spacing w:after="0" w:line="168" w:lineRule="exact"/>
              <w:rPr>
                <w:rFonts w:ascii="Arial" w:cs="Arial" w:eastAsia="Arial" w:hAnsi="Arial"/>
                <w:sz w:val="16"/>
                <w:szCs w:val="16"/>
                <w:color w:val="0000FF"/>
                <w:w w:val="97"/>
              </w:rPr>
            </w:pPr>
            <w:hyperlink r:id="rId59">
              <w:r>
                <w:rPr>
                  <w:rFonts w:ascii="Arial" w:cs="Arial" w:eastAsia="Arial" w:hAnsi="Arial"/>
                  <w:sz w:val="16"/>
                  <w:szCs w:val="16"/>
                  <w:color w:val="0000FF"/>
                  <w:w w:val="97"/>
                </w:rPr>
                <w:t>Amendment No. 4, dated as of December 16, 2024, among Cimpress plc ("Cimpress"), Vistaprint Limited, Cimpress Schweiz GmbH, Vistaprint B.V.,</w:t>
              </w:r>
            </w:hyperlink>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10200" w:type="dxa"/>
            <w:vAlign w:val="bottom"/>
            <w:tcBorders>
              <w:top w:val="single" w:sz="8" w:color="0000FF"/>
            </w:tcBorders>
            <w:gridSpan w:val="11"/>
          </w:tcPr>
          <w:p>
            <w:pPr>
              <w:spacing w:after="0" w:line="136" w:lineRule="exact"/>
              <w:rPr>
                <w:rFonts w:ascii="Arial" w:cs="Arial" w:eastAsia="Arial" w:hAnsi="Arial"/>
                <w:sz w:val="14"/>
                <w:szCs w:val="14"/>
                <w:color w:val="0000FF"/>
              </w:rPr>
            </w:pPr>
            <w:hyperlink r:id="rId59">
              <w:r>
                <w:rPr>
                  <w:rFonts w:ascii="Arial" w:cs="Arial" w:eastAsia="Arial" w:hAnsi="Arial"/>
                  <w:sz w:val="14"/>
                  <w:szCs w:val="14"/>
                  <w:color w:val="0000FF"/>
                </w:rPr>
                <w:t>Vistaprint Netherlands B.V., and Cimpress USA Incorporated, as borrowers (the “Borrowers”); Cimpress' subsidiaries that guaranty the Borrowers'</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10020" w:type="dxa"/>
            <w:vAlign w:val="bottom"/>
            <w:tcBorders>
              <w:top w:val="single" w:sz="8" w:color="0000FF"/>
            </w:tcBorders>
            <w:gridSpan w:val="6"/>
          </w:tcPr>
          <w:p>
            <w:pPr>
              <w:spacing w:after="0" w:line="136" w:lineRule="exact"/>
              <w:rPr>
                <w:rFonts w:ascii="Arial" w:cs="Arial" w:eastAsia="Arial" w:hAnsi="Arial"/>
                <w:sz w:val="14"/>
                <w:szCs w:val="14"/>
                <w:color w:val="0000FF"/>
              </w:rPr>
            </w:pPr>
            <w:hyperlink r:id="rId59">
              <w:r>
                <w:rPr>
                  <w:rFonts w:ascii="Arial" w:cs="Arial" w:eastAsia="Arial" w:hAnsi="Arial"/>
                  <w:sz w:val="14"/>
                  <w:szCs w:val="14"/>
                  <w:color w:val="0000FF"/>
                </w:rPr>
                <w:t>obligations; the financial institutions listed on the signature pages thereof; and JPMorgan Chase Bank N.A., as administrative agent (the</w:t>
              </w:r>
            </w:hyperlink>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9340" w:type="dxa"/>
            <w:vAlign w:val="bottom"/>
            <w:tcBorders>
              <w:top w:val="single" w:sz="8" w:color="0000FF"/>
            </w:tcBorders>
            <w:gridSpan w:val="5"/>
          </w:tcPr>
          <w:p>
            <w:pPr>
              <w:spacing w:after="0" w:line="136" w:lineRule="exact"/>
              <w:rPr>
                <w:rFonts w:ascii="Arial" w:cs="Arial" w:eastAsia="Arial" w:hAnsi="Arial"/>
                <w:sz w:val="14"/>
                <w:szCs w:val="14"/>
                <w:color w:val="0000FF"/>
              </w:rPr>
            </w:pPr>
            <w:hyperlink r:id="rId59">
              <w:r>
                <w:rPr>
                  <w:rFonts w:ascii="Arial" w:cs="Arial" w:eastAsia="Arial" w:hAnsi="Arial"/>
                  <w:sz w:val="14"/>
                  <w:szCs w:val="14"/>
                  <w:color w:val="0000FF"/>
                </w:rPr>
                <w:t>“Administrative Agent”), to the senior secured Credit Agreement dated as of October 21, 2011, as amended and restated as of February</w:t>
              </w:r>
            </w:hyperlink>
          </w:p>
        </w:tc>
        <w:tc>
          <w:tcPr>
            <w:tcW w:w="880" w:type="dxa"/>
            <w:vAlign w:val="bottom"/>
            <w:gridSpan w:val="7"/>
          </w:tcPr>
          <w:p>
            <w:pPr>
              <w:ind w:left="40"/>
              <w:spacing w:after="0" w:line="136" w:lineRule="exact"/>
              <w:rPr>
                <w:rFonts w:ascii="Arial" w:cs="Arial" w:eastAsia="Arial" w:hAnsi="Arial"/>
                <w:sz w:val="14"/>
                <w:szCs w:val="14"/>
                <w:color w:val="0000FF"/>
              </w:rPr>
            </w:pPr>
            <w:hyperlink r:id="rId59">
              <w:r>
                <w:rPr>
                  <w:rFonts w:ascii="Arial" w:cs="Arial" w:eastAsia="Arial" w:hAnsi="Arial"/>
                  <w:sz w:val="14"/>
                  <w:szCs w:val="14"/>
                  <w:color w:val="0000FF"/>
                </w:rPr>
                <w:t>8, 2013, as</w:t>
              </w:r>
            </w:hyperlink>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10160" w:type="dxa"/>
            <w:vAlign w:val="bottom"/>
            <w:tcBorders>
              <w:top w:val="single" w:sz="8" w:color="0000FF"/>
            </w:tcBorders>
            <w:gridSpan w:val="9"/>
          </w:tcPr>
          <w:p>
            <w:pPr>
              <w:spacing w:after="0" w:line="136" w:lineRule="exact"/>
              <w:rPr>
                <w:rFonts w:ascii="Arial" w:cs="Arial" w:eastAsia="Arial" w:hAnsi="Arial"/>
                <w:sz w:val="14"/>
                <w:szCs w:val="14"/>
                <w:color w:val="0000FF"/>
              </w:rPr>
            </w:pPr>
            <w:hyperlink r:id="rId59">
              <w:r>
                <w:rPr>
                  <w:rFonts w:ascii="Arial" w:cs="Arial" w:eastAsia="Arial" w:hAnsi="Arial"/>
                  <w:sz w:val="14"/>
                  <w:szCs w:val="14"/>
                  <w:color w:val="0000FF"/>
                </w:rPr>
                <w:t>further amended and restated as of July 13, 2017, as further amended and restated as of May 17, 2021, as further amended effective as of July 1,</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60" w:type="dxa"/>
            <w:vAlign w:val="bottom"/>
          </w:tcPr>
          <w:p>
            <w:pPr>
              <w:spacing w:after="0"/>
              <w:rPr>
                <w:sz w:val="11"/>
                <w:szCs w:val="11"/>
                <w:color w:val="auto"/>
              </w:rPr>
            </w:pPr>
          </w:p>
        </w:tc>
        <w:tc>
          <w:tcPr>
            <w:tcW w:w="10220" w:type="dxa"/>
            <w:vAlign w:val="bottom"/>
            <w:tcBorders>
              <w:bottom w:val="single" w:sz="8" w:color="0000FF"/>
            </w:tcBorders>
            <w:gridSpan w:val="12"/>
          </w:tcPr>
          <w:p>
            <w:pPr>
              <w:spacing w:after="0" w:line="136" w:lineRule="exact"/>
              <w:rPr>
                <w:rFonts w:ascii="Arial" w:cs="Arial" w:eastAsia="Arial" w:hAnsi="Arial"/>
                <w:sz w:val="14"/>
                <w:szCs w:val="14"/>
                <w:color w:val="0000FF"/>
              </w:rPr>
            </w:pPr>
            <w:hyperlink r:id="rId59">
              <w:r>
                <w:rPr>
                  <w:rFonts w:ascii="Arial" w:cs="Arial" w:eastAsia="Arial" w:hAnsi="Arial"/>
                  <w:sz w:val="14"/>
                  <w:szCs w:val="14"/>
                  <w:color w:val="0000FF"/>
                </w:rPr>
                <w:t>2023, as further amended as of May 15, 2024, and as further amended as of September 26, 2024 among the Borrowers, the lenders named therein,</w:t>
              </w:r>
            </w:hyperlink>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10220" w:type="dxa"/>
            <w:vAlign w:val="bottom"/>
            <w:gridSpan w:val="12"/>
          </w:tcPr>
          <w:p>
            <w:pPr>
              <w:spacing w:after="0" w:line="136" w:lineRule="exact"/>
              <w:rPr>
                <w:rFonts w:ascii="Arial" w:cs="Arial" w:eastAsia="Arial" w:hAnsi="Arial"/>
                <w:sz w:val="14"/>
                <w:szCs w:val="14"/>
                <w:color w:val="0000FF"/>
              </w:rPr>
            </w:pPr>
            <w:hyperlink r:id="rId59">
              <w:r>
                <w:rPr>
                  <w:rFonts w:ascii="Arial" w:cs="Arial" w:eastAsia="Arial" w:hAnsi="Arial"/>
                  <w:sz w:val="14"/>
                  <w:szCs w:val="14"/>
                  <w:color w:val="0000FF"/>
                </w:rPr>
                <w:t>and the Administrative Agent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10.2</w:t>
            </w:r>
          </w:p>
        </w:tc>
        <w:tc>
          <w:tcPr>
            <w:tcW w:w="10220" w:type="dxa"/>
            <w:vAlign w:val="bottom"/>
            <w:gridSpan w:val="12"/>
          </w:tcPr>
          <w:p>
            <w:pPr>
              <w:spacing w:after="0"/>
              <w:rPr>
                <w:rFonts w:ascii="Arial" w:cs="Arial" w:eastAsia="Arial" w:hAnsi="Arial"/>
                <w:sz w:val="16"/>
                <w:szCs w:val="16"/>
                <w:color w:val="0000FF"/>
                <w:w w:val="98"/>
              </w:rPr>
            </w:pPr>
            <w:hyperlink r:id="rId60">
              <w:r>
                <w:rPr>
                  <w:rFonts w:ascii="Arial" w:cs="Arial" w:eastAsia="Arial" w:hAnsi="Arial"/>
                  <w:sz w:val="16"/>
                  <w:szCs w:val="16"/>
                  <w:color w:val="0000FF"/>
                  <w:w w:val="98"/>
                </w:rPr>
                <w:t>2020 Equity Incentive Plan, as amended is incorporated by reference to our Current Report on Form 8-K filed with the SEC on November 25, 2024.</w:t>
              </w:r>
            </w:hyperlink>
          </w:p>
        </w:tc>
        <w:tc>
          <w:tcPr>
            <w:tcW w:w="0" w:type="dxa"/>
            <w:vAlign w:val="bottom"/>
          </w:tcPr>
          <w:p>
            <w:pPr>
              <w:spacing w:after="0"/>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31.1</w:t>
            </w:r>
          </w:p>
        </w:tc>
        <w:tc>
          <w:tcPr>
            <w:tcW w:w="86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w w:val="97"/>
              </w:rPr>
              <w:t>Certification pursuant to Section 302 of the Sarbanes-Oxley Act of 2002, Rule 13a-14(a)/15d-14(a), by Chief Executive Officer</w:t>
            </w:r>
          </w:p>
        </w:tc>
        <w:tc>
          <w:tcPr>
            <w:tcW w:w="1460" w:type="dxa"/>
            <w:vAlign w:val="bottom"/>
            <w:tcBorders>
              <w:top w:val="single" w:sz="8" w:color="0000FF"/>
            </w:tcBorders>
            <w:gridSpan w:val="4"/>
          </w:tcPr>
          <w:p>
            <w:pPr>
              <w:spacing w:after="0"/>
              <w:rPr>
                <w:sz w:val="16"/>
                <w:szCs w:val="16"/>
                <w:color w:val="auto"/>
              </w:rPr>
            </w:pPr>
          </w:p>
        </w:tc>
        <w:tc>
          <w:tcPr>
            <w:tcW w:w="1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10220" w:type="dxa"/>
            <w:vAlign w:val="bottom"/>
            <w:gridSpan w:val="12"/>
          </w:tcPr>
          <w:p>
            <w:pPr>
              <w:spacing w:after="0"/>
              <w:rPr>
                <w:sz w:val="20"/>
                <w:szCs w:val="20"/>
                <w:color w:val="auto"/>
              </w:rPr>
            </w:pPr>
            <w:r>
              <w:rPr>
                <w:rFonts w:ascii="Arial" w:cs="Arial" w:eastAsia="Arial" w:hAnsi="Arial"/>
                <w:sz w:val="16"/>
                <w:szCs w:val="16"/>
                <w:color w:val="0000FF"/>
              </w:rPr>
              <w:t>Certification pursuant to Section 302 of the Sarbanes-Oxley Act of 2002, Rule 13a-14(a)/15d-14(a), by Chief Financial Officer</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760" w:type="dxa"/>
            <w:vAlign w:val="bottom"/>
            <w:gridSpan w:val="2"/>
            <w:shd w:val="clear" w:color="auto" w:fill="0000FF"/>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32.1</w:t>
            </w:r>
          </w:p>
        </w:tc>
        <w:tc>
          <w:tcPr>
            <w:tcW w:w="10220" w:type="dxa"/>
            <w:vAlign w:val="bottom"/>
            <w:gridSpan w:val="12"/>
          </w:tcPr>
          <w:p>
            <w:pPr>
              <w:spacing w:after="0"/>
              <w:rPr>
                <w:sz w:val="20"/>
                <w:szCs w:val="20"/>
                <w:color w:val="auto"/>
              </w:rPr>
            </w:pPr>
            <w:r>
              <w:rPr>
                <w:rFonts w:ascii="Arial" w:cs="Arial" w:eastAsia="Arial" w:hAnsi="Arial"/>
                <w:sz w:val="16"/>
                <w:szCs w:val="16"/>
                <w:color w:val="0000FF"/>
                <w:w w:val="97"/>
              </w:rPr>
              <w:t>Certification pursuant to 18 U.S.C. Section 1350, as adopted pursuant to Section 906 of the Sarbanes-Oxley Act of 2002, by Chief Executive Officer</w:t>
            </w: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1840" w:type="dxa"/>
            <w:vAlign w:val="bottom"/>
            <w:tcBorders>
              <w:top w:val="single" w:sz="8" w:color="0000FF"/>
              <w:bottom w:val="single" w:sz="8" w:color="0000FF"/>
            </w:tcBorders>
          </w:tcPr>
          <w:p>
            <w:pPr>
              <w:spacing w:after="0" w:line="136" w:lineRule="exact"/>
              <w:rPr>
                <w:sz w:val="20"/>
                <w:szCs w:val="20"/>
                <w:color w:val="auto"/>
              </w:rPr>
            </w:pPr>
            <w:r>
              <w:rPr>
                <w:rFonts w:ascii="Arial" w:cs="Arial" w:eastAsia="Arial" w:hAnsi="Arial"/>
                <w:sz w:val="14"/>
                <w:szCs w:val="14"/>
                <w:color w:val="0000FF"/>
              </w:rPr>
              <w:t>and Chief Financial Officer</w:t>
            </w:r>
          </w:p>
        </w:tc>
        <w:tc>
          <w:tcPr>
            <w:tcW w:w="8340" w:type="dxa"/>
            <w:vAlign w:val="bottom"/>
            <w:tcBorders>
              <w:top w:val="single" w:sz="8" w:color="0000FF"/>
            </w:tcBorders>
            <w:gridSpan w:val="9"/>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80"/>
          </w:cols>
          <w:pgMar w:left="320" w:top="1055" w:right="499" w:bottom="1440" w:gutter="0" w:footer="0" w:header="0"/>
        </w:sectPr>
      </w:pPr>
    </w:p>
    <w:bookmarkStart w:id="47" w:name="page48"/>
    <w:bookmarkEnd w:id="47"/>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131"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spacing w:after="0"/>
        <w:tabs>
          <w:tab w:leader="none" w:pos="2520" w:val="left"/>
        </w:tabs>
        <w:rPr>
          <w:sz w:val="20"/>
          <w:szCs w:val="20"/>
          <w:color w:val="auto"/>
        </w:rPr>
      </w:pPr>
      <w:r>
        <w:rPr>
          <w:rFonts w:ascii="Arial" w:cs="Arial" w:eastAsia="Arial" w:hAnsi="Arial"/>
          <w:sz w:val="17"/>
          <w:szCs w:val="17"/>
          <w:color w:val="auto"/>
        </w:rPr>
        <w:t>January 31, 2025</w:t>
      </w:r>
      <w:r>
        <w:rPr>
          <w:sz w:val="20"/>
          <w:szCs w:val="20"/>
          <w:color w:val="auto"/>
        </w:rPr>
        <w:tab/>
      </w:r>
      <w:r>
        <w:rPr>
          <w:rFonts w:ascii="Arial" w:cs="Arial" w:eastAsia="Arial" w:hAnsi="Arial"/>
          <w:sz w:val="17"/>
          <w:szCs w:val="17"/>
          <w:color w:val="auto"/>
        </w:rPr>
        <w:t>Cimpress plc</w:t>
      </w:r>
    </w:p>
    <w:p>
      <w:pPr>
        <w:spacing w:after="0" w:line="363" w:lineRule="exact"/>
        <w:rPr>
          <w:sz w:val="20"/>
          <w:szCs w:val="20"/>
          <w:color w:val="auto"/>
        </w:rPr>
      </w:pPr>
    </w:p>
    <w:p>
      <w:pPr>
        <w:ind w:left="5500"/>
        <w:spacing w:after="0"/>
        <w:tabs>
          <w:tab w:leader="none" w:pos="79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18415</wp:posOffset>
            </wp:positionV>
            <wp:extent cx="32969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296920" cy="8255"/>
                    </a:xfrm>
                    <a:prstGeom prst="rect">
                      <a:avLst/>
                    </a:prstGeom>
                    <a:noFill/>
                  </pic:spPr>
                </pic:pic>
              </a:graphicData>
            </a:graphic>
          </wp:anchor>
        </w:drawing>
      </w:r>
    </w:p>
    <w:p>
      <w:pPr>
        <w:spacing w:after="0" w:line="2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Chief Financial Officer</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080"/>
          </w:cols>
          <w:pgMar w:left="320" w:top="1068" w:right="49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31.1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 Robert S. Keane, certify that:</w:t>
      </w:r>
    </w:p>
    <w:p>
      <w:pPr>
        <w:spacing w:after="0" w:line="116" w:lineRule="exact"/>
        <w:rPr>
          <w:sz w:val="20"/>
          <w:szCs w:val="20"/>
          <w:color w:val="auto"/>
        </w:rPr>
      </w:pPr>
    </w:p>
    <w:p>
      <w:pPr>
        <w:ind w:left="620" w:hanging="305"/>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90" w:lineRule="exact"/>
        <w:rPr>
          <w:rFonts w:ascii="Arial" w:cs="Arial" w:eastAsia="Arial" w:hAnsi="Arial"/>
          <w:sz w:val="17"/>
          <w:szCs w:val="17"/>
          <w:color w:val="auto"/>
        </w:rPr>
      </w:pPr>
    </w:p>
    <w:p>
      <w:pPr>
        <w:ind w:left="620" w:right="200" w:hanging="305"/>
        <w:spacing w:after="0" w:line="243" w:lineRule="auto"/>
        <w:tabs>
          <w:tab w:leader="none" w:pos="608"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20" w:right="260" w:hanging="305"/>
        <w:spacing w:after="0" w:line="224" w:lineRule="auto"/>
        <w:tabs>
          <w:tab w:leader="none" w:pos="60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74"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2" w:lineRule="exact"/>
        <w:rPr>
          <w:rFonts w:ascii="Arial" w:cs="Arial" w:eastAsia="Arial" w:hAnsi="Arial"/>
          <w:sz w:val="17"/>
          <w:szCs w:val="17"/>
          <w:color w:val="auto"/>
        </w:rPr>
      </w:pPr>
    </w:p>
    <w:p>
      <w:pPr>
        <w:ind w:left="1240" w:right="440" w:hanging="302"/>
        <w:spacing w:after="0" w:line="243" w:lineRule="auto"/>
        <w:tabs>
          <w:tab w:leader="none" w:pos="1229"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7"/>
          <w:szCs w:val="17"/>
          <w:color w:val="auto"/>
        </w:rPr>
      </w:pPr>
    </w:p>
    <w:p>
      <w:pPr>
        <w:ind w:left="1240" w:right="20" w:hanging="302"/>
        <w:spacing w:after="0" w:line="243" w:lineRule="auto"/>
        <w:tabs>
          <w:tab w:leader="none" w:pos="1232"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Arial" w:cs="Arial" w:eastAsia="Arial" w:hAnsi="Arial"/>
          <w:sz w:val="17"/>
          <w:szCs w:val="17"/>
          <w:color w:val="auto"/>
        </w:rPr>
      </w:pPr>
    </w:p>
    <w:p>
      <w:pPr>
        <w:ind w:left="1240" w:right="300" w:hanging="302"/>
        <w:spacing w:after="0" w:line="263" w:lineRule="auto"/>
        <w:tabs>
          <w:tab w:leader="none" w:pos="1229"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Date: January 31, 2025</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17062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Robert S. Keane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36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 Sean E. Quinn, certify that:</w:t>
      </w:r>
    </w:p>
    <w:p>
      <w:pPr>
        <w:spacing w:after="0" w:line="87" w:lineRule="exact"/>
        <w:rPr>
          <w:sz w:val="20"/>
          <w:szCs w:val="20"/>
          <w:color w:val="auto"/>
        </w:rPr>
      </w:pPr>
    </w:p>
    <w:p>
      <w:pPr>
        <w:ind w:left="620" w:hanging="305"/>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103" w:lineRule="exact"/>
        <w:rPr>
          <w:rFonts w:ascii="Arial" w:cs="Arial" w:eastAsia="Arial" w:hAnsi="Arial"/>
          <w:sz w:val="17"/>
          <w:szCs w:val="17"/>
          <w:color w:val="auto"/>
        </w:rPr>
      </w:pPr>
    </w:p>
    <w:p>
      <w:pPr>
        <w:ind w:left="620" w:right="200" w:hanging="305"/>
        <w:spacing w:after="0" w:line="236" w:lineRule="auto"/>
        <w:tabs>
          <w:tab w:leader="none" w:pos="6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ind w:left="620" w:right="260" w:hanging="305"/>
        <w:spacing w:after="0" w:line="232" w:lineRule="auto"/>
        <w:tabs>
          <w:tab w:leader="none" w:pos="6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61"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5" w:lineRule="exact"/>
        <w:rPr>
          <w:rFonts w:ascii="Arial" w:cs="Arial" w:eastAsia="Arial" w:hAnsi="Arial"/>
          <w:sz w:val="17"/>
          <w:szCs w:val="17"/>
          <w:color w:val="auto"/>
        </w:rPr>
      </w:pPr>
    </w:p>
    <w:p>
      <w:pPr>
        <w:ind w:left="1240" w:right="440" w:hanging="302"/>
        <w:spacing w:after="0" w:line="236" w:lineRule="auto"/>
        <w:tabs>
          <w:tab w:leader="none" w:pos="1229"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240" w:right="20" w:hanging="302"/>
        <w:spacing w:after="0" w:line="236" w:lineRule="auto"/>
        <w:tabs>
          <w:tab w:leader="none" w:pos="1232"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240" w:right="300" w:hanging="302"/>
        <w:spacing w:after="0" w:line="247" w:lineRule="auto"/>
        <w:tabs>
          <w:tab w:leader="none" w:pos="1229"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January 31, 2025</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18415</wp:posOffset>
            </wp:positionV>
            <wp:extent cx="17062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136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32.1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4" w:lineRule="exact"/>
        <w:rPr>
          <w:sz w:val="20"/>
          <w:szCs w:val="20"/>
          <w:color w:val="auto"/>
        </w:rPr>
      </w:pPr>
    </w:p>
    <w:p>
      <w:pPr>
        <w:ind w:right="20" w:firstLine="709"/>
        <w:spacing w:after="0" w:line="232" w:lineRule="auto"/>
        <w:rPr>
          <w:sz w:val="20"/>
          <w:szCs w:val="20"/>
          <w:color w:val="auto"/>
        </w:rPr>
      </w:pPr>
      <w:r>
        <w:rPr>
          <w:rFonts w:ascii="Arial" w:cs="Arial" w:eastAsia="Arial" w:hAnsi="Arial"/>
          <w:sz w:val="17"/>
          <w:szCs w:val="17"/>
          <w:color w:val="auto"/>
        </w:rPr>
        <w:t>In connection with the Quarterly Report on Form 10-Q of Cimpress plc (the “Company”) for the quarter ended December 31, 2024 as filed with the Securities and Exchange Commission on the date hereof (the “Report”), the undersigned, Robert S. Keane, Chief Executive Officer, and</w:t>
      </w:r>
    </w:p>
    <w:p>
      <w:pPr>
        <w:spacing w:after="0" w:line="2" w:lineRule="exact"/>
        <w:rPr>
          <w:sz w:val="20"/>
          <w:szCs w:val="20"/>
          <w:color w:val="auto"/>
        </w:rPr>
      </w:pPr>
    </w:p>
    <w:p>
      <w:pPr>
        <w:ind w:right="220"/>
        <w:spacing w:after="0" w:line="234" w:lineRule="auto"/>
        <w:rPr>
          <w:sz w:val="20"/>
          <w:szCs w:val="20"/>
          <w:color w:val="auto"/>
        </w:rPr>
      </w:pPr>
      <w:r>
        <w:rPr>
          <w:rFonts w:ascii="Arial" w:cs="Arial" w:eastAsia="Arial" w:hAnsi="Arial"/>
          <w:sz w:val="17"/>
          <w:szCs w:val="17"/>
          <w:color w:val="auto"/>
        </w:rPr>
        <w:t>Sean E. Quinn, Chief Financial Officer, of the Company, each hereby certifies, pursuant to 18 U.S.C. Section 1350, that, to his knowledge on the date hereof:</w:t>
      </w:r>
    </w:p>
    <w:p>
      <w:pPr>
        <w:spacing w:after="0" w:line="57" w:lineRule="exact"/>
        <w:rPr>
          <w:sz w:val="20"/>
          <w:szCs w:val="20"/>
          <w:color w:val="auto"/>
        </w:rPr>
      </w:pPr>
    </w:p>
    <w:p>
      <w:pPr>
        <w:ind w:left="620" w:hanging="305"/>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90" w:lineRule="exact"/>
        <w:rPr>
          <w:rFonts w:ascii="Arial" w:cs="Arial" w:eastAsia="Arial" w:hAnsi="Arial"/>
          <w:sz w:val="17"/>
          <w:szCs w:val="17"/>
          <w:color w:val="auto"/>
        </w:rPr>
      </w:pPr>
    </w:p>
    <w:p>
      <w:pPr>
        <w:ind w:left="620" w:right="460" w:hanging="305"/>
        <w:spacing w:after="0" w:line="263" w:lineRule="auto"/>
        <w:tabs>
          <w:tab w:leader="none" w:pos="6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8160" w:type="dxa"/>
            <w:vAlign w:val="bottom"/>
          </w:tcPr>
          <w:p>
            <w:pPr>
              <w:spacing w:after="0"/>
              <w:rPr>
                <w:sz w:val="20"/>
                <w:szCs w:val="20"/>
                <w:color w:val="auto"/>
              </w:rPr>
            </w:pPr>
            <w:r>
              <w:rPr>
                <w:rFonts w:ascii="Arial" w:cs="Arial" w:eastAsia="Arial" w:hAnsi="Arial"/>
                <w:sz w:val="17"/>
                <w:szCs w:val="17"/>
                <w:color w:val="auto"/>
              </w:rPr>
              <w:t>Date: January 31, 2025</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Robert S. Keane</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Robert S. Keane</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Executive Officer</w:t>
            </w:r>
          </w:p>
        </w:tc>
      </w:tr>
      <w:tr>
        <w:trPr>
          <w:trHeight w:val="781"/>
        </w:trPr>
        <w:tc>
          <w:tcPr>
            <w:tcW w:w="8160" w:type="dxa"/>
            <w:vAlign w:val="bottom"/>
          </w:tcPr>
          <w:p>
            <w:pPr>
              <w:spacing w:after="0"/>
              <w:rPr>
                <w:sz w:val="20"/>
                <w:szCs w:val="20"/>
                <w:color w:val="auto"/>
              </w:rPr>
            </w:pPr>
            <w:r>
              <w:rPr>
                <w:rFonts w:ascii="Arial" w:cs="Arial" w:eastAsia="Arial" w:hAnsi="Arial"/>
                <w:sz w:val="17"/>
                <w:szCs w:val="17"/>
                <w:color w:val="auto"/>
              </w:rPr>
              <w:t>Date: January 31, 2025</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E. Quinn</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Sean E. Quinn</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2"/>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
      <w:numFmt w:val="bullet"/>
      <w:start w:val="1"/>
    </w:lvl>
    <w:lvl w:ilvl="1">
      <w:lvlJc w:val="left"/>
      <w:lvlText w:val="◦"/>
      <w:numFmt w:val="bullet"/>
      <w:start w:val="1"/>
    </w:lvl>
  </w:abstractNum>
  <w:abstractNum w:abstractNumId="11">
    <w:nsid w:val="B03E0C6"/>
    <w:multiLevelType w:val="hybridMultilevel"/>
    <w:lvl w:ilvl="0">
      <w:lvlJc w:val="left"/>
      <w:lvlText w:val="%1."/>
      <w:numFmt w:val="decimal"/>
      <w:start w:val="10"/>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lvl w:ilvl="1">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2"/>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2"/>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59" Type="http://schemas.openxmlformats.org/officeDocument/2006/relationships/hyperlink" Target="https://www.sec.gov/Archives/edgar/data/1262976/000126297624000143/cimpress-amno4to2021cred.htm" TargetMode="External"/><Relationship Id="rId60" Type="http://schemas.openxmlformats.org/officeDocument/2006/relationships/hyperlink" Target="https://www.sec.gov/ix?doc=/Archives/edgar/data/0001262976/000126297624000139/cmpr-202411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2025-01-31T12:54:33Z</dcterms:created>
  <dcterms:modified xsi:type="dcterms:W3CDTF">2025-01-31T12:54:33Z</dcterms:modified>
</cp:coreProperties>
</file>