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313055</wp:posOffset>
            </wp:positionH>
            <wp:positionV relativeFrom="page">
              <wp:posOffset>822325</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page">
              <wp:posOffset>313055</wp:posOffset>
            </wp:positionH>
            <wp:positionV relativeFrom="page">
              <wp:posOffset>789305</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10-Q</w:t>
      </w:r>
    </w:p>
    <w:p>
      <w:pPr>
        <w:spacing w:after="0" w:line="1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29" w:lineRule="exact"/>
        <w:rPr>
          <w:sz w:val="24"/>
          <w:szCs w:val="24"/>
          <w:color w:val="auto"/>
        </w:rPr>
      </w:pPr>
    </w:p>
    <w:p>
      <w:pPr>
        <w:ind w:left="420" w:hanging="273"/>
        <w:spacing w:after="0"/>
        <w:tabs>
          <w:tab w:leader="none" w:pos="4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0" w:lineRule="exact"/>
        <w:rPr>
          <w:sz w:val="24"/>
          <w:szCs w:val="24"/>
          <w:color w:val="auto"/>
        </w:rPr>
      </w:pPr>
    </w:p>
    <w:p>
      <w:pPr>
        <w:ind w:left="420"/>
        <w:spacing w:after="0"/>
        <w:tabs>
          <w:tab w:leader="none" w:pos="3240" w:val="left"/>
        </w:tabs>
        <w:rPr>
          <w:sz w:val="20"/>
          <w:szCs w:val="20"/>
          <w:color w:val="auto"/>
        </w:rPr>
      </w:pPr>
      <w:r>
        <w:rPr>
          <w:rFonts w:ascii="Arial" w:cs="Arial" w:eastAsia="Arial" w:hAnsi="Arial"/>
          <w:sz w:val="15"/>
          <w:szCs w:val="15"/>
          <w:b w:val="1"/>
          <w:bCs w:val="1"/>
          <w:color w:val="auto"/>
        </w:rPr>
        <w:t>For the quarterly period ended</w:t>
      </w:r>
      <w:r>
        <w:rPr>
          <w:sz w:val="20"/>
          <w:szCs w:val="20"/>
          <w:color w:val="auto"/>
        </w:rPr>
        <w:tab/>
      </w:r>
      <w:r>
        <w:rPr>
          <w:rFonts w:ascii="Arial" w:cs="Arial" w:eastAsia="Arial" w:hAnsi="Arial"/>
          <w:sz w:val="14"/>
          <w:szCs w:val="14"/>
          <w:b w:val="1"/>
          <w:bCs w:val="1"/>
          <w:color w:val="auto"/>
        </w:rPr>
        <w:t>September 30, 2026</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ind w:left="420" w:hanging="273"/>
        <w:spacing w:after="0" w:line="207" w:lineRule="auto"/>
        <w:tabs>
          <w:tab w:leader="none" w:pos="42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181" w:lineRule="exact"/>
        <w:rPr>
          <w:sz w:val="24"/>
          <w:szCs w:val="24"/>
          <w:color w:val="auto"/>
        </w:rPr>
      </w:pPr>
    </w:p>
    <w:p>
      <w:pPr>
        <w:ind w:left="420"/>
        <w:spacing w:after="0"/>
        <w:tabs>
          <w:tab w:leader="none" w:pos="30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000-51539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35"/>
          <w:szCs w:val="35"/>
          <w:b w:val="1"/>
          <w:bCs w:val="1"/>
          <w:color w:val="auto"/>
        </w:rPr>
        <w:t>Cimpress plc</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ectPr>
          <w:pgSz w:w="11900" w:h="16838" w:orient="portrait"/>
          <w:cols w:equalWidth="0" w:num="1">
            <w:col w:w="11260"/>
          </w:cols>
          <w:pgMar w:left="320" w:top="1367" w:right="319" w:bottom="1440" w:gutter="0" w:footer="0" w:header="0"/>
        </w:sectPr>
      </w:pPr>
    </w:p>
    <w:p>
      <w:pPr>
        <w:spacing w:after="0" w:line="121"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98-0417483</w:t>
      </w:r>
    </w:p>
    <w:p>
      <w:pPr>
        <w:spacing w:after="0" w:line="37" w:lineRule="exact"/>
        <w:rPr>
          <w:sz w:val="24"/>
          <w:szCs w:val="24"/>
          <w:color w:val="auto"/>
        </w:rPr>
      </w:pPr>
    </w:p>
    <w:p>
      <w:pPr>
        <w:sectPr>
          <w:pgSz w:w="11900" w:h="16838" w:orient="portrait"/>
          <w:cols w:equalWidth="0" w:num="2">
            <w:col w:w="7340" w:space="720"/>
            <w:col w:w="3200"/>
          </w:cols>
          <w:pgMar w:left="320" w:top="1367" w:right="319" w:bottom="1440" w:gutter="0" w:footer="0" w:header="0"/>
          <w:type w:val="continuous"/>
        </w:sectPr>
      </w:pPr>
    </w:p>
    <w:p>
      <w:pPr>
        <w:spacing w:after="0" w:line="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7"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4"/>
          <w:szCs w:val="14"/>
          <w:b w:val="1"/>
          <w:bCs w:val="1"/>
          <w:color w:val="auto"/>
        </w:rPr>
        <w:t>(I.R.S. Employer</w:t>
      </w:r>
    </w:p>
    <w:p>
      <w:pPr>
        <w:jc w:val="center"/>
        <w:ind w:right="2220"/>
        <w:spacing w:after="0"/>
        <w:rPr>
          <w:sz w:val="20"/>
          <w:szCs w:val="20"/>
          <w:color w:val="auto"/>
        </w:rPr>
      </w:pPr>
      <w:r>
        <w:rPr>
          <w:rFonts w:ascii="Arial" w:cs="Arial" w:eastAsia="Arial" w:hAnsi="Arial"/>
          <w:sz w:val="13"/>
          <w:szCs w:val="13"/>
          <w:b w:val="1"/>
          <w:bCs w:val="1"/>
          <w:color w:val="auto"/>
        </w:rPr>
        <w:t>Identification No.)</w:t>
      </w:r>
    </w:p>
    <w:p>
      <w:pPr>
        <w:spacing w:after="0" w:line="96" w:lineRule="exact"/>
        <w:rPr>
          <w:sz w:val="24"/>
          <w:szCs w:val="24"/>
          <w:color w:val="auto"/>
        </w:rPr>
      </w:pPr>
    </w:p>
    <w:p>
      <w:pPr>
        <w:sectPr>
          <w:pgSz w:w="11900" w:h="16838" w:orient="portrait"/>
          <w:cols w:equalWidth="0" w:num="2">
            <w:col w:w="7140" w:space="720"/>
            <w:col w:w="3400"/>
          </w:cols>
          <w:pgMar w:left="320" w:top="1367" w:right="31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First Floor Building 3, Finnabair Business and Technology Park A91 XR61,</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Dundalk, Co. Louth,</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Ireland</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60"/>
          </w:cols>
          <w:pgMar w:left="320" w:top="1367" w:right="319" w:bottom="1440" w:gutter="0" w:footer="0" w:header="0"/>
          <w:type w:val="continuous"/>
        </w:sectPr>
      </w:pPr>
    </w:p>
    <w:p>
      <w:pPr>
        <w:spacing w:after="0" w:line="102" w:lineRule="exact"/>
        <w:rPr>
          <w:sz w:val="24"/>
          <w:szCs w:val="24"/>
          <w:color w:val="auto"/>
        </w:rPr>
      </w:pPr>
    </w:p>
    <w:p>
      <w:pPr>
        <w:ind w:left="13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36" w:lineRule="exact"/>
        <w:rPr>
          <w:sz w:val="24"/>
          <w:szCs w:val="24"/>
          <w:color w:val="auto"/>
        </w:rPr>
      </w:pPr>
    </w:p>
    <w:p>
      <w:pPr>
        <w:sectPr>
          <w:pgSz w:w="11900" w:h="16838" w:orient="portrait"/>
          <w:cols w:equalWidth="0" w:num="3">
            <w:col w:w="4360" w:space="720"/>
            <w:col w:w="2440" w:space="720"/>
            <w:col w:w="3020"/>
          </w:cols>
          <w:pgMar w:left="320" w:top="1367" w:right="31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Ordinary Shares, nominal value of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19" w:lineRule="exact"/>
        <w:rPr>
          <w:sz w:val="24"/>
          <w:szCs w:val="24"/>
          <w:color w:val="auto"/>
        </w:rPr>
      </w:pPr>
    </w:p>
    <w:p>
      <w:pPr>
        <w:sectPr>
          <w:pgSz w:w="11900" w:h="16838" w:orient="portrait"/>
          <w:cols w:equalWidth="0" w:num="3">
            <w:col w:w="4660" w:space="720"/>
            <w:col w:w="2280" w:space="720"/>
            <w:col w:w="2880"/>
          </w:cols>
          <w:pgMar w:left="320" w:top="1367" w:right="31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304" w:lineRule="exact"/>
        <w:rPr>
          <w:sz w:val="24"/>
          <w:szCs w:val="24"/>
          <w:color w:val="auto"/>
        </w:rPr>
      </w:pPr>
    </w:p>
    <w:p>
      <w:pPr>
        <w:ind w:right="120" w:firstLine="623"/>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1240" w:val="left"/>
        </w:tabs>
        <w:rPr>
          <w:sz w:val="20"/>
          <w:szCs w:val="20"/>
          <w:color w:val="auto"/>
        </w:rPr>
      </w:pPr>
      <w:r>
        <w:rPr>
          <w:rFonts w:ascii="Arial" w:cs="Arial" w:eastAsia="Arial" w:hAnsi="Arial"/>
          <w:sz w:val="15"/>
          <w:szCs w:val="15"/>
          <w:color w:val="auto"/>
        </w:rPr>
        <w:t xml:space="preserve">90 days.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Wingdings" w:cs="Wingdings" w:eastAsia="Wingdings" w:hAnsi="Wingdings"/>
          <w:sz w:val="14"/>
          <w:szCs w:val="14"/>
          <w:b w:val="1"/>
          <w:bCs w:val="1"/>
          <w:color w:val="auto"/>
        </w:rPr>
        <w:t>o</w:t>
      </w:r>
    </w:p>
    <w:p>
      <w:pPr>
        <w:spacing w:after="0" w:line="64" w:lineRule="exact"/>
        <w:rPr>
          <w:sz w:val="24"/>
          <w:szCs w:val="24"/>
          <w:color w:val="auto"/>
        </w:rPr>
      </w:pPr>
    </w:p>
    <w:p>
      <w:pPr>
        <w:ind w:right="180" w:firstLine="623"/>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4" w:lineRule="exact"/>
        <w:rPr>
          <w:sz w:val="24"/>
          <w:szCs w:val="24"/>
          <w:color w:val="auto"/>
        </w:rPr>
      </w:pPr>
    </w:p>
    <w:p>
      <w:pPr>
        <w:ind w:right="80" w:firstLine="623"/>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1367" w:right="319" w:bottom="1440" w:gutter="0" w:footer="0" w:header="0"/>
          <w:type w:val="continuous"/>
        </w:sectPr>
      </w:pPr>
    </w:p>
    <w:p>
      <w:pPr>
        <w:spacing w:after="0" w:line="180" w:lineRule="exact"/>
        <w:rPr>
          <w:sz w:val="24"/>
          <w:szCs w:val="24"/>
          <w:color w:val="auto"/>
        </w:rPr>
      </w:pPr>
    </w:p>
    <w:p>
      <w:pPr>
        <w:ind w:left="24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Accelerated filer</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5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515" w:lineRule="exact"/>
        <w:rPr>
          <w:sz w:val="24"/>
          <w:szCs w:val="24"/>
          <w:color w:val="auto"/>
        </w:rPr>
      </w:pPr>
    </w:p>
    <w:p>
      <w:pPr>
        <w:sectPr>
          <w:pgSz w:w="11900" w:h="16838" w:orient="portrait"/>
          <w:cols w:equalWidth="0" w:num="5">
            <w:col w:w="3820" w:space="180"/>
            <w:col w:w="1120" w:space="720"/>
            <w:col w:w="1640" w:space="200"/>
            <w:col w:w="1580" w:space="720"/>
            <w:col w:w="1280"/>
          </w:cols>
          <w:pgMar w:left="320" w:top="1367" w:right="319" w:bottom="1440" w:gutter="0" w:footer="0" w:header="0"/>
          <w:type w:val="continuous"/>
        </w:sectPr>
      </w:pPr>
    </w:p>
    <w:p>
      <w:pPr>
        <w:ind w:right="40" w:firstLine="623"/>
        <w:spacing w:after="0" w:line="252"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620" w:right="2620"/>
        <w:spacing w:after="0" w:line="247" w:lineRule="exact"/>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26, 2026, there were 24,620,977 Cimpress plc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848360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259080</wp:posOffset>
            </wp:positionV>
            <wp:extent cx="693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226060</wp:posOffset>
            </wp:positionV>
            <wp:extent cx="693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ectPr>
          <w:pgSz w:w="11900" w:h="16838" w:orient="portrait"/>
          <w:cols w:equalWidth="0" w:num="1">
            <w:col w:w="11260"/>
          </w:cols>
          <w:pgMar w:left="320" w:top="1367"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September 30, 2026</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7740" w:type="dxa"/>
            <w:vAlign w:val="bottom"/>
            <w:vMerge w:val="restart"/>
          </w:tcPr>
          <w:p>
            <w:pPr>
              <w:spacing w:after="0"/>
              <w:rPr>
                <w:sz w:val="19"/>
                <w:szCs w:val="19"/>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Borders>
              <w:bottom w:val="single" w:sz="8" w:color="auto"/>
            </w:tcBorders>
            <w:gridSpan w:val="3"/>
            <w:vMerge w:val="continue"/>
          </w:tcPr>
          <w:p>
            <w:pPr>
              <w:spacing w:after="0"/>
              <w:rPr>
                <w:sz w:val="14"/>
                <w:szCs w:val="14"/>
                <w:color w:val="auto"/>
              </w:rPr>
            </w:pPr>
          </w:p>
        </w:tc>
        <w:tc>
          <w:tcPr>
            <w:tcW w:w="77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1. Financial Statements (unaudited)</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Balance Sheets as of September 30, 2026 and June 30, 2026</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Operations for the three months ended September 30, 2026 and 2025</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Comprehensive Income for the three months ended September 30, 2026 and 2025</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Shareholders' Deficit for the three months ended September 30, 2026 and 2025</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Cash Flows for the three months ended September 30, 2026 and 2025</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Notes to Consolidated Financial Statements</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3. 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4.</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6"/>
                <w:szCs w:val="16"/>
                <w:b w:val="1"/>
                <w:bCs w:val="1"/>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2.</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5.</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Other Information</w:t>
            </w: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6.</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Exhibits</w:t>
            </w:r>
          </w:p>
        </w:tc>
        <w:tc>
          <w:tcPr>
            <w:tcW w:w="6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Signatures</w:t>
            </w: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21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240" w:type="dxa"/>
            <w:vAlign w:val="bottom"/>
          </w:tcPr>
          <w:p>
            <w:pPr>
              <w:jc w:val="right"/>
              <w:ind w:right="42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2"/>
        </w:trPr>
        <w:tc>
          <w:tcPr>
            <w:tcW w:w="80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8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120,127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248,851</w:t>
            </w:r>
          </w:p>
        </w:tc>
        <w:tc>
          <w:tcPr>
            <w:tcW w:w="0" w:type="dxa"/>
            <w:vAlign w:val="bottom"/>
          </w:tcPr>
          <w:p>
            <w:pPr>
              <w:spacing w:after="0"/>
              <w:rPr>
                <w:sz w:val="1"/>
                <w:szCs w:val="1"/>
                <w:color w:val="auto"/>
              </w:rPr>
            </w:pP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Accounts receivable, net of allowances of $6,803 and $6,772, respectively</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87,381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73,621</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153,741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136,982</w:t>
            </w:r>
          </w:p>
        </w:tc>
        <w:tc>
          <w:tcPr>
            <w:tcW w:w="0" w:type="dxa"/>
            <w:vAlign w:val="bottom"/>
          </w:tcPr>
          <w:p>
            <w:pPr>
              <w:spacing w:after="0"/>
              <w:rPr>
                <w:sz w:val="1"/>
                <w:szCs w:val="1"/>
                <w:color w:val="auto"/>
              </w:rPr>
            </w:pP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110,978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104,998</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Assets held for sale</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46,303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0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518,530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564,452</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404,744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367,160</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assets, net</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118,166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121,022</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104,735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106,788</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52,356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50,930</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882,633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850,778</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87,944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70,580</w:t>
            </w:r>
          </w:p>
        </w:tc>
        <w:tc>
          <w:tcPr>
            <w:tcW w:w="0" w:type="dxa"/>
            <w:vAlign w:val="bottom"/>
          </w:tcPr>
          <w:p>
            <w:pPr>
              <w:spacing w:after="0"/>
              <w:rPr>
                <w:sz w:val="1"/>
                <w:szCs w:val="1"/>
                <w:color w:val="auto"/>
              </w:rPr>
            </w:pPr>
          </w:p>
        </w:tc>
      </w:tr>
      <w:tr>
        <w:trPr>
          <w:trHeight w:val="20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75,774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70,801</w:t>
            </w:r>
          </w:p>
        </w:tc>
        <w:tc>
          <w:tcPr>
            <w:tcW w:w="0" w:type="dxa"/>
            <w:vAlign w:val="bottom"/>
          </w:tcPr>
          <w:p>
            <w:pPr>
              <w:spacing w:after="0"/>
              <w:rPr>
                <w:sz w:val="1"/>
                <w:szCs w:val="1"/>
                <w:color w:val="auto"/>
              </w:rPr>
            </w:pP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2,244,882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2,202,511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06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Liabilities, noncontrolling interests and shareholders’ deficit</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304,814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333,252</w:t>
            </w:r>
          </w:p>
        </w:tc>
        <w:tc>
          <w:tcPr>
            <w:tcW w:w="0" w:type="dxa"/>
            <w:vAlign w:val="bottom"/>
          </w:tcPr>
          <w:p>
            <w:pPr>
              <w:spacing w:after="0"/>
              <w:rPr>
                <w:sz w:val="1"/>
                <w:szCs w:val="1"/>
                <w:color w:val="auto"/>
              </w:rPr>
            </w:pP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351,028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324,744</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56,991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48,534</w:t>
            </w:r>
          </w:p>
        </w:tc>
        <w:tc>
          <w:tcPr>
            <w:tcW w:w="0" w:type="dxa"/>
            <w:vAlign w:val="bottom"/>
          </w:tcPr>
          <w:p>
            <w:pPr>
              <w:spacing w:after="0"/>
              <w:rPr>
                <w:sz w:val="1"/>
                <w:szCs w:val="1"/>
                <w:color w:val="auto"/>
              </w:rPr>
            </w:pP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Short-term debt</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49,487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14,620</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25,238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24,753</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29,331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29,687</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816,889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775,590</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31,471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24,487</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1,594,683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1,597,361</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101,234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102,549</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101,653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100,801</w:t>
            </w:r>
          </w:p>
        </w:tc>
        <w:tc>
          <w:tcPr>
            <w:tcW w:w="0" w:type="dxa"/>
            <w:vAlign w:val="bottom"/>
          </w:tcPr>
          <w:p>
            <w:pPr>
              <w:spacing w:after="0"/>
              <w:rPr>
                <w:sz w:val="1"/>
                <w:szCs w:val="1"/>
                <w:color w:val="auto"/>
              </w:rPr>
            </w:pPr>
          </w:p>
        </w:tc>
      </w:tr>
      <w:tr>
        <w:trPr>
          <w:trHeight w:val="20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2,645,930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2,600,788</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Redeemable noncontrolling interests (Note 11)</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78,361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75,567</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deficit: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w w:val="99"/>
              </w:rPr>
              <w:t>Preferred shares, nominal value €0.01 per share, 100,000,000 shares authorized; none issued and outstanding</w:t>
            </w:r>
          </w:p>
        </w:tc>
        <w:tc>
          <w:tcPr>
            <w:tcW w:w="2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rPr>
              <w:t>Ordinary shares, nominal value €0.01 per share, 100,000,000 shares authorized; 42,590,059 and 42,318,634</w:t>
            </w:r>
          </w:p>
        </w:tc>
        <w:tc>
          <w:tcPr>
            <w:tcW w:w="2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issued, respectively; 24,618,812 and 24,347,387 shares outstanding, respectively</w:t>
            </w:r>
          </w:p>
        </w:tc>
        <w:tc>
          <w:tcPr>
            <w:tcW w:w="20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624,893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623,454</w:t>
            </w:r>
          </w:p>
        </w:tc>
        <w:tc>
          <w:tcPr>
            <w:tcW w:w="0" w:type="dxa"/>
            <w:vAlign w:val="bottom"/>
          </w:tcPr>
          <w:p>
            <w:pPr>
              <w:spacing w:after="0"/>
              <w:rPr>
                <w:sz w:val="1"/>
                <w:szCs w:val="1"/>
                <w:color w:val="auto"/>
              </w:rPr>
            </w:pP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275,690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279,418</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(33,903)</w:t>
            </w:r>
          </w:p>
        </w:tc>
        <w:tc>
          <w:tcPr>
            <w:tcW w:w="0" w:type="dxa"/>
            <w:vAlign w:val="bottom"/>
          </w:tcPr>
          <w:p>
            <w:pPr>
              <w:spacing w:after="0"/>
              <w:rPr>
                <w:sz w:val="1"/>
                <w:szCs w:val="1"/>
                <w:color w:val="auto"/>
              </w:rPr>
            </w:pPr>
          </w:p>
        </w:tc>
      </w:tr>
      <w:tr>
        <w:trPr>
          <w:trHeight w:val="200"/>
        </w:trPr>
        <w:tc>
          <w:tcPr>
            <w:tcW w:w="8060" w:type="dxa"/>
            <w:vAlign w:val="bottom"/>
          </w:tcPr>
          <w:p>
            <w:pPr>
              <w:ind w:left="20"/>
              <w:spacing w:after="0"/>
              <w:rPr>
                <w:sz w:val="20"/>
                <w:szCs w:val="20"/>
                <w:color w:val="auto"/>
              </w:rPr>
            </w:pPr>
            <w:r>
              <w:rPr>
                <w:rFonts w:ascii="Arial" w:cs="Arial" w:eastAsia="Arial" w:hAnsi="Arial"/>
                <w:sz w:val="16"/>
                <w:szCs w:val="16"/>
                <w:color w:val="auto"/>
              </w:rPr>
              <w:t>Total shareholders’ deficit attributable to Cimpress plc</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(499,251)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(493,985)</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(Note 11)</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19,842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20,141</w:t>
            </w:r>
          </w:p>
        </w:tc>
        <w:tc>
          <w:tcPr>
            <w:tcW w:w="0" w:type="dxa"/>
            <w:vAlign w:val="bottom"/>
          </w:tcPr>
          <w:p>
            <w:pPr>
              <w:spacing w:after="0"/>
              <w:rPr>
                <w:sz w:val="1"/>
                <w:szCs w:val="1"/>
                <w:color w:val="auto"/>
              </w:rPr>
            </w:pPr>
          </w:p>
        </w:tc>
      </w:tr>
      <w:tr>
        <w:trPr>
          <w:trHeight w:val="20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shareholders' deficit</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(479,409)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(473,844)</w:t>
            </w:r>
          </w:p>
        </w:tc>
        <w:tc>
          <w:tcPr>
            <w:tcW w:w="0" w:type="dxa"/>
            <w:vAlign w:val="bottom"/>
          </w:tcPr>
          <w:p>
            <w:pPr>
              <w:spacing w:after="0"/>
              <w:rPr>
                <w:sz w:val="1"/>
                <w:szCs w:val="1"/>
                <w:color w:val="auto"/>
              </w:rPr>
            </w:pPr>
          </w:p>
        </w:tc>
      </w:tr>
      <w:tr>
        <w:trPr>
          <w:trHeight w:val="22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2,244,882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2,202,511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934,052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863,277</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Cost of revenue (1)</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525,891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460,476</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84,886</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Marketing and selling expense (1)</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223,865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210,398</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53,996</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4,252</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 (1)</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0"/>
        </w:trPr>
        <w:tc>
          <w:tcPr>
            <w:tcW w:w="80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26,020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48,971</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(28,066)</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24,358</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17,838</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6,520</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Net (income) loss attributable to noncontrolling interests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2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Cimpress plc</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60" w:type="dxa"/>
            <w:vAlign w:val="bottom"/>
          </w:tcPr>
          <w:p>
            <w:pPr>
              <w:ind w:left="20"/>
              <w:spacing w:after="0" w:line="180" w:lineRule="exact"/>
              <w:rPr>
                <w:sz w:val="20"/>
                <w:szCs w:val="20"/>
                <w:color w:val="auto"/>
              </w:rPr>
            </w:pPr>
            <w:r>
              <w:rPr>
                <w:rFonts w:ascii="Arial" w:cs="Arial" w:eastAsia="Arial" w:hAnsi="Arial"/>
                <w:sz w:val="16"/>
                <w:szCs w:val="16"/>
                <w:color w:val="auto"/>
              </w:rPr>
              <w:t>Basic net (loss) income per share attributable to Cimpress plc</w:t>
            </w: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(0.11)</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income per share attributable to Cimpress plc</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06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24,484,986</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24,574,455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24,484,986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25,051,742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060" w:type="dxa"/>
            <w:vAlign w:val="bottom"/>
          </w:tcPr>
          <w:p>
            <w:pPr>
              <w:spacing w:after="0"/>
              <w:rPr>
                <w:sz w:val="20"/>
                <w:szCs w:val="20"/>
                <w:color w:val="auto"/>
              </w:rPr>
            </w:pPr>
            <w:r>
              <w:rPr>
                <w:rFonts w:ascii="Arial" w:cs="Arial" w:eastAsia="Arial" w:hAnsi="Arial"/>
                <w:sz w:val="14"/>
                <w:szCs w:val="14"/>
                <w:color w:val="auto"/>
              </w:rPr>
              <w:t>(1) Share-based compensation expense is allocated as follows:</w:t>
            </w: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8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Technology and development expense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4,941</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selling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6,955</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960" w:type="dxa"/>
            <w:vAlign w:val="bottom"/>
            <w:shd w:val="clear" w:color="auto" w:fill="CCEEFF"/>
          </w:tcPr>
          <w:p>
            <w:pPr>
              <w:jc w:val="right"/>
              <w:ind w:right="786"/>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6,520</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losses, net of hedges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Net unrealized gains on derivative instruments designated and qualifying as cash flow hedges</w:t>
            </w:r>
          </w:p>
        </w:tc>
        <w:tc>
          <w:tcPr>
            <w:tcW w:w="9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rPr>
              <w:t>Amounts reclassified from accumulated other comprehensive income (loss) to net (loss) income for derivative</w:t>
            </w:r>
          </w:p>
        </w:tc>
        <w:tc>
          <w:tcPr>
            <w:tcW w:w="9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instruments</w:t>
            </w:r>
          </w:p>
        </w:tc>
        <w:tc>
          <w:tcPr>
            <w:tcW w:w="9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unrealized losses on derivative instruments designated and qualifying as fair value hedges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5,568</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Add: Comprehensive (income) loss attributable to noncontrolling interests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2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(loss) income attributable to Cimpress plc</w:t>
            </w:r>
          </w:p>
        </w:tc>
        <w:tc>
          <w:tcPr>
            <w:tcW w:w="96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 w:name="page6"/>
    <w:bookmarkEnd w:id="5"/>
    <w:p>
      <w:pPr>
        <w:ind w:left="498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CONSOLIDATED STATEMENTS OF SHAREHOLDERS' DEFICIT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9"/>
          </w:tcPr>
          <w:p>
            <w:pPr>
              <w:ind w:left="540"/>
              <w:spacing w:after="0"/>
              <w:rPr>
                <w:sz w:val="20"/>
                <w:szCs w:val="20"/>
                <w:color w:val="auto"/>
              </w:rPr>
            </w:pPr>
            <w:r>
              <w:rPr>
                <w:rFonts w:ascii="Arial" w:cs="Arial" w:eastAsia="Arial" w:hAnsi="Arial"/>
                <w:sz w:val="12"/>
                <w:szCs w:val="12"/>
                <w:b w:val="1"/>
                <w:bCs w:val="1"/>
                <w:color w:val="auto"/>
              </w:rPr>
              <w:t>Ordinary Shares</w:t>
            </w:r>
          </w:p>
        </w:tc>
        <w:tc>
          <w:tcPr>
            <w:tcW w:w="2280" w:type="dxa"/>
            <w:vAlign w:val="bottom"/>
            <w:gridSpan w:val="8"/>
          </w:tcPr>
          <w:p>
            <w:pPr>
              <w:jc w:val="center"/>
              <w:ind w:right="100"/>
              <w:spacing w:after="0"/>
              <w:rPr>
                <w:sz w:val="20"/>
                <w:szCs w:val="20"/>
                <w:color w:val="auto"/>
              </w:rPr>
            </w:pPr>
            <w:r>
              <w:rPr>
                <w:rFonts w:ascii="Arial" w:cs="Arial" w:eastAsia="Arial" w:hAnsi="Arial"/>
                <w:sz w:val="12"/>
                <w:szCs w:val="12"/>
                <w:b w:val="1"/>
                <w:bCs w:val="1"/>
                <w:color w:val="auto"/>
                <w:w w:val="99"/>
              </w:rPr>
              <w:t>Treasury Shares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auto"/>
            </w:tcBorders>
            <w:gridSpan w:val="4"/>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6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0"/>
                <w:szCs w:val="10"/>
                <w:color w:val="auto"/>
              </w:rPr>
            </w:pPr>
          </w:p>
        </w:tc>
        <w:tc>
          <w:tcPr>
            <w:tcW w:w="1340" w:type="dxa"/>
            <w:vAlign w:val="bottom"/>
            <w:gridSpan w:val="4"/>
          </w:tcPr>
          <w:p>
            <w:pPr>
              <w:jc w:val="center"/>
              <w:ind w:right="22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gridSpan w:val="4"/>
            <w:vMerge w:val="restart"/>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4"/>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96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3"/>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4"/>
                <w:szCs w:val="4"/>
                <w:color w:val="auto"/>
              </w:rPr>
            </w:pPr>
          </w:p>
        </w:tc>
        <w:tc>
          <w:tcPr>
            <w:tcW w:w="940" w:type="dxa"/>
            <w:vAlign w:val="bottom"/>
            <w:gridSpan w:val="2"/>
            <w:vMerge w:val="restart"/>
          </w:tcPr>
          <w:p>
            <w:pPr>
              <w:jc w:val="center"/>
              <w:ind w:right="260"/>
              <w:spacing w:after="0" w:line="117" w:lineRule="exact"/>
              <w:rPr>
                <w:sz w:val="20"/>
                <w:szCs w:val="20"/>
                <w:color w:val="auto"/>
              </w:rPr>
            </w:pPr>
            <w:r>
              <w:rPr>
                <w:rFonts w:ascii="Arial" w:cs="Arial" w:eastAsia="Arial" w:hAnsi="Arial"/>
                <w:sz w:val="12"/>
                <w:szCs w:val="12"/>
                <w:b w:val="1"/>
                <w:bCs w:val="1"/>
                <w:color w:val="auto"/>
                <w:w w:val="99"/>
              </w:rPr>
              <w:t>Paid-in</w:t>
            </w: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4"/>
            <w:vMerge w:val="restart"/>
          </w:tcPr>
          <w:p>
            <w:pPr>
              <w:jc w:val="center"/>
              <w:ind w:right="22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gridSpan w:val="2"/>
            <w:vMerge w:val="restart"/>
          </w:tcPr>
          <w:p>
            <w:pPr>
              <w:jc w:val="center"/>
              <w:ind w:right="180"/>
              <w:spacing w:after="0" w:line="117"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99"/>
              </w:rPr>
              <w:t>Issued</w:t>
            </w:r>
          </w:p>
        </w:tc>
        <w:tc>
          <w:tcPr>
            <w:tcW w:w="100" w:type="dxa"/>
            <w:vAlign w:val="bottom"/>
            <w:gridSpan w:val="2"/>
            <w:vMerge w:val="restart"/>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 Issued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9"/>
              </w:rPr>
              <w:t>Loss</w:t>
            </w:r>
          </w:p>
        </w:tc>
        <w:tc>
          <w:tcPr>
            <w:tcW w:w="100" w:type="dxa"/>
            <w:vAlign w:val="bottom"/>
            <w:gridSpan w:val="2"/>
            <w:vMerge w:val="restart"/>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8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gridSpan w:val="2"/>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gridSpan w:val="2"/>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June 30, 2025</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(1,363,550)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592,315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(37,969)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(583,490)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60" w:type="dxa"/>
            <w:vAlign w:val="bottom"/>
            <w:gridSpan w:val="2"/>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4"/>
            <w:vMerge w:val="restart"/>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60" w:type="dxa"/>
            <w:vAlign w:val="bottom"/>
            <w:gridSpan w:val="2"/>
            <w:shd w:val="clear" w:color="auto" w:fill="CCEEFF"/>
          </w:tcPr>
          <w:p>
            <w:pPr>
              <w:ind w:left="20"/>
              <w:spacing w:after="0" w:line="150" w:lineRule="exact"/>
              <w:rPr>
                <w:sz w:val="20"/>
                <w:szCs w:val="20"/>
                <w:color w:val="auto"/>
              </w:rPr>
            </w:pPr>
            <w:r>
              <w:rPr>
                <w:rFonts w:ascii="Arial" w:cs="Arial" w:eastAsia="Arial" w:hAnsi="Arial"/>
                <w:sz w:val="14"/>
                <w:szCs w:val="14"/>
                <w:color w:val="auto"/>
              </w:rPr>
              <w:t>Purchase and cancellation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3"/>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4"/>
            <w:vMerge w:val="restart"/>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ordinary shares</w:t>
            </w:r>
          </w:p>
        </w:tc>
        <w:tc>
          <w:tcPr>
            <w:tcW w:w="9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4"/>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60" w:type="dxa"/>
            <w:vAlign w:val="bottom"/>
            <w:gridSpan w:val="2"/>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2"/>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(6,707)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4"/>
            <w:vMerge w:val="restart"/>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(6,703)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 compensation</w:t>
            </w:r>
          </w:p>
        </w:tc>
        <w:tc>
          <w:tcPr>
            <w:tcW w:w="10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3"/>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14,474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4"/>
            <w:vMerge w:val="restart"/>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14,474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60" w:type="dxa"/>
            <w:vAlign w:val="bottom"/>
            <w:gridSpan w:val="4"/>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4"/>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4"/>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60" w:type="dxa"/>
            <w:vAlign w:val="bottom"/>
            <w:gridSpan w:val="2"/>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6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7,637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vMerge w:val="restart"/>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7,637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Cimpress plc</w:t>
            </w:r>
          </w:p>
        </w:tc>
        <w:tc>
          <w:tcPr>
            <w:tcW w:w="106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60" w:type="dxa"/>
            <w:vAlign w:val="bottom"/>
            <w:gridSpan w:val="2"/>
            <w:shd w:val="clear" w:color="auto" w:fill="CCEEFF"/>
          </w:tcPr>
          <w:p>
            <w:pPr>
              <w:ind w:left="20"/>
              <w:spacing w:after="0" w:line="150" w:lineRule="exact"/>
              <w:rPr>
                <w:sz w:val="20"/>
                <w:szCs w:val="20"/>
                <w:color w:val="auto"/>
              </w:rPr>
            </w:pPr>
            <w:r>
              <w:rPr>
                <w:rFonts w:ascii="Arial" w:cs="Arial" w:eastAsia="Arial" w:hAnsi="Arial"/>
                <w:sz w:val="14"/>
                <w:szCs w:val="14"/>
                <w:color w:val="auto"/>
              </w:rPr>
              <w:t>Net unrealized loss on</w:t>
            </w: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6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60" w:type="dxa"/>
            <w:vAlign w:val="bottom"/>
            <w:gridSpan w:val="4"/>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4"/>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60" w:type="dxa"/>
            <w:vAlign w:val="bottom"/>
            <w:gridSpan w:val="2"/>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spacing w:after="0"/>
              <w:rPr>
                <w:sz w:val="13"/>
                <w:szCs w:val="13"/>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(527)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of hedges</w:t>
            </w:r>
          </w:p>
        </w:tc>
        <w:tc>
          <w:tcPr>
            <w:tcW w:w="9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42,639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3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(1,363,550)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599,916</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230,703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(38,925)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(571,256)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2025</w:t>
            </w:r>
          </w:p>
        </w:tc>
        <w:tc>
          <w:tcPr>
            <w:tcW w:w="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June 30, 2026</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42,319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596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(17,971)</w:t>
            </w:r>
          </w:p>
        </w:tc>
        <w:tc>
          <w:tcPr>
            <w:tcW w:w="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(1,363,550)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623,454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279,418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(33,903)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gridSpan w:val="2"/>
          </w:tcPr>
          <w:p>
            <w:pPr>
              <w:spacing w:after="0" w:line="143" w:lineRule="exact"/>
              <w:rPr>
                <w:sz w:val="20"/>
                <w:szCs w:val="20"/>
                <w:color w:val="auto"/>
              </w:rPr>
            </w:pPr>
            <w:r>
              <w:rPr>
                <w:rFonts w:ascii="Arial" w:cs="Arial" w:eastAsia="Arial" w:hAnsi="Arial"/>
                <w:sz w:val="14"/>
                <w:szCs w:val="14"/>
                <w:color w:val="auto"/>
              </w:rPr>
              <w:t>Issuance of ordinary shares</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60" w:type="dxa"/>
            <w:vAlign w:val="bottom"/>
            <w:gridSpan w:val="2"/>
          </w:tcPr>
          <w:p>
            <w:pPr>
              <w:spacing w:after="0" w:line="137" w:lineRule="exact"/>
              <w:rPr>
                <w:sz w:val="20"/>
                <w:szCs w:val="20"/>
                <w:color w:val="auto"/>
              </w:rPr>
            </w:pPr>
            <w:r>
              <w:rPr>
                <w:rFonts w:ascii="Arial" w:cs="Arial" w:eastAsia="Arial" w:hAnsi="Arial"/>
                <w:sz w:val="14"/>
                <w:szCs w:val="14"/>
                <w:color w:val="auto"/>
                <w:w w:val="98"/>
              </w:rPr>
              <w:t>due to share option exercises,</w:t>
            </w: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2"/>
          </w:tcPr>
          <w:p>
            <w:pPr>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Share-based awards vested,</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spacing w:after="0" w:line="137"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(13,761)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taxes</w:t>
            </w:r>
          </w:p>
        </w:tc>
        <w:tc>
          <w:tcPr>
            <w:tcW w:w="9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gridSpan w:val="2"/>
          </w:tcPr>
          <w:p>
            <w:pPr>
              <w:spacing w:after="0" w:line="143" w:lineRule="exact"/>
              <w:rPr>
                <w:sz w:val="20"/>
                <w:szCs w:val="20"/>
                <w:color w:val="auto"/>
              </w:rPr>
            </w:pPr>
            <w:r>
              <w:rPr>
                <w:rFonts w:ascii="Arial" w:cs="Arial" w:eastAsia="Arial" w:hAnsi="Arial"/>
                <w:sz w:val="14"/>
                <w:szCs w:val="14"/>
                <w:color w:val="auto"/>
              </w:rPr>
              <w:t>Share-based compensation</w:t>
            </w:r>
          </w:p>
        </w:tc>
        <w:tc>
          <w:tcPr>
            <w:tcW w:w="106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15,439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15,439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106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Net loss attributable to</w:t>
            </w:r>
          </w:p>
        </w:tc>
        <w:tc>
          <w:tcPr>
            <w:tcW w:w="10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Cimpress plc</w:t>
            </w:r>
          </w:p>
        </w:tc>
        <w:tc>
          <w:tcPr>
            <w:tcW w:w="1060" w:type="dxa"/>
            <w:vAlign w:val="bottom"/>
            <w:gridSpan w:val="4"/>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4"/>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4"/>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gridSpan w:val="2"/>
          </w:tcPr>
          <w:p>
            <w:pPr>
              <w:spacing w:after="0" w:line="143" w:lineRule="exact"/>
              <w:rPr>
                <w:sz w:val="20"/>
                <w:szCs w:val="20"/>
                <w:color w:val="auto"/>
              </w:rPr>
            </w:pPr>
            <w:r>
              <w:rPr>
                <w:rFonts w:ascii="Arial" w:cs="Arial" w:eastAsia="Arial" w:hAnsi="Arial"/>
                <w:sz w:val="14"/>
                <w:szCs w:val="14"/>
                <w:color w:val="auto"/>
              </w:rPr>
              <w:t>Redeemable noncontrolling</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60" w:type="dxa"/>
            <w:vAlign w:val="bottom"/>
            <w:gridSpan w:val="2"/>
          </w:tcPr>
          <w:p>
            <w:pPr>
              <w:spacing w:after="0" w:line="137" w:lineRule="exact"/>
              <w:rPr>
                <w:sz w:val="20"/>
                <w:szCs w:val="20"/>
                <w:color w:val="auto"/>
              </w:rPr>
            </w:pPr>
            <w:r>
              <w:rPr>
                <w:rFonts w:ascii="Arial" w:cs="Arial" w:eastAsia="Arial" w:hAnsi="Arial"/>
                <w:sz w:val="14"/>
                <w:szCs w:val="14"/>
                <w:color w:val="auto"/>
              </w:rPr>
              <w:t>interest accretion to</w:t>
            </w:r>
          </w:p>
        </w:tc>
        <w:tc>
          <w:tcPr>
            <w:tcW w:w="106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redemption value</w:t>
            </w:r>
          </w:p>
        </w:tc>
        <w:tc>
          <w:tcPr>
            <w:tcW w:w="106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Decrease in noncontrolling</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spacing w:after="0" w:line="137" w:lineRule="exact"/>
              <w:rPr>
                <w:sz w:val="20"/>
                <w:szCs w:val="20"/>
                <w:color w:val="auto"/>
              </w:rPr>
            </w:pPr>
            <w:r>
              <w:rPr>
                <w:rFonts w:ascii="Arial" w:cs="Arial" w:eastAsia="Arial" w:hAnsi="Arial"/>
                <w:sz w:val="14"/>
                <w:szCs w:val="14"/>
                <w:color w:val="auto"/>
              </w:rPr>
              <w:t>interest due to share</w:t>
            </w:r>
          </w:p>
        </w:tc>
        <w:tc>
          <w:tcPr>
            <w:tcW w:w="10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purchase</w:t>
            </w:r>
          </w:p>
        </w:tc>
        <w:tc>
          <w:tcPr>
            <w:tcW w:w="106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4"/>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gridSpan w:val="2"/>
          </w:tcPr>
          <w:p>
            <w:pPr>
              <w:spacing w:after="0" w:line="143" w:lineRule="exact"/>
              <w:rPr>
                <w:sz w:val="20"/>
                <w:szCs w:val="20"/>
                <w:color w:val="auto"/>
              </w:rPr>
            </w:pPr>
            <w:r>
              <w:rPr>
                <w:rFonts w:ascii="Arial" w:cs="Arial" w:eastAsia="Arial" w:hAnsi="Arial"/>
                <w:sz w:val="14"/>
                <w:szCs w:val="14"/>
                <w:color w:val="auto"/>
              </w:rPr>
              <w:t>Net unrealized gain on</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60" w:type="dxa"/>
            <w:vAlign w:val="bottom"/>
            <w:gridSpan w:val="2"/>
          </w:tcPr>
          <w:p>
            <w:pPr>
              <w:spacing w:after="0" w:line="137" w:lineRule="exact"/>
              <w:rPr>
                <w:sz w:val="20"/>
                <w:szCs w:val="20"/>
                <w:color w:val="auto"/>
              </w:rPr>
            </w:pPr>
            <w:r>
              <w:rPr>
                <w:rFonts w:ascii="Arial" w:cs="Arial" w:eastAsia="Arial" w:hAnsi="Arial"/>
                <w:sz w:val="14"/>
                <w:szCs w:val="14"/>
                <w:color w:val="auto"/>
              </w:rPr>
              <w:t>derivative instruments</w:t>
            </w: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2"/>
          </w:tcPr>
          <w:p>
            <w:pPr>
              <w:spacing w:after="0" w:line="136" w:lineRule="exact"/>
              <w:rPr>
                <w:sz w:val="20"/>
                <w:szCs w:val="20"/>
                <w:color w:val="auto"/>
              </w:rPr>
            </w:pPr>
            <w:r>
              <w:rPr>
                <w:rFonts w:ascii="Arial" w:cs="Arial" w:eastAsia="Arial" w:hAnsi="Arial"/>
                <w:sz w:val="14"/>
                <w:szCs w:val="14"/>
                <w:color w:val="auto"/>
              </w:rPr>
              <w:t>designated and qualifying as</w:t>
            </w:r>
          </w:p>
        </w:tc>
        <w:tc>
          <w:tcPr>
            <w:tcW w:w="106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2,046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2,046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cash flow hedges</w:t>
            </w:r>
          </w:p>
        </w:tc>
        <w:tc>
          <w:tcPr>
            <w:tcW w:w="106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Net unrealized loss on</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spacing w:after="0" w:line="137" w:lineRule="exact"/>
              <w:rPr>
                <w:sz w:val="20"/>
                <w:szCs w:val="20"/>
                <w:color w:val="auto"/>
              </w:rPr>
            </w:pPr>
            <w:r>
              <w:rPr>
                <w:rFonts w:ascii="Arial" w:cs="Arial" w:eastAsia="Arial" w:hAnsi="Arial"/>
                <w:sz w:val="14"/>
                <w:szCs w:val="14"/>
                <w:color w:val="auto"/>
              </w:rPr>
              <w:t>derivative instruments</w:t>
            </w: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designated and qualifying as</w:t>
            </w:r>
          </w:p>
        </w:tc>
        <w:tc>
          <w:tcPr>
            <w:tcW w:w="10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 value hedges</w:t>
            </w:r>
          </w:p>
        </w:tc>
        <w:tc>
          <w:tcPr>
            <w:tcW w:w="1060" w:type="dxa"/>
            <w:vAlign w:val="bottom"/>
            <w:gridSpan w:val="4"/>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4"/>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gridSpan w:val="2"/>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94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(4,536)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of hedges</w:t>
            </w: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Balance at September 30,</w:t>
            </w:r>
          </w:p>
        </w:tc>
        <w:tc>
          <w:tcPr>
            <w:tcW w:w="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42,590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599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(17,971)</w:t>
            </w:r>
          </w:p>
        </w:tc>
        <w:tc>
          <w:tcPr>
            <w:tcW w:w="20" w:type="dxa"/>
            <w:vAlign w:val="bottom"/>
            <w:shd w:val="clear" w:color="auto" w:fill="CCEEFF"/>
          </w:tcPr>
          <w:p>
            <w:pPr>
              <w:spacing w:after="0"/>
              <w:rPr>
                <w:sz w:val="10"/>
                <w:szCs w:val="10"/>
                <w:color w:val="auto"/>
              </w:rPr>
            </w:pPr>
          </w:p>
        </w:tc>
        <w:tc>
          <w:tcPr>
            <w:tcW w:w="320" w:type="dxa"/>
            <w:vAlign w:val="bottom"/>
            <w:gridSpan w:val="3"/>
            <w:vMerge w:val="restart"/>
            <w:shd w:val="clear" w:color="auto" w:fill="CCEEFF"/>
          </w:tcPr>
          <w:p>
            <w:pPr>
              <w:jc w:val="center"/>
              <w:ind w:right="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(1,363,550)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624,893</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275,690</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(36,883)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(499,251)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2026</w:t>
            </w:r>
          </w:p>
        </w:tc>
        <w:tc>
          <w:tcPr>
            <w:tcW w:w="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367"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Three Months Ended September 30,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6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2"/>
                <w:szCs w:val="12"/>
                <w:b w:val="1"/>
                <w:bCs w:val="1"/>
                <w:color w:val="auto"/>
              </w:rPr>
              <w:t>2025</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6,520</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44,280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36,618</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14,793</w:t>
            </w: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Deferred taxes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2,772</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gain on derivatives not designated as hedging instruments included in net (loss) income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(6,143)</w:t>
            </w: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 currency</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(1,533)</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items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r>
      <w:tr>
        <w:trPr>
          <w:trHeight w:val="207"/>
        </w:trPr>
        <w:tc>
          <w:tcPr>
            <w:tcW w:w="80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80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(12,648)</w:t>
            </w:r>
          </w:p>
        </w:tc>
      </w:tr>
      <w:tr>
        <w:trPr>
          <w:trHeight w:val="207"/>
        </w:trPr>
        <w:tc>
          <w:tcPr>
            <w:tcW w:w="8060" w:type="dxa"/>
            <w:vAlign w:val="bottom"/>
          </w:tcPr>
          <w:p>
            <w:pPr>
              <w:ind w:left="520"/>
              <w:spacing w:after="0"/>
              <w:rPr>
                <w:sz w:val="20"/>
                <w:szCs w:val="20"/>
                <w:color w:val="auto"/>
              </w:rPr>
            </w:pPr>
            <w:r>
              <w:rPr>
                <w:rFonts w:ascii="Arial" w:cs="Arial" w:eastAsia="Arial" w:hAnsi="Arial"/>
                <w:sz w:val="16"/>
                <w:szCs w:val="16"/>
                <w:color w:val="auto"/>
              </w:rPr>
              <w:t>Inventory</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(10,635)</w:t>
            </w:r>
          </w:p>
        </w:tc>
      </w:tr>
      <w:tr>
        <w:trPr>
          <w:trHeight w:val="209"/>
        </w:trPr>
        <w:tc>
          <w:tcPr>
            <w:tcW w:w="80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r>
      <w:tr>
        <w:trPr>
          <w:trHeight w:val="207"/>
        </w:trPr>
        <w:tc>
          <w:tcPr>
            <w:tcW w:w="8060" w:type="dxa"/>
            <w:vAlign w:val="bottom"/>
          </w:tcPr>
          <w:p>
            <w:pPr>
              <w:ind w:left="52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(23,407)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(13,193)</w:t>
            </w:r>
          </w:p>
        </w:tc>
      </w:tr>
      <w:tr>
        <w:trPr>
          <w:trHeight w:val="209"/>
        </w:trPr>
        <w:tc>
          <w:tcPr>
            <w:tcW w:w="80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9,660</w:t>
            </w:r>
          </w:p>
        </w:tc>
      </w:tr>
      <w:tr>
        <w:trPr>
          <w:trHeight w:val="20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25,059</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(26,353)</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acquisitions, net of cash acquired</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(17,286)</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 of assets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the settlement of derivatives designated as hedging instruments</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(169,119)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(42,818)</w:t>
            </w:r>
          </w:p>
        </w:tc>
      </w:tr>
      <w:tr>
        <w:trPr>
          <w:trHeight w:val="188"/>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borrowings of debt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Payments of debt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(69,529)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(3,916)</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finance lease obligations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Purchase of noncontrolling interests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ordinary shares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Purchase of ordinary shares</w:t>
            </w:r>
          </w:p>
        </w:tc>
        <w:tc>
          <w:tcPr>
            <w:tcW w:w="3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(2,726)</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(6,703)</w:t>
            </w:r>
          </w:p>
        </w:tc>
      </w:tr>
      <w:tr>
        <w:trPr>
          <w:trHeight w:val="20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(14,656)</w:t>
            </w: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r>
      <w:tr>
        <w:trPr>
          <w:trHeight w:val="200"/>
        </w:trPr>
        <w:tc>
          <w:tcPr>
            <w:tcW w:w="806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(128,724)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(33,477)</w:t>
            </w:r>
          </w:p>
        </w:tc>
      </w:tr>
      <w:tr>
        <w:trPr>
          <w:trHeight w:val="20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248,851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233,982</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120,127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200,505</w:t>
            </w:r>
          </w:p>
        </w:tc>
      </w:tr>
      <w:tr>
        <w:trPr>
          <w:trHeight w:val="20"/>
        </w:trPr>
        <w:tc>
          <w:tcPr>
            <w:tcW w:w="8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09"/>
        </w:trPr>
        <w:tc>
          <w:tcPr>
            <w:tcW w:w="8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0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7"/>
        </w:trPr>
        <w:tc>
          <w:tcPr>
            <w:tcW w:w="806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37,185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37,480</w:t>
            </w:r>
          </w:p>
        </w:tc>
      </w:tr>
      <w:tr>
        <w:trPr>
          <w:trHeight w:val="209"/>
        </w:trPr>
        <w:tc>
          <w:tcPr>
            <w:tcW w:w="8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received for interest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3,127</w:t>
            </w:r>
          </w:p>
        </w:tc>
      </w:tr>
      <w:tr>
        <w:trPr>
          <w:trHeight w:val="207"/>
        </w:trPr>
        <w:tc>
          <w:tcPr>
            <w:tcW w:w="8060" w:type="dxa"/>
            <w:vAlign w:val="bottom"/>
          </w:tcPr>
          <w:p>
            <w:pPr>
              <w:ind w:left="40"/>
              <w:spacing w:after="0"/>
              <w:rPr>
                <w:sz w:val="20"/>
                <w:szCs w:val="20"/>
                <w:color w:val="auto"/>
              </w:rPr>
            </w:pPr>
            <w:r>
              <w:rPr>
                <w:rFonts w:ascii="Arial" w:cs="Arial" w:eastAsia="Arial" w:hAnsi="Arial"/>
                <w:sz w:val="16"/>
                <w:szCs w:val="16"/>
                <w:color w:val="auto"/>
              </w:rPr>
              <w:t>Cash paid for income taxes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12,813</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1,381</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14,586</w:t>
            </w:r>
          </w:p>
        </w:tc>
      </w:tr>
      <w:tr>
        <w:trPr>
          <w:trHeight w:val="206"/>
        </w:trPr>
        <w:tc>
          <w:tcPr>
            <w:tcW w:w="8060" w:type="dxa"/>
            <w:vAlign w:val="bottom"/>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104775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83" w:lineRule="exact"/>
        <w:rPr>
          <w:sz w:val="20"/>
          <w:szCs w:val="20"/>
          <w:color w:val="auto"/>
        </w:rPr>
      </w:pPr>
    </w:p>
    <w:p>
      <w:pPr>
        <w:ind w:right="120" w:firstLine="623"/>
        <w:spacing w:after="0" w:line="262" w:lineRule="auto"/>
        <w:rPr>
          <w:sz w:val="20"/>
          <w:szCs w:val="20"/>
          <w:color w:val="auto"/>
        </w:rPr>
      </w:pPr>
      <w:r>
        <w:rPr>
          <w:rFonts w:ascii="Arial" w:cs="Arial" w:eastAsia="Arial" w:hAnsi="Arial"/>
          <w:sz w:val="17"/>
          <w:szCs w:val="17"/>
          <w:color w:val="auto"/>
        </w:rPr>
        <w:t>Cimpress plc (the "Company") helps millions of businesses build brands, stand out, and grow via customized physical marketing products and branded merchandise. Cimpress is the global leader in web-to-print mass customization, delivering high-quality, affordable custom products quickly and conveniently—even in low quantities.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that seeks to produce goods and services to meet individual customer needs with near mass production efficiency.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92"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The consolidated financial statements include the accounts of Cimpress plc, its wholly owned subsidiaries, and entities in which we maintain a controlling financial interest.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92"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fair value of redeemable noncontrolling interests, estimated useful lives of assets, share-based compensation, and income taxes and related valuation allowances, among others. By their nature, estimates are subject to an inherent degree of uncertainty. Actual results could differ from those estimates.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Held for Sale</w:t>
      </w:r>
    </w:p>
    <w:p>
      <w:pPr>
        <w:spacing w:after="0" w:line="183" w:lineRule="exact"/>
        <w:rPr>
          <w:sz w:val="20"/>
          <w:szCs w:val="20"/>
          <w:color w:val="auto"/>
        </w:rPr>
      </w:pPr>
    </w:p>
    <w:p>
      <w:pPr>
        <w:ind w:right="20" w:firstLine="623"/>
        <w:spacing w:after="0" w:line="260" w:lineRule="auto"/>
        <w:rPr>
          <w:sz w:val="20"/>
          <w:szCs w:val="20"/>
          <w:color w:val="auto"/>
        </w:rPr>
      </w:pPr>
      <w:r>
        <w:rPr>
          <w:rFonts w:ascii="Arial" w:cs="Arial" w:eastAsia="Arial" w:hAnsi="Arial"/>
          <w:sz w:val="17"/>
          <w:szCs w:val="17"/>
          <w:color w:val="auto"/>
        </w:rPr>
        <w:t>We classify long-lived assets (or disposal groups) as held for sale when management commits to a plan to sell the asset, the asset is available for immediate sale in its present condition, an active program to locate a buyer has been initiated, the sale is probable and expected to be completed within one year, and it is unlikely that significant changes to the plan will be made. Assets and liabilities classified as held for sale are presented separately on the consolidated balance sheet. We evaluate the scope of any planned asset sale to determine whether it represents a strategic shift that has or will have a major effect on our operations and financial results. If this criteria is met, the results of operations for the disposal group are presented as discontinued operations in the consolidated statements of operations. Assets classified as held for sale are measured at the lower of their carrying amount or fair value less estimated costs to sell, and we cease recognizing depreciation and amortization expense on these assets. However, assets acquired in a business combination that meet the held-for-sale criteria at the acquisition date are initially recognized at fair value less estimated costs to sell. Refer to Note 6 for additional details.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Other Income, Net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income, net.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Pr>
          <w:p>
            <w:pPr>
              <w:spacing w:after="0"/>
              <w:rPr>
                <w:sz w:val="14"/>
                <w:szCs w:val="1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r>
      <w:tr>
        <w:trPr>
          <w:trHeight w:val="164"/>
        </w:trPr>
        <w:tc>
          <w:tcPr>
            <w:tcW w:w="80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2026</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2025</w:t>
            </w:r>
          </w:p>
        </w:tc>
        <w:tc>
          <w:tcPr>
            <w:tcW w:w="500" w:type="dxa"/>
            <w:vAlign w:val="bottom"/>
            <w:tcBorders>
              <w:bottom w:val="single" w:sz="8" w:color="auto"/>
            </w:tcBorders>
          </w:tcPr>
          <w:p>
            <w:pPr>
              <w:spacing w:after="0"/>
              <w:rPr>
                <w:sz w:val="14"/>
                <w:szCs w:val="14"/>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on derivatives not designated as hedging instruments (1)</w:t>
            </w:r>
          </w:p>
        </w:tc>
        <w:tc>
          <w:tcPr>
            <w:tcW w:w="960" w:type="dxa"/>
            <w:vAlign w:val="bottom"/>
            <w:shd w:val="clear" w:color="auto" w:fill="CCEEFF"/>
          </w:tcPr>
          <w:p>
            <w:pPr>
              <w:jc w:val="right"/>
              <w:ind w:right="79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6,554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Currency-related losses, net (2)</w:t>
            </w:r>
          </w:p>
        </w:tc>
        <w:tc>
          <w:tcPr>
            <w:tcW w:w="9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(2,817)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0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2,212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96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5,949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r>
      <w:tr>
        <w:trPr>
          <w:trHeight w:val="20"/>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ind w:left="240" w:right="20" w:hanging="236"/>
        <w:spacing w:after="0" w:line="266" w:lineRule="auto"/>
        <w:tabs>
          <w:tab w:leader="none" w:pos="214"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 For contracts not designated as hedging instruments, we realized losses of $1,136 and $2,692 for the three months ended September 30, 2026 and 2025, respectively. Refer to Note 4 for additional details relating to our derivative contracts.</w:t>
      </w:r>
    </w:p>
    <w:p>
      <w:pPr>
        <w:spacing w:after="0" w:line="48" w:lineRule="exact"/>
        <w:rPr>
          <w:rFonts w:ascii="Arial" w:cs="Arial" w:eastAsia="Arial" w:hAnsi="Arial"/>
          <w:sz w:val="14"/>
          <w:szCs w:val="14"/>
          <w:color w:val="auto"/>
        </w:rPr>
      </w:pPr>
    </w:p>
    <w:p>
      <w:pPr>
        <w:ind w:left="240" w:right="220" w:hanging="236"/>
        <w:spacing w:after="0" w:line="281" w:lineRule="auto"/>
        <w:tabs>
          <w:tab w:leader="none" w:pos="214" w:val="left"/>
        </w:tabs>
        <w:numPr>
          <w:ilvl w:val="0"/>
          <w:numId w:val="3"/>
        </w:numPr>
        <w:rPr>
          <w:rFonts w:ascii="Arial" w:cs="Arial" w:eastAsia="Arial" w:hAnsi="Arial"/>
          <w:sz w:val="14"/>
          <w:szCs w:val="14"/>
          <w:color w:val="auto"/>
        </w:rPr>
      </w:pPr>
      <w:r>
        <w:rPr>
          <w:rFonts w:ascii="Arial" w:cs="Arial" w:eastAsia="Arial" w:hAnsi="Arial"/>
          <w:sz w:val="14"/>
          <w:szCs w:val="14"/>
          <w:color w:val="auto"/>
        </w:rPr>
        <w:t>Currency-related losses, net primarily relates to significant non-functional currency intercompany financing relationships that we may change at times and are subject to currency exchange rate volatility.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Income Per Share Attributable to Cimpress plc</w:t>
      </w:r>
    </w:p>
    <w:p>
      <w:pPr>
        <w:spacing w:after="0" w:line="196"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Basic net (loss) income per share attributable to Cimpress plc is computed by dividing net (loss) income attributable to Cimpress plc by the weighted-average number of ordinary shares outstanding for the respective period. Diluted net (loss) income per share attributable to Cimpress plc gives effect to all potentially dilutive securities, including share options, restricted share units (“RSUs”), performance share units ("PSUs"), and warrants,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reconciliation of the weighted-average number of ordinary shares.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8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2"/>
                <w:szCs w:val="12"/>
                <w:b w:val="1"/>
                <w:bCs w:val="1"/>
                <w:color w:val="auto"/>
              </w:rPr>
              <w:t>Three Months Ended September 30,</w:t>
            </w:r>
          </w:p>
        </w:tc>
        <w:tc>
          <w:tcPr>
            <w:tcW w:w="0" w:type="dxa"/>
            <w:vAlign w:val="bottom"/>
          </w:tcPr>
          <w:p>
            <w:pPr>
              <w:spacing w:after="0"/>
              <w:rPr>
                <w:sz w:val="1"/>
                <w:szCs w:val="1"/>
                <w:color w:val="auto"/>
              </w:rPr>
            </w:pPr>
          </w:p>
        </w:tc>
      </w:tr>
      <w:tr>
        <w:trPr>
          <w:trHeight w:val="164"/>
        </w:trPr>
        <w:tc>
          <w:tcPr>
            <w:tcW w:w="80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548"/>
              <w:spacing w:after="0"/>
              <w:rPr>
                <w:sz w:val="20"/>
                <w:szCs w:val="20"/>
                <w:color w:val="auto"/>
              </w:rPr>
            </w:pPr>
            <w:r>
              <w:rPr>
                <w:rFonts w:ascii="Arial" w:cs="Arial" w:eastAsia="Arial" w:hAnsi="Arial"/>
                <w:sz w:val="12"/>
                <w:szCs w:val="12"/>
                <w:b w:val="1"/>
                <w:bCs w:val="1"/>
                <w:color w:val="auto"/>
              </w:rPr>
              <w:t>2026</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 basic</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24,484,986</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24,574,455</w:t>
            </w:r>
          </w:p>
        </w:tc>
        <w:tc>
          <w:tcPr>
            <w:tcW w:w="0" w:type="dxa"/>
            <w:vAlign w:val="bottom"/>
          </w:tcPr>
          <w:p>
            <w:pPr>
              <w:spacing w:after="0"/>
              <w:rPr>
                <w:sz w:val="1"/>
                <w:szCs w:val="1"/>
                <w:color w:val="auto"/>
              </w:rPr>
            </w:pPr>
          </w:p>
        </w:tc>
      </w:tr>
      <w:tr>
        <w:trPr>
          <w:trHeight w:val="207"/>
        </w:trPr>
        <w:tc>
          <w:tcPr>
            <w:tcW w:w="8080" w:type="dxa"/>
            <w:vAlign w:val="bottom"/>
          </w:tcPr>
          <w:p>
            <w:pPr>
              <w:ind w:left="20"/>
              <w:spacing w:after="0"/>
              <w:rPr>
                <w:sz w:val="20"/>
                <w:szCs w:val="20"/>
                <w:color w:val="auto"/>
              </w:rPr>
            </w:pPr>
            <w:r>
              <w:rPr>
                <w:rFonts w:ascii="Arial" w:cs="Arial" w:eastAsia="Arial" w:hAnsi="Arial"/>
                <w:sz w:val="16"/>
                <w:szCs w:val="16"/>
                <w:color w:val="auto"/>
                <w:w w:val="99"/>
              </w:rPr>
              <w:t>Weighted-average shares issuable upon exercise/vesting of outstanding share options/PSUs/RSUs/warrants (1)(2)</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477,287</w:t>
            </w:r>
          </w:p>
        </w:tc>
        <w:tc>
          <w:tcPr>
            <w:tcW w:w="0" w:type="dxa"/>
            <w:vAlign w:val="bottom"/>
          </w:tcPr>
          <w:p>
            <w:pPr>
              <w:spacing w:after="0"/>
              <w:rPr>
                <w:sz w:val="1"/>
                <w:szCs w:val="1"/>
                <w:color w:val="auto"/>
              </w:rPr>
            </w:pPr>
          </w:p>
        </w:tc>
      </w:tr>
      <w:tr>
        <w:trPr>
          <w:trHeight w:val="227"/>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used in computing diluted net (loss) income per share attributable to Cimpress plc</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24,484,986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25,051,742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line="142" w:lineRule="exact"/>
              <w:rPr>
                <w:sz w:val="20"/>
                <w:szCs w:val="20"/>
                <w:color w:val="auto"/>
              </w:rPr>
            </w:pPr>
            <w:r>
              <w:rPr>
                <w:rFonts w:ascii="Arial" w:cs="Arial" w:eastAsia="Arial" w:hAnsi="Arial"/>
                <w:sz w:val="16"/>
                <w:szCs w:val="16"/>
                <w:color w:val="auto"/>
                <w:w w:val="97"/>
              </w:rPr>
              <w:t>Weighted-average anti-dilutive shares excluded from diluted net (loss) income per share attributable to Cimpress plc</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080" w:type="dxa"/>
            <w:vAlign w:val="bottom"/>
            <w:vMerge w:val="continue"/>
          </w:tcPr>
          <w:p>
            <w:pPr>
              <w:spacing w:after="0"/>
              <w:rPr>
                <w:sz w:val="8"/>
                <w:szCs w:val="8"/>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1,692,178</w:t>
            </w:r>
          </w:p>
        </w:tc>
        <w:tc>
          <w:tcPr>
            <w:tcW w:w="120" w:type="dxa"/>
            <w:vAlign w:val="bottom"/>
          </w:tcPr>
          <w:p>
            <w:pPr>
              <w:spacing w:after="0"/>
              <w:rPr>
                <w:sz w:val="8"/>
                <w:szCs w:val="8"/>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1,955,243</w:t>
            </w:r>
          </w:p>
        </w:tc>
        <w:tc>
          <w:tcPr>
            <w:tcW w:w="0" w:type="dxa"/>
            <w:vAlign w:val="bottom"/>
          </w:tcPr>
          <w:p>
            <w:pPr>
              <w:spacing w:after="0"/>
              <w:rPr>
                <w:sz w:val="1"/>
                <w:szCs w:val="1"/>
                <w:color w:val="auto"/>
              </w:rPr>
            </w:pPr>
          </w:p>
        </w:tc>
      </w:tr>
      <w:tr>
        <w:trPr>
          <w:trHeight w:val="205"/>
        </w:trPr>
        <w:tc>
          <w:tcPr>
            <w:tcW w:w="8080" w:type="dxa"/>
            <w:vAlign w:val="bottom"/>
          </w:tcPr>
          <w:p>
            <w:pPr>
              <w:ind w:left="20"/>
              <w:spacing w:after="0"/>
              <w:rPr>
                <w:sz w:val="20"/>
                <w:szCs w:val="20"/>
                <w:color w:val="auto"/>
              </w:rPr>
            </w:pPr>
            <w:r>
              <w:rPr>
                <w:rFonts w:ascii="Arial" w:cs="Arial" w:eastAsia="Arial" w:hAnsi="Arial"/>
                <w:sz w:val="16"/>
                <w:szCs w:val="16"/>
                <w:color w:val="auto"/>
              </w:rPr>
              <w:t>(1)(2)</w:t>
            </w: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1" w:lineRule="exact"/>
        <w:rPr>
          <w:sz w:val="20"/>
          <w:szCs w:val="20"/>
          <w:color w:val="auto"/>
        </w:rPr>
      </w:pPr>
    </w:p>
    <w:p>
      <w:pPr>
        <w:ind w:left="240" w:right="80" w:hanging="236"/>
        <w:spacing w:after="0" w:line="281"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PSUs, RSUs and warrants is excluded from shares used in computed diluted net loss per share as it is anti-dilutive.</w:t>
      </w:r>
    </w:p>
    <w:p>
      <w:pPr>
        <w:spacing w:after="0" w:line="77" w:lineRule="exact"/>
        <w:rPr>
          <w:rFonts w:ascii="Arial" w:cs="Arial" w:eastAsia="Arial" w:hAnsi="Arial"/>
          <w:sz w:val="14"/>
          <w:szCs w:val="14"/>
          <w:color w:val="auto"/>
        </w:rPr>
      </w:pPr>
    </w:p>
    <w:p>
      <w:pPr>
        <w:jc w:val="both"/>
        <w:ind w:left="240" w:right="100" w:hanging="236"/>
        <w:spacing w:after="0" w:line="276"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which included 7-year warrants to purchase 1,055,377 of our ordinary shares with a strike price of $60. The effect of the warrants on our weighted-average shares outstanding for a period is dilutive if the average market price of our ordinary shares during the period was higher than the strike price of the warrants and anti-dilutive if the average market price of our ordinary shares during the period was lower than the strike price of the warrants.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to be Adopted</w:t>
      </w:r>
    </w:p>
    <w:p>
      <w:pPr>
        <w:spacing w:after="0" w:line="194"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In November 2025, the Financial Accounting Standards Board ("FASB") issued Accounting Standards Update No. 2025-09 "Derivatives and Hedging (Topic 815): Hedge Accounting Improvements" (ASU 2025-09), which more closely aligns hedge accounting with the economics of an entity’s risk management activities. The standard will be effective starting with our annual report for the fiscal year ending June 30, 2028, as well as each interim period within that fiscal year. Early adoption is permitted, but we do not intend to early adopt this standard. We do not expect the adoption of this standard to have a material impact on our consolidated financial statements.</w:t>
      </w:r>
    </w:p>
    <w:p>
      <w:pPr>
        <w:spacing w:after="0" w:line="37"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In September 2025, the FASB issued Accounting Standards Update No. 2025-06 "Intangibles - Goodwill and Other - Internal-Use Software (Subtopic 350-40): Targeted Improvements to the Accounting for Internal-Use Software" (ASU 2025-06), which modernizes the accounting guidance for internal-use software costs and requires capitalization of software costs to begin when (1) management has authorized and committed to funding the software project and (2) it is probable that the project will be completed and the software will be used to perform the function intended. The standard will be effective starting with our annual report for the fiscal year ending June 30, 2029, as well as each interim period within that fiscal year. Early adoption is permitted, but we do not intend to early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adopt this standard. We do not expect the adoption of this standard to have a material impact on our consolidated financial statements.</w:t>
      </w:r>
    </w:p>
    <w:p>
      <w:pPr>
        <w:spacing w:after="0" w:line="90"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In November 2024, the FASB issued Accounting Standards Update No. 2024-03 "Income Statement (Subtopic 220-40): Disaggregation of Income Statement Expenses" (ASU 2024-03), which requires disaggregated disclosure of income statement expenses into specified categories. The expanded disclosure requirements will be effective starting with our annual report for the fiscal year ending June 30, 2028, as well as each interim period thereafter. Early adoption is permitted, but we do not intend to early adopt this standard. We do not expect the adoption of this standard to have a material impact on our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196"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29" w:lineRule="exact"/>
        <w:rPr>
          <w:sz w:val="20"/>
          <w:szCs w:val="20"/>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w:t>
      </w:r>
    </w:p>
    <w:p>
      <w:pPr>
        <w:spacing w:after="0" w:line="103" w:lineRule="exact"/>
        <w:rPr>
          <w:rFonts w:ascii="Arial" w:cs="Arial" w:eastAsia="Arial" w:hAnsi="Arial"/>
          <w:sz w:val="17"/>
          <w:szCs w:val="17"/>
          <w:color w:val="auto"/>
        </w:rPr>
      </w:pPr>
    </w:p>
    <w:p>
      <w:pPr>
        <w:ind w:left="620" w:right="180" w:hanging="305"/>
        <w:spacing w:after="0" w:line="275"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and liabilities in active markets,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or similar assets in markets that are not active and inputs that are observable for the asset or liability, either directly or indirectly, for substantially the full term of the financial instrument.</w:t>
      </w:r>
    </w:p>
    <w:p>
      <w:pPr>
        <w:spacing w:after="0" w:line="41"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w:t>
      </w:r>
    </w:p>
    <w:p>
      <w:pPr>
        <w:spacing w:after="0" w:line="90" w:lineRule="exact"/>
        <w:rPr>
          <w:sz w:val="20"/>
          <w:szCs w:val="20"/>
          <w:color w:val="auto"/>
        </w:rPr>
      </w:pPr>
    </w:p>
    <w:p>
      <w:pPr>
        <w:ind w:right="360" w:firstLine="623"/>
        <w:spacing w:after="0" w:line="275"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ind w:left="1040"/>
              <w:spacing w:after="0"/>
              <w:rPr>
                <w:sz w:val="20"/>
                <w:szCs w:val="20"/>
                <w:color w:val="auto"/>
              </w:rPr>
            </w:pPr>
            <w:r>
              <w:rPr>
                <w:rFonts w:ascii="Arial" w:cs="Arial" w:eastAsia="Arial" w:hAnsi="Arial"/>
                <w:sz w:val="12"/>
                <w:szCs w:val="12"/>
                <w:b w:val="1"/>
                <w:bCs w:val="1"/>
                <w:color w:val="auto"/>
              </w:rPr>
              <w:t>September 30, 2026</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center"/>
              <w:ind w:left="213"/>
              <w:spacing w:after="0" w:line="114" w:lineRule="exact"/>
              <w:rPr>
                <w:sz w:val="20"/>
                <w:szCs w:val="20"/>
                <w:color w:val="auto"/>
              </w:rPr>
            </w:pPr>
            <w:r>
              <w:rPr>
                <w:rFonts w:ascii="Arial" w:cs="Arial" w:eastAsia="Arial" w:hAnsi="Arial"/>
                <w:sz w:val="12"/>
                <w:szCs w:val="12"/>
                <w:b w:val="1"/>
                <w:bCs w:val="1"/>
                <w:color w:val="auto"/>
              </w:rPr>
              <w:t>Quoted Prices in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vMerge w:val="restart"/>
          </w:tcPr>
          <w:p>
            <w:pPr>
              <w:jc w:val="center"/>
              <w:ind w:right="16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4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213"/>
              <w:spacing w:after="0" w:line="130" w:lineRule="exact"/>
              <w:rPr>
                <w:sz w:val="20"/>
                <w:szCs w:val="20"/>
                <w:color w:val="auto"/>
              </w:rPr>
            </w:pPr>
            <w:r>
              <w:rPr>
                <w:rFonts w:ascii="Arial" w:cs="Arial" w:eastAsia="Arial" w:hAnsi="Arial"/>
                <w:sz w:val="12"/>
                <w:szCs w:val="12"/>
                <w:b w:val="1"/>
                <w:bCs w:val="1"/>
                <w:color w:val="auto"/>
                <w:w w:val="99"/>
              </w:rPr>
              <w:t>Active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Significant Other</w:t>
            </w:r>
          </w:p>
        </w:tc>
        <w:tc>
          <w:tcPr>
            <w:tcW w:w="2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jc w:val="center"/>
              <w:ind w:left="193"/>
              <w:spacing w:after="0" w:line="117" w:lineRule="exact"/>
              <w:rPr>
                <w:sz w:val="20"/>
                <w:szCs w:val="20"/>
                <w:color w:val="auto"/>
              </w:rPr>
            </w:pPr>
            <w:r>
              <w:rPr>
                <w:rFonts w:ascii="Arial" w:cs="Arial" w:eastAsia="Arial" w:hAnsi="Arial"/>
                <w:sz w:val="12"/>
                <w:szCs w:val="12"/>
                <w:b w:val="1"/>
                <w:bCs w:val="1"/>
                <w:color w:val="auto"/>
              </w:rPr>
              <w:t>Markets for</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center"/>
              <w:ind w:right="14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30"/>
        </w:trPr>
        <w:tc>
          <w:tcPr>
            <w:tcW w:w="48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213"/>
              <w:spacing w:after="0" w:line="130" w:lineRule="exact"/>
              <w:rPr>
                <w:sz w:val="20"/>
                <w:szCs w:val="20"/>
                <w:color w:val="auto"/>
              </w:rPr>
            </w:pPr>
            <w:r>
              <w:rPr>
                <w:rFonts w:ascii="Arial" w:cs="Arial" w:eastAsia="Arial" w:hAnsi="Arial"/>
                <w:sz w:val="12"/>
                <w:szCs w:val="12"/>
                <w:b w:val="1"/>
                <w:bCs w:val="1"/>
                <w:color w:val="auto"/>
              </w:rPr>
              <w:t>Identical Assets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rPr>
              <w:t>Observable Inputs</w:t>
            </w:r>
          </w:p>
        </w:tc>
        <w:tc>
          <w:tcPr>
            <w:tcW w:w="240" w:type="dxa"/>
            <w:vAlign w:val="bottom"/>
          </w:tcPr>
          <w:p>
            <w:pPr>
              <w:spacing w:after="0"/>
              <w:rPr>
                <w:sz w:val="11"/>
                <w:szCs w:val="11"/>
                <w:color w:val="auto"/>
              </w:rPr>
            </w:pPr>
          </w:p>
        </w:tc>
        <w:tc>
          <w:tcPr>
            <w:tcW w:w="1300" w:type="dxa"/>
            <w:vAlign w:val="bottom"/>
          </w:tcPr>
          <w:p>
            <w:pPr>
              <w:jc w:val="center"/>
              <w:ind w:right="148"/>
              <w:spacing w:after="0" w:line="130"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67"/>
        </w:trPr>
        <w:tc>
          <w:tcPr>
            <w:tcW w:w="48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193"/>
              <w:spacing w:after="0"/>
              <w:rPr>
                <w:sz w:val="20"/>
                <w:szCs w:val="20"/>
                <w:color w:val="auto"/>
              </w:rPr>
            </w:pPr>
            <w:r>
              <w:rPr>
                <w:rFonts w:ascii="Arial" w:cs="Arial" w:eastAsia="Arial" w:hAnsi="Arial"/>
                <w:sz w:val="12"/>
                <w:szCs w:val="12"/>
                <w:b w:val="1"/>
                <w:bCs w:val="1"/>
                <w:color w:val="auto"/>
              </w:rPr>
              <w:t>(Level 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(Level 2)</w:t>
            </w:r>
          </w:p>
        </w:tc>
        <w:tc>
          <w:tcPr>
            <w:tcW w:w="240" w:type="dxa"/>
            <w:vAlign w:val="bottom"/>
          </w:tcPr>
          <w:p>
            <w:pPr>
              <w:spacing w:after="0"/>
              <w:rPr>
                <w:sz w:val="14"/>
                <w:szCs w:val="14"/>
                <w:color w:val="auto"/>
              </w:rPr>
            </w:pPr>
          </w:p>
        </w:tc>
        <w:tc>
          <w:tcPr>
            <w:tcW w:w="1300" w:type="dxa"/>
            <w:vAlign w:val="bottom"/>
          </w:tcPr>
          <w:p>
            <w:pPr>
              <w:jc w:val="center"/>
              <w:ind w:right="168"/>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89"/>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9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900" w:type="dxa"/>
            <w:vAlign w:val="bottom"/>
          </w:tcPr>
          <w:p>
            <w:pPr>
              <w:jc w:val="right"/>
              <w:ind w:right="72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12,796</w:t>
            </w:r>
          </w:p>
        </w:tc>
        <w:tc>
          <w:tcPr>
            <w:tcW w:w="100" w:type="dxa"/>
            <w:vAlign w:val="bottom"/>
          </w:tcPr>
          <w:p>
            <w:pPr>
              <w:spacing w:after="0"/>
              <w:rPr>
                <w:sz w:val="17"/>
                <w:szCs w:val="17"/>
                <w:color w:val="auto"/>
              </w:rPr>
            </w:pPr>
          </w:p>
        </w:tc>
        <w:tc>
          <w:tcPr>
            <w:tcW w:w="1280" w:type="dxa"/>
            <w:vAlign w:val="bottom"/>
          </w:tcPr>
          <w:p>
            <w:pPr>
              <w:jc w:val="right"/>
              <w:ind w:right="1093"/>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
              <w:spacing w:after="0"/>
              <w:rPr>
                <w:sz w:val="20"/>
                <w:szCs w:val="20"/>
                <w:color w:val="auto"/>
              </w:rPr>
            </w:pPr>
            <w:r>
              <w:rPr>
                <w:rFonts w:ascii="Arial" w:cs="Arial" w:eastAsia="Arial" w:hAnsi="Arial"/>
                <w:sz w:val="16"/>
                <w:szCs w:val="16"/>
                <w:color w:val="auto"/>
              </w:rPr>
              <w:t>12,796</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13,185</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13,185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80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900" w:type="dxa"/>
            <w:vAlign w:val="bottom"/>
          </w:tcPr>
          <w:p>
            <w:pPr>
              <w:jc w:val="right"/>
              <w:ind w:right="72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25,981</w:t>
            </w:r>
          </w:p>
        </w:tc>
        <w:tc>
          <w:tcPr>
            <w:tcW w:w="100" w:type="dxa"/>
            <w:vAlign w:val="bottom"/>
          </w:tcPr>
          <w:p>
            <w:pPr>
              <w:spacing w:after="0"/>
              <w:rPr>
                <w:sz w:val="17"/>
                <w:szCs w:val="17"/>
                <w:color w:val="auto"/>
              </w:rPr>
            </w:pPr>
          </w:p>
        </w:tc>
        <w:tc>
          <w:tcPr>
            <w:tcW w:w="1280" w:type="dxa"/>
            <w:vAlign w:val="bottom"/>
          </w:tcPr>
          <w:p>
            <w:pPr>
              <w:jc w:val="right"/>
              <w:ind w:right="1093"/>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
              <w:spacing w:after="0"/>
              <w:rPr>
                <w:sz w:val="20"/>
                <w:szCs w:val="20"/>
                <w:color w:val="auto"/>
              </w:rPr>
            </w:pPr>
            <w:r>
              <w:rPr>
                <w:rFonts w:ascii="Arial" w:cs="Arial" w:eastAsia="Arial" w:hAnsi="Arial"/>
                <w:sz w:val="16"/>
                <w:szCs w:val="16"/>
                <w:color w:val="auto"/>
              </w:rPr>
              <w:t>25,981</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8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(22,222)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800" w:type="dxa"/>
            <w:vAlign w:val="bottom"/>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900" w:type="dxa"/>
            <w:vAlign w:val="bottom"/>
          </w:tcPr>
          <w:p>
            <w:pPr>
              <w:jc w:val="right"/>
              <w:ind w:right="72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(26,434)</w:t>
            </w:r>
          </w:p>
        </w:tc>
        <w:tc>
          <w:tcPr>
            <w:tcW w:w="100" w:type="dxa"/>
            <w:vAlign w:val="bottom"/>
          </w:tcPr>
          <w:p>
            <w:pPr>
              <w:spacing w:after="0"/>
              <w:rPr>
                <w:sz w:val="17"/>
                <w:szCs w:val="17"/>
                <w:color w:val="auto"/>
              </w:rPr>
            </w:pPr>
          </w:p>
        </w:tc>
        <w:tc>
          <w:tcPr>
            <w:tcW w:w="1280" w:type="dxa"/>
            <w:vAlign w:val="bottom"/>
          </w:tcPr>
          <w:p>
            <w:pPr>
              <w:jc w:val="right"/>
              <w:ind w:right="1093"/>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(26,434)</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ind w:left="1200"/>
              <w:spacing w:after="0"/>
              <w:rPr>
                <w:sz w:val="20"/>
                <w:szCs w:val="20"/>
                <w:color w:val="auto"/>
              </w:rPr>
            </w:pPr>
            <w:r>
              <w:rPr>
                <w:rFonts w:ascii="Arial" w:cs="Arial" w:eastAsia="Arial" w:hAnsi="Arial"/>
                <w:sz w:val="12"/>
                <w:szCs w:val="12"/>
                <w:b w:val="1"/>
                <w:bCs w:val="1"/>
                <w:color w:val="auto"/>
              </w:rPr>
              <w:t>June 30, 2026</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center"/>
              <w:ind w:left="213"/>
              <w:spacing w:after="0" w:line="114" w:lineRule="exact"/>
              <w:rPr>
                <w:sz w:val="20"/>
                <w:szCs w:val="20"/>
                <w:color w:val="auto"/>
              </w:rPr>
            </w:pPr>
            <w:r>
              <w:rPr>
                <w:rFonts w:ascii="Arial" w:cs="Arial" w:eastAsia="Arial" w:hAnsi="Arial"/>
                <w:sz w:val="12"/>
                <w:szCs w:val="12"/>
                <w:b w:val="1"/>
                <w:bCs w:val="1"/>
                <w:color w:val="auto"/>
              </w:rPr>
              <w:t>Quoted Prices in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vMerge w:val="restart"/>
          </w:tcPr>
          <w:p>
            <w:pPr>
              <w:jc w:val="center"/>
              <w:ind w:right="16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4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213"/>
              <w:spacing w:after="0" w:line="130" w:lineRule="exact"/>
              <w:rPr>
                <w:sz w:val="20"/>
                <w:szCs w:val="20"/>
                <w:color w:val="auto"/>
              </w:rPr>
            </w:pPr>
            <w:r>
              <w:rPr>
                <w:rFonts w:ascii="Arial" w:cs="Arial" w:eastAsia="Arial" w:hAnsi="Arial"/>
                <w:sz w:val="12"/>
                <w:szCs w:val="12"/>
                <w:b w:val="1"/>
                <w:bCs w:val="1"/>
                <w:color w:val="auto"/>
                <w:w w:val="99"/>
              </w:rPr>
              <w:t>Active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Significant Other</w:t>
            </w:r>
          </w:p>
        </w:tc>
        <w:tc>
          <w:tcPr>
            <w:tcW w:w="2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jc w:val="center"/>
              <w:ind w:left="193"/>
              <w:spacing w:after="0" w:line="117" w:lineRule="exact"/>
              <w:rPr>
                <w:sz w:val="20"/>
                <w:szCs w:val="20"/>
                <w:color w:val="auto"/>
              </w:rPr>
            </w:pPr>
            <w:r>
              <w:rPr>
                <w:rFonts w:ascii="Arial" w:cs="Arial" w:eastAsia="Arial" w:hAnsi="Arial"/>
                <w:sz w:val="12"/>
                <w:szCs w:val="12"/>
                <w:b w:val="1"/>
                <w:bCs w:val="1"/>
                <w:color w:val="auto"/>
              </w:rPr>
              <w:t>Markets for</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center"/>
              <w:ind w:right="14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jc w:val="center"/>
              <w:ind w:left="213"/>
              <w:spacing w:after="0" w:line="117" w:lineRule="exact"/>
              <w:rPr>
                <w:sz w:val="20"/>
                <w:szCs w:val="20"/>
                <w:color w:val="auto"/>
              </w:rPr>
            </w:pPr>
            <w:r>
              <w:rPr>
                <w:rFonts w:ascii="Arial" w:cs="Arial" w:eastAsia="Arial" w:hAnsi="Arial"/>
                <w:sz w:val="12"/>
                <w:szCs w:val="12"/>
                <w:b w:val="1"/>
                <w:bCs w:val="1"/>
                <w:color w:val="auto"/>
              </w:rPr>
              <w:t>Identical Assets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rPr>
              <w:t>Observable Inputs</w:t>
            </w:r>
          </w:p>
        </w:tc>
        <w:tc>
          <w:tcPr>
            <w:tcW w:w="240" w:type="dxa"/>
            <w:vAlign w:val="bottom"/>
          </w:tcPr>
          <w:p>
            <w:pPr>
              <w:spacing w:after="0"/>
              <w:rPr>
                <w:sz w:val="10"/>
                <w:szCs w:val="10"/>
                <w:color w:val="auto"/>
              </w:rPr>
            </w:pPr>
          </w:p>
        </w:tc>
        <w:tc>
          <w:tcPr>
            <w:tcW w:w="1300" w:type="dxa"/>
            <w:vAlign w:val="bottom"/>
          </w:tcPr>
          <w:p>
            <w:pPr>
              <w:jc w:val="center"/>
              <w:ind w:right="148"/>
              <w:spacing w:after="0" w:line="117"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78"/>
        </w:trPr>
        <w:tc>
          <w:tcPr>
            <w:tcW w:w="48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ind w:left="193"/>
              <w:spacing w:after="0"/>
              <w:rPr>
                <w:sz w:val="20"/>
                <w:szCs w:val="20"/>
                <w:color w:val="auto"/>
              </w:rPr>
            </w:pPr>
            <w:r>
              <w:rPr>
                <w:rFonts w:ascii="Arial" w:cs="Arial" w:eastAsia="Arial" w:hAnsi="Arial"/>
                <w:sz w:val="12"/>
                <w:szCs w:val="12"/>
                <w:b w:val="1"/>
                <w:bCs w:val="1"/>
                <w:color w:val="auto"/>
              </w:rPr>
              <w:t>(Level 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(Level 2)</w:t>
            </w:r>
          </w:p>
        </w:tc>
        <w:tc>
          <w:tcPr>
            <w:tcW w:w="240" w:type="dxa"/>
            <w:vAlign w:val="bottom"/>
          </w:tcPr>
          <w:p>
            <w:pPr>
              <w:spacing w:after="0"/>
              <w:rPr>
                <w:sz w:val="15"/>
                <w:szCs w:val="15"/>
                <w:color w:val="auto"/>
              </w:rPr>
            </w:pPr>
          </w:p>
        </w:tc>
        <w:tc>
          <w:tcPr>
            <w:tcW w:w="1300" w:type="dxa"/>
            <w:vAlign w:val="bottom"/>
          </w:tcPr>
          <w:p>
            <w:pPr>
              <w:jc w:val="center"/>
              <w:ind w:right="168"/>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92"/>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9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900" w:type="dxa"/>
            <w:vAlign w:val="bottom"/>
          </w:tcPr>
          <w:p>
            <w:pPr>
              <w:jc w:val="right"/>
              <w:ind w:right="72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10,951</w:t>
            </w:r>
          </w:p>
        </w:tc>
        <w:tc>
          <w:tcPr>
            <w:tcW w:w="100" w:type="dxa"/>
            <w:vAlign w:val="bottom"/>
          </w:tcPr>
          <w:p>
            <w:pPr>
              <w:spacing w:after="0"/>
              <w:rPr>
                <w:sz w:val="17"/>
                <w:szCs w:val="17"/>
                <w:color w:val="auto"/>
              </w:rPr>
            </w:pPr>
          </w:p>
        </w:tc>
        <w:tc>
          <w:tcPr>
            <w:tcW w:w="1280" w:type="dxa"/>
            <w:vAlign w:val="bottom"/>
          </w:tcPr>
          <w:p>
            <w:pPr>
              <w:jc w:val="right"/>
              <w:ind w:right="1093"/>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
              <w:spacing w:after="0"/>
              <w:rPr>
                <w:sz w:val="20"/>
                <w:szCs w:val="20"/>
                <w:color w:val="auto"/>
              </w:rPr>
            </w:pPr>
            <w:r>
              <w:rPr>
                <w:rFonts w:ascii="Arial" w:cs="Arial" w:eastAsia="Arial" w:hAnsi="Arial"/>
                <w:sz w:val="16"/>
                <w:szCs w:val="16"/>
                <w:color w:val="auto"/>
              </w:rPr>
              <w:t>10,951</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6,083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80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900" w:type="dxa"/>
            <w:vAlign w:val="bottom"/>
          </w:tcPr>
          <w:p>
            <w:pPr>
              <w:jc w:val="right"/>
              <w:ind w:right="72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17,034</w:t>
            </w:r>
          </w:p>
        </w:tc>
        <w:tc>
          <w:tcPr>
            <w:tcW w:w="100" w:type="dxa"/>
            <w:vAlign w:val="bottom"/>
          </w:tcPr>
          <w:p>
            <w:pPr>
              <w:spacing w:after="0"/>
              <w:rPr>
                <w:sz w:val="17"/>
                <w:szCs w:val="17"/>
                <w:color w:val="auto"/>
              </w:rPr>
            </w:pPr>
          </w:p>
        </w:tc>
        <w:tc>
          <w:tcPr>
            <w:tcW w:w="1280" w:type="dxa"/>
            <w:vAlign w:val="bottom"/>
          </w:tcPr>
          <w:p>
            <w:pPr>
              <w:jc w:val="right"/>
              <w:ind w:right="1093"/>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
              <w:spacing w:after="0"/>
              <w:rPr>
                <w:sz w:val="20"/>
                <w:szCs w:val="20"/>
                <w:color w:val="auto"/>
              </w:rPr>
            </w:pPr>
            <w:r>
              <w:rPr>
                <w:rFonts w:ascii="Arial" w:cs="Arial" w:eastAsia="Arial" w:hAnsi="Arial"/>
                <w:sz w:val="16"/>
                <w:szCs w:val="16"/>
                <w:color w:val="auto"/>
              </w:rPr>
              <w:t>17,034</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8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(24,566)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(2,834)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800" w:type="dxa"/>
            <w:vAlign w:val="bottom"/>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900" w:type="dxa"/>
            <w:vAlign w:val="bottom"/>
          </w:tcPr>
          <w:p>
            <w:pPr>
              <w:jc w:val="right"/>
              <w:ind w:right="72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(30,103)</w:t>
            </w:r>
          </w:p>
        </w:tc>
        <w:tc>
          <w:tcPr>
            <w:tcW w:w="100" w:type="dxa"/>
            <w:vAlign w:val="bottom"/>
          </w:tcPr>
          <w:p>
            <w:pPr>
              <w:spacing w:after="0"/>
              <w:rPr>
                <w:sz w:val="17"/>
                <w:szCs w:val="17"/>
                <w:color w:val="auto"/>
              </w:rPr>
            </w:pPr>
          </w:p>
        </w:tc>
        <w:tc>
          <w:tcPr>
            <w:tcW w:w="1280" w:type="dxa"/>
            <w:vAlign w:val="bottom"/>
          </w:tcPr>
          <w:p>
            <w:pPr>
              <w:jc w:val="right"/>
              <w:ind w:right="1093"/>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(30,103)</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40" w:firstLine="623"/>
        <w:spacing w:after="0" w:line="295" w:lineRule="auto"/>
        <w:rPr>
          <w:sz w:val="20"/>
          <w:szCs w:val="20"/>
          <w:color w:val="auto"/>
        </w:rPr>
      </w:pPr>
      <w:r>
        <w:rPr>
          <w:rFonts w:ascii="Arial" w:cs="Arial" w:eastAsia="Arial" w:hAnsi="Arial"/>
          <w:sz w:val="17"/>
          <w:szCs w:val="17"/>
          <w:color w:val="auto"/>
        </w:rPr>
        <w:t>During the three months ended September 30, 2026 and 2025, there were no significant transfers in or out of Level 1, Level 2, and Level 3 classifications.</w:t>
      </w:r>
    </w:p>
    <w:p>
      <w:pPr>
        <w:spacing w:after="0" w:line="26"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In the fair value measurements, we incorporate credit valuation adjustments to appropriately reflect both our own nonperformance risk and the respective counterparties' nonperformance risk, and in doing so, we have considered the impact of netting and any applicable credit enhancements.</w:t>
      </w:r>
    </w:p>
    <w:p>
      <w:pPr>
        <w:spacing w:after="0" w:line="39" w:lineRule="exact"/>
        <w:rPr>
          <w:sz w:val="20"/>
          <w:szCs w:val="20"/>
          <w:color w:val="auto"/>
        </w:rPr>
      </w:pPr>
    </w:p>
    <w:p>
      <w:pPr>
        <w:ind w:right="120" w:firstLine="623"/>
        <w:spacing w:after="0" w:line="265"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September 30, 2026, we have assessed the impact of the credit valuation adjustments and determined that it is not significant to the overall valuation of our derivatives and, as a result, that our derivative valuations in their entirety are classified in Level 2 in the fair value hierarchy.</w:t>
      </w:r>
    </w:p>
    <w:p>
      <w:pPr>
        <w:spacing w:after="0" w:line="50" w:lineRule="exact"/>
        <w:rPr>
          <w:sz w:val="20"/>
          <w:szCs w:val="20"/>
          <w:color w:val="auto"/>
        </w:rPr>
      </w:pPr>
    </w:p>
    <w:p>
      <w:pPr>
        <w:ind w:right="160" w:firstLine="623"/>
        <w:spacing w:after="0" w:line="261" w:lineRule="auto"/>
        <w:rPr>
          <w:sz w:val="20"/>
          <w:szCs w:val="20"/>
          <w:color w:val="auto"/>
        </w:rPr>
      </w:pPr>
      <w:r>
        <w:rPr>
          <w:rFonts w:ascii="Arial" w:cs="Arial" w:eastAsia="Arial" w:hAnsi="Arial"/>
          <w:sz w:val="17"/>
          <w:szCs w:val="17"/>
          <w:color w:val="auto"/>
        </w:rPr>
        <w:t>As of September 30, 2026 and June 30, 2026, the carrying amounts of our cash and cash equivalents, accounts receivable, accounts payable, and other current liabilities approximated their estimated fair values. As of September 30, 2026 and June 30, 2026, the carrying value of our debt, excluding debt issuance costs and debt premiums and discounts, was $1,667,631 and $1,636,404, respectively, and the fair value was $1,654,812 and $ 1,643,976, respectively. Our debt at September 30, 2026 includes variable-rate debt instruments indexed to Term SOFR that reset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57"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The estimated fair value of assets and liabilities disclosed above may not be representative of actual values that could have been or will be realized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Derivative Financial Instruments</w:t>
      </w:r>
    </w:p>
    <w:p>
      <w:pPr>
        <w:spacing w:after="0" w:line="183" w:lineRule="exact"/>
        <w:rPr>
          <w:sz w:val="20"/>
          <w:szCs w:val="20"/>
          <w:color w:val="auto"/>
        </w:rPr>
      </w:pPr>
    </w:p>
    <w:p>
      <w:pPr>
        <w:ind w:right="100" w:firstLine="623"/>
        <w:spacing w:after="0" w:line="260" w:lineRule="auto"/>
        <w:rPr>
          <w:sz w:val="20"/>
          <w:szCs w:val="20"/>
          <w:color w:val="auto"/>
        </w:rPr>
      </w:pPr>
      <w:r>
        <w:rPr>
          <w:rFonts w:ascii="Arial" w:cs="Arial" w:eastAsia="Arial" w:hAnsi="Arial"/>
          <w:sz w:val="17"/>
          <w:szCs w:val="17"/>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fair value hedge, or net investment hedge, then the change in the fair value of the derivative is recorded in accumulated other comprehensive loss and subsequently reclassified into earnings in the period the hedged forecasted transaction affects earnings. We previously had designated an intercompany loan as a net investment hedge, and any unrealized currency gains and losses on the loan were recorded in accumulated other comprehensive loss. Additionally, any ineffectiveness associated with an effective and designated hedge is recognized within accumulated other comprehensive loss. The change in the fair value of derivatives not designated as hedges is recognized directly in earnings as a component of other income, net.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Hedges of Interest Rate Risk</w:t>
      </w:r>
    </w:p>
    <w:p>
      <w:pPr>
        <w:spacing w:after="0" w:line="196"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We enter into interest rate swap contracts to manage variability in the amount of our known or expected cash payments related to a portion of our debt. Our objective in using interest rate swaps is to add stability to interest expense and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44"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As of September 30, 2026, we estimate that $8,380 of income will be reclassified from accumulated other comprehensive loss to interest expense, net during the twelve months ending September 30, 2027. As of September 30, 2026, we had six effective outstanding interest rate swap contracts that were indexed to Term or Daily SOFR. Our interest rate swap contracts have varying start and maturity dates through April 2028.</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Notional Amounts</w:t>
            </w:r>
          </w:p>
        </w:tc>
      </w:tr>
      <w:tr>
        <w:trPr>
          <w:trHeight w:val="20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accruing interest as of September 30, 2026 (1)</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350,000</w:t>
            </w:r>
          </w:p>
        </w:tc>
      </w:tr>
      <w:tr>
        <w:trPr>
          <w:trHeight w:val="207"/>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80,000</w:t>
            </w:r>
          </w:p>
        </w:tc>
      </w:tr>
      <w:tr>
        <w:trPr>
          <w:trHeight w:val="22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430,000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99" w:lineRule="exact"/>
        <w:rPr>
          <w:sz w:val="20"/>
          <w:szCs w:val="20"/>
          <w:color w:val="auto"/>
        </w:rPr>
      </w:pPr>
    </w:p>
    <w:p>
      <w:pPr>
        <w:ind w:left="240" w:right="120" w:hanging="236"/>
        <w:spacing w:after="0" w:line="281" w:lineRule="auto"/>
        <w:tabs>
          <w:tab w:leader="none" w:pos="214"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contracts outstanding as of September 30, 2026, the notional value of our contracted interest rate swaps accruing interest will fluctuate between $320,000 and $380,000 through April 2028 based on layered start dates and maturities.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Currency Risk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Cross-Currency Swap Contracts</w:t>
      </w:r>
    </w:p>
    <w:p>
      <w:pPr>
        <w:spacing w:after="0" w:line="181"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Cross-currency swap contracts designated as net investment hedges are executed to mitigate our currency exposure of net investments in subsidiaries that have reporting currencies other than the U.S. dollar.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50"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As of September 30, 2026, we had one outstanding cross-currency swap contract designated as a net investment hedge with a total notional amount of $254,547, maturing during September 2028. We entered into the cross-currency swap contract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Currency Hedges</w:t>
      </w:r>
    </w:p>
    <w:p>
      <w:pPr>
        <w:spacing w:after="0" w:line="194" w:lineRule="exact"/>
        <w:rPr>
          <w:sz w:val="20"/>
          <w:szCs w:val="20"/>
          <w:color w:val="auto"/>
        </w:rPr>
      </w:pPr>
    </w:p>
    <w:p>
      <w:pPr>
        <w:ind w:right="40" w:firstLine="623"/>
        <w:spacing w:after="0" w:line="275"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w:t>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2026, we had two currency forward contracts designated as net investment hedges with a notional amount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$75,874, with varying start and maturity dates through December 2027. The impact of net investment hedges is recognized in accumulated other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comprehensive loss as a component of translation adjustments, net of hedges, and would only be reclassified to earnings if the hedged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subsidiaries were no longer consolidated entities.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2" w:name="page13"/>
    <w:bookmarkEnd w:id="12"/>
    <w:p>
      <w:pPr>
        <w:ind w:right="20" w:firstLine="623"/>
        <w:spacing w:after="0" w:line="261" w:lineRule="auto"/>
        <w:rPr>
          <w:sz w:val="20"/>
          <w:szCs w:val="20"/>
          <w:color w:val="auto"/>
        </w:rPr>
      </w:pPr>
      <w:r>
        <w:rPr>
          <w:rFonts w:ascii="Arial" w:cs="Arial" w:eastAsia="Arial" w:hAnsi="Arial"/>
          <w:sz w:val="17"/>
          <w:szCs w:val="17"/>
          <w:color w:val="auto"/>
        </w:rPr>
        <w:t>As of September 30, 2026, we had one currency forward contract designated as a fair value hedge with a notional amount of $151,094, maturing during June 2031. The periodic mark-to-market change in the spot exchange rate of fair value hedges is recognized in other income, net, which offsets the mark-to-market foreign currency revaluation of the underlying intercompany loan. We have elected to exclude the forward points component from the assessment of hedge effectiveness. Accordingly, the initial forward points component is recorded in accumulated other comprehensive loss and is amortized on a straight-line basis into other income, net over the life of the forward contract. Any subsequent mark-to-market changes related to the forward points component are recognized and retained in accumulated other comprehensive loss until the contract's maturity.</w:t>
      </w:r>
    </w:p>
    <w:p>
      <w:pPr>
        <w:spacing w:after="0" w:line="44"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We have elected to not apply hedge accounting for all other currency forward and option contracts. During the three months ended September 30, 2026 and 2025, we experienced volatility within other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volatility in our GAAP results as a result of our currency hedging program.</w:t>
      </w:r>
    </w:p>
    <w:p>
      <w:pPr>
        <w:spacing w:after="0" w:line="52"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9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spacing w:after="0" w:line="58" w:lineRule="exact"/>
        <w:rPr>
          <w:sz w:val="20"/>
          <w:szCs w:val="20"/>
          <w:color w:val="auto"/>
        </w:rPr>
      </w:pPr>
    </w:p>
    <w:p>
      <w:pPr>
        <w:jc w:val="both"/>
        <w:ind w:right="60" w:firstLine="623"/>
        <w:spacing w:after="0" w:line="268" w:lineRule="auto"/>
        <w:rPr>
          <w:sz w:val="20"/>
          <w:szCs w:val="20"/>
          <w:color w:val="auto"/>
        </w:rPr>
      </w:pPr>
      <w:r>
        <w:rPr>
          <w:rFonts w:ascii="Arial" w:cs="Arial" w:eastAsia="Arial" w:hAnsi="Arial"/>
          <w:sz w:val="17"/>
          <w:szCs w:val="17"/>
          <w:color w:val="auto"/>
        </w:rPr>
        <w:t>As of September 30, 2026, we had the following outstanding currency derivative contracts that were not designated for hedge accounting and were primarily used to hedge fluctuations in the U.S. dollar value of forecasted transactions or balances denominated in the Australian Dollar, Canadian Dollar, Czech Koruna, Danish Krone, Euro, GBP, Indian Rupee, Mexican Peso, New Zealand Dollar, Norwegian Krone, Philippine Peso, Swiss Franc and Swedish Krona: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Notional Amount</w:t>
            </w: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Effective Date</w:t>
            </w: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Number of Instruments</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150"/>
        </w:trPr>
        <w:tc>
          <w:tcPr>
            <w:tcW w:w="1820" w:type="dxa"/>
            <w:vAlign w:val="bottom"/>
            <w:vMerge w:val="restart"/>
            <w:shd w:val="clear" w:color="auto" w:fill="CCEEFF"/>
          </w:tcPr>
          <w:p>
            <w:pPr>
              <w:jc w:val="right"/>
              <w:ind w:right="446"/>
              <w:spacing w:after="0"/>
              <w:rPr>
                <w:sz w:val="20"/>
                <w:szCs w:val="20"/>
                <w:color w:val="auto"/>
              </w:rPr>
            </w:pPr>
            <w:r>
              <w:rPr>
                <w:rFonts w:ascii="Arial" w:cs="Arial" w:eastAsia="Arial" w:hAnsi="Arial"/>
                <w:sz w:val="16"/>
                <w:szCs w:val="16"/>
                <w:color w:val="auto"/>
              </w:rPr>
              <w:t>$1,001,965</w:t>
            </w: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December 2024 through</w:t>
            </w: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Various dates through</w:t>
            </w:r>
          </w:p>
        </w:tc>
        <w:tc>
          <w:tcPr>
            <w:tcW w:w="2140" w:type="dxa"/>
            <w:vAlign w:val="bottom"/>
            <w:vMerge w:val="restart"/>
            <w:shd w:val="clear" w:color="auto" w:fill="CCEEFF"/>
          </w:tcPr>
          <w:p>
            <w:pPr>
              <w:jc w:val="right"/>
              <w:ind w:right="866"/>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13"/>
                <w:szCs w:val="13"/>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27"/>
        </w:trPr>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6"/>
              </w:rPr>
              <w:t>September 2026</w:t>
            </w:r>
          </w:p>
        </w:tc>
        <w:tc>
          <w:tcPr>
            <w:tcW w:w="24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8"/>
              </w:rPr>
              <w:t>September 2028</w:t>
            </w:r>
          </w:p>
        </w:tc>
        <w:tc>
          <w:tcPr>
            <w:tcW w:w="21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40" w:type="dxa"/>
            <w:vAlign w:val="bottom"/>
            <w:gridSpan w:val="2"/>
            <w:vMerge w:val="continue"/>
            <w:shd w:val="clear" w:color="auto" w:fill="CCEEFF"/>
          </w:tcPr>
          <w:p>
            <w:pPr>
              <w:spacing w:after="0"/>
              <w:rPr>
                <w:sz w:val="6"/>
                <w:szCs w:val="6"/>
                <w:color w:val="auto"/>
              </w:rPr>
            </w:pPr>
          </w:p>
        </w:tc>
        <w:tc>
          <w:tcPr>
            <w:tcW w:w="2440" w:type="dxa"/>
            <w:vAlign w:val="bottom"/>
            <w:gridSpan w:val="2"/>
            <w:vMerge w:val="continue"/>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3"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Financial Instrument Presentation</w:t>
      </w:r>
    </w:p>
    <w:p>
      <w:pPr>
        <w:spacing w:after="0" w:line="196"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The table below presents the fair value of our derivative financial instruments as well as their classification on the balance sheet as of September 30, 2026 and June 30, 2026. Our derivative asset and liability balances fluctuate with interest rate and currency exchange rate volatility.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380"/>
              <w:spacing w:after="0"/>
              <w:rPr>
                <w:sz w:val="20"/>
                <w:szCs w:val="20"/>
                <w:color w:val="auto"/>
              </w:rPr>
            </w:pPr>
            <w:r>
              <w:rPr>
                <w:rFonts w:ascii="Arial" w:cs="Arial" w:eastAsia="Arial" w:hAnsi="Arial"/>
                <w:sz w:val="12"/>
                <w:szCs w:val="12"/>
                <w:b w:val="1"/>
                <w:bCs w:val="1"/>
                <w:color w:val="auto"/>
              </w:rPr>
              <w:t>September 30, 2026</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540"/>
              <w:spacing w:after="0"/>
              <w:rPr>
                <w:sz w:val="20"/>
                <w:szCs w:val="20"/>
                <w:color w:val="auto"/>
              </w:rPr>
            </w:pPr>
            <w:r>
              <w:rPr>
                <w:rFonts w:ascii="Arial" w:cs="Arial" w:eastAsia="Arial" w:hAnsi="Arial"/>
                <w:sz w:val="12"/>
                <w:szCs w:val="12"/>
                <w:b w:val="1"/>
                <w:bCs w:val="1"/>
                <w:color w:val="auto"/>
              </w:rPr>
              <w:t>Liability Derivatives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4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Derivatives designated as</w:t>
            </w: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12,796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12,796</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in net investment</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(22,222)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(22,222)</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forward contracts</w:t>
            </w:r>
          </w:p>
        </w:tc>
        <w:tc>
          <w:tcPr>
            <w:tcW w:w="10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1,380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tcPr>
          <w:p>
            <w:pPr>
              <w:spacing w:after="0"/>
              <w:rPr>
                <w:sz w:val="12"/>
                <w:szCs w:val="12"/>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96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b w:val="1"/>
                <w:bCs w:val="1"/>
                <w:color w:val="auto"/>
              </w:rPr>
              <w:t>Derivatives in fair value hedging</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relationships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forward contracts</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94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CCEEFF"/>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14,558</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14,558</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(22,222)</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(22,222)</w:t>
            </w:r>
          </w:p>
        </w:tc>
        <w:tc>
          <w:tcPr>
            <w:tcW w:w="0" w:type="dxa"/>
            <w:vAlign w:val="bottom"/>
          </w:tcPr>
          <w:p>
            <w:pPr>
              <w:spacing w:after="0"/>
              <w:rPr>
                <w:sz w:val="1"/>
                <w:szCs w:val="1"/>
                <w:color w:val="auto"/>
              </w:rPr>
            </w:pPr>
          </w:p>
        </w:tc>
      </w:tr>
      <w:tr>
        <w:trPr>
          <w:trHeight w:val="170"/>
        </w:trPr>
        <w:tc>
          <w:tcPr>
            <w:tcW w:w="19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20,180</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w w:val="99"/>
              </w:rPr>
              <w:t>(8,757)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11,423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(1,942)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20,180</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w w:val="99"/>
              </w:rPr>
              <w:t>(8,757)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11,423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(4,212)</w:t>
            </w: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660"/>
              <w:spacing w:after="0"/>
              <w:rPr>
                <w:sz w:val="20"/>
                <w:szCs w:val="20"/>
                <w:color w:val="auto"/>
              </w:rPr>
            </w:pPr>
            <w:r>
              <w:rPr>
                <w:rFonts w:ascii="Arial" w:cs="Arial" w:eastAsia="Arial" w:hAnsi="Arial"/>
                <w:sz w:val="12"/>
                <w:szCs w:val="12"/>
                <w:b w:val="1"/>
                <w:bCs w:val="1"/>
                <w:color w:val="auto"/>
              </w:rPr>
              <w:t>June 30, 2026</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740"/>
              <w:spacing w:after="0"/>
              <w:rPr>
                <w:sz w:val="20"/>
                <w:szCs w:val="20"/>
                <w:color w:val="auto"/>
              </w:rPr>
            </w:pPr>
            <w:r>
              <w:rPr>
                <w:rFonts w:ascii="Arial" w:cs="Arial" w:eastAsia="Arial" w:hAnsi="Arial"/>
                <w:sz w:val="12"/>
                <w:szCs w:val="12"/>
                <w:b w:val="1"/>
                <w:bCs w:val="1"/>
                <w:color w:val="auto"/>
              </w:rPr>
              <w:t>Asset Derivatives</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640"/>
              <w:spacing w:after="0"/>
              <w:rPr>
                <w:sz w:val="20"/>
                <w:szCs w:val="20"/>
                <w:color w:val="auto"/>
              </w:rPr>
            </w:pPr>
            <w:r>
              <w:rPr>
                <w:rFonts w:ascii="Arial" w:cs="Arial" w:eastAsia="Arial" w:hAnsi="Arial"/>
                <w:sz w:val="12"/>
                <w:szCs w:val="12"/>
                <w:b w:val="1"/>
                <w:bCs w:val="1"/>
                <w:color w:val="auto"/>
              </w:rPr>
              <w:t>Liability Derivatives</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940" w:type="dxa"/>
            <w:vAlign w:val="bottom"/>
          </w:tcPr>
          <w:p>
            <w:pPr>
              <w:spacing w:after="0"/>
              <w:rPr>
                <w:sz w:val="9"/>
                <w:szCs w:val="9"/>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9"/>
              </w:rPr>
              <w:t>Balance Sheet</w:t>
            </w: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2"/>
          </w:tcPr>
          <w:p>
            <w:pPr>
              <w:jc w:val="center"/>
              <w:ind w:right="120"/>
              <w:spacing w:after="0" w:line="111" w:lineRule="exact"/>
              <w:rPr>
                <w:sz w:val="20"/>
                <w:szCs w:val="20"/>
                <w:color w:val="auto"/>
              </w:rPr>
            </w:pPr>
            <w:r>
              <w:rPr>
                <w:rFonts w:ascii="Arial" w:cs="Arial" w:eastAsia="Arial" w:hAnsi="Arial"/>
                <w:sz w:val="12"/>
                <w:szCs w:val="12"/>
                <w:b w:val="1"/>
                <w:bCs w:val="1"/>
                <w:color w:val="auto"/>
              </w:rPr>
              <w:t>Gross amount offset</w:t>
            </w: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9"/>
              </w:rPr>
              <w:t>Balance Sheet</w:t>
            </w:r>
          </w:p>
        </w:tc>
        <w:tc>
          <w:tcPr>
            <w:tcW w:w="114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 offset</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6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of recognized</w:t>
            </w:r>
          </w:p>
        </w:tc>
        <w:tc>
          <w:tcPr>
            <w:tcW w:w="1380" w:type="dxa"/>
            <w:vAlign w:val="bottom"/>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in Consolidated</w:t>
            </w:r>
          </w:p>
        </w:tc>
        <w:tc>
          <w:tcPr>
            <w:tcW w:w="10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Net amount</w:t>
            </w:r>
          </w:p>
        </w:tc>
        <w:tc>
          <w:tcPr>
            <w:tcW w:w="1080" w:type="dxa"/>
            <w:vAlign w:val="bottom"/>
            <w:gridSpan w:val="2"/>
            <w:vMerge w:val="continue"/>
          </w:tcPr>
          <w:p>
            <w:pPr>
              <w:spacing w:after="0"/>
              <w:rPr>
                <w:sz w:val="10"/>
                <w:szCs w:val="10"/>
                <w:color w:val="auto"/>
              </w:rPr>
            </w:pPr>
          </w:p>
        </w:tc>
        <w:tc>
          <w:tcPr>
            <w:tcW w:w="1140" w:type="dxa"/>
            <w:vAlign w:val="bottom"/>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of recognized</w:t>
            </w:r>
          </w:p>
        </w:tc>
        <w:tc>
          <w:tcPr>
            <w:tcW w:w="138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rPr>
              <w:t>in Consolidated</w:t>
            </w:r>
          </w:p>
        </w:tc>
        <w:tc>
          <w:tcPr>
            <w:tcW w:w="10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line item</w:t>
            </w: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assets</w:t>
            </w:r>
          </w:p>
        </w:tc>
        <w:tc>
          <w:tcPr>
            <w:tcW w:w="1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Balance Sheet</w:t>
            </w:r>
          </w:p>
        </w:tc>
        <w:tc>
          <w:tcPr>
            <w:tcW w:w="1080" w:type="dxa"/>
            <w:vAlign w:val="bottom"/>
            <w:gridSpan w:val="2"/>
            <w:vMerge w:val="continue"/>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line item</w:t>
            </w:r>
          </w:p>
        </w:tc>
        <w:tc>
          <w:tcPr>
            <w:tcW w:w="1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liabilities</w:t>
            </w:r>
          </w:p>
        </w:tc>
        <w:tc>
          <w:tcPr>
            <w:tcW w:w="1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Balance Sheet</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940" w:type="dxa"/>
            <w:vAlign w:val="bottom"/>
          </w:tcPr>
          <w:p>
            <w:pPr>
              <w:spacing w:after="0" w:line="104" w:lineRule="exact"/>
              <w:rPr>
                <w:sz w:val="20"/>
                <w:szCs w:val="20"/>
                <w:color w:val="auto"/>
              </w:rPr>
            </w:pPr>
            <w:r>
              <w:rPr>
                <w:rFonts w:ascii="Arial" w:cs="Arial" w:eastAsia="Arial" w:hAnsi="Arial"/>
                <w:sz w:val="12"/>
                <w:szCs w:val="12"/>
                <w:b w:val="1"/>
                <w:bCs w:val="1"/>
                <w:color w:val="auto"/>
              </w:rPr>
              <w:t>Derivatives designated as</w:t>
            </w: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960" w:type="dxa"/>
            <w:vAlign w:val="bottom"/>
            <w:gridSpan w:val="3"/>
          </w:tcPr>
          <w:p>
            <w:pPr>
              <w:spacing w:after="0"/>
              <w:rPr>
                <w:sz w:val="20"/>
                <w:szCs w:val="20"/>
                <w:color w:val="auto"/>
              </w:rPr>
            </w:pPr>
            <w:r>
              <w:rPr>
                <w:rFonts w:ascii="Arial" w:cs="Arial" w:eastAsia="Arial" w:hAnsi="Arial"/>
                <w:sz w:val="12"/>
                <w:szCs w:val="12"/>
                <w:b w:val="1"/>
                <w:bCs w:val="1"/>
                <w:color w:val="auto"/>
              </w:rPr>
              <w:t>hedging instruments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60" w:type="dxa"/>
            <w:vAlign w:val="bottom"/>
            <w:gridSpan w:val="3"/>
          </w:tcPr>
          <w:p>
            <w:pPr>
              <w:spacing w:after="0"/>
              <w:rPr>
                <w:sz w:val="20"/>
                <w:szCs w:val="20"/>
                <w:color w:val="auto"/>
              </w:rPr>
            </w:pPr>
            <w:r>
              <w:rPr>
                <w:rFonts w:ascii="Arial" w:cs="Arial" w:eastAsia="Arial" w:hAnsi="Arial"/>
                <w:sz w:val="12"/>
                <w:szCs w:val="12"/>
                <w:b w:val="1"/>
                <w:bCs w:val="1"/>
                <w:color w:val="auto"/>
              </w:rPr>
              <w:t>relationships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40" w:type="dxa"/>
            <w:vAlign w:val="bottom"/>
            <w:shd w:val="clear" w:color="auto" w:fill="CCEEFF"/>
          </w:tcPr>
          <w:p>
            <w:pPr>
              <w:spacing w:after="0"/>
              <w:rPr>
                <w:sz w:val="14"/>
                <w:szCs w:val="14"/>
                <w:color w:val="auto"/>
              </w:rPr>
            </w:pPr>
          </w:p>
        </w:tc>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current</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shd w:val="clear" w:color="auto" w:fill="CCEEFF"/>
          </w:tcPr>
          <w:p>
            <w:pPr>
              <w:ind w:left="40"/>
              <w:spacing w:after="0" w:line="117" w:lineRule="exact"/>
              <w:rPr>
                <w:sz w:val="20"/>
                <w:szCs w:val="20"/>
                <w:color w:val="auto"/>
              </w:rPr>
            </w:pPr>
            <w:r>
              <w:rPr>
                <w:rFonts w:ascii="Arial" w:cs="Arial" w:eastAsia="Arial" w:hAnsi="Arial"/>
                <w:sz w:val="13"/>
                <w:szCs w:val="13"/>
                <w:color w:val="auto"/>
              </w:rPr>
              <w:t>assets / other</w:t>
            </w:r>
          </w:p>
        </w:tc>
        <w:tc>
          <w:tcPr>
            <w:tcW w:w="34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10,951</w:t>
            </w: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10,951</w:t>
            </w:r>
          </w:p>
        </w:tc>
        <w:tc>
          <w:tcPr>
            <w:tcW w:w="118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rPr>
              <w:t>liabilities / other</w:t>
            </w:r>
          </w:p>
        </w:tc>
        <w:tc>
          <w:tcPr>
            <w:tcW w:w="3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940" w:type="dxa"/>
            <w:vAlign w:val="bottom"/>
            <w:vMerge w:val="continue"/>
            <w:shd w:val="clear" w:color="auto" w:fill="CCEEFF"/>
          </w:tcPr>
          <w:p>
            <w:pPr>
              <w:spacing w:after="0"/>
              <w:rPr>
                <w:sz w:val="15"/>
                <w:szCs w:val="15"/>
                <w:color w:val="auto"/>
              </w:rPr>
            </w:pPr>
          </w:p>
        </w:tc>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liabilities</w:t>
            </w:r>
          </w:p>
        </w:tc>
        <w:tc>
          <w:tcPr>
            <w:tcW w:w="30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40" w:type="dxa"/>
            <w:vAlign w:val="bottom"/>
          </w:tcPr>
          <w:p>
            <w:pPr>
              <w:ind w:left="20"/>
              <w:spacing w:after="0" w:line="117" w:lineRule="exact"/>
              <w:rPr>
                <w:sz w:val="20"/>
                <w:szCs w:val="20"/>
                <w:color w:val="auto"/>
              </w:rPr>
            </w:pPr>
            <w:r>
              <w:rPr>
                <w:rFonts w:ascii="Arial" w:cs="Arial" w:eastAsia="Arial" w:hAnsi="Arial"/>
                <w:sz w:val="12"/>
                <w:szCs w:val="12"/>
                <w:b w:val="1"/>
                <w:bCs w:val="1"/>
                <w:color w:val="auto"/>
              </w:rPr>
              <w:t>Derivatives in net investment</w:t>
            </w: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940" w:type="dxa"/>
            <w:vAlign w:val="bottom"/>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w:t>
            </w:r>
          </w:p>
        </w:tc>
        <w:tc>
          <w:tcPr>
            <w:tcW w:w="10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(24,566)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(24,566)</w:t>
            </w:r>
          </w:p>
        </w:tc>
        <w:tc>
          <w:tcPr>
            <w:tcW w:w="0" w:type="dxa"/>
            <w:vAlign w:val="bottom"/>
          </w:tcPr>
          <w:p>
            <w:pPr>
              <w:spacing w:after="0"/>
              <w:rPr>
                <w:sz w:val="1"/>
                <w:szCs w:val="1"/>
                <w:color w:val="auto"/>
              </w:rPr>
            </w:pPr>
          </w:p>
        </w:tc>
      </w:tr>
      <w:tr>
        <w:trPr>
          <w:trHeight w:val="182"/>
        </w:trPr>
        <w:tc>
          <w:tcPr>
            <w:tcW w:w="19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vMerge w:val="restart"/>
          </w:tcPr>
          <w:p>
            <w:pPr>
              <w:ind w:left="40"/>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color w:val="auto"/>
              </w:rPr>
              <w:t>1,037</w:t>
            </w:r>
          </w:p>
        </w:tc>
        <w:tc>
          <w:tcPr>
            <w:tcW w:w="1180" w:type="dxa"/>
            <w:vAlign w:val="bottom"/>
          </w:tcPr>
          <w:p>
            <w:pPr>
              <w:ind w:left="120"/>
              <w:spacing w:after="0" w:line="143" w:lineRule="exact"/>
              <w:rPr>
                <w:sz w:val="20"/>
                <w:szCs w:val="20"/>
                <w:color w:val="auto"/>
              </w:rPr>
            </w:pPr>
            <w:r>
              <w:rPr>
                <w:rFonts w:ascii="Arial" w:cs="Arial" w:eastAsia="Arial" w:hAnsi="Arial"/>
                <w:sz w:val="14"/>
                <w:szCs w:val="14"/>
                <w:color w:val="auto"/>
              </w:rPr>
              <w:t>Other</w:t>
            </w:r>
          </w:p>
        </w:tc>
        <w:tc>
          <w:tcPr>
            <w:tcW w:w="300" w:type="dxa"/>
            <w:vAlign w:val="bottom"/>
          </w:tcPr>
          <w:p>
            <w:pPr>
              <w:spacing w:after="0"/>
              <w:rPr>
                <w:sz w:val="12"/>
                <w:szCs w:val="12"/>
                <w:color w:val="auto"/>
              </w:rPr>
            </w:pPr>
          </w:p>
        </w:tc>
        <w:tc>
          <w:tcPr>
            <w:tcW w:w="74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94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liabilities</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9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w w:val="98"/>
              </w:rPr>
              <w:t>Total derivatives designated as</w:t>
            </w:r>
          </w:p>
        </w:tc>
        <w:tc>
          <w:tcPr>
            <w:tcW w:w="10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11,988</w:t>
            </w: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11,988</w:t>
            </w:r>
          </w:p>
        </w:tc>
        <w:tc>
          <w:tcPr>
            <w:tcW w:w="11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(24,566)</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(24,566)</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hedging instruments</w:t>
            </w:r>
          </w:p>
        </w:tc>
        <w:tc>
          <w:tcPr>
            <w:tcW w:w="104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9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4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40" w:type="dxa"/>
            <w:vAlign w:val="bottom"/>
            <w:shd w:val="clear" w:color="auto" w:fill="CCEEFF"/>
          </w:tcPr>
          <w:p>
            <w:pPr>
              <w:spacing w:after="0"/>
              <w:rPr>
                <w:sz w:val="13"/>
                <w:szCs w:val="13"/>
                <w:color w:val="auto"/>
              </w:rPr>
            </w:pPr>
          </w:p>
        </w:tc>
        <w:tc>
          <w:tcPr>
            <w:tcW w:w="10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Other current</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color w:val="auto"/>
              </w:rPr>
              <w:t>Other current</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shd w:val="clear" w:color="auto" w:fill="CCEEFF"/>
          </w:tcPr>
          <w:p>
            <w:pPr>
              <w:ind w:left="40"/>
              <w:spacing w:after="0" w:line="135" w:lineRule="exact"/>
              <w:rPr>
                <w:sz w:val="20"/>
                <w:szCs w:val="20"/>
                <w:color w:val="auto"/>
              </w:rPr>
            </w:pPr>
            <w:r>
              <w:rPr>
                <w:rFonts w:ascii="Arial" w:cs="Arial" w:eastAsia="Arial" w:hAnsi="Arial"/>
                <w:sz w:val="14"/>
                <w:szCs w:val="14"/>
                <w:color w:val="auto"/>
              </w:rPr>
              <w:t>assets / other</w:t>
            </w:r>
          </w:p>
        </w:tc>
        <w:tc>
          <w:tcPr>
            <w:tcW w:w="34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14,221</w:t>
            </w:r>
          </w:p>
        </w:tc>
        <w:tc>
          <w:tcPr>
            <w:tcW w:w="1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w w:val="99"/>
              </w:rPr>
              <w:t>(9,175)</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5,046</w:t>
            </w:r>
          </w:p>
        </w:tc>
        <w:tc>
          <w:tcPr>
            <w:tcW w:w="118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liabilities /</w:t>
            </w:r>
          </w:p>
        </w:tc>
        <w:tc>
          <w:tcPr>
            <w:tcW w:w="3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0" w:type="dxa"/>
            <w:vAlign w:val="bottom"/>
          </w:tcPr>
          <w:p>
            <w:pPr>
              <w:spacing w:after="0"/>
              <w:rPr>
                <w:sz w:val="1"/>
                <w:szCs w:val="1"/>
                <w:color w:val="auto"/>
              </w:rPr>
            </w:pPr>
          </w:p>
        </w:tc>
      </w:tr>
      <w:tr>
        <w:trPr>
          <w:trHeight w:val="189"/>
        </w:trPr>
        <w:tc>
          <w:tcPr>
            <w:tcW w:w="194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liabilities</w:t>
            </w:r>
          </w:p>
        </w:tc>
        <w:tc>
          <w:tcPr>
            <w:tcW w:w="3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40" w:type="dxa"/>
            <w:vAlign w:val="bottom"/>
          </w:tcPr>
          <w:p>
            <w:pPr>
              <w:spacing w:after="0"/>
              <w:rPr>
                <w:sz w:val="12"/>
                <w:szCs w:val="12"/>
                <w:color w:val="auto"/>
              </w:rPr>
            </w:pPr>
          </w:p>
        </w:tc>
        <w:tc>
          <w:tcPr>
            <w:tcW w:w="1040" w:type="dxa"/>
            <w:vAlign w:val="bottom"/>
          </w:tcPr>
          <w:p>
            <w:pPr>
              <w:ind w:left="40"/>
              <w:spacing w:after="0" w:line="143" w:lineRule="exact"/>
              <w:rPr>
                <w:sz w:val="20"/>
                <w:szCs w:val="20"/>
                <w:color w:val="auto"/>
              </w:rPr>
            </w:pPr>
            <w:r>
              <w:rPr>
                <w:rFonts w:ascii="Arial" w:cs="Arial" w:eastAsia="Arial" w:hAnsi="Arial"/>
                <w:sz w:val="14"/>
                <w:szCs w:val="14"/>
                <w:color w:val="auto"/>
              </w:rPr>
              <w:t>Other current</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ind w:left="120"/>
              <w:spacing w:after="0" w:line="143" w:lineRule="exact"/>
              <w:rPr>
                <w:sz w:val="20"/>
                <w:szCs w:val="20"/>
                <w:color w:val="auto"/>
              </w:rPr>
            </w:pPr>
            <w:r>
              <w:rPr>
                <w:rFonts w:ascii="Arial" w:cs="Arial" w:eastAsia="Arial" w:hAnsi="Arial"/>
                <w:sz w:val="14"/>
                <w:szCs w:val="14"/>
                <w:color w:val="auto"/>
              </w:rPr>
              <w:t>Other current</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tcPr>
          <w:p>
            <w:pPr>
              <w:ind w:left="40"/>
              <w:spacing w:after="0" w:line="135" w:lineRule="exact"/>
              <w:rPr>
                <w:sz w:val="20"/>
                <w:szCs w:val="20"/>
                <w:color w:val="auto"/>
              </w:rPr>
            </w:pPr>
            <w:r>
              <w:rPr>
                <w:rFonts w:ascii="Arial" w:cs="Arial" w:eastAsia="Arial" w:hAnsi="Arial"/>
                <w:sz w:val="14"/>
                <w:szCs w:val="14"/>
                <w:color w:val="auto"/>
              </w:rPr>
              <w:t>assets / other</w:t>
            </w:r>
          </w:p>
        </w:tc>
        <w:tc>
          <w:tcPr>
            <w:tcW w:w="3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Pr>
          <w:p>
            <w:pPr>
              <w:ind w:left="120"/>
              <w:spacing w:after="0" w:line="135" w:lineRule="exact"/>
              <w:rPr>
                <w:sz w:val="20"/>
                <w:szCs w:val="20"/>
                <w:color w:val="auto"/>
              </w:rPr>
            </w:pPr>
            <w:r>
              <w:rPr>
                <w:rFonts w:ascii="Arial" w:cs="Arial" w:eastAsia="Arial" w:hAnsi="Arial"/>
                <w:sz w:val="14"/>
                <w:szCs w:val="14"/>
                <w:color w:val="auto"/>
              </w:rPr>
              <w:t>liabilities /</w:t>
            </w:r>
          </w:p>
        </w:tc>
        <w:tc>
          <w:tcPr>
            <w:tcW w:w="3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(2,772)</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(2,703)</w:t>
            </w:r>
          </w:p>
        </w:tc>
        <w:tc>
          <w:tcPr>
            <w:tcW w:w="0" w:type="dxa"/>
            <w:vAlign w:val="bottom"/>
          </w:tcPr>
          <w:p>
            <w:pPr>
              <w:spacing w:after="0"/>
              <w:rPr>
                <w:sz w:val="1"/>
                <w:szCs w:val="1"/>
                <w:color w:val="auto"/>
              </w:rPr>
            </w:pPr>
          </w:p>
        </w:tc>
      </w:tr>
      <w:tr>
        <w:trPr>
          <w:trHeight w:val="185"/>
        </w:trPr>
        <w:tc>
          <w:tcPr>
            <w:tcW w:w="1940" w:type="dxa"/>
            <w:vAlign w:val="bottom"/>
            <w:vMerge w:val="continue"/>
          </w:tcPr>
          <w:p>
            <w:pPr>
              <w:spacing w:after="0"/>
              <w:rPr>
                <w:sz w:val="16"/>
                <w:szCs w:val="16"/>
                <w:color w:val="auto"/>
              </w:rPr>
            </w:pPr>
          </w:p>
        </w:tc>
        <w:tc>
          <w:tcPr>
            <w:tcW w:w="1040" w:type="dxa"/>
            <w:vAlign w:val="bottom"/>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other liabilities</w:t>
            </w:r>
          </w:p>
        </w:tc>
        <w:tc>
          <w:tcPr>
            <w:tcW w:w="3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94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4"/>
                <w:szCs w:val="14"/>
                <w:color w:val="auto"/>
              </w:rPr>
              <w:t>Total derivatives not</w:t>
            </w:r>
          </w:p>
        </w:tc>
        <w:tc>
          <w:tcPr>
            <w:tcW w:w="10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designated as hedging</w:t>
            </w:r>
          </w:p>
        </w:tc>
        <w:tc>
          <w:tcPr>
            <w:tcW w:w="104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14,221</w:t>
            </w:r>
          </w:p>
        </w:tc>
        <w:tc>
          <w:tcPr>
            <w:tcW w:w="1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w w:val="99"/>
              </w:rPr>
              <w:t>(9,175)</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5,046</w:t>
            </w:r>
          </w:p>
        </w:tc>
        <w:tc>
          <w:tcPr>
            <w:tcW w:w="11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(6,072)</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(5,537)</w:t>
            </w:r>
          </w:p>
        </w:tc>
        <w:tc>
          <w:tcPr>
            <w:tcW w:w="0" w:type="dxa"/>
            <w:vAlign w:val="bottom"/>
          </w:tcPr>
          <w:p>
            <w:pPr>
              <w:spacing w:after="0"/>
              <w:rPr>
                <w:sz w:val="1"/>
                <w:szCs w:val="1"/>
                <w:color w:val="auto"/>
              </w:rPr>
            </w:pPr>
          </w:p>
        </w:tc>
      </w:tr>
      <w:tr>
        <w:trPr>
          <w:trHeight w:val="183"/>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0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right="320" w:firstLine="623"/>
        <w:spacing w:after="0" w:line="295" w:lineRule="auto"/>
        <w:rPr>
          <w:sz w:val="20"/>
          <w:szCs w:val="20"/>
          <w:color w:val="auto"/>
        </w:rPr>
      </w:pPr>
      <w:r>
        <w:rPr>
          <w:rFonts w:ascii="Arial" w:cs="Arial" w:eastAsia="Arial" w:hAnsi="Arial"/>
          <w:sz w:val="17"/>
          <w:szCs w:val="17"/>
          <w:color w:val="auto"/>
        </w:rPr>
        <w:t>The following table presents the effect of our derivative financial instruments designated as hedging instruments and their classification within comprehensive (loss) income, net of tax, for the three months ended September 30, 2026 and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Pr>
          <w:p>
            <w:pPr>
              <w:spacing w:after="0"/>
              <w:rPr>
                <w:sz w:val="14"/>
                <w:szCs w:val="1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r>
      <w:tr>
        <w:trPr>
          <w:trHeight w:val="164"/>
        </w:trPr>
        <w:tc>
          <w:tcPr>
            <w:tcW w:w="80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2026</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2025</w:t>
            </w:r>
          </w:p>
        </w:tc>
        <w:tc>
          <w:tcPr>
            <w:tcW w:w="500" w:type="dxa"/>
            <w:vAlign w:val="bottom"/>
            <w:tcBorders>
              <w:bottom w:val="single" w:sz="8" w:color="auto"/>
            </w:tcBorders>
          </w:tcPr>
          <w:p>
            <w:pPr>
              <w:spacing w:after="0"/>
              <w:rPr>
                <w:sz w:val="14"/>
                <w:szCs w:val="14"/>
                <w:color w:val="auto"/>
              </w:rPr>
            </w:pPr>
          </w:p>
        </w:tc>
      </w:tr>
      <w:tr>
        <w:trPr>
          <w:trHeight w:val="17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950</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194"/>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5,750</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5" w:name="page16"/>
    <w:bookmarkEnd w:id="15"/>
    <w:p>
      <w:pPr>
        <w:ind w:right="360" w:firstLine="623"/>
        <w:spacing w:after="0" w:line="295" w:lineRule="auto"/>
        <w:rPr>
          <w:sz w:val="20"/>
          <w:szCs w:val="20"/>
          <w:color w:val="auto"/>
        </w:rPr>
      </w:pPr>
      <w:r>
        <w:rPr>
          <w:rFonts w:ascii="Arial" w:cs="Arial" w:eastAsia="Arial" w:hAnsi="Arial"/>
          <w:sz w:val="17"/>
          <w:szCs w:val="17"/>
          <w:color w:val="auto"/>
        </w:rPr>
        <w:t>The following table presents reclassifications out of accumulated other comprehensive loss for the three months ended September 30, 2026 and 2025:</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3400" w:type="dxa"/>
            <w:vAlign w:val="bottom"/>
            <w:gridSpan w:val="5"/>
          </w:tcPr>
          <w:p>
            <w:pPr>
              <w:jc w:val="right"/>
              <w:spacing w:after="0"/>
              <w:rPr>
                <w:sz w:val="20"/>
                <w:szCs w:val="20"/>
                <w:color w:val="auto"/>
              </w:rPr>
            </w:pPr>
            <w:r>
              <w:rPr>
                <w:rFonts w:ascii="Arial" w:cs="Arial" w:eastAsia="Arial" w:hAnsi="Arial"/>
                <w:sz w:val="12"/>
                <w:szCs w:val="12"/>
                <w:b w:val="1"/>
                <w:bCs w:val="1"/>
                <w:color w:val="auto"/>
              </w:rPr>
              <w:t>Amount of Net (Gain) Loss Reclassified from Accumulated</w:t>
            </w:r>
          </w:p>
        </w:tc>
        <w:tc>
          <w:tcPr>
            <w:tcW w:w="282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r>
      <w:tr>
        <w:trPr>
          <w:trHeight w:val="170"/>
        </w:trPr>
        <w:tc>
          <w:tcPr>
            <w:tcW w:w="5020" w:type="dxa"/>
            <w:vAlign w:val="bottom"/>
          </w:tcPr>
          <w:p>
            <w:pPr>
              <w:spacing w:after="0"/>
              <w:rPr>
                <w:sz w:val="14"/>
                <w:szCs w:val="14"/>
                <w:color w:val="auto"/>
              </w:rPr>
            </w:pPr>
          </w:p>
        </w:tc>
        <w:tc>
          <w:tcPr>
            <w:tcW w:w="3400" w:type="dxa"/>
            <w:vAlign w:val="bottom"/>
            <w:tcBorders>
              <w:bottom w:val="single" w:sz="8" w:color="auto"/>
            </w:tcBorders>
            <w:gridSpan w:val="5"/>
          </w:tcPr>
          <w:p>
            <w:pPr>
              <w:jc w:val="right"/>
              <w:ind w:right="282"/>
              <w:spacing w:after="0"/>
              <w:rPr>
                <w:sz w:val="20"/>
                <w:szCs w:val="20"/>
                <w:color w:val="auto"/>
              </w:rPr>
            </w:pPr>
            <w:r>
              <w:rPr>
                <w:rFonts w:ascii="Arial" w:cs="Arial" w:eastAsia="Arial" w:hAnsi="Arial"/>
                <w:sz w:val="12"/>
                <w:szCs w:val="12"/>
                <w:b w:val="1"/>
                <w:bCs w:val="1"/>
                <w:color w:val="auto"/>
              </w:rPr>
              <w:t>Other Comprehensive Loss into (Loss) Income</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r>
      <w:tr>
        <w:trPr>
          <w:trHeight w:val="164"/>
        </w:trPr>
        <w:tc>
          <w:tcPr>
            <w:tcW w:w="502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2"/>
                <w:szCs w:val="12"/>
                <w:b w:val="1"/>
                <w:bCs w:val="1"/>
                <w:color w:val="auto"/>
              </w:rPr>
              <w:t>Three Months Ended September 30,</w:t>
            </w:r>
          </w:p>
        </w:tc>
        <w:tc>
          <w:tcPr>
            <w:tcW w:w="520" w:type="dxa"/>
            <w:vAlign w:val="bottom"/>
            <w:tcBorders>
              <w:bottom w:val="single" w:sz="8" w:color="auto"/>
            </w:tcBorders>
          </w:tcPr>
          <w:p>
            <w:pPr>
              <w:spacing w:after="0"/>
              <w:rPr>
                <w:sz w:val="14"/>
                <w:szCs w:val="14"/>
                <w:color w:val="auto"/>
              </w:rPr>
            </w:pPr>
          </w:p>
        </w:tc>
        <w:tc>
          <w:tcPr>
            <w:tcW w:w="2820" w:type="dxa"/>
            <w:vAlign w:val="bottom"/>
          </w:tcPr>
          <w:p>
            <w:pPr>
              <w:spacing w:after="0"/>
              <w:rPr>
                <w:sz w:val="14"/>
                <w:szCs w:val="14"/>
                <w:color w:val="auto"/>
              </w:rPr>
            </w:pPr>
          </w:p>
        </w:tc>
      </w:tr>
      <w:tr>
        <w:trPr>
          <w:trHeight w:val="162"/>
        </w:trPr>
        <w:tc>
          <w:tcPr>
            <w:tcW w:w="50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2026</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2025</w:t>
            </w:r>
          </w:p>
        </w:tc>
        <w:tc>
          <w:tcPr>
            <w:tcW w:w="520" w:type="dxa"/>
            <w:vAlign w:val="bottom"/>
            <w:tcBorders>
              <w:bottom w:val="single" w:sz="8" w:color="auto"/>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r>
      <w:tr>
        <w:trPr>
          <w:trHeight w:val="207"/>
        </w:trPr>
        <w:tc>
          <w:tcPr>
            <w:tcW w:w="50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040" w:type="dxa"/>
            <w:vAlign w:val="bottom"/>
          </w:tcPr>
          <w:p>
            <w:pPr>
              <w:jc w:val="right"/>
              <w:ind w:right="87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(1,343)</w:t>
            </w:r>
          </w:p>
        </w:tc>
        <w:tc>
          <w:tcPr>
            <w:tcW w:w="80" w:type="dxa"/>
            <w:vAlign w:val="bottom"/>
          </w:tcPr>
          <w:p>
            <w:pPr>
              <w:spacing w:after="0"/>
              <w:rPr>
                <w:sz w:val="17"/>
                <w:szCs w:val="17"/>
                <w:color w:val="auto"/>
              </w:rPr>
            </w:pPr>
          </w:p>
        </w:tc>
        <w:tc>
          <w:tcPr>
            <w:tcW w:w="1140" w:type="dxa"/>
            <w:vAlign w:val="bottom"/>
          </w:tcPr>
          <w:p>
            <w:pPr>
              <w:jc w:val="right"/>
              <w:ind w:right="94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(882)</w:t>
            </w:r>
          </w:p>
        </w:tc>
        <w:tc>
          <w:tcPr>
            <w:tcW w:w="2820" w:type="dxa"/>
            <w:vAlign w:val="bottom"/>
          </w:tcPr>
          <w:p>
            <w:pPr>
              <w:jc w:val="center"/>
              <w:spacing w:after="0"/>
              <w:rPr>
                <w:sz w:val="20"/>
                <w:szCs w:val="20"/>
                <w:color w:val="auto"/>
              </w:rPr>
            </w:pPr>
            <w:r>
              <w:rPr>
                <w:rFonts w:ascii="Arial" w:cs="Arial" w:eastAsia="Arial" w:hAnsi="Arial"/>
                <w:sz w:val="14"/>
                <w:szCs w:val="14"/>
                <w:color w:val="auto"/>
                <w:w w:val="97"/>
              </w:rPr>
              <w:t>Interest expense, net</w:t>
            </w: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r>
      <w:tr>
        <w:trPr>
          <w:trHeight w:val="20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forward contracts</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7"/>
              </w:rPr>
              <w:t>Interest expense, net</w:t>
            </w:r>
          </w:p>
        </w:tc>
      </w:tr>
      <w:tr>
        <w:trPr>
          <w:trHeight w:val="20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before income tax</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Income before income taxes</w:t>
            </w:r>
          </w:p>
        </w:tc>
      </w:tr>
      <w:tr>
        <w:trPr>
          <w:trHeight w:val="20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342</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Income tax expense</w:t>
            </w:r>
          </w:p>
        </w:tc>
      </w:tr>
      <w:tr>
        <w:trPr>
          <w:trHeight w:val="22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2820" w:type="dxa"/>
            <w:vAlign w:val="bottom"/>
            <w:tcBorders>
              <w:bottom w:val="single" w:sz="8" w:color="CCEEFF"/>
            </w:tcBorders>
            <w:shd w:val="clear" w:color="auto" w:fill="CCEEFF"/>
          </w:tcPr>
          <w:p>
            <w:pPr>
              <w:spacing w:after="0"/>
              <w:rPr>
                <w:sz w:val="19"/>
                <w:szCs w:val="19"/>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ind w:right="260" w:firstLine="623"/>
        <w:spacing w:after="0" w:line="295" w:lineRule="auto"/>
        <w:rPr>
          <w:sz w:val="20"/>
          <w:szCs w:val="20"/>
          <w:color w:val="auto"/>
        </w:rPr>
      </w:pPr>
      <w:r>
        <w:rPr>
          <w:rFonts w:ascii="Arial" w:cs="Arial" w:eastAsia="Arial" w:hAnsi="Arial"/>
          <w:sz w:val="17"/>
          <w:szCs w:val="17"/>
          <w:color w:val="auto"/>
        </w:rPr>
        <w:t>The following table presents the adjustment to fair value recorded within the consolidated statements of operations for the three months ended September 30, 2026 and 2025 for derivative instruments for which we did not elect hedge accounting: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3400" w:type="dxa"/>
            <w:vAlign w:val="bottom"/>
            <w:gridSpan w:val="5"/>
            <w:vMerge w:val="restart"/>
          </w:tcPr>
          <w:p>
            <w:pPr>
              <w:jc w:val="right"/>
              <w:ind w:right="8"/>
              <w:spacing w:after="0"/>
              <w:rPr>
                <w:sz w:val="20"/>
                <w:szCs w:val="20"/>
                <w:color w:val="auto"/>
              </w:rPr>
            </w:pPr>
            <w:r>
              <w:rPr>
                <w:rFonts w:ascii="Arial" w:cs="Arial" w:eastAsia="Arial" w:hAnsi="Arial"/>
                <w:sz w:val="12"/>
                <w:szCs w:val="12"/>
                <w:b w:val="1"/>
                <w:bCs w:val="1"/>
                <w:color w:val="auto"/>
              </w:rPr>
              <w:t>Amount of Gain (Loss) Recognized in Net (Loss) Income</w:t>
            </w:r>
          </w:p>
        </w:tc>
        <w:tc>
          <w:tcPr>
            <w:tcW w:w="282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0" w:type="dxa"/>
            <w:vAlign w:val="bottom"/>
            <w:tcBorders>
              <w:bottom w:val="single" w:sz="8" w:color="auto"/>
            </w:tcBorders>
            <w:gridSpan w:val="5"/>
            <w:vMerge w:val="continue"/>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5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2"/>
                <w:szCs w:val="12"/>
                <w:b w:val="1"/>
                <w:bCs w:val="1"/>
                <w:color w:val="auto"/>
              </w:rPr>
              <w:t>Three Months Ended September 30,</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2025</w:t>
            </w:r>
          </w:p>
        </w:tc>
        <w:tc>
          <w:tcPr>
            <w:tcW w:w="2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6,554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Other income, net</w:t>
            </w:r>
          </w:p>
        </w:tc>
        <w:tc>
          <w:tcPr>
            <w:tcW w:w="0" w:type="dxa"/>
            <w:vAlign w:val="bottom"/>
          </w:tcPr>
          <w:p>
            <w:pPr>
              <w:spacing w:after="0"/>
              <w:rPr>
                <w:sz w:val="1"/>
                <w:szCs w:val="1"/>
                <w:color w:val="auto"/>
              </w:rPr>
            </w:pPr>
          </w:p>
        </w:tc>
      </w:tr>
      <w:tr>
        <w:trPr>
          <w:trHeight w:val="202"/>
        </w:trPr>
        <w:tc>
          <w:tcPr>
            <w:tcW w:w="5020" w:type="dxa"/>
            <w:vAlign w:val="bottom"/>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6,554</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Accumulated Other Comprehensive Loss</w:t>
      </w:r>
    </w:p>
    <w:p>
      <w:pPr>
        <w:spacing w:after="0" w:line="183" w:lineRule="exact"/>
        <w:rPr>
          <w:sz w:val="20"/>
          <w:szCs w:val="20"/>
          <w:color w:val="auto"/>
        </w:rPr>
      </w:pPr>
    </w:p>
    <w:p>
      <w:pPr>
        <w:ind w:right="240" w:firstLine="623"/>
        <w:spacing w:after="0" w:line="294" w:lineRule="auto"/>
        <w:rPr>
          <w:sz w:val="20"/>
          <w:szCs w:val="20"/>
          <w:color w:val="auto"/>
        </w:rPr>
      </w:pPr>
      <w:r>
        <w:rPr>
          <w:rFonts w:ascii="Arial" w:cs="Arial" w:eastAsia="Arial" w:hAnsi="Arial"/>
          <w:sz w:val="17"/>
          <w:szCs w:val="17"/>
          <w:color w:val="auto"/>
        </w:rPr>
        <w:t>The following table presents a roll forward of amounts recognized in accumulated other comprehensive loss by component, net of tax of $236, for the three months ended September 30, 2026</w:t>
      </w:r>
      <w:r>
        <w:rPr>
          <w:rFonts w:ascii="Times New Roman" w:cs="Times New Roman" w:eastAsia="Times New Roman" w:hAnsi="Times New Roman"/>
          <w:sz w:val="17"/>
          <w:szCs w:val="17"/>
          <w:color w:val="auto"/>
        </w:rPr>
        <w: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Gains (losses) on cash</w:t>
            </w:r>
          </w:p>
        </w:tc>
        <w:tc>
          <w:tcPr>
            <w:tcW w:w="120" w:type="dxa"/>
            <w:vAlign w:val="bottom"/>
          </w:tcPr>
          <w:p>
            <w:pPr>
              <w:spacing w:after="0"/>
              <w:rPr>
                <w:sz w:val="12"/>
                <w:szCs w:val="12"/>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Gains (losses) on fair</w:t>
            </w:r>
          </w:p>
        </w:tc>
        <w:tc>
          <w:tcPr>
            <w:tcW w:w="16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Losses on pension</w:t>
            </w:r>
          </w:p>
        </w:tc>
        <w:tc>
          <w:tcPr>
            <w:tcW w:w="1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Translation adjustments,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tcPr>
          <w:p>
            <w:pPr>
              <w:jc w:val="center"/>
              <w:ind w:right="420"/>
              <w:spacing w:after="0" w:line="117" w:lineRule="exact"/>
              <w:rPr>
                <w:sz w:val="20"/>
                <w:szCs w:val="20"/>
                <w:color w:val="auto"/>
              </w:rPr>
            </w:pPr>
            <w:r>
              <w:rPr>
                <w:rFonts w:ascii="Arial" w:cs="Arial" w:eastAsia="Arial" w:hAnsi="Arial"/>
                <w:sz w:val="12"/>
                <w:szCs w:val="12"/>
                <w:b w:val="1"/>
                <w:bCs w:val="1"/>
                <w:color w:val="auto"/>
                <w:w w:val="99"/>
              </w:rPr>
              <w:t>flow</w:t>
            </w:r>
          </w:p>
        </w:tc>
        <w:tc>
          <w:tcPr>
            <w:tcW w:w="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ind w:right="54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8"/>
        </w:trPr>
        <w:tc>
          <w:tcPr>
            <w:tcW w:w="3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07"/>
              <w:spacing w:after="0"/>
              <w:rPr>
                <w:sz w:val="20"/>
                <w:szCs w:val="20"/>
                <w:color w:val="auto"/>
              </w:rPr>
            </w:pPr>
            <w:r>
              <w:rPr>
                <w:rFonts w:ascii="Arial" w:cs="Arial" w:eastAsia="Arial" w:hAnsi="Arial"/>
                <w:sz w:val="12"/>
                <w:szCs w:val="12"/>
                <w:b w:val="1"/>
                <w:bCs w:val="1"/>
                <w:color w:val="auto"/>
                <w:w w:val="99"/>
              </w:rPr>
              <w:t>hedges (1)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value hedges (2)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benefit obligations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net of hedges (3)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2026</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627"/>
              <w:spacing w:after="0"/>
              <w:rPr>
                <w:sz w:val="20"/>
                <w:szCs w:val="20"/>
                <w:color w:val="auto"/>
              </w:rPr>
            </w:pPr>
            <w:r>
              <w:rPr>
                <w:rFonts w:ascii="Arial" w:cs="Arial" w:eastAsia="Arial" w:hAnsi="Arial"/>
                <w:sz w:val="16"/>
                <w:szCs w:val="16"/>
                <w:color w:val="auto"/>
                <w:w w:val="94"/>
              </w:rPr>
              <w:t>6,370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(33,903)</w:t>
            </w:r>
          </w:p>
        </w:tc>
        <w:tc>
          <w:tcPr>
            <w:tcW w:w="0" w:type="dxa"/>
            <w:vAlign w:val="bottom"/>
          </w:tcPr>
          <w:p>
            <w:pPr>
              <w:spacing w:after="0"/>
              <w:rPr>
                <w:sz w:val="1"/>
                <w:szCs w:val="1"/>
                <w:color w:val="auto"/>
              </w:rPr>
            </w:pPr>
          </w:p>
        </w:tc>
      </w:tr>
      <w:tr>
        <w:trPr>
          <w:trHeight w:val="157"/>
        </w:trPr>
        <w:tc>
          <w:tcPr>
            <w:tcW w:w="3200" w:type="dxa"/>
            <w:vAlign w:val="bottom"/>
          </w:tcPr>
          <w:p>
            <w:pPr>
              <w:ind w:left="20"/>
              <w:spacing w:after="0" w:line="157" w:lineRule="exact"/>
              <w:rPr>
                <w:sz w:val="20"/>
                <w:szCs w:val="20"/>
                <w:color w:val="auto"/>
              </w:rPr>
            </w:pPr>
            <w:r>
              <w:rPr>
                <w:rFonts w:ascii="Arial" w:cs="Arial" w:eastAsia="Arial" w:hAnsi="Arial"/>
                <w:sz w:val="16"/>
                <w:szCs w:val="16"/>
                <w:color w:val="auto"/>
              </w:rPr>
              <w:t>Other comprehensive income (loss) before</w:t>
            </w:r>
          </w:p>
        </w:tc>
        <w:tc>
          <w:tcPr>
            <w:tcW w:w="280" w:type="dxa"/>
            <w:vAlign w:val="bottom"/>
          </w:tcPr>
          <w:p>
            <w:pPr>
              <w:spacing w:after="0"/>
              <w:rPr>
                <w:sz w:val="13"/>
                <w:szCs w:val="13"/>
                <w:color w:val="auto"/>
              </w:rPr>
            </w:pPr>
          </w:p>
        </w:tc>
        <w:tc>
          <w:tcPr>
            <w:tcW w:w="1240" w:type="dxa"/>
            <w:vAlign w:val="bottom"/>
            <w:vMerge w:val="restart"/>
          </w:tcPr>
          <w:p>
            <w:pPr>
              <w:jc w:val="center"/>
              <w:ind w:left="627"/>
              <w:spacing w:after="0"/>
              <w:rPr>
                <w:sz w:val="20"/>
                <w:szCs w:val="20"/>
                <w:color w:val="auto"/>
              </w:rPr>
            </w:pPr>
            <w:r>
              <w:rPr>
                <w:rFonts w:ascii="Arial" w:cs="Arial" w:eastAsia="Arial" w:hAnsi="Arial"/>
                <w:sz w:val="16"/>
                <w:szCs w:val="16"/>
                <w:color w:val="auto"/>
                <w:w w:val="94"/>
              </w:rPr>
              <w:t>3,080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restart"/>
          </w:tcPr>
          <w:p>
            <w:pPr>
              <w:ind w:left="1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(4,302)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06"/>
        </w:trPr>
        <w:tc>
          <w:tcPr>
            <w:tcW w:w="3200" w:type="dxa"/>
            <w:vAlign w:val="bottom"/>
          </w:tcPr>
          <w:p>
            <w:pPr>
              <w:ind w:left="20"/>
              <w:spacing w:after="0"/>
              <w:rPr>
                <w:sz w:val="20"/>
                <w:szCs w:val="20"/>
                <w:color w:val="auto"/>
              </w:rPr>
            </w:pPr>
            <w:r>
              <w:rPr>
                <w:rFonts w:ascii="Arial" w:cs="Arial" w:eastAsia="Arial" w:hAnsi="Arial"/>
                <w:sz w:val="16"/>
                <w:szCs w:val="16"/>
                <w:color w:val="auto"/>
              </w:rPr>
              <w:t>reclassifications</w:t>
            </w:r>
          </w:p>
        </w:tc>
        <w:tc>
          <w:tcPr>
            <w:tcW w:w="2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8"/>
              </w:rPr>
              <w:t>Amounts reclassified from accumulated other</w:t>
            </w:r>
          </w:p>
        </w:tc>
        <w:tc>
          <w:tcPr>
            <w:tcW w:w="2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center"/>
              <w:ind w:left="607"/>
              <w:spacing w:after="0"/>
              <w:rPr>
                <w:sz w:val="20"/>
                <w:szCs w:val="20"/>
                <w:color w:val="auto"/>
              </w:rPr>
            </w:pPr>
            <w:r>
              <w:rPr>
                <w:rFonts w:ascii="Arial" w:cs="Arial" w:eastAsia="Arial" w:hAnsi="Arial"/>
                <w:sz w:val="16"/>
                <w:szCs w:val="16"/>
                <w:color w:val="auto"/>
                <w:w w:val="94"/>
              </w:rPr>
              <w:t>(1,034)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to net (loss) income</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gridSpan w:val="2"/>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gridSpan w:val="2"/>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200" w:type="dxa"/>
            <w:vAlign w:val="bottom"/>
          </w:tcPr>
          <w:p>
            <w:pPr>
              <w:ind w:left="20"/>
              <w:spacing w:after="0" w:line="137" w:lineRule="exact"/>
              <w:rPr>
                <w:sz w:val="20"/>
                <w:szCs w:val="20"/>
                <w:color w:val="auto"/>
              </w:rPr>
            </w:pPr>
            <w:r>
              <w:rPr>
                <w:rFonts w:ascii="Arial" w:cs="Arial" w:eastAsia="Arial" w:hAnsi="Arial"/>
                <w:sz w:val="14"/>
                <w:szCs w:val="14"/>
                <w:color w:val="auto"/>
              </w:rPr>
              <w:t>Net current period other comprehensive</w:t>
            </w:r>
          </w:p>
        </w:tc>
        <w:tc>
          <w:tcPr>
            <w:tcW w:w="280" w:type="dxa"/>
            <w:vAlign w:val="bottom"/>
          </w:tcPr>
          <w:p>
            <w:pPr>
              <w:spacing w:after="0"/>
              <w:rPr>
                <w:sz w:val="11"/>
                <w:szCs w:val="11"/>
                <w:color w:val="auto"/>
              </w:rPr>
            </w:pPr>
          </w:p>
        </w:tc>
        <w:tc>
          <w:tcPr>
            <w:tcW w:w="1240" w:type="dxa"/>
            <w:vAlign w:val="bottom"/>
            <w:vMerge w:val="restart"/>
          </w:tcPr>
          <w:p>
            <w:pPr>
              <w:jc w:val="center"/>
              <w:ind w:left="627"/>
              <w:spacing w:after="0"/>
              <w:rPr>
                <w:sz w:val="20"/>
                <w:szCs w:val="20"/>
                <w:color w:val="auto"/>
              </w:rPr>
            </w:pPr>
            <w:r>
              <w:rPr>
                <w:rFonts w:ascii="Arial" w:cs="Arial" w:eastAsia="Arial" w:hAnsi="Arial"/>
                <w:sz w:val="16"/>
                <w:szCs w:val="16"/>
                <w:color w:val="auto"/>
                <w:w w:val="94"/>
              </w:rPr>
              <w:t>2,046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vMerge w:val="restart"/>
          </w:tcPr>
          <w:p>
            <w:pPr>
              <w:ind w:left="1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(4,536)</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6"/>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(loss)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2026</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center"/>
              <w:ind w:left="627"/>
              <w:spacing w:after="0"/>
              <w:rPr>
                <w:sz w:val="20"/>
                <w:szCs w:val="20"/>
                <w:color w:val="auto"/>
              </w:rPr>
            </w:pPr>
            <w:r>
              <w:rPr>
                <w:rFonts w:ascii="Arial" w:cs="Arial" w:eastAsia="Arial" w:hAnsi="Arial"/>
                <w:sz w:val="16"/>
                <w:szCs w:val="16"/>
                <w:color w:val="auto"/>
                <w:w w:val="94"/>
              </w:rPr>
              <w:t>8,416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(43,573)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(36,883)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99" w:lineRule="exact"/>
        <w:rPr>
          <w:sz w:val="20"/>
          <w:szCs w:val="20"/>
          <w:color w:val="auto"/>
        </w:rPr>
      </w:pPr>
    </w:p>
    <w:p>
      <w:pPr>
        <w:ind w:left="220" w:hanging="216"/>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Gains (losses) on cash flow hedges include our interest rate swap contracts designated in cash flow hedging relationships.</w:t>
      </w:r>
    </w:p>
    <w:p>
      <w:pPr>
        <w:spacing w:after="0" w:line="85" w:lineRule="exact"/>
        <w:rPr>
          <w:rFonts w:ascii="Arial" w:cs="Arial" w:eastAsia="Arial" w:hAnsi="Arial"/>
          <w:sz w:val="14"/>
          <w:szCs w:val="14"/>
          <w:color w:val="auto"/>
        </w:rPr>
      </w:pPr>
    </w:p>
    <w:p>
      <w:pPr>
        <w:ind w:left="220" w:hanging="216"/>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Gains (losses) on fair value hedges include our currency forward contracts designated in fair value hedging relationships.</w:t>
      </w:r>
    </w:p>
    <w:p>
      <w:pPr>
        <w:spacing w:after="0" w:line="98" w:lineRule="exact"/>
        <w:rPr>
          <w:rFonts w:ascii="Arial" w:cs="Arial" w:eastAsia="Arial" w:hAnsi="Arial"/>
          <w:sz w:val="14"/>
          <w:szCs w:val="14"/>
          <w:color w:val="auto"/>
        </w:rPr>
      </w:pPr>
    </w:p>
    <w:p>
      <w:pPr>
        <w:ind w:left="240" w:right="180" w:hanging="236"/>
        <w:spacing w:after="0" w:line="255" w:lineRule="auto"/>
        <w:tabs>
          <w:tab w:leader="none" w:pos="214"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September 30, 2026 and June 30, 2026, the translation adjustment is inclusive of both the realized and unrealized effects of our net investment hedges. Gains (losses) on currency forward and cross-currency swap contracts designated as net investment hedges, net of tax, of $1,082 and $(1,844) have been included in accumulated other comprehensive loss as of September 30, 2026 and June 30, 2026, respectively. Intercompany loan hedge gains, net of tax, which are associated with a previously settled loan of $42,159 have been included in accumulated other comprehensive loss for both periods presented.</w:t>
      </w:r>
    </w:p>
    <w:p>
      <w:pPr>
        <w:spacing w:after="0" w:line="291" w:lineRule="exact"/>
        <w:rPr>
          <w:sz w:val="20"/>
          <w:szCs w:val="20"/>
          <w:color w:val="auto"/>
        </w:rPr>
      </w:pPr>
    </w:p>
    <w:p>
      <w:pPr>
        <w:ind w:right="8100" w:firstLine="4"/>
        <w:spacing w:after="0" w:line="447" w:lineRule="auto"/>
        <w:tabs>
          <w:tab w:leader="none" w:pos="19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Acquisition of Saxoprint and viaprinto</w:t>
      </w:r>
    </w:p>
    <w:p>
      <w:pPr>
        <w:spacing w:after="0" w:line="1" w:lineRule="exact"/>
        <w:rPr>
          <w:sz w:val="20"/>
          <w:szCs w:val="20"/>
          <w:color w:val="auto"/>
        </w:rPr>
      </w:pPr>
    </w:p>
    <w:p>
      <w:pPr>
        <w:ind w:right="200" w:firstLine="623"/>
        <w:spacing w:after="0" w:line="275" w:lineRule="auto"/>
        <w:rPr>
          <w:sz w:val="20"/>
          <w:szCs w:val="20"/>
          <w:color w:val="auto"/>
        </w:rPr>
      </w:pPr>
      <w:r>
        <w:rPr>
          <w:rFonts w:ascii="Arial" w:cs="Arial" w:eastAsia="Arial" w:hAnsi="Arial"/>
          <w:sz w:val="17"/>
          <w:szCs w:val="17"/>
          <w:color w:val="auto"/>
        </w:rPr>
        <w:t>On July 2, 2026, we acquired all of the outstanding equity interests of the Saxoprint and viaprinto businesses of CEWE Stiftung &amp; Co. KGaA (collectively, "Saxoprint") for total purchase consideration of $ 141,081 (€ 123,996 based on the exchange rate on the acquisition date). We funded the acquisition in cash using our available cash balance and our senior secured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16" w:name="page17"/>
    <w:bookmarkEnd w:id="16"/>
    <w:p>
      <w:pPr>
        <w:ind w:right="60" w:firstLine="623"/>
        <w:spacing w:after="0" w:line="263" w:lineRule="auto"/>
        <w:rPr>
          <w:sz w:val="20"/>
          <w:szCs w:val="20"/>
          <w:color w:val="auto"/>
        </w:rPr>
      </w:pPr>
      <w:r>
        <w:rPr>
          <w:rFonts w:ascii="Arial" w:cs="Arial" w:eastAsia="Arial" w:hAnsi="Arial"/>
          <w:sz w:val="17"/>
          <w:szCs w:val="17"/>
          <w:color w:val="auto"/>
        </w:rPr>
        <w:t>Saxoprint, based in Dresden, Germany, serves business customers and is known for its high-quality low-cost production capabilities for flyers, booklets, brochures, catalogs and magazines. viaprinto is a reseller known for serving business customers through an intuitive user experience and value-added services. The acquisition extends our deep expertise and scale advantages in manufacturing. We expect to drive significant synergies by in-sourcing the production of certain products across other Cimpress businesses to Saxoprint's production capabilities and expanding Saxoprint's product offerings by sourcing products from our focused production hubs across Europe. These businesses operate in Europe, and will be managed within our PrintBrothers reportable segment.</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We recognized the assets and liabilities on the basis of their fair values at the date of the acquisition with any excess of the purchase price paid over the fair value of the net assets recorded as goodwill, which is primarily attributable to company-specific synergies that we expect to achieve through the acquisition, as well as manufacturing process and know-how and their assembled workforce. The goodwill balance has been attributed to the PrintBrothers reportable segment and $8,861 of the goodwill balance is deductible for tax purposes.</w:t>
      </w:r>
    </w:p>
    <w:p>
      <w:pPr>
        <w:spacing w:after="0" w:line="191"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We identified and valued Saxoprint's intangible assets, which include their trade names, customer relationships, and developed technologies. During the first quarter of fiscal year 2027, we approved a plan to market and execute a sale-leaseback of their manufacturing facility, and as a result, we classified the asset as held for sale as of the acquisition date. We measured the fair value of the asset based on the estimated sale price less selling costs using a market approach considering observable market data and other unobservable pricing indications (a Level 3 fair value measurement), which resulted in an initial fair value of $46,449. Our preliminary estimate of the fair value of specifically identifiable assets acquired and liabilities assumed as of the date of acquisition is subject to change upon finalizing our valuation analysis, including certain valuation assumptions. The final determination may result in changes in the fair value of certain assets and liabilities as compared to our preliminary estimates, which we expect to finalize during the second quarter of fiscal year 2027.</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preliminary fair value of the assets acquired and liabilities assumed as well as the residual goodwill was: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ind w:right="443"/>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rPr>
              <w:t>Weighted Average Useful Life in</w:t>
            </w:r>
          </w:p>
        </w:tc>
        <w:tc>
          <w:tcPr>
            <w:tcW w:w="0" w:type="dxa"/>
            <w:vAlign w:val="bottom"/>
          </w:tcPr>
          <w:p>
            <w:pPr>
              <w:spacing w:after="0"/>
              <w:rPr>
                <w:sz w:val="1"/>
                <w:szCs w:val="1"/>
                <w:color w:val="auto"/>
              </w:rPr>
            </w:pPr>
          </w:p>
        </w:tc>
      </w:tr>
      <w:tr>
        <w:trPr>
          <w:trHeight w:val="178"/>
        </w:trPr>
        <w:tc>
          <w:tcPr>
            <w:tcW w:w="74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Years</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assets acquired and liabilities assumed:</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4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9,524</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7"/>
        </w:trPr>
        <w:tc>
          <w:tcPr>
            <w:tcW w:w="74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7,339</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30,838</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7"/>
        </w:trPr>
        <w:tc>
          <w:tcPr>
            <w:tcW w:w="7400" w:type="dxa"/>
            <w:vAlign w:val="bottom"/>
          </w:tcPr>
          <w:p>
            <w:pPr>
              <w:ind w:left="20"/>
              <w:spacing w:after="0"/>
              <w:rPr>
                <w:sz w:val="20"/>
                <w:szCs w:val="20"/>
                <w:color w:val="auto"/>
              </w:rPr>
            </w:pPr>
            <w:r>
              <w:rPr>
                <w:rFonts w:ascii="Arial" w:cs="Arial" w:eastAsia="Arial" w:hAnsi="Arial"/>
                <w:sz w:val="16"/>
                <w:szCs w:val="16"/>
                <w:color w:val="auto"/>
              </w:rPr>
              <w:t>Assets held for sale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46,449</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7"/>
        </w:trPr>
        <w:tc>
          <w:tcPr>
            <w:tcW w:w="74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(8,198)</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7"/>
        </w:trPr>
        <w:tc>
          <w:tcPr>
            <w:tcW w:w="740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(7,986)</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7"/>
        </w:trPr>
        <w:tc>
          <w:tcPr>
            <w:tcW w:w="74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Identifiable intangible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00" w:type="dxa"/>
            <w:vAlign w:val="bottom"/>
          </w:tcPr>
          <w:p>
            <w:pPr>
              <w:ind w:left="120"/>
              <w:spacing w:after="0"/>
              <w:rPr>
                <w:sz w:val="20"/>
                <w:szCs w:val="20"/>
                <w:color w:val="auto"/>
              </w:rPr>
            </w:pPr>
            <w:r>
              <w:rPr>
                <w:rFonts w:ascii="Arial" w:cs="Arial" w:eastAsia="Arial" w:hAnsi="Arial"/>
                <w:sz w:val="16"/>
                <w:szCs w:val="16"/>
                <w:color w:val="auto"/>
              </w:rPr>
              <w:t>Customer relationships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11,150</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5"/>
              </w:rPr>
              <w:t>7 years</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Trade names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5,507</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 years</w:t>
            </w:r>
          </w:p>
        </w:tc>
        <w:tc>
          <w:tcPr>
            <w:tcW w:w="0" w:type="dxa"/>
            <w:vAlign w:val="bottom"/>
          </w:tcPr>
          <w:p>
            <w:pPr>
              <w:spacing w:after="0"/>
              <w:rPr>
                <w:sz w:val="1"/>
                <w:szCs w:val="1"/>
                <w:color w:val="auto"/>
              </w:rPr>
            </w:pPr>
          </w:p>
        </w:tc>
      </w:tr>
      <w:tr>
        <w:trPr>
          <w:trHeight w:val="207"/>
        </w:trPr>
        <w:tc>
          <w:tcPr>
            <w:tcW w:w="7400" w:type="dxa"/>
            <w:vAlign w:val="bottom"/>
          </w:tcPr>
          <w:p>
            <w:pPr>
              <w:ind w:left="120"/>
              <w:spacing w:after="0"/>
              <w:rPr>
                <w:sz w:val="20"/>
                <w:szCs w:val="20"/>
                <w:color w:val="auto"/>
              </w:rPr>
            </w:pPr>
            <w:r>
              <w:rPr>
                <w:rFonts w:ascii="Arial" w:cs="Arial" w:eastAsia="Arial" w:hAnsi="Arial"/>
                <w:sz w:val="16"/>
                <w:szCs w:val="16"/>
                <w:color w:val="auto"/>
              </w:rPr>
              <w:t>Developed technologies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5,814</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5"/>
              </w:rPr>
              <w:t>3 years</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36,480</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141,081</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right="260" w:firstLine="623"/>
        <w:spacing w:after="0" w:line="268" w:lineRule="auto"/>
        <w:rPr>
          <w:sz w:val="20"/>
          <w:szCs w:val="20"/>
          <w:color w:val="auto"/>
        </w:rPr>
      </w:pPr>
      <w:r>
        <w:rPr>
          <w:rFonts w:ascii="Arial" w:cs="Arial" w:eastAsia="Arial" w:hAnsi="Arial"/>
          <w:sz w:val="17"/>
          <w:szCs w:val="17"/>
          <w:color w:val="auto"/>
        </w:rPr>
        <w:t>Saxoprint has been included in our consolidated financial statements starting on its acquisition date. The revenue and earnings of Saxoprint included in our consolidated financial statements for the three months ended September 30, 2026 are not material. Separate financial results and proforma financial information were not required for the acquisition. In connection with the acquisition, we incurred an immaterial amount in general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7" w:name="page18"/>
    <w:bookmarkEnd w:id="17"/>
    <w:p>
      <w:pPr>
        <w:ind w:right="120"/>
        <w:spacing w:after="0" w:line="295" w:lineRule="auto"/>
        <w:rPr>
          <w:sz w:val="20"/>
          <w:szCs w:val="20"/>
          <w:color w:val="auto"/>
        </w:rPr>
      </w:pPr>
      <w:r>
        <w:rPr>
          <w:rFonts w:ascii="Arial" w:cs="Arial" w:eastAsia="Arial" w:hAnsi="Arial"/>
          <w:sz w:val="17"/>
          <w:szCs w:val="17"/>
          <w:color w:val="auto"/>
        </w:rPr>
        <w:t>administrative expenses, as part of our central and corporate costs during the three months ended September 30, 2026, primarily related to legal, financial, and other professional services.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amount of goodwill by reportable segment as of September 30, 2026 and June 30, 2026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VistaPrint</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The Print Group</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All Other Businesses</w:t>
            </w:r>
          </w:p>
        </w:tc>
        <w:tc>
          <w:tcPr>
            <w:tcW w:w="320" w:type="dxa"/>
            <w:vAlign w:val="bottom"/>
          </w:tcPr>
          <w:p>
            <w:pPr>
              <w:spacing w:after="0"/>
              <w:rPr>
                <w:sz w:val="14"/>
                <w:szCs w:val="14"/>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Total</w:t>
            </w:r>
          </w:p>
        </w:tc>
      </w:tr>
      <w:tr>
        <w:trPr>
          <w:trHeight w:val="205"/>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2026</w:t>
            </w:r>
          </w:p>
        </w:tc>
        <w:tc>
          <w:tcPr>
            <w:tcW w:w="2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303,229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164,784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187,844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850,778</w:t>
            </w: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auto"/>
              </w:rPr>
              <w:t>Acquisitions (1)</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36,480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36,480</w:t>
            </w: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currency translation adjustments (2)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w:t>
            </w:r>
          </w:p>
        </w:tc>
      </w:tr>
      <w:tr>
        <w:trPr>
          <w:trHeight w:val="202"/>
        </w:trPr>
        <w:tc>
          <w:tcPr>
            <w:tcW w:w="4240" w:type="dxa"/>
            <w:vAlign w:val="bottom"/>
          </w:tcPr>
          <w:p>
            <w:pPr>
              <w:ind w:left="20"/>
              <w:spacing w:after="0"/>
              <w:rPr>
                <w:sz w:val="20"/>
                <w:szCs w:val="20"/>
                <w:color w:val="auto"/>
              </w:rPr>
            </w:pPr>
            <w:r>
              <w:rPr>
                <w:rFonts w:ascii="Arial" w:cs="Arial" w:eastAsia="Arial" w:hAnsi="Arial"/>
                <w:sz w:val="16"/>
                <w:szCs w:val="16"/>
                <w:color w:val="auto"/>
              </w:rPr>
              <w:t>Balance as of September 30, 2026</w:t>
            </w: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rPr>
              <w:t>301,158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199,851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186,703</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882,633</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99" w:lineRule="exact"/>
        <w:rPr>
          <w:sz w:val="20"/>
          <w:szCs w:val="20"/>
          <w:color w:val="auto"/>
        </w:rPr>
      </w:pPr>
    </w:p>
    <w:p>
      <w:pPr>
        <w:ind w:left="220" w:hanging="216"/>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July 2, 2026, we acquired Saxoprint, which is included in our PrintBrothers reportable segment. Refer to Note 6 for additional details.</w:t>
      </w:r>
    </w:p>
    <w:p>
      <w:pPr>
        <w:spacing w:after="0" w:line="85" w:lineRule="exact"/>
        <w:rPr>
          <w:rFonts w:ascii="Arial" w:cs="Arial" w:eastAsia="Arial" w:hAnsi="Arial"/>
          <w:sz w:val="14"/>
          <w:szCs w:val="14"/>
          <w:color w:val="auto"/>
        </w:rPr>
      </w:pPr>
    </w:p>
    <w:p>
      <w:pPr>
        <w:ind w:left="220" w:hanging="216"/>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Other Balance Sheet Components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included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2026</w:t>
            </w:r>
          </w:p>
        </w:tc>
        <w:tc>
          <w:tcPr>
            <w:tcW w:w="240" w:type="dxa"/>
            <w:vAlign w:val="bottom"/>
          </w:tcPr>
          <w:p>
            <w:pPr>
              <w:spacing w:after="0"/>
              <w:rPr>
                <w:sz w:val="14"/>
                <w:szCs w:val="14"/>
                <w:color w:val="auto"/>
              </w:rPr>
            </w:pPr>
          </w:p>
        </w:tc>
        <w:tc>
          <w:tcPr>
            <w:tcW w:w="1300" w:type="dxa"/>
            <w:vAlign w:val="bottom"/>
          </w:tcPr>
          <w:p>
            <w:pPr>
              <w:jc w:val="right"/>
              <w:ind w:right="303"/>
              <w:spacing w:after="0"/>
              <w:rPr>
                <w:sz w:val="20"/>
                <w:szCs w:val="20"/>
                <w:color w:val="auto"/>
              </w:rPr>
            </w:pPr>
            <w:r>
              <w:rPr>
                <w:rFonts w:ascii="Arial" w:cs="Arial" w:eastAsia="Arial" w:hAnsi="Arial"/>
                <w:sz w:val="12"/>
                <w:szCs w:val="12"/>
                <w:b w:val="1"/>
                <w:bCs w:val="1"/>
                <w:color w:val="auto"/>
              </w:rPr>
              <w:t>June 30, 2026</w:t>
            </w:r>
          </w:p>
        </w:tc>
      </w:tr>
      <w:tr>
        <w:trPr>
          <w:trHeight w:val="205"/>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89,007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93,176</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Income and indirect taxes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58,197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57,417</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 (1)</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33,706</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Third-party manufacturing and digital content costs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23,820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23,600</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compensation incentives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15,858</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Shipping costs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19,643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12,291</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12,099</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Sales returns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5,542</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1,326</w:t>
            </w:r>
          </w:p>
        </w:tc>
      </w:tr>
      <w:tr>
        <w:trPr>
          <w:trHeight w:val="20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64,703</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351,028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324,744</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(1) The increase in advertising costs is partially due to increased spend during the first quarter of our fiscal year, as well as impacts from invoice timing.</w:t>
      </w:r>
    </w:p>
    <w:p>
      <w:pPr>
        <w:spacing w:after="0" w:line="200" w:lineRule="exact"/>
        <w:rPr>
          <w:sz w:val="20"/>
          <w:szCs w:val="20"/>
          <w:color w:val="auto"/>
        </w:rPr>
      </w:pP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current liabilities included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2026</w:t>
            </w:r>
          </w:p>
        </w:tc>
        <w:tc>
          <w:tcPr>
            <w:tcW w:w="240" w:type="dxa"/>
            <w:vAlign w:val="bottom"/>
          </w:tcPr>
          <w:p>
            <w:pPr>
              <w:spacing w:after="0"/>
              <w:rPr>
                <w:sz w:val="14"/>
                <w:szCs w:val="14"/>
                <w:color w:val="auto"/>
              </w:rPr>
            </w:pPr>
          </w:p>
        </w:tc>
        <w:tc>
          <w:tcPr>
            <w:tcW w:w="1300" w:type="dxa"/>
            <w:vAlign w:val="bottom"/>
          </w:tcPr>
          <w:p>
            <w:pPr>
              <w:jc w:val="right"/>
              <w:ind w:right="306"/>
              <w:spacing w:after="0"/>
              <w:rPr>
                <w:sz w:val="20"/>
                <w:szCs w:val="20"/>
                <w:color w:val="auto"/>
              </w:rPr>
            </w:pPr>
            <w:r>
              <w:rPr>
                <w:rFonts w:ascii="Arial" w:cs="Arial" w:eastAsia="Arial" w:hAnsi="Arial"/>
                <w:sz w:val="12"/>
                <w:szCs w:val="12"/>
                <w:b w:val="1"/>
                <w:bCs w:val="1"/>
                <w:color w:val="auto"/>
              </w:rPr>
              <w:t>June 30, 2026</w:t>
            </w:r>
          </w:p>
        </w:tc>
      </w:tr>
      <w:tr>
        <w:trPr>
          <w:trHeight w:val="205"/>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derivative liabilities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15,113</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12,331</w:t>
            </w:r>
          </w:p>
        </w:tc>
      </w:tr>
      <w:tr>
        <w:trPr>
          <w:trHeight w:val="20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2,243</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29,687</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8" w:name="page19"/>
    <w:bookmarkEnd w:id="18"/>
    <w:p>
      <w:pPr>
        <w:ind w:left="620"/>
        <w:spacing w:after="0"/>
        <w:rPr>
          <w:sz w:val="20"/>
          <w:szCs w:val="20"/>
          <w:color w:val="auto"/>
        </w:rPr>
      </w:pPr>
      <w:r>
        <w:rPr>
          <w:rFonts w:ascii="Arial" w:cs="Arial" w:eastAsia="Arial" w:hAnsi="Arial"/>
          <w:sz w:val="17"/>
          <w:szCs w:val="17"/>
          <w:color w:val="auto"/>
        </w:rPr>
        <w:t>Other liabilities included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September 30, 2026</w:t>
            </w:r>
          </w:p>
        </w:tc>
        <w:tc>
          <w:tcPr>
            <w:tcW w:w="240" w:type="dxa"/>
            <w:vAlign w:val="bottom"/>
          </w:tcPr>
          <w:p>
            <w:pPr>
              <w:spacing w:after="0"/>
              <w:rPr>
                <w:sz w:val="14"/>
                <w:szCs w:val="14"/>
                <w:color w:val="auto"/>
              </w:rPr>
            </w:pPr>
          </w:p>
        </w:tc>
        <w:tc>
          <w:tcPr>
            <w:tcW w:w="1300" w:type="dxa"/>
            <w:vAlign w:val="bottom"/>
          </w:tcPr>
          <w:p>
            <w:pPr>
              <w:jc w:val="right"/>
              <w:ind w:right="304"/>
              <w:spacing w:after="0"/>
              <w:rPr>
                <w:sz w:val="20"/>
                <w:szCs w:val="20"/>
                <w:color w:val="auto"/>
              </w:rPr>
            </w:pPr>
            <w:r>
              <w:rPr>
                <w:rFonts w:ascii="Arial" w:cs="Arial" w:eastAsia="Arial" w:hAnsi="Arial"/>
                <w:sz w:val="12"/>
                <w:szCs w:val="12"/>
                <w:b w:val="1"/>
                <w:bCs w:val="1"/>
                <w:color w:val="auto"/>
              </w:rPr>
              <w:t>June 30, 2026</w:t>
            </w:r>
          </w:p>
        </w:tc>
      </w:tr>
      <w:tr>
        <w:trPr>
          <w:trHeight w:val="205"/>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derivative liabilities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24,700</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42,883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36,879</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compensation incentives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9,233</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Long-term pension liabilities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8,616</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acquisition payments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7,881</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13,492</w:t>
            </w:r>
          </w:p>
        </w:tc>
      </w:tr>
      <w:tr>
        <w:trPr>
          <w:trHeight w:val="22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101,653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100,801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2026</w:t>
            </w:r>
          </w:p>
        </w:tc>
        <w:tc>
          <w:tcPr>
            <w:tcW w:w="260" w:type="dxa"/>
            <w:vAlign w:val="bottom"/>
          </w:tcPr>
          <w:p>
            <w:pPr>
              <w:spacing w:after="0"/>
              <w:rPr>
                <w:sz w:val="14"/>
                <w:szCs w:val="14"/>
                <w:color w:val="auto"/>
              </w:rPr>
            </w:pPr>
          </w:p>
        </w:tc>
        <w:tc>
          <w:tcPr>
            <w:tcW w:w="1340" w:type="dxa"/>
            <w:vAlign w:val="bottom"/>
          </w:tcPr>
          <w:p>
            <w:pPr>
              <w:jc w:val="right"/>
              <w:ind w:right="324"/>
              <w:spacing w:after="0"/>
              <w:rPr>
                <w:sz w:val="20"/>
                <w:szCs w:val="20"/>
                <w:color w:val="auto"/>
              </w:rPr>
            </w:pPr>
            <w:r>
              <w:rPr>
                <w:rFonts w:ascii="Arial" w:cs="Arial" w:eastAsia="Arial" w:hAnsi="Arial"/>
                <w:sz w:val="12"/>
                <w:szCs w:val="12"/>
                <w:b w:val="1"/>
                <w:bCs w:val="1"/>
                <w:color w:val="auto"/>
              </w:rPr>
              <w:t>June 30, 2026</w:t>
            </w:r>
          </w:p>
        </w:tc>
      </w:tr>
      <w:tr>
        <w:trPr>
          <w:trHeight w:val="205"/>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7.375% Senior Notes due 2032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525,000</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1,129,500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1,097,250</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14,154</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and discounts, net of debt premiums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(23,461)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(24,423)</w:t>
            </w:r>
          </w:p>
        </w:tc>
      </w:tr>
      <w:tr>
        <w:trPr>
          <w:trHeight w:val="20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outstanding, net</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1,644,170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1,611,981</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short-term debt (1)(2)</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49,487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14,620</w:t>
            </w:r>
          </w:p>
        </w:tc>
      </w:tr>
      <w:tr>
        <w:trPr>
          <w:trHeight w:val="22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1,594,683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1,597,361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ind w:left="220" w:hanging="216"/>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Balances as of September 30, 2026 and June 30, 2026 are inclusive of short-term debt issuance costs, debt premiums and discounts of $3,852 in both periods presented.</w:t>
      </w:r>
    </w:p>
    <w:p>
      <w:pPr>
        <w:spacing w:after="0" w:line="46" w:lineRule="exact"/>
        <w:rPr>
          <w:rFonts w:ascii="Arial" w:cs="Arial" w:eastAsia="Arial" w:hAnsi="Arial"/>
          <w:sz w:val="14"/>
          <w:szCs w:val="14"/>
          <w:color w:val="auto"/>
        </w:rPr>
      </w:pPr>
    </w:p>
    <w:p>
      <w:pPr>
        <w:ind w:left="240" w:right="380" w:hanging="236"/>
        <w:spacing w:after="0" w:line="281" w:lineRule="auto"/>
        <w:tabs>
          <w:tab w:leader="none" w:pos="214"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increase in short-term debt is due to $35,000 of borrowings on our senior secured revolving credit facility during the current quarter. The borrowings were used to fund the acquisition of our Saxoprint business. Refer to Note 6 for additional details.</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various debt arrangements described below contain customary representations, warranties, and events of default. As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2026, we were in compliance with all covenants in those debt contracts, including our amended and restated senior secured credit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agreement dated as of June 4, 2026 ("Restated Credit Agreement") and the indenture governing our 7.375% senior unsecured notes due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September 15, 2032 ("2032 Notes").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Credit Facility</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Restated Credit Agreement consists of the following as of September 30, 2026:</w:t>
      </w:r>
    </w:p>
    <w:p>
      <w:pPr>
        <w:spacing w:after="0" w:line="90" w:lineRule="exact"/>
        <w:rPr>
          <w:sz w:val="20"/>
          <w:szCs w:val="20"/>
          <w:color w:val="auto"/>
        </w:rPr>
      </w:pPr>
    </w:p>
    <w:p>
      <w:pPr>
        <w:ind w:left="620" w:right="180" w:hanging="305"/>
        <w:spacing w:after="0" w:line="275"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$1,094,500 Term Loan B that bears interest at Term SOFR (with a Term SOFR rate floor of 0%) plus 2.50%, which amortizes over the loan period, with a maturity date of June 4, 2033 (subject to an earlier maturity on June 16, 2032 if the 2032 Notes have not been repaid, refinanced or extended as specified in the Restated Credit Agreement), and</w:t>
      </w:r>
    </w:p>
    <w:p>
      <w:pPr>
        <w:spacing w:after="0" w:line="41" w:lineRule="exact"/>
        <w:rPr>
          <w:rFonts w:ascii="Arial" w:cs="Arial" w:eastAsia="Arial" w:hAnsi="Arial"/>
          <w:sz w:val="17"/>
          <w:szCs w:val="17"/>
          <w:color w:val="auto"/>
        </w:rPr>
      </w:pPr>
    </w:p>
    <w:p>
      <w:pPr>
        <w:ind w:left="620" w:right="280" w:hanging="305"/>
        <w:spacing w:after="0" w:line="295"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$250,000 senior secured revolving credit facility with a maturity date of June 4, 2031 (the “Revolving Credit Facility”), with outstanding borrowings of $35,000.</w:t>
      </w:r>
    </w:p>
    <w:p>
      <w:pPr>
        <w:spacing w:after="0" w:line="26" w:lineRule="exact"/>
        <w:rPr>
          <w:sz w:val="20"/>
          <w:szCs w:val="20"/>
          <w:color w:val="auto"/>
        </w:rPr>
      </w:pPr>
    </w:p>
    <w:p>
      <w:pPr>
        <w:ind w:left="1240" w:right="380" w:hanging="302"/>
        <w:spacing w:after="0" w:line="275" w:lineRule="auto"/>
        <w:tabs>
          <w:tab w:leader="none" w:pos="12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Borrowings under the Revolving Credit Facility bear interest at Term SOFR (with a Term SOFR rate floor of 0%) plus 2.25% to 3.00% depending on the Company’s First Lien Leverage Ratio, a net leverage calculation, as defined in the Restated Credit Agreement.</w:t>
      </w:r>
    </w:p>
    <w:p>
      <w:pPr>
        <w:spacing w:after="0" w:line="29" w:lineRule="exact"/>
        <w:rPr>
          <w:sz w:val="20"/>
          <w:szCs w:val="20"/>
          <w:color w:val="auto"/>
        </w:rPr>
      </w:pPr>
    </w:p>
    <w:p>
      <w:pPr>
        <w:ind w:right="40" w:firstLine="623"/>
        <w:spacing w:after="0" w:line="261" w:lineRule="auto"/>
        <w:rPr>
          <w:sz w:val="20"/>
          <w:szCs w:val="20"/>
          <w:color w:val="auto"/>
        </w:rPr>
      </w:pPr>
      <w:r>
        <w:rPr>
          <w:rFonts w:ascii="Arial" w:cs="Arial" w:eastAsia="Arial" w:hAnsi="Arial"/>
          <w:sz w:val="17"/>
          <w:szCs w:val="17"/>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the aggregate principal amount of outstanding revolving loans, swingline loans and unreimbursed letter of credit disbursements made under the Revolving Credit Facility exceeds 20% of the aggregate revolving commitments as of the last day of any fiscal quarter, then we are subject to a financial maintenance covenant requiring that the Consolidated Leverage Ratio calculated as of the last day of such quarter may not exceed 4.50 to 1.00.</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19" w:name="page20"/>
    <w:bookmarkEnd w:id="19"/>
    <w:p>
      <w:pPr>
        <w:ind w:left="620"/>
        <w:spacing w:after="0"/>
        <w:rPr>
          <w:sz w:val="20"/>
          <w:szCs w:val="20"/>
          <w:color w:val="auto"/>
        </w:rPr>
      </w:pPr>
      <w:r>
        <w:rPr>
          <w:rFonts w:ascii="Arial" w:cs="Arial" w:eastAsia="Arial" w:hAnsi="Arial"/>
          <w:sz w:val="17"/>
          <w:szCs w:val="17"/>
          <w:color w:val="auto"/>
        </w:rPr>
        <w:t>As of September 30, 2026, the weighted-average interest rate on outstanding borrowings under the Restated Credit Agreement was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5.89%, inclusive of interest rate swap rates. We are also required to pay a commitment fee for our Revolving Credit Facility on unused balances of</w:t>
      </w:r>
    </w:p>
    <w:p>
      <w:pPr>
        <w:spacing w:after="0" w:line="1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0.25% to 0.40% depending on our First Lien Leverage Ratio. We have pledged the assets and/or share capital of a number of our subsidiaries as collateral under our Restated Credit Agreement.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Notes</w:t>
      </w:r>
    </w:p>
    <w:p>
      <w:pPr>
        <w:spacing w:after="0" w:line="181" w:lineRule="exact"/>
        <w:rPr>
          <w:sz w:val="20"/>
          <w:szCs w:val="20"/>
          <w:color w:val="auto"/>
        </w:rPr>
      </w:pPr>
    </w:p>
    <w:p>
      <w:pPr>
        <w:ind w:right="260" w:firstLine="623"/>
        <w:spacing w:after="0" w:line="275" w:lineRule="auto"/>
        <w:rPr>
          <w:sz w:val="20"/>
          <w:szCs w:val="20"/>
          <w:color w:val="auto"/>
        </w:rPr>
      </w:pPr>
      <w:r>
        <w:rPr>
          <w:rFonts w:ascii="Arial" w:cs="Arial" w:eastAsia="Arial" w:hAnsi="Arial"/>
          <w:sz w:val="17"/>
          <w:szCs w:val="17"/>
          <w:color w:val="auto"/>
        </w:rPr>
        <w:t>We have issued $525,000 in 2032 Notes, which are unsecured. We can redeem some or all of the 2032 Notes at the redemption prices specified in the indenture that governs the 2032 Notes, plus accrued and unpaid interest to, but not including, the redemption date. As of September 30, 2026, we have not redeemed any of the 2032 Notes.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Debt</w:t>
      </w:r>
    </w:p>
    <w:p>
      <w:pPr>
        <w:spacing w:after="0" w:line="181" w:lineRule="exact"/>
        <w:rPr>
          <w:sz w:val="20"/>
          <w:szCs w:val="20"/>
          <w:color w:val="auto"/>
        </w:rPr>
      </w:pPr>
    </w:p>
    <w:p>
      <w:pPr>
        <w:jc w:val="both"/>
        <w:ind w:right="100" w:firstLine="623"/>
        <w:spacing w:after="0" w:line="295" w:lineRule="auto"/>
        <w:rPr>
          <w:sz w:val="20"/>
          <w:szCs w:val="20"/>
          <w:color w:val="auto"/>
        </w:rPr>
      </w:pPr>
      <w:r>
        <w:rPr>
          <w:rFonts w:ascii="Arial" w:cs="Arial" w:eastAsia="Arial" w:hAnsi="Arial"/>
          <w:sz w:val="17"/>
          <w:szCs w:val="17"/>
          <w:color w:val="auto"/>
        </w:rPr>
        <w:t>Other debt primarily consists of term loans acquired through acquisitions or used to fund certain capital investments. As of September 30, 2026 and June 30, 2026, we had $13,131 and $14,154, respectively, outstanding for those obligations that are payable through September 2037.</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83"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Our income tax expense was $6,623 and $17,838 for the three months ended September 30, 2026 and 2025, respectively. Income tax expense decreased versus the prior comparative period primarily due to decreased income before income taxes and various immaterial discrete items in both periods. Our effective tax rate continues to be negatively impacted by losses in certain jurisdictions where we are unable to recognize a tax benefit in the current period. These losses with no tax benefit were excluded in calculating income tax expense for the three months ended September 30, 2026 and 2025, in accordance with GAAP. We continuously analyze our valuation allowance positions and the weight of objective and verifiable evidence of actual results against the more subjective evidence of anticipated future income over the expected allowable recovery period. Changes to anticipated future income or the allowable recovery period could result in a full or partial release in the valuation allowance.</w:t>
      </w:r>
    </w:p>
    <w:p>
      <w:pPr>
        <w:spacing w:after="0" w:line="199" w:lineRule="exact"/>
        <w:rPr>
          <w:sz w:val="20"/>
          <w:szCs w:val="20"/>
          <w:color w:val="auto"/>
        </w:rPr>
      </w:pPr>
    </w:p>
    <w:p>
      <w:pPr>
        <w:jc w:val="both"/>
        <w:ind w:right="140" w:firstLine="623"/>
        <w:spacing w:after="0" w:line="275" w:lineRule="auto"/>
        <w:rPr>
          <w:sz w:val="20"/>
          <w:szCs w:val="20"/>
          <w:color w:val="auto"/>
        </w:rPr>
      </w:pPr>
      <w:r>
        <w:rPr>
          <w:rFonts w:ascii="Arial" w:cs="Arial" w:eastAsia="Arial" w:hAnsi="Arial"/>
          <w:sz w:val="17"/>
          <w:szCs w:val="17"/>
          <w:color w:val="auto"/>
        </w:rPr>
        <w:t>As of September 30, 2026, we had unrecognized tax benefits of $15,540, including accrued interest and penalties of $142. We recognize interest and, if applicable, penalties related to unrecognized tax benefits in the provision for income taxes. If recognized, $2,298 of unrecognized tax benefits would reduce our tax expense. We believe we have appropriately provided for all tax uncertainties.</w:t>
      </w:r>
    </w:p>
    <w:p>
      <w:pPr>
        <w:spacing w:after="0" w:line="159" w:lineRule="exact"/>
        <w:rPr>
          <w:sz w:val="20"/>
          <w:szCs w:val="20"/>
          <w:color w:val="auto"/>
        </w:rPr>
      </w:pPr>
    </w:p>
    <w:p>
      <w:pPr>
        <w:jc w:val="both"/>
        <w:ind w:right="120" w:firstLine="623"/>
        <w:spacing w:after="0" w:line="264" w:lineRule="auto"/>
        <w:rPr>
          <w:sz w:val="20"/>
          <w:szCs w:val="20"/>
          <w:color w:val="auto"/>
        </w:rPr>
      </w:pPr>
      <w:r>
        <w:rPr>
          <w:rFonts w:ascii="Arial" w:cs="Arial" w:eastAsia="Arial" w:hAnsi="Arial"/>
          <w:sz w:val="17"/>
          <w:szCs w:val="17"/>
          <w:color w:val="auto"/>
        </w:rPr>
        <w:t>We conduct business in a number of tax jurisdictions and, as such, are required to file income tax returns in multiple jurisdictions globally. The fiscal years 2021 through 2026 remain open to examination in the various tax</w:t>
      </w:r>
    </w:p>
    <w:p>
      <w:pPr>
        <w:spacing w:after="0" w:line="1"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jurisdictions in which we file. In addition, for certain tax attribute carryforwards originating in fiscal years 2014 through 2026, the statute of limitations will be dependent on the year in which the attributes are utilized.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3" w:right="35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11. Noncontrolling Interests</w:t>
      </w:r>
    </w:p>
    <w:p>
      <w:pPr>
        <w:spacing w:after="0" w:line="183"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For some of our subsidiaries, we own a controlling equity stake, and a third party or key members of the business management team own a minority portion of the equity. These noncontrolling interests span multiple businesses and reportable segments.</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changes in our noncontrolling interests: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Redeemable</w:t>
            </w:r>
          </w:p>
        </w:tc>
        <w:tc>
          <w:tcPr>
            <w:tcW w:w="100" w:type="dxa"/>
            <w:vAlign w:val="bottom"/>
          </w:tcPr>
          <w:p>
            <w:pPr>
              <w:spacing w:after="0"/>
              <w:rPr>
                <w:sz w:val="12"/>
                <w:szCs w:val="12"/>
                <w:color w:val="auto"/>
              </w:rPr>
            </w:pPr>
          </w:p>
        </w:tc>
        <w:tc>
          <w:tcPr>
            <w:tcW w:w="144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w w:val="99"/>
              </w:rPr>
              <w:t>Noncontrolling Interest</w:t>
            </w:r>
          </w:p>
        </w:tc>
        <w:tc>
          <w:tcPr>
            <w:tcW w:w="0" w:type="dxa"/>
            <w:vAlign w:val="bottom"/>
          </w:tcPr>
          <w:p>
            <w:pPr>
              <w:spacing w:after="0"/>
              <w:rPr>
                <w:sz w:val="1"/>
                <w:szCs w:val="1"/>
                <w:color w:val="auto"/>
              </w:rPr>
            </w:pPr>
          </w:p>
        </w:tc>
      </w:tr>
      <w:tr>
        <w:trPr>
          <w:trHeight w:val="178"/>
        </w:trPr>
        <w:tc>
          <w:tcPr>
            <w:tcW w:w="8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Noncontrolling Interest</w:t>
            </w:r>
          </w:p>
        </w:tc>
        <w:tc>
          <w:tcPr>
            <w:tcW w:w="1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20,141</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Accretion to redemption value recognized in retained earnings</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 to purchase price recognized in additional paid-in capital</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Purchase of noncontrolling interests (1)</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2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2026 (2)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78,361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86" w:lineRule="exact"/>
        <w:rPr>
          <w:sz w:val="20"/>
          <w:szCs w:val="20"/>
          <w:color w:val="auto"/>
        </w:rPr>
      </w:pPr>
    </w:p>
    <w:p>
      <w:pPr>
        <w:ind w:left="220" w:hanging="216"/>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the first quarter of fiscal year 2027, we purchased the remaining noncontrolling interest in one of our smaller businesses within the PrintBrothers reportable segment for $403.</w:t>
      </w:r>
    </w:p>
    <w:p>
      <w:pPr>
        <w:spacing w:after="0" w:line="98" w:lineRule="exact"/>
        <w:rPr>
          <w:rFonts w:ascii="Arial" w:cs="Arial" w:eastAsia="Arial" w:hAnsi="Arial"/>
          <w:sz w:val="14"/>
          <w:szCs w:val="14"/>
          <w:color w:val="auto"/>
        </w:rPr>
      </w:pPr>
    </w:p>
    <w:p>
      <w:pPr>
        <w:ind w:left="240" w:right="40" w:hanging="236"/>
        <w:spacing w:after="0" w:line="262" w:lineRule="auto"/>
        <w:tabs>
          <w:tab w:leader="none" w:pos="214"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During the current quarter, a put option window opened for the minority interest holders in one of our smaller businesses. The holders have exercised that option, which will result in the purchase of their outstanding shares in the second quarter of the current fiscal year for $9,602.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Segment Information</w:t>
      </w:r>
    </w:p>
    <w:p>
      <w:pPr>
        <w:spacing w:after="0" w:line="196" w:lineRule="exact"/>
        <w:rPr>
          <w:sz w:val="20"/>
          <w:szCs w:val="20"/>
          <w:color w:val="auto"/>
        </w:rPr>
      </w:pPr>
    </w:p>
    <w:p>
      <w:pPr>
        <w:jc w:val="both"/>
        <w:ind w:right="620" w:firstLine="623"/>
        <w:spacing w:after="0" w:line="275" w:lineRule="auto"/>
        <w:rPr>
          <w:sz w:val="20"/>
          <w:szCs w:val="20"/>
          <w:color w:val="auto"/>
        </w:rPr>
      </w:pPr>
      <w:r>
        <w:rPr>
          <w:rFonts w:ascii="Arial" w:cs="Arial" w:eastAsia="Arial" w:hAnsi="Arial"/>
          <w:sz w:val="17"/>
          <w:szCs w:val="17"/>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46" w:lineRule="exact"/>
        <w:rPr>
          <w:sz w:val="20"/>
          <w:szCs w:val="20"/>
          <w:color w:val="auto"/>
        </w:rPr>
      </w:pPr>
    </w:p>
    <w:p>
      <w:pPr>
        <w:ind w:right="220" w:firstLine="623"/>
        <w:spacing w:after="0" w:line="295" w:lineRule="auto"/>
        <w:rPr>
          <w:sz w:val="20"/>
          <w:szCs w:val="20"/>
          <w:color w:val="auto"/>
        </w:rPr>
      </w:pPr>
      <w:r>
        <w:rPr>
          <w:rFonts w:ascii="Arial" w:cs="Arial" w:eastAsia="Arial" w:hAnsi="Arial"/>
          <w:sz w:val="17"/>
          <w:szCs w:val="17"/>
          <w:color w:val="auto"/>
        </w:rPr>
        <w:t>As of September 30, 2026, we have numerous operating segments under our management reporting structure which are reported in the following five reportable segments:</w:t>
      </w:r>
    </w:p>
    <w:p>
      <w:pPr>
        <w:spacing w:after="0" w:line="130" w:lineRule="exact"/>
        <w:rPr>
          <w:sz w:val="20"/>
          <w:szCs w:val="20"/>
          <w:color w:val="auto"/>
        </w:rPr>
      </w:pPr>
    </w:p>
    <w:p>
      <w:pPr>
        <w:ind w:left="620" w:right="100" w:hanging="305"/>
        <w:spacing w:after="0" w:line="268"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VistaPrint </w:t>
      </w:r>
      <w:r>
        <w:rPr>
          <w:rFonts w:ascii="Arial" w:cs="Arial" w:eastAsia="Arial" w:hAnsi="Arial"/>
          <w:sz w:val="17"/>
          <w:szCs w:val="17"/>
          <w:color w:val="auto"/>
        </w:rPr>
        <w:t>- Consists of the operations of our VistaPrint branded websites in North America, Western Europe, Australia, New Zealand,</w:t>
      </w:r>
      <w:r>
        <w:rPr>
          <w:rFonts w:ascii="Arial" w:cs="Arial" w:eastAsia="Arial" w:hAnsi="Arial"/>
          <w:sz w:val="17"/>
          <w:szCs w:val="17"/>
          <w:i w:val="1"/>
          <w:iCs w:val="1"/>
          <w:color w:val="auto"/>
        </w:rPr>
        <w:t xml:space="preserve"> </w:t>
      </w:r>
      <w:r>
        <w:rPr>
          <w:rFonts w:ascii="Arial" w:cs="Arial" w:eastAsia="Arial" w:hAnsi="Arial"/>
          <w:sz w:val="17"/>
          <w:szCs w:val="17"/>
          <w:color w:val="auto"/>
        </w:rPr>
        <w:t>India, and Singapore. This business also includes several smaller revenue and profit streams: our 99designs by Vista business, which provides graphic design services, VistaCreate for do-it-yourself (DIY) design, our Vista x Wix partnership for small business websites, and our VistaPrint Corporate Solutions business, which serves medium-sized businesses and large corporations.</w:t>
      </w:r>
    </w:p>
    <w:p>
      <w:pPr>
        <w:spacing w:after="0" w:line="139" w:lineRule="exact"/>
        <w:rPr>
          <w:rFonts w:ascii="Arial" w:cs="Arial" w:eastAsia="Arial" w:hAnsi="Arial"/>
          <w:sz w:val="17"/>
          <w:szCs w:val="17"/>
          <w:color w:val="auto"/>
        </w:rPr>
      </w:pPr>
    </w:p>
    <w:p>
      <w:pPr>
        <w:ind w:left="620" w:right="220" w:hanging="305"/>
        <w:spacing w:after="0" w:line="295"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PrintBrothers </w:t>
      </w:r>
      <w:r>
        <w:rPr>
          <w:rFonts w:ascii="Arial" w:cs="Arial" w:eastAsia="Arial" w:hAnsi="Arial"/>
          <w:sz w:val="17"/>
          <w:szCs w:val="17"/>
          <w:color w:val="auto"/>
        </w:rPr>
        <w:t>- Includes the results of druck.at, Printdeal, Saxoprint, and WIRmachenDRUCK, a group of Upload &amp; Print businesses that</w:t>
      </w:r>
      <w:r>
        <w:rPr>
          <w:rFonts w:ascii="Arial" w:cs="Arial" w:eastAsia="Arial" w:hAnsi="Arial"/>
          <w:sz w:val="17"/>
          <w:szCs w:val="17"/>
          <w:i w:val="1"/>
          <w:iCs w:val="1"/>
          <w:color w:val="auto"/>
        </w:rPr>
        <w:t xml:space="preserve"> </w:t>
      </w:r>
      <w:r>
        <w:rPr>
          <w:rFonts w:ascii="Arial" w:cs="Arial" w:eastAsia="Arial" w:hAnsi="Arial"/>
          <w:sz w:val="17"/>
          <w:szCs w:val="17"/>
          <w:color w:val="auto"/>
        </w:rPr>
        <w:t>serve graphic professionals throughout Europe, primarily in Austria, Belgium, Germany, the Netherlands, and Switzerland.</w:t>
      </w:r>
    </w:p>
    <w:p>
      <w:pPr>
        <w:spacing w:after="0" w:line="129" w:lineRule="exact"/>
        <w:rPr>
          <w:rFonts w:ascii="Arial" w:cs="Arial" w:eastAsia="Arial" w:hAnsi="Arial"/>
          <w:sz w:val="17"/>
          <w:szCs w:val="17"/>
          <w:color w:val="auto"/>
        </w:rPr>
      </w:pPr>
    </w:p>
    <w:p>
      <w:pPr>
        <w:ind w:left="620" w:right="60" w:hanging="305"/>
        <w:spacing w:after="0" w:line="275"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The Print Group </w:t>
      </w:r>
      <w:r>
        <w:rPr>
          <w:rFonts w:ascii="Arial" w:cs="Arial" w:eastAsia="Arial" w:hAnsi="Arial"/>
          <w:sz w:val="17"/>
          <w:szCs w:val="17"/>
          <w:color w:val="auto"/>
        </w:rPr>
        <w:t>- Includes the results of Easyflyer, Exaprint, Mixam, Pixartprinting, and Tradeprint, a group of Upload &amp; Print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that serve graphic professionals throughout Europe, primarily in France, Italy, Spain, and the United Kingdom, and to a lesser extent in the United States.</w:t>
      </w:r>
    </w:p>
    <w:p>
      <w:pPr>
        <w:spacing w:after="0" w:line="145" w:lineRule="exact"/>
        <w:rPr>
          <w:rFonts w:ascii="Arial" w:cs="Arial" w:eastAsia="Arial" w:hAnsi="Arial"/>
          <w:sz w:val="17"/>
          <w:szCs w:val="17"/>
          <w:color w:val="auto"/>
        </w:rPr>
      </w:pPr>
    </w:p>
    <w:p>
      <w:pPr>
        <w:ind w:left="620" w:right="220" w:hanging="305"/>
        <w:spacing w:after="0" w:line="275"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National Pen </w:t>
      </w:r>
      <w:r>
        <w:rPr>
          <w:rFonts w:ascii="Arial" w:cs="Arial" w:eastAsia="Arial" w:hAnsi="Arial"/>
          <w:sz w:val="17"/>
          <w:szCs w:val="17"/>
          <w:color w:val="auto"/>
        </w:rPr>
        <w:t>- Serves small businesses across geographies including North America, Europe, and Australia. The pens.com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sells through their ecommerce site and is supported by digital marketing methods as well as direct mail and telesales. National Pen focuses on customized writing instruments and promotional products, apparel, and gifts for small- and medium-sized businesses.</w:t>
      </w:r>
    </w:p>
    <w:p>
      <w:pPr>
        <w:spacing w:after="0" w:line="132" w:lineRule="exact"/>
        <w:rPr>
          <w:rFonts w:ascii="Arial" w:cs="Arial" w:eastAsia="Arial" w:hAnsi="Arial"/>
          <w:sz w:val="17"/>
          <w:szCs w:val="17"/>
          <w:color w:val="auto"/>
        </w:rPr>
      </w:pPr>
    </w:p>
    <w:p>
      <w:pPr>
        <w:ind w:left="620" w:right="40" w:hanging="305"/>
        <w:spacing w:after="0" w:line="285" w:lineRule="auto"/>
        <w:tabs>
          <w:tab w:leader="none" w:pos="616"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Businesses </w:t>
      </w:r>
      <w:r>
        <w:rPr>
          <w:rFonts w:ascii="Arial" w:cs="Arial" w:eastAsia="Arial" w:hAnsi="Arial"/>
          <w:sz w:val="17"/>
          <w:szCs w:val="17"/>
          <w:color w:val="auto"/>
        </w:rPr>
        <w:t>- Includes two businesses grouped together based on materiality, and includes teams working on the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new channels.</w:t>
      </w:r>
    </w:p>
    <w:p>
      <w:pPr>
        <w:spacing w:after="0" w:line="3" w:lineRule="exact"/>
        <w:rPr>
          <w:rFonts w:ascii="Arial" w:cs="Arial" w:eastAsia="Arial" w:hAnsi="Arial"/>
          <w:sz w:val="17"/>
          <w:szCs w:val="17"/>
          <w:i w:val="1"/>
          <w:iCs w:val="1"/>
          <w:color w:val="auto"/>
        </w:rPr>
      </w:pPr>
    </w:p>
    <w:p>
      <w:pPr>
        <w:ind w:left="1240" w:hanging="302"/>
        <w:spacing w:after="0"/>
        <w:tabs>
          <w:tab w:leader="none" w:pos="1240" w:val="left"/>
        </w:tabs>
        <w:numPr>
          <w:ilvl w:val="1"/>
          <w:numId w:val="14"/>
        </w:numPr>
        <w:rPr>
          <w:rFonts w:ascii="Arial" w:cs="Arial" w:eastAsia="Arial" w:hAnsi="Arial"/>
          <w:sz w:val="17"/>
          <w:szCs w:val="17"/>
          <w:b w:val="1"/>
          <w:bCs w:val="1"/>
          <w:color w:val="auto"/>
        </w:rPr>
      </w:pPr>
      <w:r>
        <w:rPr>
          <w:rFonts w:ascii="Arial" w:cs="Arial" w:eastAsia="Arial" w:hAnsi="Arial"/>
          <w:sz w:val="17"/>
          <w:szCs w:val="17"/>
          <w:color w:val="auto"/>
        </w:rPr>
        <w:t>BuildASign is an e-commerce provider of canvas-print wall décor, business signage, and other large-format printed products.</w:t>
      </w:r>
    </w:p>
    <w:p>
      <w:pPr>
        <w:spacing w:after="0" w:line="64" w:lineRule="exact"/>
        <w:rPr>
          <w:rFonts w:ascii="Arial" w:cs="Arial" w:eastAsia="Arial" w:hAnsi="Arial"/>
          <w:sz w:val="17"/>
          <w:szCs w:val="17"/>
          <w:b w:val="1"/>
          <w:bCs w:val="1"/>
          <w:color w:val="auto"/>
        </w:rPr>
      </w:pPr>
    </w:p>
    <w:p>
      <w:pPr>
        <w:ind w:left="1240" w:hanging="302"/>
        <w:spacing w:after="0"/>
        <w:tabs>
          <w:tab w:leader="none" w:pos="12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Printi is a smaller business that is an online printing leader in Brazil.</w:t>
      </w:r>
    </w:p>
    <w:p>
      <w:pPr>
        <w:spacing w:after="0" w:line="64" w:lineRule="exact"/>
        <w:rPr>
          <w:rFonts w:ascii="Arial" w:cs="Arial" w:eastAsia="Arial" w:hAnsi="Arial"/>
          <w:sz w:val="17"/>
          <w:szCs w:val="17"/>
          <w:color w:val="auto"/>
        </w:rPr>
      </w:pPr>
    </w:p>
    <w:p>
      <w:pPr>
        <w:ind w:left="1240" w:right="740" w:hanging="302"/>
        <w:spacing w:after="0" w:line="295" w:lineRule="auto"/>
        <w:tabs>
          <w:tab w:leader="none" w:pos="1236" w:val="left"/>
        </w:tabs>
        <w:numPr>
          <w:ilvl w:val="1"/>
          <w:numId w:val="14"/>
        </w:numPr>
        <w:rPr>
          <w:rFonts w:ascii="Arial" w:cs="Arial" w:eastAsia="Arial" w:hAnsi="Arial"/>
          <w:sz w:val="17"/>
          <w:szCs w:val="17"/>
          <w:color w:val="auto"/>
        </w:rPr>
      </w:pPr>
      <w:r>
        <w:rPr>
          <w:rFonts w:ascii="Arial" w:cs="Arial" w:eastAsia="Arial" w:hAnsi="Arial"/>
          <w:sz w:val="17"/>
          <w:szCs w:val="17"/>
          <w:color w:val="auto"/>
        </w:rPr>
        <w:t>New channels includes our recently announced strategic partnership with Canva, who is one of the world's largest design platforms, as well as other new channels that we are developing.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ind w:right="120" w:firstLine="623"/>
        <w:spacing w:after="0" w:line="253"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tax, treasury, internal audit, legal, sustainability, real estate, corporate communications, consolidated reporting and compliance, investor relations, and the functions of our CEO and CFO. These costs also include certain unallocated share-based compensation costs.</w:t>
      </w:r>
    </w:p>
    <w:p>
      <w:pPr>
        <w:spacing w:after="0" w:line="151" w:lineRule="exact"/>
        <w:rPr>
          <w:sz w:val="20"/>
          <w:szCs w:val="20"/>
          <w:color w:val="auto"/>
        </w:rPr>
      </w:pPr>
    </w:p>
    <w:p>
      <w:pPr>
        <w:ind w:right="120" w:firstLine="623"/>
        <w:spacing w:after="0" w:line="268" w:lineRule="auto"/>
        <w:rPr>
          <w:sz w:val="20"/>
          <w:szCs w:val="20"/>
          <w:color w:val="auto"/>
        </w:rPr>
      </w:pPr>
      <w:r>
        <w:rPr>
          <w:rFonts w:ascii="Arial" w:cs="Arial" w:eastAsia="Arial" w:hAnsi="Arial"/>
          <w:sz w:val="17"/>
          <w:szCs w:val="17"/>
          <w:color w:val="auto"/>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this amount as a result of the fair value measurement of the PSUs and the accelerated expense profile of the awards is recognized within central and corporate costs.</w:t>
      </w:r>
    </w:p>
    <w:p>
      <w:pPr>
        <w:spacing w:after="0" w:line="152" w:lineRule="exact"/>
        <w:rPr>
          <w:sz w:val="20"/>
          <w:szCs w:val="20"/>
          <w:color w:val="auto"/>
        </w:rPr>
      </w:pPr>
    </w:p>
    <w:p>
      <w:pPr>
        <w:ind w:right="340" w:firstLine="623"/>
        <w:spacing w:after="0" w:line="265" w:lineRule="auto"/>
        <w:rPr>
          <w:sz w:val="20"/>
          <w:szCs w:val="20"/>
          <w:color w:val="auto"/>
        </w:rPr>
      </w:pPr>
      <w:r>
        <w:rPr>
          <w:rFonts w:ascii="Arial" w:cs="Arial" w:eastAsia="Arial" w:hAnsi="Arial"/>
          <w:sz w:val="17"/>
          <w:szCs w:val="17"/>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41" w:lineRule="exact"/>
        <w:rPr>
          <w:sz w:val="20"/>
          <w:szCs w:val="20"/>
          <w:color w:val="auto"/>
        </w:rPr>
      </w:pPr>
    </w:p>
    <w:p>
      <w:pPr>
        <w:jc w:val="both"/>
        <w:ind w:right="60" w:firstLine="623"/>
        <w:spacing w:after="0" w:line="275" w:lineRule="auto"/>
        <w:rPr>
          <w:sz w:val="20"/>
          <w:szCs w:val="20"/>
          <w:color w:val="auto"/>
        </w:rPr>
      </w:pPr>
      <w:r>
        <w:rPr>
          <w:rFonts w:ascii="Arial" w:cs="Arial" w:eastAsia="Arial" w:hAnsi="Arial"/>
          <w:sz w:val="17"/>
          <w:szCs w:val="17"/>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46" w:lineRule="exact"/>
        <w:rPr>
          <w:sz w:val="20"/>
          <w:szCs w:val="20"/>
          <w:color w:val="auto"/>
        </w:rPr>
      </w:pPr>
    </w:p>
    <w:p>
      <w:pPr>
        <w:ind w:firstLine="623"/>
        <w:spacing w:after="0" w:line="287" w:lineRule="auto"/>
        <w:rPr>
          <w:sz w:val="20"/>
          <w:szCs w:val="20"/>
          <w:color w:val="auto"/>
        </w:rPr>
      </w:pPr>
      <w:r>
        <w:rPr>
          <w:rFonts w:ascii="Arial" w:cs="Arial" w:eastAsia="Arial" w:hAnsi="Arial"/>
          <w:sz w:val="17"/>
          <w:szCs w:val="17"/>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7940" w:type="dxa"/>
            <w:vAlign w:val="bottom"/>
          </w:tcPr>
          <w:p>
            <w:pPr>
              <w:spacing w:after="0"/>
              <w:rPr>
                <w:sz w:val="14"/>
                <w:szCs w:val="14"/>
                <w:color w:val="auto"/>
              </w:rPr>
            </w:pPr>
          </w:p>
        </w:tc>
        <w:tc>
          <w:tcPr>
            <w:tcW w:w="3200" w:type="dxa"/>
            <w:vAlign w:val="bottom"/>
            <w:tcBorders>
              <w:bottom w:val="single" w:sz="8" w:color="auto"/>
            </w:tcBorders>
            <w:gridSpan w:val="5"/>
          </w:tcPr>
          <w:p>
            <w:pPr>
              <w:jc w:val="right"/>
              <w:ind w:right="504"/>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79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2026</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2025</w:t>
            </w: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VistaPrint</w:t>
            </w:r>
          </w:p>
        </w:tc>
        <w:tc>
          <w:tcPr>
            <w:tcW w:w="900" w:type="dxa"/>
            <w:vAlign w:val="bottom"/>
          </w:tcPr>
          <w:p>
            <w:pPr>
              <w:jc w:val="right"/>
              <w:ind w:right="73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w w:val="93"/>
              </w:rPr>
              <w:t>464,412</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454,909</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235,919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184,711</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0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w w:val="93"/>
              </w:rPr>
              <w:t>109,274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96,710</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104,365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103,209</w:t>
            </w:r>
          </w:p>
        </w:tc>
      </w:tr>
      <w:tr>
        <w:trPr>
          <w:trHeight w:val="207"/>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All Other Businesses</w:t>
            </w: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72,492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61,742</w:t>
            </w:r>
          </w:p>
        </w:tc>
      </w:tr>
      <w:tr>
        <w:trPr>
          <w:trHeight w:val="202"/>
        </w:trPr>
        <w:tc>
          <w:tcPr>
            <w:tcW w:w="7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segment revenue</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986,462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901,281</w:t>
            </w:r>
          </w:p>
        </w:tc>
      </w:tr>
      <w:tr>
        <w:trPr>
          <w:trHeight w:val="207"/>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Inter-segment eliminations (1)</w:t>
            </w: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(52,410)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(38,004)</w:t>
            </w:r>
          </w:p>
        </w:tc>
      </w:tr>
      <w:tr>
        <w:trPr>
          <w:trHeight w:val="227"/>
        </w:trPr>
        <w:tc>
          <w:tcPr>
            <w:tcW w:w="7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consolidated revenue</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3"/>
              </w:rPr>
              <w:t>934,052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863,277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Refer to the "Revenue by Geographic Region" tables below for detail of the inter-segment revenue within each respective segment.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2"/>
                <w:szCs w:val="12"/>
                <w:b w:val="1"/>
                <w:bCs w:val="1"/>
                <w:color w:val="auto"/>
              </w:rPr>
              <w:t>Three Months Ended September 30, 2026</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4"/>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VistaPrint</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4"/>
                <w:szCs w:val="14"/>
                <w:color w:val="auto"/>
              </w:rPr>
            </w:pPr>
          </w:p>
        </w:tc>
        <w:tc>
          <w:tcPr>
            <w:tcW w:w="88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320,942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8,367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53,200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46,998</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429,507</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110,510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35,976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465,872</w:t>
            </w: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27,823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8,657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38,673</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5,137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13,472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15,382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52,410</w:t>
            </w:r>
          </w:p>
        </w:tc>
      </w:tr>
      <w:tr>
        <w:trPr>
          <w:trHeight w:val="20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464,412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104,365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72,492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986,462</w:t>
            </w:r>
          </w:p>
        </w:tc>
      </w:tr>
      <w:tr>
        <w:trPr>
          <w:trHeight w:val="20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(52,410)</w:t>
            </w:r>
          </w:p>
        </w:tc>
      </w:tr>
      <w:tr>
        <w:trPr>
          <w:trHeight w:val="202"/>
        </w:trPr>
        <w:tc>
          <w:tcPr>
            <w:tcW w:w="392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459,275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232,417</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94,357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90,893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57,110</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934,052</w:t>
            </w:r>
          </w:p>
        </w:tc>
      </w:tr>
      <w:tr>
        <w:trPr>
          <w:trHeight w:val="20"/>
        </w:trPr>
        <w:tc>
          <w:tcPr>
            <w:tcW w:w="3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2"/>
                <w:szCs w:val="12"/>
                <w:b w:val="1"/>
                <w:bCs w:val="1"/>
                <w:color w:val="auto"/>
              </w:rPr>
              <w:t>Three Months Ended September 30, 2025</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4"/>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VistaPrint</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4"/>
                <w:szCs w:val="14"/>
                <w:color w:val="auto"/>
              </w:rPr>
            </w:pPr>
          </w:p>
        </w:tc>
        <w:tc>
          <w:tcPr>
            <w:tcW w:w="88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317,720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53,431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41,942</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413,711</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109,482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36,951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413,611</w:t>
            </w: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26,255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8,047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35,955</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11,174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11,567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38,004</w:t>
            </w:r>
          </w:p>
        </w:tc>
      </w:tr>
      <w:tr>
        <w:trPr>
          <w:trHeight w:val="20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454,909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103,209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61,742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901,281</w:t>
            </w:r>
          </w:p>
        </w:tc>
      </w:tr>
      <w:tr>
        <w:trPr>
          <w:trHeight w:val="20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(38,004)</w:t>
            </w:r>
          </w:p>
        </w:tc>
      </w:tr>
      <w:tr>
        <w:trPr>
          <w:trHeight w:val="202"/>
        </w:trPr>
        <w:tc>
          <w:tcPr>
            <w:tcW w:w="392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453,457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181,449</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86,161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92,035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50,175</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863,277</w:t>
            </w:r>
          </w:p>
        </w:tc>
      </w:tr>
      <w:tr>
        <w:trPr>
          <w:trHeight w:val="20"/>
        </w:trPr>
        <w:tc>
          <w:tcPr>
            <w:tcW w:w="3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firstLine="623"/>
        <w:spacing w:after="0" w:line="268" w:lineRule="auto"/>
        <w:rPr>
          <w:sz w:val="20"/>
          <w:szCs w:val="20"/>
          <w:color w:val="auto"/>
        </w:rPr>
      </w:pPr>
      <w:r>
        <w:rPr>
          <w:rFonts w:ascii="Arial" w:cs="Arial" w:eastAsia="Arial" w:hAnsi="Arial"/>
          <w:sz w:val="17"/>
          <w:szCs w:val="17"/>
          <w:color w:val="auto"/>
        </w:rPr>
        <w:t>The following tables include segment revenue and significant segment expenses by reportable segment, as well as our reported measure of segment profit or loss, EBITDA, by reportable segment for the three months ended September 30, 2026 and 2025. Total segment EBITDA shown in the tables below is prior to inter-segment eliminations. Refer to the subsequent table for a reconciliation of total segment EBITDA to income from operations and income before income taxes.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2"/>
                <w:szCs w:val="12"/>
                <w:b w:val="1"/>
                <w:bCs w:val="1"/>
                <w:color w:val="auto"/>
              </w:rPr>
              <w:t>Three Months Ended September 30, 2026</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4"/>
        </w:trPr>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VistaPrint</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The Print Group</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National Pen</w:t>
            </w:r>
          </w:p>
        </w:tc>
        <w:tc>
          <w:tcPr>
            <w:tcW w:w="220" w:type="dxa"/>
            <w:vAlign w:val="bottom"/>
          </w:tcPr>
          <w:p>
            <w:pPr>
              <w:spacing w:after="0"/>
              <w:rPr>
                <w:sz w:val="14"/>
                <w:szCs w:val="14"/>
                <w:color w:val="auto"/>
              </w:rPr>
            </w:pPr>
          </w:p>
        </w:tc>
        <w:tc>
          <w:tcPr>
            <w:tcW w:w="1000" w:type="dxa"/>
            <w:vAlign w:val="bottom"/>
          </w:tcPr>
          <w:p>
            <w:pPr>
              <w:jc w:val="right"/>
              <w:ind w:right="284"/>
              <w:spacing w:after="0"/>
              <w:rPr>
                <w:sz w:val="20"/>
                <w:szCs w:val="20"/>
                <w:color w:val="auto"/>
              </w:rPr>
            </w:pPr>
            <w:r>
              <w:rPr>
                <w:rFonts w:ascii="Arial" w:cs="Arial" w:eastAsia="Arial" w:hAnsi="Arial"/>
                <w:sz w:val="12"/>
                <w:szCs w:val="12"/>
                <w:b w:val="1"/>
                <w:bCs w:val="1"/>
                <w:color w:val="auto"/>
              </w:rPr>
              <w:t>All Other</w:t>
            </w:r>
          </w:p>
        </w:tc>
      </w:tr>
      <w:tr>
        <w:trPr>
          <w:trHeight w:val="228"/>
        </w:trPr>
        <w:tc>
          <w:tcPr>
            <w:tcW w:w="46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07"/>
        </w:trPr>
        <w:tc>
          <w:tcPr>
            <w:tcW w:w="4600" w:type="dxa"/>
            <w:vAlign w:val="bottom"/>
          </w:tcPr>
          <w:p>
            <w:pPr>
              <w:ind w:left="20"/>
              <w:spacing w:after="0"/>
              <w:rPr>
                <w:sz w:val="20"/>
                <w:szCs w:val="20"/>
                <w:color w:val="auto"/>
              </w:rPr>
            </w:pPr>
            <w:r>
              <w:rPr>
                <w:rFonts w:ascii="Arial" w:cs="Arial" w:eastAsia="Arial" w:hAnsi="Arial"/>
                <w:sz w:val="16"/>
                <w:szCs w:val="16"/>
                <w:color w:val="auto"/>
              </w:rPr>
              <w:t>Total segment revenue</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464,412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235,919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109,274</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104,365</w:t>
            </w:r>
          </w:p>
        </w:tc>
        <w:tc>
          <w:tcPr>
            <w:tcW w:w="12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72,492</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Cost of revenue</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219,204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72,758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49,858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44,198</w:t>
            </w:r>
          </w:p>
        </w:tc>
      </w:tr>
      <w:tr>
        <w:trPr>
          <w:trHeight w:val="200"/>
        </w:trPr>
        <w:tc>
          <w:tcPr>
            <w:tcW w:w="4600" w:type="dxa"/>
            <w:vAlign w:val="bottom"/>
          </w:tcPr>
          <w:p>
            <w:pPr>
              <w:ind w:left="160"/>
              <w:spacing w:after="0"/>
              <w:rPr>
                <w:sz w:val="20"/>
                <w:szCs w:val="20"/>
                <w:color w:val="auto"/>
              </w:rPr>
            </w:pPr>
            <w:r>
              <w:rPr>
                <w:rFonts w:ascii="Arial" w:cs="Arial" w:eastAsia="Arial" w:hAnsi="Arial"/>
                <w:sz w:val="16"/>
                <w:szCs w:val="16"/>
                <w:color w:val="auto"/>
              </w:rPr>
              <w:t>Segment gross profit</w:t>
            </w:r>
          </w:p>
        </w:tc>
        <w:tc>
          <w:tcPr>
            <w:tcW w:w="2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245,208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65,013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36,516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54,507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28,294</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Advertising expenses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74,475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11,104</w:t>
            </w:r>
          </w:p>
        </w:tc>
      </w:tr>
      <w:tr>
        <w:trPr>
          <w:trHeight w:val="207"/>
        </w:trPr>
        <w:tc>
          <w:tcPr>
            <w:tcW w:w="4600" w:type="dxa"/>
            <w:vAlign w:val="bottom"/>
          </w:tcPr>
          <w:p>
            <w:pPr>
              <w:ind w:left="20"/>
              <w:spacing w:after="0"/>
              <w:rPr>
                <w:sz w:val="20"/>
                <w:szCs w:val="20"/>
                <w:color w:val="auto"/>
              </w:rPr>
            </w:pPr>
            <w:r>
              <w:rPr>
                <w:rFonts w:ascii="Arial" w:cs="Arial" w:eastAsia="Arial" w:hAnsi="Arial"/>
                <w:sz w:val="16"/>
                <w:szCs w:val="16"/>
                <w:color w:val="auto"/>
              </w:rPr>
              <w:t>Less: Other operating expenses (1)</w:t>
            </w:r>
          </w:p>
        </w:tc>
        <w:tc>
          <w:tcPr>
            <w:tcW w:w="2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107,214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42,466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19,841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15,702</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7,893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w:t>
            </w:r>
          </w:p>
        </w:tc>
      </w:tr>
      <w:tr>
        <w:trPr>
          <w:trHeight w:val="20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Other segment items (2)</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27"/>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Segment EBITDA (3)</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80,658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18,074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22"/>
        </w:trPr>
        <w:tc>
          <w:tcPr>
            <w:tcW w:w="4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2"/>
                <w:szCs w:val="12"/>
                <w:b w:val="1"/>
                <w:bCs w:val="1"/>
                <w:color w:val="auto"/>
              </w:rPr>
              <w:t>Three Months Ended September 30, 2025</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4"/>
        </w:trPr>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VistaPrint</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The Print Group</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National Pen</w:t>
            </w:r>
          </w:p>
        </w:tc>
        <w:tc>
          <w:tcPr>
            <w:tcW w:w="220" w:type="dxa"/>
            <w:vAlign w:val="bottom"/>
          </w:tcPr>
          <w:p>
            <w:pPr>
              <w:spacing w:after="0"/>
              <w:rPr>
                <w:sz w:val="14"/>
                <w:szCs w:val="14"/>
                <w:color w:val="auto"/>
              </w:rPr>
            </w:pPr>
          </w:p>
        </w:tc>
        <w:tc>
          <w:tcPr>
            <w:tcW w:w="1000" w:type="dxa"/>
            <w:vAlign w:val="bottom"/>
          </w:tcPr>
          <w:p>
            <w:pPr>
              <w:jc w:val="right"/>
              <w:ind w:right="284"/>
              <w:spacing w:after="0"/>
              <w:rPr>
                <w:sz w:val="20"/>
                <w:szCs w:val="20"/>
                <w:color w:val="auto"/>
              </w:rPr>
            </w:pPr>
            <w:r>
              <w:rPr>
                <w:rFonts w:ascii="Arial" w:cs="Arial" w:eastAsia="Arial" w:hAnsi="Arial"/>
                <w:sz w:val="12"/>
                <w:szCs w:val="12"/>
                <w:b w:val="1"/>
                <w:bCs w:val="1"/>
                <w:color w:val="auto"/>
              </w:rPr>
              <w:t>All Other</w:t>
            </w:r>
          </w:p>
        </w:tc>
      </w:tr>
      <w:tr>
        <w:trPr>
          <w:trHeight w:val="228"/>
        </w:trPr>
        <w:tc>
          <w:tcPr>
            <w:tcW w:w="46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07"/>
        </w:trPr>
        <w:tc>
          <w:tcPr>
            <w:tcW w:w="4600" w:type="dxa"/>
            <w:vAlign w:val="bottom"/>
          </w:tcPr>
          <w:p>
            <w:pPr>
              <w:ind w:left="20"/>
              <w:spacing w:after="0"/>
              <w:rPr>
                <w:sz w:val="20"/>
                <w:szCs w:val="20"/>
                <w:color w:val="auto"/>
              </w:rPr>
            </w:pPr>
            <w:r>
              <w:rPr>
                <w:rFonts w:ascii="Arial" w:cs="Arial" w:eastAsia="Arial" w:hAnsi="Arial"/>
                <w:sz w:val="16"/>
                <w:szCs w:val="16"/>
                <w:color w:val="auto"/>
              </w:rPr>
              <w:t>Total segment revenue</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454,909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184,711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96,710</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103,209</w:t>
            </w:r>
          </w:p>
        </w:tc>
        <w:tc>
          <w:tcPr>
            <w:tcW w:w="12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61,742</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Cost of revenue</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201,921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61,031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34,185</w:t>
            </w:r>
          </w:p>
        </w:tc>
      </w:tr>
      <w:tr>
        <w:trPr>
          <w:trHeight w:val="200"/>
        </w:trPr>
        <w:tc>
          <w:tcPr>
            <w:tcW w:w="4600" w:type="dxa"/>
            <w:vAlign w:val="bottom"/>
          </w:tcPr>
          <w:p>
            <w:pPr>
              <w:ind w:left="160"/>
              <w:spacing w:after="0"/>
              <w:rPr>
                <w:sz w:val="20"/>
                <w:szCs w:val="20"/>
                <w:color w:val="auto"/>
              </w:rPr>
            </w:pPr>
            <w:r>
              <w:rPr>
                <w:rFonts w:ascii="Arial" w:cs="Arial" w:eastAsia="Arial" w:hAnsi="Arial"/>
                <w:sz w:val="16"/>
                <w:szCs w:val="16"/>
                <w:color w:val="auto"/>
              </w:rPr>
              <w:t>Segment gross profit</w:t>
            </w:r>
          </w:p>
        </w:tc>
        <w:tc>
          <w:tcPr>
            <w:tcW w:w="2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252,988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52,575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35,679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49,847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27,557</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Advertising expenses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66,504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10,574</w:t>
            </w:r>
          </w:p>
        </w:tc>
      </w:tr>
      <w:tr>
        <w:trPr>
          <w:trHeight w:val="207"/>
        </w:trPr>
        <w:tc>
          <w:tcPr>
            <w:tcW w:w="4600" w:type="dxa"/>
            <w:vAlign w:val="bottom"/>
          </w:tcPr>
          <w:p>
            <w:pPr>
              <w:ind w:left="20"/>
              <w:spacing w:after="0"/>
              <w:rPr>
                <w:sz w:val="20"/>
                <w:szCs w:val="20"/>
                <w:color w:val="auto"/>
              </w:rPr>
            </w:pPr>
            <w:r>
              <w:rPr>
                <w:rFonts w:ascii="Arial" w:cs="Arial" w:eastAsia="Arial" w:hAnsi="Arial"/>
                <w:sz w:val="16"/>
                <w:szCs w:val="16"/>
                <w:color w:val="auto"/>
              </w:rPr>
              <w:t>Less: Other operating expenses (1)</w:t>
            </w:r>
          </w:p>
        </w:tc>
        <w:tc>
          <w:tcPr>
            <w:tcW w:w="2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111,171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25,322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16,110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12,314</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r>
      <w:tr>
        <w:trPr>
          <w:trHeight w:val="20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Other segment items (2)</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27"/>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Segment EBITDA (3)</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89,986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18,671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240" w:hanging="236"/>
        <w:spacing w:after="0" w:line="260" w:lineRule="auto"/>
        <w:tabs>
          <w:tab w:leader="none" w:pos="2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each reportable segment, other operating expenses consists primarily of marketing and selling expense (excluding advertising expenses), technology and development expense and general and administrative expense.</w:t>
      </w:r>
    </w:p>
    <w:p>
      <w:pPr>
        <w:ind w:left="240" w:right="140" w:hanging="236"/>
        <w:spacing w:after="0" w:line="245" w:lineRule="auto"/>
        <w:tabs>
          <w:tab w:leader="none" w:pos="2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segment items primarily includes certain items excluded from our definition of segment EBITDA, which includes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w:t>
      </w:r>
    </w:p>
    <w:p>
      <w:pPr>
        <w:ind w:left="240" w:right="160" w:hanging="236"/>
        <w:spacing w:after="0" w:line="257" w:lineRule="auto"/>
        <w:tabs>
          <w:tab w:leader="none" w:pos="2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the three months ended September 30, 2026 and 2025, total segment EBITDA was $133,848 and $141,084, respectively. In addition to the adjustments described above as part of other segment items, total segment EBITDA excludes the impact of central and corporate costs which is not considered a reportable segment, as well as the elimination of inter-segment transactions which are included in the reconciliation to income before income taxes as outlined below.</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860"/>
        <w:spacing w:after="0"/>
        <w:rPr>
          <w:sz w:val="20"/>
          <w:szCs w:val="20"/>
          <w:color w:val="auto"/>
        </w:rPr>
      </w:pPr>
      <w:r>
        <w:rPr>
          <w:rFonts w:ascii="Arial" w:cs="Arial" w:eastAsia="Arial" w:hAnsi="Arial"/>
          <w:sz w:val="17"/>
          <w:szCs w:val="17"/>
          <w:color w:val="auto"/>
        </w:rPr>
        <w:t>The following table includes a reconciliation of total segment EBITDA to income from operations and income before 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3300" w:type="dxa"/>
            <w:vAlign w:val="bottom"/>
            <w:tcBorders>
              <w:bottom w:val="single" w:sz="8" w:color="auto"/>
            </w:tcBorders>
            <w:gridSpan w:val="5"/>
          </w:tcPr>
          <w:p>
            <w:pPr>
              <w:jc w:val="right"/>
              <w:ind w:right="544"/>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76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2026</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2025</w:t>
            </w:r>
          </w:p>
        </w:tc>
      </w:tr>
      <w:tr>
        <w:trPr>
          <w:trHeight w:val="20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EBITDA</w:t>
            </w:r>
          </w:p>
        </w:tc>
        <w:tc>
          <w:tcPr>
            <w:tcW w:w="960" w:type="dxa"/>
            <w:vAlign w:val="bottom"/>
            <w:shd w:val="clear" w:color="auto" w:fill="CCEEFF"/>
          </w:tcPr>
          <w:p>
            <w:pPr>
              <w:jc w:val="right"/>
              <w:ind w:right="79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133,848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141,084</w:t>
            </w:r>
          </w:p>
        </w:tc>
      </w:tr>
      <w:tr>
        <w:trPr>
          <w:trHeight w:val="207"/>
        </w:trPr>
        <w:tc>
          <w:tcPr>
            <w:tcW w:w="7600" w:type="dxa"/>
            <w:vAlign w:val="bottom"/>
          </w:tcPr>
          <w:p>
            <w:pPr>
              <w:ind w:left="220"/>
              <w:spacing w:after="0"/>
              <w:rPr>
                <w:sz w:val="20"/>
                <w:szCs w:val="20"/>
                <w:color w:val="auto"/>
              </w:rPr>
            </w:pPr>
            <w:r>
              <w:rPr>
                <w:rFonts w:ascii="Arial" w:cs="Arial" w:eastAsia="Arial" w:hAnsi="Arial"/>
                <w:sz w:val="16"/>
                <w:szCs w:val="16"/>
                <w:color w:val="auto"/>
              </w:rPr>
              <w:t>Central and corporate costs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(37,587)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(38,635)</w:t>
            </w: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Elimination (1)</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(15,835)</w:t>
            </w:r>
          </w:p>
        </w:tc>
      </w:tr>
      <w:tr>
        <w:trPr>
          <w:trHeight w:val="207"/>
        </w:trPr>
        <w:tc>
          <w:tcPr>
            <w:tcW w:w="7600" w:type="dxa"/>
            <w:vAlign w:val="bottom"/>
          </w:tcPr>
          <w:p>
            <w:pPr>
              <w:ind w:left="220"/>
              <w:spacing w:after="0"/>
              <w:rPr>
                <w:sz w:val="20"/>
                <w:szCs w:val="20"/>
                <w:color w:val="auto"/>
              </w:rPr>
            </w:pPr>
            <w:r>
              <w:rPr>
                <w:rFonts w:ascii="Arial" w:cs="Arial" w:eastAsia="Arial" w:hAnsi="Arial"/>
                <w:sz w:val="16"/>
                <w:szCs w:val="16"/>
                <w:color w:val="auto"/>
              </w:rPr>
              <w:t>Depreciation and amortization (2)</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(44,280)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(36,618)</w:t>
            </w: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insurance</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600" w:type="dxa"/>
            <w:vAlign w:val="bottom"/>
          </w:tcPr>
          <w:p>
            <w:pPr>
              <w:ind w:left="220"/>
              <w:spacing w:after="0"/>
              <w:rPr>
                <w:sz w:val="20"/>
                <w:szCs w:val="20"/>
                <w:color w:val="auto"/>
              </w:rPr>
            </w:pPr>
            <w:r>
              <w:rPr>
                <w:rFonts w:ascii="Arial" w:cs="Arial" w:eastAsia="Arial" w:hAnsi="Arial"/>
                <w:sz w:val="16"/>
                <w:szCs w:val="16"/>
                <w:color w:val="auto"/>
              </w:rPr>
              <w:t>Certain impairment and other adjustments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(727)</w:t>
            </w: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Restructuring-related charges</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0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income from operations</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48,971</w:t>
            </w:r>
          </w:p>
        </w:tc>
      </w:tr>
      <w:tr>
        <w:trPr>
          <w:trHeight w:val="202"/>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r>
      <w:tr>
        <w:trPr>
          <w:trHeight w:val="207"/>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 Expense, net</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(28,066)</w:t>
            </w:r>
          </w:p>
        </w:tc>
      </w:tr>
      <w:tr>
        <w:trPr>
          <w:trHeight w:val="22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24,358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240" w:right="120" w:hanging="236"/>
        <w:spacing w:after="0" w:line="260" w:lineRule="auto"/>
        <w:tabs>
          <w:tab w:leader="none" w:pos="2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the elimination of inter-segment profit that relates to cross-Cimpress transactions, in which the merchant business is cross charged the variable cost of fulfillment and the fulfiller business receives a markup on the cost to fulfill the related orders. These inter-segment profits are eliminated at a consolidated level.</w:t>
      </w:r>
    </w:p>
    <w:p>
      <w:pPr>
        <w:ind w:left="220" w:hanging="216"/>
        <w:spacing w:after="0"/>
        <w:tabs>
          <w:tab w:leader="none" w:pos="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For the three months ended September 30, 2026 and 2025, depreciation and amortization includes costs within our central and corporate costs of $5,458 and $5,785, respectively.</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6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2026</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2"/>
                <w:szCs w:val="12"/>
                <w:b w:val="1"/>
                <w:bCs w:val="1"/>
                <w:color w:val="auto"/>
              </w:rPr>
              <w:t>2025</w:t>
            </w:r>
          </w:p>
        </w:tc>
        <w:tc>
          <w:tcPr>
            <w:tcW w:w="280" w:type="dxa"/>
            <w:vAlign w:val="bottom"/>
            <w:tcBorders>
              <w:bottom w:val="single" w:sz="8" w:color="auto"/>
            </w:tcBorders>
          </w:tcPr>
          <w:p>
            <w:pPr>
              <w:spacing w:after="0"/>
              <w:rPr>
                <w:sz w:val="14"/>
                <w:szCs w:val="14"/>
                <w:color w:val="auto"/>
              </w:rPr>
            </w:pPr>
          </w:p>
        </w:tc>
      </w:tr>
      <w:tr>
        <w:trPr>
          <w:trHeight w:val="189"/>
        </w:trPr>
        <w:tc>
          <w:tcPr>
            <w:tcW w:w="60" w:type="dxa"/>
            <w:vAlign w:val="bottom"/>
          </w:tcPr>
          <w:p>
            <w:pPr>
              <w:spacing w:after="0"/>
              <w:rPr>
                <w:sz w:val="16"/>
                <w:szCs w:val="16"/>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7"/>
        </w:trPr>
        <w:tc>
          <w:tcPr>
            <w:tcW w:w="6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VistaPrint</w:t>
            </w:r>
          </w:p>
        </w:tc>
        <w:tc>
          <w:tcPr>
            <w:tcW w:w="48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12,909</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10,616</w:t>
            </w:r>
          </w:p>
        </w:tc>
      </w:tr>
      <w:tr>
        <w:trPr>
          <w:trHeight w:val="209"/>
        </w:trPr>
        <w:tc>
          <w:tcPr>
            <w:tcW w:w="6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2,404</w:t>
            </w:r>
          </w:p>
        </w:tc>
      </w:tr>
      <w:tr>
        <w:trPr>
          <w:trHeight w:val="207"/>
        </w:trPr>
        <w:tc>
          <w:tcPr>
            <w:tcW w:w="6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2,920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9,090</w:t>
            </w:r>
          </w:p>
        </w:tc>
      </w:tr>
      <w:tr>
        <w:trPr>
          <w:trHeight w:val="209"/>
        </w:trPr>
        <w:tc>
          <w:tcPr>
            <w:tcW w:w="6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2,471</w:t>
            </w:r>
          </w:p>
        </w:tc>
      </w:tr>
      <w:tr>
        <w:trPr>
          <w:trHeight w:val="207"/>
        </w:trPr>
        <w:tc>
          <w:tcPr>
            <w:tcW w:w="6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All Other Businesses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1,564</w:t>
            </w:r>
          </w:p>
        </w:tc>
      </w:tr>
      <w:tr>
        <w:trPr>
          <w:trHeight w:val="208"/>
        </w:trPr>
        <w:tc>
          <w:tcPr>
            <w:tcW w:w="6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Central and corporate costs</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208</w:t>
            </w:r>
          </w:p>
        </w:tc>
      </w:tr>
      <w:tr>
        <w:trPr>
          <w:trHeight w:val="202"/>
        </w:trPr>
        <w:tc>
          <w:tcPr>
            <w:tcW w:w="60" w:type="dxa"/>
            <w:vAlign w:val="bottom"/>
          </w:tcPr>
          <w:p>
            <w:pPr>
              <w:spacing w:after="0"/>
              <w:rPr>
                <w:sz w:val="17"/>
                <w:szCs w:val="17"/>
                <w:color w:val="auto"/>
              </w:rPr>
            </w:pPr>
          </w:p>
        </w:tc>
        <w:tc>
          <w:tcPr>
            <w:tcW w:w="7540" w:type="dxa"/>
            <w:vAlign w:val="bottom"/>
          </w:tcPr>
          <w:p>
            <w:pPr>
              <w:ind w:left="620"/>
              <w:spacing w:after="0"/>
              <w:rPr>
                <w:sz w:val="20"/>
                <w:szCs w:val="20"/>
                <w:color w:val="auto"/>
              </w:rPr>
            </w:pPr>
            <w:r>
              <w:rPr>
                <w:rFonts w:ascii="Arial" w:cs="Arial" w:eastAsia="Arial" w:hAnsi="Arial"/>
                <w:sz w:val="16"/>
                <w:szCs w:val="16"/>
                <w:color w:val="auto"/>
              </w:rPr>
              <w:t>Total purchases of property, plant and equipment</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22,803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26,353</w:t>
            </w:r>
          </w:p>
        </w:tc>
      </w:tr>
      <w:tr>
        <w:trPr>
          <w:trHeight w:val="20"/>
        </w:trPr>
        <w:tc>
          <w:tcPr>
            <w:tcW w:w="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650"/>
        </w:trPr>
        <w:tc>
          <w:tcPr>
            <w:tcW w:w="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7"/>
          </w:tcPr>
          <w:p>
            <w:pPr>
              <w:jc w:val="right"/>
              <w:ind w:right="920"/>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60" w:type="dxa"/>
            <w:vAlign w:val="bottom"/>
            <w:tcBorders>
              <w:bottom w:val="single" w:sz="8" w:color="CCEEFF"/>
            </w:tcBorders>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2026</w:t>
            </w:r>
          </w:p>
        </w:tc>
        <w:tc>
          <w:tcPr>
            <w:tcW w:w="12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2025</w:t>
            </w:r>
          </w:p>
        </w:tc>
        <w:tc>
          <w:tcPr>
            <w:tcW w:w="280" w:type="dxa"/>
            <w:vAlign w:val="bottom"/>
          </w:tcPr>
          <w:p>
            <w:pPr>
              <w:spacing w:after="0"/>
              <w:rPr>
                <w:sz w:val="14"/>
                <w:szCs w:val="14"/>
                <w:color w:val="auto"/>
              </w:rPr>
            </w:pPr>
          </w:p>
        </w:tc>
      </w:tr>
      <w:tr>
        <w:trPr>
          <w:trHeight w:val="18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07"/>
        </w:trPr>
        <w:tc>
          <w:tcPr>
            <w:tcW w:w="60" w:type="dxa"/>
            <w:vAlign w:val="bottom"/>
          </w:tcPr>
          <w:p>
            <w:pPr>
              <w:spacing w:after="0"/>
              <w:rPr>
                <w:sz w:val="17"/>
                <w:szCs w:val="17"/>
                <w:color w:val="auto"/>
              </w:rPr>
            </w:pPr>
          </w:p>
        </w:tc>
        <w:tc>
          <w:tcPr>
            <w:tcW w:w="7540" w:type="dxa"/>
            <w:vAlign w:val="bottom"/>
          </w:tcPr>
          <w:p>
            <w:pPr>
              <w:ind w:left="280"/>
              <w:spacing w:after="0"/>
              <w:rPr>
                <w:sz w:val="20"/>
                <w:szCs w:val="20"/>
                <w:color w:val="auto"/>
              </w:rPr>
            </w:pPr>
            <w:r>
              <w:rPr>
                <w:rFonts w:ascii="Arial" w:cs="Arial" w:eastAsia="Arial" w:hAnsi="Arial"/>
                <w:sz w:val="16"/>
                <w:szCs w:val="16"/>
                <w:color w:val="auto"/>
              </w:rPr>
              <w:t>VistaPrint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6,916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6,563</w:t>
            </w:r>
          </w:p>
        </w:tc>
        <w:tc>
          <w:tcPr>
            <w:tcW w:w="280" w:type="dxa"/>
            <w:vAlign w:val="bottom"/>
          </w:tcPr>
          <w:p>
            <w:pPr>
              <w:spacing w:after="0"/>
              <w:rPr>
                <w:sz w:val="17"/>
                <w:szCs w:val="17"/>
                <w:color w:val="auto"/>
              </w:rPr>
            </w:pPr>
          </w:p>
        </w:tc>
      </w:tr>
      <w:tr>
        <w:trPr>
          <w:trHeight w:val="209"/>
        </w:trPr>
        <w:tc>
          <w:tcPr>
            <w:tcW w:w="60" w:type="dxa"/>
            <w:vAlign w:val="bottom"/>
            <w:shd w:val="clear" w:color="auto" w:fill="CCEEFF"/>
          </w:tcPr>
          <w:p>
            <w:pPr>
              <w:spacing w:after="0"/>
              <w:rPr>
                <w:sz w:val="18"/>
                <w:szCs w:val="18"/>
                <w:color w:val="auto"/>
              </w:rPr>
            </w:pPr>
          </w:p>
        </w:tc>
        <w:tc>
          <w:tcPr>
            <w:tcW w:w="7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PrintBrothers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280" w:type="dxa"/>
            <w:vAlign w:val="bottom"/>
          </w:tcPr>
          <w:p>
            <w:pPr>
              <w:spacing w:after="0"/>
              <w:rPr>
                <w:sz w:val="18"/>
                <w:szCs w:val="18"/>
                <w:color w:val="auto"/>
              </w:rPr>
            </w:pPr>
          </w:p>
        </w:tc>
      </w:tr>
      <w:tr>
        <w:trPr>
          <w:trHeight w:val="207"/>
        </w:trPr>
        <w:tc>
          <w:tcPr>
            <w:tcW w:w="60" w:type="dxa"/>
            <w:vAlign w:val="bottom"/>
          </w:tcPr>
          <w:p>
            <w:pPr>
              <w:spacing w:after="0"/>
              <w:rPr>
                <w:sz w:val="17"/>
                <w:szCs w:val="17"/>
                <w:color w:val="auto"/>
              </w:rPr>
            </w:pPr>
          </w:p>
        </w:tc>
        <w:tc>
          <w:tcPr>
            <w:tcW w:w="7540" w:type="dxa"/>
            <w:vAlign w:val="bottom"/>
          </w:tcPr>
          <w:p>
            <w:pPr>
              <w:ind w:left="280"/>
              <w:spacing w:after="0"/>
              <w:rPr>
                <w:sz w:val="20"/>
                <w:szCs w:val="20"/>
                <w:color w:val="auto"/>
              </w:rPr>
            </w:pPr>
            <w:r>
              <w:rPr>
                <w:rFonts w:ascii="Arial" w:cs="Arial" w:eastAsia="Arial" w:hAnsi="Arial"/>
                <w:sz w:val="16"/>
                <w:szCs w:val="16"/>
                <w:color w:val="auto"/>
              </w:rPr>
              <w:t>The Print Group</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1,245</w:t>
            </w:r>
          </w:p>
        </w:tc>
        <w:tc>
          <w:tcPr>
            <w:tcW w:w="280" w:type="dxa"/>
            <w:vAlign w:val="bottom"/>
          </w:tcPr>
          <w:p>
            <w:pPr>
              <w:spacing w:after="0"/>
              <w:rPr>
                <w:sz w:val="17"/>
                <w:szCs w:val="17"/>
                <w:color w:val="auto"/>
              </w:rPr>
            </w:pPr>
          </w:p>
        </w:tc>
      </w:tr>
      <w:tr>
        <w:trPr>
          <w:trHeight w:val="209"/>
        </w:trPr>
        <w:tc>
          <w:tcPr>
            <w:tcW w:w="60" w:type="dxa"/>
            <w:vAlign w:val="bottom"/>
            <w:shd w:val="clear" w:color="auto" w:fill="CCEEFF"/>
          </w:tcPr>
          <w:p>
            <w:pPr>
              <w:spacing w:after="0"/>
              <w:rPr>
                <w:sz w:val="18"/>
                <w:szCs w:val="18"/>
                <w:color w:val="auto"/>
              </w:rPr>
            </w:pPr>
          </w:p>
        </w:tc>
        <w:tc>
          <w:tcPr>
            <w:tcW w:w="7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National Pen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280" w:type="dxa"/>
            <w:vAlign w:val="bottom"/>
          </w:tcPr>
          <w:p>
            <w:pPr>
              <w:spacing w:after="0"/>
              <w:rPr>
                <w:sz w:val="18"/>
                <w:szCs w:val="18"/>
                <w:color w:val="auto"/>
              </w:rPr>
            </w:pPr>
          </w:p>
        </w:tc>
      </w:tr>
      <w:tr>
        <w:trPr>
          <w:trHeight w:val="207"/>
        </w:trPr>
        <w:tc>
          <w:tcPr>
            <w:tcW w:w="60" w:type="dxa"/>
            <w:vAlign w:val="bottom"/>
          </w:tcPr>
          <w:p>
            <w:pPr>
              <w:spacing w:after="0"/>
              <w:rPr>
                <w:sz w:val="17"/>
                <w:szCs w:val="17"/>
                <w:color w:val="auto"/>
              </w:rPr>
            </w:pPr>
          </w:p>
        </w:tc>
        <w:tc>
          <w:tcPr>
            <w:tcW w:w="7540" w:type="dxa"/>
            <w:vAlign w:val="bottom"/>
          </w:tcPr>
          <w:p>
            <w:pPr>
              <w:ind w:left="280"/>
              <w:spacing w:after="0"/>
              <w:rPr>
                <w:sz w:val="20"/>
                <w:szCs w:val="20"/>
                <w:color w:val="auto"/>
              </w:rPr>
            </w:pPr>
            <w:r>
              <w:rPr>
                <w:rFonts w:ascii="Arial" w:cs="Arial" w:eastAsia="Arial" w:hAnsi="Arial"/>
                <w:sz w:val="16"/>
                <w:szCs w:val="16"/>
                <w:color w:val="auto"/>
              </w:rPr>
              <w:t>All Other Businesses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1,312</w:t>
            </w:r>
          </w:p>
        </w:tc>
        <w:tc>
          <w:tcPr>
            <w:tcW w:w="280" w:type="dxa"/>
            <w:vAlign w:val="bottom"/>
          </w:tcPr>
          <w:p>
            <w:pPr>
              <w:spacing w:after="0"/>
              <w:rPr>
                <w:sz w:val="17"/>
                <w:szCs w:val="17"/>
                <w:color w:val="auto"/>
              </w:rPr>
            </w:pPr>
          </w:p>
        </w:tc>
      </w:tr>
      <w:tr>
        <w:trPr>
          <w:trHeight w:val="208"/>
        </w:trPr>
        <w:tc>
          <w:tcPr>
            <w:tcW w:w="60" w:type="dxa"/>
            <w:vAlign w:val="bottom"/>
            <w:shd w:val="clear" w:color="auto" w:fill="CCEEFF"/>
          </w:tcPr>
          <w:p>
            <w:pPr>
              <w:spacing w:after="0"/>
              <w:rPr>
                <w:sz w:val="18"/>
                <w:szCs w:val="18"/>
                <w:color w:val="auto"/>
              </w:rPr>
            </w:pPr>
          </w:p>
        </w:tc>
        <w:tc>
          <w:tcPr>
            <w:tcW w:w="7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Central and corporate costs</w:t>
            </w:r>
          </w:p>
        </w:tc>
        <w:tc>
          <w:tcPr>
            <w:tcW w:w="2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5,837</w:t>
            </w:r>
          </w:p>
        </w:tc>
        <w:tc>
          <w:tcPr>
            <w:tcW w:w="280" w:type="dxa"/>
            <w:vAlign w:val="bottom"/>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7540" w:type="dxa"/>
            <w:vAlign w:val="bottom"/>
          </w:tcPr>
          <w:p>
            <w:pPr>
              <w:ind w:left="580"/>
              <w:spacing w:after="0"/>
              <w:rPr>
                <w:sz w:val="20"/>
                <w:szCs w:val="20"/>
                <w:color w:val="auto"/>
              </w:rPr>
            </w:pPr>
            <w:r>
              <w:rPr>
                <w:rFonts w:ascii="Arial" w:cs="Arial" w:eastAsia="Arial" w:hAnsi="Arial"/>
                <w:sz w:val="16"/>
                <w:szCs w:val="16"/>
                <w:color w:val="auto"/>
              </w:rPr>
              <w:t>Total capitalization of software and website development costs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17,286</w:t>
            </w:r>
          </w:p>
        </w:tc>
        <w:tc>
          <w:tcPr>
            <w:tcW w:w="2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4" w:name="page25"/>
    <w:bookmarkEnd w:id="24"/>
    <w:p>
      <w:pPr>
        <w:ind w:left="62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2026</w:t>
            </w:r>
          </w:p>
        </w:tc>
        <w:tc>
          <w:tcPr>
            <w:tcW w:w="260" w:type="dxa"/>
            <w:vAlign w:val="bottom"/>
          </w:tcPr>
          <w:p>
            <w:pPr>
              <w:spacing w:after="0"/>
              <w:rPr>
                <w:sz w:val="14"/>
                <w:szCs w:val="14"/>
                <w:color w:val="auto"/>
              </w:rPr>
            </w:pPr>
          </w:p>
        </w:tc>
        <w:tc>
          <w:tcPr>
            <w:tcW w:w="1380" w:type="dxa"/>
            <w:vAlign w:val="bottom"/>
          </w:tcPr>
          <w:p>
            <w:pPr>
              <w:jc w:val="right"/>
              <w:ind w:right="363"/>
              <w:spacing w:after="0"/>
              <w:rPr>
                <w:sz w:val="20"/>
                <w:szCs w:val="20"/>
                <w:color w:val="auto"/>
              </w:rPr>
            </w:pPr>
            <w:r>
              <w:rPr>
                <w:rFonts w:ascii="Arial" w:cs="Arial" w:eastAsia="Arial" w:hAnsi="Arial"/>
                <w:sz w:val="12"/>
                <w:szCs w:val="12"/>
                <w:b w:val="1"/>
                <w:bCs w:val="1"/>
                <w:color w:val="auto"/>
              </w:rPr>
              <w:t>June 30, 2026</w:t>
            </w:r>
          </w:p>
        </w:tc>
      </w:tr>
      <w:tr>
        <w:trPr>
          <w:trHeight w:val="192"/>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Long-lived assets (1):</w:t>
            </w:r>
          </w:p>
        </w:tc>
        <w:tc>
          <w:tcPr>
            <w:tcW w:w="1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United States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72,537</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69,223</w:t>
            </w:r>
          </w:p>
        </w:tc>
      </w:tr>
      <w:tr>
        <w:trPr>
          <w:trHeight w:val="20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84,043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81,964</w:t>
            </w: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Switzerland</w:t>
            </w:r>
          </w:p>
        </w:tc>
        <w:tc>
          <w:tcPr>
            <w:tcW w:w="18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74,328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76,154</w:t>
            </w:r>
          </w:p>
        </w:tc>
      </w:tr>
      <w:tr>
        <w:trPr>
          <w:trHeight w:val="20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Mexico</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67,895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65,474</w:t>
            </w: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Germany (2)</w:t>
            </w:r>
          </w:p>
        </w:tc>
        <w:tc>
          <w:tcPr>
            <w:tcW w:w="18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88,833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60,353</w:t>
            </w:r>
          </w:p>
        </w:tc>
      </w:tr>
      <w:tr>
        <w:trPr>
          <w:trHeight w:val="20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Canada</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53,779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55,544</w:t>
            </w: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Austria</w:t>
            </w:r>
          </w:p>
        </w:tc>
        <w:tc>
          <w:tcPr>
            <w:tcW w:w="18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43,265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43,734</w:t>
            </w:r>
          </w:p>
        </w:tc>
      </w:tr>
      <w:tr>
        <w:trPr>
          <w:trHeight w:val="20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Italy</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43,205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41,825</w:t>
            </w: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Tunisia</w:t>
            </w:r>
          </w:p>
        </w:tc>
        <w:tc>
          <w:tcPr>
            <w:tcW w:w="18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34,715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37,039</w:t>
            </w:r>
          </w:p>
        </w:tc>
      </w:tr>
      <w:tr>
        <w:trPr>
          <w:trHeight w:val="20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France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31,084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32,520</w:t>
            </w: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27,033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27,429</w:t>
            </w:r>
          </w:p>
        </w:tc>
      </w:tr>
      <w:tr>
        <w:trPr>
          <w:trHeight w:val="208"/>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79,038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70,715</w:t>
            </w:r>
          </w:p>
        </w:tc>
      </w:tr>
      <w:tr>
        <w:trPr>
          <w:trHeight w:val="202"/>
        </w:trPr>
        <w:tc>
          <w:tcPr>
            <w:tcW w:w="7780" w:type="dxa"/>
            <w:vAlign w:val="bottom"/>
          </w:tcPr>
          <w:p>
            <w:pPr>
              <w:ind w:left="6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699,755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661,974</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9" w:lineRule="exact"/>
        <w:rPr>
          <w:sz w:val="20"/>
          <w:szCs w:val="20"/>
          <w:color w:val="auto"/>
        </w:rPr>
      </w:pPr>
    </w:p>
    <w:p>
      <w:pPr>
        <w:ind w:left="240" w:right="440" w:hanging="236"/>
        <w:spacing w:after="0" w:line="281" w:lineRule="auto"/>
        <w:tabs>
          <w:tab w:leader="none" w:pos="214"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goodwill of $882,633 and $850,778, intangible assets, net of $87,944 and $70,580, and deferred tax assets of $52,356 and $50,930 as of September 30, 2026 and June 30, 2026, respectively.</w:t>
      </w:r>
    </w:p>
    <w:p>
      <w:pPr>
        <w:spacing w:after="0" w:line="38" w:lineRule="exact"/>
        <w:rPr>
          <w:rFonts w:ascii="Arial" w:cs="Arial" w:eastAsia="Arial" w:hAnsi="Arial"/>
          <w:sz w:val="14"/>
          <w:szCs w:val="14"/>
          <w:color w:val="auto"/>
        </w:rPr>
      </w:pPr>
    </w:p>
    <w:p>
      <w:pPr>
        <w:ind w:left="220" w:hanging="216"/>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increase in long-lived assets located in Germany was largely due to the Saxoprint acquisition. Refer to Note 6 for additional details.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Supply Chain Finance Program</w:t>
      </w:r>
    </w:p>
    <w:p>
      <w:pPr>
        <w:spacing w:after="0" w:line="181"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w:t>
      </w:r>
    </w:p>
    <w:p>
      <w:pPr>
        <w:spacing w:after="0" w:line="57" w:lineRule="exact"/>
        <w:rPr>
          <w:sz w:val="20"/>
          <w:szCs w:val="20"/>
          <w:color w:val="auto"/>
        </w:rPr>
      </w:pPr>
    </w:p>
    <w:p>
      <w:pPr>
        <w:ind w:right="180" w:firstLine="623"/>
        <w:spacing w:after="0" w:line="268" w:lineRule="auto"/>
        <w:rPr>
          <w:sz w:val="20"/>
          <w:szCs w:val="20"/>
          <w:color w:val="auto"/>
        </w:rPr>
      </w:pPr>
      <w:r>
        <w:rPr>
          <w:rFonts w:ascii="Arial" w:cs="Arial" w:eastAsia="Arial" w:hAnsi="Arial"/>
          <w:sz w:val="17"/>
          <w:szCs w:val="17"/>
          <w:color w:val="auto"/>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September 30, 2026 and June 30, 2026 were $58,781 and $65,266,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Obligations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September 30, 2026, we had unrecorded commitments under contract of $310,257, including third-party cloud services of $192,636;</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inventory, third-party fulfillment and digital service purchase commitments of $70,124; software of $30,830; professional and consulting fees of</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$11,418; production and computer equipment purchases of $1,690; advertising of $1,118; and other unrecorded purchase commitments of $2,441.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181"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We are not currently party to any legal proceedings we believe to be material.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18" w:right="379" w:bottom="1440" w:gutter="0" w:footer="0" w:header="0"/>
        </w:sectPr>
      </w:pPr>
    </w:p>
    <w:bookmarkStart w:id="25" w:name="page26"/>
    <w:bookmarkEnd w:id="25"/>
    <w:p>
      <w:pPr>
        <w:ind w:right="360"/>
        <w:spacing w:after="0" w:line="295" w:lineRule="auto"/>
        <w:rPr>
          <w:sz w:val="20"/>
          <w:szCs w:val="20"/>
          <w:color w:val="auto"/>
        </w:rPr>
      </w:pPr>
      <w:r>
        <w:rPr>
          <w:rFonts w:ascii="Arial" w:cs="Arial" w:eastAsia="Arial" w:hAnsi="Arial"/>
          <w:sz w:val="17"/>
          <w:szCs w:val="17"/>
          <w:color w:val="auto"/>
        </w:rPr>
        <w:t>authoritative guidance that addresses accounting for contingencies. We expense the costs relating to our legal proceedings as those costs are incurred.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Restructuring Charges</w:t>
      </w:r>
    </w:p>
    <w:p>
      <w:pPr>
        <w:spacing w:after="0" w:line="248" w:lineRule="exact"/>
        <w:rPr>
          <w:sz w:val="20"/>
          <w:szCs w:val="20"/>
          <w:color w:val="auto"/>
        </w:rPr>
      </w:pPr>
    </w:p>
    <w:p>
      <w:pPr>
        <w:ind w:right="140" w:firstLine="623"/>
        <w:spacing w:after="0" w:line="268" w:lineRule="auto"/>
        <w:rPr>
          <w:sz w:val="20"/>
          <w:szCs w:val="20"/>
          <w:color w:val="auto"/>
        </w:rPr>
      </w:pPr>
      <w:r>
        <w:rPr>
          <w:rFonts w:ascii="Arial" w:cs="Arial" w:eastAsia="Arial" w:hAnsi="Arial"/>
          <w:sz w:val="17"/>
          <w:szCs w:val="17"/>
          <w:color w:val="auto"/>
        </w:rPr>
        <w:t>Restructuring costs include one-time employee termination benefits, write-off of assets, costs to exit loss-making operations, acceleration of share-based compensation, and other related costs including third-party professional and outplacement services. All restructuring costs are excluded from segment and adjusted EBITDA. During the three months ended September 30, 2026 and 2025, we recognized restructuring charges of $3,994 and $298, respectively.</w:t>
      </w:r>
    </w:p>
    <w:p>
      <w:pPr>
        <w:spacing w:after="0" w:line="191"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For the three months ended September 30, 2026, restructuring charges included cost reduction actions within our Central and corporate costs of $2,186, and within our VistaPrint and PrintBrothers reportable segments of $1,005 and $558, respectively. All other restructuring charges for each period presented were not material. We expect to recognize additional charges associated with these actions during the current fiscal year as we continue to execute against cost efficiency opportunities.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restructuring activity during the three months ended September 30,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Severance and Related</w:t>
            </w:r>
          </w:p>
        </w:tc>
        <w:tc>
          <w:tcPr>
            <w:tcW w:w="140" w:type="dxa"/>
            <w:vAlign w:val="bottom"/>
          </w:tcPr>
          <w:p>
            <w:pPr>
              <w:spacing w:after="0"/>
              <w:rPr>
                <w:sz w:val="12"/>
                <w:szCs w:val="12"/>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Other Restructuring</w:t>
            </w:r>
          </w:p>
        </w:tc>
        <w:tc>
          <w:tcPr>
            <w:tcW w:w="100" w:type="dxa"/>
            <w:vAlign w:val="bottom"/>
          </w:tcPr>
          <w:p>
            <w:pPr>
              <w:spacing w:after="0"/>
              <w:rPr>
                <w:sz w:val="12"/>
                <w:szCs w:val="12"/>
                <w:color w:val="auto"/>
              </w:rPr>
            </w:pPr>
          </w:p>
        </w:tc>
        <w:tc>
          <w:tcPr>
            <w:tcW w:w="1440" w:type="dxa"/>
            <w:vAlign w:val="bottom"/>
          </w:tcPr>
          <w:p>
            <w:pPr>
              <w:jc w:val="right"/>
              <w:ind w:right="46"/>
              <w:spacing w:after="0"/>
              <w:rPr>
                <w:sz w:val="20"/>
                <w:szCs w:val="20"/>
                <w:color w:val="auto"/>
              </w:rPr>
            </w:pPr>
            <w:r>
              <w:rPr>
                <w:rFonts w:ascii="Arial" w:cs="Arial" w:eastAsia="Arial" w:hAnsi="Arial"/>
                <w:sz w:val="12"/>
                <w:szCs w:val="12"/>
                <w:b w:val="1"/>
                <w:bCs w:val="1"/>
                <w:color w:val="auto"/>
                <w:w w:val="99"/>
              </w:rPr>
              <w:t>Accrued Restructuring</w:t>
            </w:r>
          </w:p>
        </w:tc>
      </w:tr>
      <w:tr>
        <w:trPr>
          <w:trHeight w:val="175"/>
        </w:trPr>
        <w:tc>
          <w:tcPr>
            <w:tcW w:w="6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Liability</w:t>
            </w:r>
          </w:p>
        </w:tc>
      </w:tr>
      <w:tr>
        <w:trPr>
          <w:trHeight w:val="208"/>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r>
      <w:tr>
        <w:trPr>
          <w:trHeight w:val="207"/>
        </w:trPr>
        <w:tc>
          <w:tcPr>
            <w:tcW w:w="640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6"/>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3,994</w:t>
            </w: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r>
      <w:tr>
        <w:trPr>
          <w:trHeight w:val="207"/>
        </w:trPr>
        <w:tc>
          <w:tcPr>
            <w:tcW w:w="6400" w:type="dxa"/>
            <w:vAlign w:val="bottom"/>
          </w:tcPr>
          <w:p>
            <w:pPr>
              <w:ind w:left="20"/>
              <w:spacing w:after="0"/>
              <w:rPr>
                <w:sz w:val="20"/>
                <w:szCs w:val="20"/>
                <w:color w:val="auto"/>
              </w:rPr>
            </w:pPr>
            <w:r>
              <w:rPr>
                <w:rFonts w:ascii="Arial" w:cs="Arial" w:eastAsia="Arial" w:hAnsi="Arial"/>
                <w:sz w:val="16"/>
                <w:szCs w:val="16"/>
                <w:color w:val="auto"/>
              </w:rPr>
              <w:t>Non-cash charges</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08"/>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2"/>
        </w:trPr>
        <w:tc>
          <w:tcPr>
            <w:tcW w:w="6400" w:type="dxa"/>
            <w:vAlign w:val="bottom"/>
          </w:tcPr>
          <w:p>
            <w:pPr>
              <w:ind w:left="20"/>
              <w:spacing w:after="0"/>
              <w:rPr>
                <w:sz w:val="20"/>
                <w:szCs w:val="20"/>
                <w:color w:val="auto"/>
              </w:rPr>
            </w:pPr>
            <w:r>
              <w:rPr>
                <w:rFonts w:ascii="Arial" w:cs="Arial" w:eastAsia="Arial" w:hAnsi="Arial"/>
                <w:sz w:val="16"/>
                <w:szCs w:val="16"/>
                <w:color w:val="auto"/>
              </w:rPr>
              <w:t>Balance as of September 30, 2026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3,287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3,287</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83" w:lineRule="exact"/>
        <w:rPr>
          <w:sz w:val="20"/>
          <w:szCs w:val="20"/>
          <w:color w:val="auto"/>
        </w:rPr>
      </w:pPr>
    </w:p>
    <w:p>
      <w:pPr>
        <w:ind w:firstLine="623"/>
        <w:spacing w:after="0" w:line="25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impact of interest rate and currency fluctuations, the impact of U.S. tariffs (including potential changes in related trade policies and potential mitigation actions and related estimates, cost impacts, pricing changes and changes in customer demand), sources of liquidity to fund future operations, future payment terms with suppliers, the timing of adoption of certain accounting standards, legal proceedings, our ability to prevail in our appeal of an adverse land duty tax assessment, indefinitely reinvested earnings, unrecognized tax benefits, our effective tax rate, and sufficiency of our tax reserves. Without limiting the foregoing, the words “may,” “should,” “could,” “expect,” “plan,” “intend,” “anticipate,” “believe,” “estimate,” “predict,” "assume," “designed,” “potential,” "possible," “continue,” “target,” “seek,” "likely," "will"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and fluctuating inflation; our inability to make investments in our business and allocate our capital as planned or the failure of those investments and allocations to achieve the results we expect; costs and disruptions caused by acquisitions and minority investments; the failure of businesses we acquire or invest in to perform as expected; the failure to realize anticipated synergies between our existing businesses and recently acquired businesses; loss of key personnel or our inability to recruit talented personnel; our failure to develop and deploy our mass customization platform or the failure of the mass customization platform to drive the performance, efficiencies and competitive advantage we expect; unanticipated changes in our markets, customers, or businesses; disruptions caused by geopolitical events or political instability and war in Ukraine, Israel, the Middle East or elsewhere; changes in governmental policies, laws and regulations, or in the enforcement or interpretation of governmental policies, laws and regulations, that affect our businesses, including related to import tariffs; our failure to manage the growth and complexity of our business; our failure to maintain compliance with the covenants in our debt documents or to pay our debts when due; competitive pressures; general economic conditions; and other factors described in Item 1A (Risk Factors) of our Annual Report on Form 10-K for the fiscal year ended June 30, 2026, as updated, if applicable, by this Report on Form 10-Q and the documents that we periodically file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Overview</w:t>
      </w:r>
    </w:p>
    <w:p>
      <w:pPr>
        <w:spacing w:after="0" w:line="181"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Cimpress helps millions of businesses build brands, stand out, and grow via customized physical marketing products and branded merchandise. Cimpress is the global leader in web-to-print mass customization, delivering high-quality, affordable custom products quickly and conveniently, even in low quantities.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that seeks to produce goods and services to meet individual customer needs with near mass production efficiency.</w:t>
      </w:r>
    </w:p>
    <w:p>
      <w:pPr>
        <w:spacing w:after="0" w:line="52"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As of September 30, 2026, we have numerous operating segments under our management reporting structure that are reported in the following five reportable segments: VistaPrint, PrintBrothers, The Print Group, National Pen, and All Other Businesses. Our All Other Businesses includes the results from the launch of our new strategic partnership with Canva, who is one of the world's largest design platforms. Refer to Note 12 in our accompanying consolidated financial statements for additional information relating to our reportable segments and our segment financial measures.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81" w:lineRule="exact"/>
        <w:rPr>
          <w:sz w:val="20"/>
          <w:szCs w:val="20"/>
          <w:color w:val="auto"/>
        </w:rPr>
      </w:pPr>
    </w:p>
    <w:p>
      <w:pPr>
        <w:ind w:right="320" w:firstLine="623"/>
        <w:spacing w:after="0" w:line="265" w:lineRule="auto"/>
        <w:rPr>
          <w:sz w:val="20"/>
          <w:szCs w:val="20"/>
          <w:color w:val="auto"/>
        </w:rPr>
      </w:pPr>
      <w:r>
        <w:rPr>
          <w:rFonts w:ascii="Arial" w:cs="Arial" w:eastAsia="Arial" w:hAnsi="Arial"/>
          <w:sz w:val="17"/>
          <w:szCs w:val="17"/>
          <w:color w:val="auto"/>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constant-currency revenue growth, organic constant-currency revenue growth (which excludes the impact of acquisitions/divestitures), operating income, net income, adjusted EBITDA, cash flow from operations, and adjusted free cash flow. Reconciliations of our non-GAAP financial measures are included within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jc w:val="both"/>
        <w:ind w:right="180"/>
        <w:spacing w:after="0" w:line="275" w:lineRule="auto"/>
        <w:rPr>
          <w:sz w:val="20"/>
          <w:szCs w:val="20"/>
          <w:color w:val="auto"/>
        </w:rPr>
      </w:pPr>
      <w:r>
        <w:rPr>
          <w:rFonts w:ascii="Arial" w:cs="Arial" w:eastAsia="Arial" w:hAnsi="Arial"/>
          <w:sz w:val="17"/>
          <w:szCs w:val="17"/>
          <w:color w:val="auto"/>
        </w:rPr>
        <w:t>the "Consolidated Results of Operations" and "Additional Non-GAAP Financial Measures" sections of Management's Discussion and Analysis. A summary of these key financial metrics for the three months ended September 30, 2026 as compared to the three months ended September 30, 2025 follows:</w:t>
      </w:r>
    </w:p>
    <w:p>
      <w:pPr>
        <w:spacing w:after="0" w:line="120" w:lineRule="exact"/>
        <w:rPr>
          <w:sz w:val="20"/>
          <w:szCs w:val="20"/>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Revenue increased by 8% to $934.1 million.</w:t>
      </w:r>
    </w:p>
    <w:p>
      <w:pPr>
        <w:spacing w:after="0" w:line="103"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Organic constant-currency revenue growth (a non-GAAP financial measure) was 2%.</w:t>
      </w:r>
    </w:p>
    <w:p>
      <w:pPr>
        <w:spacing w:after="0" w:line="90"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Operating income decreased by $23.0 million to $26.0 million.</w:t>
      </w:r>
    </w:p>
    <w:p>
      <w:pPr>
        <w:spacing w:after="0" w:line="103" w:lineRule="exact"/>
        <w:rPr>
          <w:rFonts w:ascii="Arial" w:cs="Arial" w:eastAsia="Arial" w:hAnsi="Arial"/>
          <w:sz w:val="17"/>
          <w:szCs w:val="17"/>
          <w:color w:val="auto"/>
        </w:rPr>
      </w:pPr>
    </w:p>
    <w:p>
      <w:pPr>
        <w:ind w:left="920" w:hanging="293"/>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7"/>
          <w:szCs w:val="17"/>
          <w:color w:val="auto"/>
        </w:rPr>
        <w:t>Net (loss) income decreased by $7.5 million to a loss of $1.0 million.</w:t>
      </w:r>
    </w:p>
    <w:p>
      <w:pPr>
        <w:spacing w:after="0" w:line="103" w:lineRule="exact"/>
        <w:rPr>
          <w:rFonts w:ascii="Arial" w:cs="Arial" w:eastAsia="Arial" w:hAnsi="Arial"/>
          <w:sz w:val="16"/>
          <w:szCs w:val="16"/>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$8.9 million to $89.8 million.</w:t>
      </w:r>
    </w:p>
    <w:p>
      <w:pPr>
        <w:spacing w:after="0" w:line="90" w:lineRule="exact"/>
        <w:rPr>
          <w:rFonts w:ascii="Arial" w:cs="Arial" w:eastAsia="Arial" w:hAnsi="Arial"/>
          <w:sz w:val="17"/>
          <w:szCs w:val="17"/>
          <w:color w:val="auto"/>
        </w:rPr>
      </w:pPr>
    </w:p>
    <w:p>
      <w:pPr>
        <w:ind w:left="920" w:hanging="293"/>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7"/>
          <w:szCs w:val="17"/>
          <w:color w:val="auto"/>
        </w:rPr>
        <w:t>Diluted net (loss) income per share attributable to Cimpress plc decreased by $0.41 to a loss of $0.11.</w:t>
      </w:r>
    </w:p>
    <w:p>
      <w:pPr>
        <w:spacing w:after="0" w:line="103" w:lineRule="exact"/>
        <w:rPr>
          <w:rFonts w:ascii="Arial" w:cs="Arial" w:eastAsia="Arial" w:hAnsi="Arial"/>
          <w:sz w:val="16"/>
          <w:szCs w:val="16"/>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Cash provided by operating activities increased by $3.9 million to $28.9 million.</w:t>
      </w:r>
    </w:p>
    <w:p>
      <w:pPr>
        <w:spacing w:after="0" w:line="103"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free cash flow (a non-GAAP financial measure) increased by $8.5 million to an outflow of $9.3 million.</w:t>
      </w:r>
    </w:p>
    <w:p>
      <w:pPr>
        <w:spacing w:after="0" w:line="181" w:lineRule="exact"/>
        <w:rPr>
          <w:sz w:val="20"/>
          <w:szCs w:val="20"/>
          <w:color w:val="auto"/>
        </w:rPr>
      </w:pPr>
    </w:p>
    <w:p>
      <w:pPr>
        <w:jc w:val="both"/>
        <w:ind w:right="80" w:firstLine="623"/>
        <w:spacing w:after="0" w:line="268" w:lineRule="auto"/>
        <w:rPr>
          <w:sz w:val="20"/>
          <w:szCs w:val="20"/>
          <w:color w:val="auto"/>
        </w:rPr>
      </w:pPr>
      <w:r>
        <w:rPr>
          <w:rFonts w:ascii="Arial" w:cs="Arial" w:eastAsia="Arial" w:hAnsi="Arial"/>
          <w:sz w:val="17"/>
          <w:szCs w:val="17"/>
          <w:color w:val="auto"/>
        </w:rPr>
        <w:t>For the three months ended September 30, 2026, the increase in reported revenue was driven by revenue contributions from our recently acquired businesses and external organic constant-currency growth across most of our reportable segments. Across our businesses, we continue to see stronger growth across our assortment of elevated products, while volume pressure continues to exist in certain legacy product categories alongside continued declines in select sales channels, including resellers in certain European markets.</w:t>
      </w:r>
    </w:p>
    <w:p>
      <w:pPr>
        <w:spacing w:after="0" w:line="48"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Operating income decreased by $23.0 million to $26.0 million for the three months ended September 30, 2026. The decrease was driven in part by items that negatively impacted gross profit, including $5.9 million of planned higher net start-up costs for our North American manufacturing network, $5.8 million in increased depreciation and amortization, primarily tied to recent manufacturing equipment investments, $4.2 million from the net impact of duties and new Section 338 and 301 tariffs on certain goods sold to U.S. customers, and $1.8 million in higher energy-related input costs, net of pricing increases. These costs were partially offset by a $7.5 million benefit from tariff refunds related to previously incurred costs. Operating income was also impacted by $3.7 million of increased restructuring charges related to cost reductions that will benefit future periods, $1.4 million from the non-recurrence of a compensation benefit in the year-ago period, and $0.7 million of increased amortization related to recent acquisitions.</w:t>
      </w:r>
    </w:p>
    <w:p>
      <w:pPr>
        <w:spacing w:after="0" w:line="45"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color w:val="auto"/>
        </w:rPr>
        <w:t>Net (loss) income decreased $7.5 million during the three months ended September 30, 2026, as compared to the prior year. The net (loss) income decrease was driven by the operating income decline described above, partially offset by higher unrealized hedging gains and lower income tax expenses.</w:t>
      </w:r>
    </w:p>
    <w:p>
      <w:pPr>
        <w:spacing w:after="0" w:line="42"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Adjusted EBITDA decreased by $8.9 million during the three months ended September 30, 2026, for similar reasons as the decrease in operating income as described above, with the exception of depreciation and amortization expense and restructuring charges that are excluded from adjusted EBITDA. Partially offsetting the decrease is year-over-year currency benefits of $1.7 million. Tuck-in acquisitions within the PrintBrothers and The Print Group reportable segments contributed $3.3 million to adjusted EBITDA, net of transaction-related costs, for the three months ended September 30, 2026.</w:t>
      </w:r>
    </w:p>
    <w:p>
      <w:pPr>
        <w:spacing w:after="0" w:line="50" w:lineRule="exact"/>
        <w:rPr>
          <w:sz w:val="20"/>
          <w:szCs w:val="20"/>
          <w:color w:val="auto"/>
        </w:rPr>
      </w:pPr>
    </w:p>
    <w:p>
      <w:pPr>
        <w:ind w:right="120" w:firstLine="623"/>
        <w:spacing w:after="0" w:line="275" w:lineRule="auto"/>
        <w:rPr>
          <w:sz w:val="20"/>
          <w:szCs w:val="20"/>
          <w:color w:val="auto"/>
        </w:rPr>
      </w:pPr>
      <w:r>
        <w:rPr>
          <w:rFonts w:ascii="Arial" w:cs="Arial" w:eastAsia="Arial" w:hAnsi="Arial"/>
          <w:sz w:val="17"/>
          <w:szCs w:val="17"/>
          <w:color w:val="auto"/>
        </w:rPr>
        <w:t>During the three months ended September 30, 2026, cash from operations increased $3.9 million year over year, driven by a decrease of cash interest and tax payments of $1.4 million and $1.1 million, respectively, as well as favorable changes year-over-year in net working capital that is driven mostly by timing items. These items were partially offset by the operating income decrease described above.</w:t>
      </w:r>
    </w:p>
    <w:p>
      <w:pPr>
        <w:spacing w:after="0" w:line="29"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Adjusted free cash flow increased by $8.5 million for the three months ended September 30, 2026, primarily driven by the increase in cash flow from operations as described above and a $ 3.6 million decrease in capital expenditures mainly driven by the timing of cash payments, and a $0.9 million decrease in capitalized software and website development costs.</w:t>
      </w:r>
    </w:p>
    <w:p>
      <w:pPr>
        <w:spacing w:after="0" w:line="42" w:lineRule="exact"/>
        <w:rPr>
          <w:sz w:val="20"/>
          <w:szCs w:val="20"/>
          <w:color w:val="auto"/>
        </w:rPr>
      </w:pPr>
    </w:p>
    <w:p>
      <w:pPr>
        <w:ind w:right="340" w:firstLine="623"/>
        <w:spacing w:after="0" w:line="295" w:lineRule="auto"/>
        <w:rPr>
          <w:sz w:val="20"/>
          <w:szCs w:val="20"/>
          <w:color w:val="auto"/>
        </w:rPr>
      </w:pPr>
      <w:r>
        <w:rPr>
          <w:rFonts w:ascii="Arial" w:cs="Arial" w:eastAsia="Arial" w:hAnsi="Arial"/>
          <w:sz w:val="17"/>
          <w:szCs w:val="17"/>
          <w:color w:val="auto"/>
        </w:rPr>
        <w:t>Refer to the "Additional Non-GAAP Financial Measures" section of Management's Discussion and Analysis for the reconciliation of our non-GAAP financial measures.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Tariffs</w:t>
      </w:r>
    </w:p>
    <w:p>
      <w:pPr>
        <w:spacing w:after="0" w:line="194" w:lineRule="exact"/>
        <w:rPr>
          <w:sz w:val="20"/>
          <w:szCs w:val="20"/>
          <w:color w:val="auto"/>
        </w:rPr>
      </w:pPr>
    </w:p>
    <w:p>
      <w:pPr>
        <w:jc w:val="both"/>
        <w:ind w:firstLine="623"/>
        <w:spacing w:after="0" w:line="275" w:lineRule="auto"/>
        <w:rPr>
          <w:sz w:val="20"/>
          <w:szCs w:val="20"/>
          <w:color w:val="auto"/>
        </w:rPr>
      </w:pPr>
      <w:r>
        <w:rPr>
          <w:rFonts w:ascii="Arial" w:cs="Arial" w:eastAsia="Arial" w:hAnsi="Arial"/>
          <w:sz w:val="17"/>
          <w:szCs w:val="17"/>
          <w:color w:val="auto"/>
        </w:rPr>
        <w:t>The U.S. tariff environment remains volatile. The most recent developments include the U.S. government's implementation of broad-based Section 301 tariffs of 10% to 12.5% that replaced the 10% global rate that expired. Also, a 50% tariff on certain Canadian goods under Section 338 took effect on August 22, 2026. The Section 338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3" w:right="359" w:bottom="1440" w:gutter="0" w:footer="0" w:header="0"/>
        </w:sectPr>
      </w:pPr>
    </w:p>
    <w:bookmarkStart w:id="28" w:name="page29"/>
    <w:bookmarkEnd w:id="28"/>
    <w:p>
      <w:pPr>
        <w:ind w:right="400"/>
        <w:spacing w:after="0" w:line="295" w:lineRule="auto"/>
        <w:rPr>
          <w:sz w:val="20"/>
          <w:szCs w:val="20"/>
          <w:color w:val="auto"/>
        </w:rPr>
      </w:pPr>
      <w:r>
        <w:rPr>
          <w:rFonts w:ascii="Arial" w:cs="Arial" w:eastAsia="Arial" w:hAnsi="Arial"/>
          <w:sz w:val="17"/>
          <w:szCs w:val="17"/>
          <w:color w:val="auto"/>
        </w:rPr>
        <w:t>tariffs affect a small portion of products fulfilled in Canada for U.S. customers, and we are actively operationalizing supply chain and fulfillment adjustments to mitigate a substantial portion of any prospective cost impact.</w:t>
      </w:r>
    </w:p>
    <w:p>
      <w:pPr>
        <w:spacing w:after="0" w:line="117" w:lineRule="exact"/>
        <w:rPr>
          <w:sz w:val="20"/>
          <w:szCs w:val="20"/>
          <w:color w:val="auto"/>
        </w:rPr>
      </w:pPr>
    </w:p>
    <w:p>
      <w:pPr>
        <w:ind w:right="80" w:firstLine="623"/>
        <w:spacing w:after="0" w:line="259" w:lineRule="auto"/>
        <w:rPr>
          <w:sz w:val="20"/>
          <w:szCs w:val="20"/>
          <w:color w:val="auto"/>
        </w:rPr>
      </w:pPr>
      <w:r>
        <w:rPr>
          <w:rFonts w:ascii="Arial" w:cs="Arial" w:eastAsia="Arial" w:hAnsi="Arial"/>
          <w:sz w:val="17"/>
          <w:szCs w:val="17"/>
          <w:color w:val="auto"/>
        </w:rPr>
        <w:t>During the first quarter of fiscal year 2027, we continued filing refund requests for IEEPA-based tariffs and recognized a benefit within cost of revenue in the amount of $7.5 million, which included all submitted and accepted Phase 2 IEEPA tariff refunds. We have not recognized any benefit for Phase 3 refund claims, since the acceptance and timing of the recovery of those claims remained uncertain as of September 30, 2026.</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Revenue</w:t>
      </w:r>
    </w:p>
    <w:p>
      <w:pPr>
        <w:spacing w:after="0" w:line="194"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Our businesses generate revenue primarily from the sale and shipment of customized products. We also generate revenue, to a much lesser extent (and primarily in our VistaPrint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35" w:lineRule="exact"/>
        <w:rPr>
          <w:sz w:val="20"/>
          <w:szCs w:val="20"/>
          <w:color w:val="auto"/>
        </w:rPr>
      </w:pPr>
    </w:p>
    <w:p>
      <w:pPr>
        <w:ind w:right="220" w:firstLine="623"/>
        <w:spacing w:after="0" w:line="268" w:lineRule="auto"/>
        <w:rPr>
          <w:sz w:val="20"/>
          <w:szCs w:val="20"/>
          <w:color w:val="auto"/>
        </w:rPr>
      </w:pPr>
      <w:r>
        <w:rPr>
          <w:rFonts w:ascii="Arial" w:cs="Arial" w:eastAsia="Arial" w:hAnsi="Arial"/>
          <w:sz w:val="17"/>
          <w:szCs w:val="17"/>
          <w:color w:val="auto"/>
        </w:rPr>
        <w:t>Total revenue and revenue growth by reportable segment for the three months ended September 30, 2026 and 2025 are shown in the following tables. The revenue by reportable segment includes inter-segment transactions, which is when one Cimpress business chooses to buy from or sell to another Cimpress business that is part of a different reportable segment. These transactions are eliminated in the inter-segment elimination line in the tables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2300" w:type="dxa"/>
            <w:vAlign w:val="bottom"/>
            <w:gridSpan w:val="4"/>
            <w:vMerge w:val="restart"/>
          </w:tcPr>
          <w:p>
            <w:pPr>
              <w:jc w:val="right"/>
              <w:ind w:right="124"/>
              <w:spacing w:after="0"/>
              <w:rPr>
                <w:sz w:val="20"/>
                <w:szCs w:val="20"/>
                <w:color w:val="auto"/>
              </w:rPr>
            </w:pPr>
            <w:r>
              <w:rPr>
                <w:rFonts w:ascii="Arial" w:cs="Arial" w:eastAsia="Arial" w:hAnsi="Arial"/>
                <w:sz w:val="12"/>
                <w:szCs w:val="12"/>
                <w:b w:val="1"/>
                <w:bCs w:val="1"/>
                <w:color w:val="auto"/>
              </w:rPr>
              <w:t>Three Months Ended September 30,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rPr>
                <w:sz w:val="1"/>
                <w:szCs w:val="1"/>
                <w:color w:val="auto"/>
              </w:rPr>
            </w:pPr>
          </w:p>
        </w:tc>
      </w:tr>
      <w:tr>
        <w:trPr>
          <w:trHeight w:val="180"/>
        </w:trPr>
        <w:tc>
          <w:tcPr>
            <w:tcW w:w="20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99"/>
        </w:trPr>
        <w:tc>
          <w:tcPr>
            <w:tcW w:w="2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Excluding</w:t>
            </w: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366"/>
              <w:spacing w:after="0"/>
              <w:rPr>
                <w:sz w:val="20"/>
                <w:szCs w:val="20"/>
                <w:color w:val="auto"/>
              </w:rPr>
            </w:pPr>
            <w:r>
              <w:rPr>
                <w:rFonts w:ascii="Arial" w:cs="Arial" w:eastAsia="Arial" w:hAnsi="Arial"/>
                <w:sz w:val="12"/>
                <w:szCs w:val="12"/>
                <w:b w:val="1"/>
                <w:bCs w:val="1"/>
                <w:color w:val="auto"/>
              </w:rPr>
              <w:t>2026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ind w:right="384"/>
              <w:spacing w:after="0"/>
              <w:rPr>
                <w:sz w:val="20"/>
                <w:szCs w:val="20"/>
                <w:color w:val="auto"/>
              </w:rPr>
            </w:pPr>
            <w:r>
              <w:rPr>
                <w:rFonts w:ascii="Arial" w:cs="Arial" w:eastAsia="Arial" w:hAnsi="Arial"/>
                <w:sz w:val="12"/>
                <w:szCs w:val="12"/>
                <w:b w:val="1"/>
                <w:bCs w:val="1"/>
                <w:color w:val="auto"/>
              </w:rPr>
              <w:t>2025</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78"/>
        </w:trPr>
        <w:tc>
          <w:tcPr>
            <w:tcW w:w="20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VistaPrint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464,412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454,909</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8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16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235,919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184,711</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w w:val="99"/>
              </w:rPr>
              <w:t>28%</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30%</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(25)%</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109,274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96,710</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w w:val="99"/>
              </w:rPr>
              <w:t>13%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8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16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104,365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103,209</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72,492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61,742</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w w:val="99"/>
              </w:rPr>
              <w:t>17%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17%</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207"/>
        </w:trPr>
        <w:tc>
          <w:tcPr>
            <w:tcW w:w="2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Inter-segment eliminations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(52,410)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(38,004)</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934,052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863,277</w:t>
            </w:r>
          </w:p>
        </w:tc>
        <w:tc>
          <w:tcPr>
            <w:tcW w:w="860" w:type="dxa"/>
            <w:vAlign w:val="bottom"/>
            <w:tcBorders>
              <w:bottom w:val="single" w:sz="8" w:color="CCEEFF"/>
            </w:tcBorders>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86" w:lineRule="exact"/>
        <w:rPr>
          <w:sz w:val="20"/>
          <w:szCs w:val="20"/>
          <w:color w:val="auto"/>
        </w:rPr>
      </w:pPr>
    </w:p>
    <w:p>
      <w:pPr>
        <w:ind w:left="240" w:right="140" w:hanging="236"/>
        <w:spacing w:after="0" w:line="266"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prior-year periods at constant-currency exchange rates by translating all non-U.S. dollar denominated revenue generated in the current period using the prior-year period’s average exchange rate for each currency to the U.S. dollar. Our reportable segments-related growth is inclusive of inter-segment revenues, which are eliminated in our consolidated results.</w:t>
      </w:r>
    </w:p>
    <w:p>
      <w:pPr>
        <w:spacing w:after="0" w:line="48" w:lineRule="exact"/>
        <w:rPr>
          <w:rFonts w:ascii="Arial" w:cs="Arial" w:eastAsia="Arial" w:hAnsi="Arial"/>
          <w:sz w:val="14"/>
          <w:szCs w:val="14"/>
          <w:color w:val="auto"/>
        </w:rPr>
      </w:pPr>
    </w:p>
    <w:p>
      <w:pPr>
        <w:ind w:left="240" w:right="240" w:hanging="236"/>
        <w:spacing w:after="0" w:line="281"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spacing w:after="0" w:line="38" w:lineRule="exact"/>
        <w:rPr>
          <w:sz w:val="20"/>
          <w:szCs w:val="20"/>
          <w:color w:val="auto"/>
        </w:rPr>
      </w:pPr>
    </w:p>
    <w:p>
      <w:pPr>
        <w:ind w:left="240" w:right="40"/>
        <w:spacing w:after="0" w:line="266"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30"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For the three months ended September 30, 2026, the reported revenue growth of $70.8 million was primarily driven by $57.3 million from the addition of revenue from recently acquired businesses as compared to the prior fiscal year. Excluding the effect of changes in currency exchange rates, acquisitions, and inter-segment revenue, the largest increase in revenue was from our PrintBrothers business with an increase of $9.0 million for the three months ended September 30, 2026, partly driven by order volume growth. Additionally, our All Other Businesses reportable segment contributed $6.5 million of increased revenue for the three months ended September 30, 2026, partly driven by growth from our new strategic partnership with Canva, while our VistaPrint reportable segment contributed $6.2 million of increased revenue driven by growth in our elevated products. These items were offset in part by negative impacts from currency exchange rate fluctuations of $4.7 million.</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additional discussion relating to segment revenue results, refer to the "Reportable Segment Results" section included below.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Consolidated Cost of Revenue</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4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8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2025</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525,891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460,476</w:t>
            </w: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56.3 %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53.3 %</w:t>
            </w:r>
          </w:p>
        </w:tc>
      </w:tr>
    </w:tbl>
    <w:p>
      <w:pPr>
        <w:spacing w:after="0" w:line="167" w:lineRule="exact"/>
        <w:rPr>
          <w:sz w:val="20"/>
          <w:szCs w:val="20"/>
          <w:color w:val="auto"/>
        </w:rPr>
      </w:pPr>
    </w:p>
    <w:p>
      <w:pPr>
        <w:ind w:right="60" w:firstLine="623"/>
        <w:spacing w:after="0" w:line="263" w:lineRule="auto"/>
        <w:rPr>
          <w:sz w:val="20"/>
          <w:szCs w:val="20"/>
          <w:color w:val="auto"/>
        </w:rPr>
      </w:pPr>
      <w:r>
        <w:rPr>
          <w:rFonts w:ascii="Arial" w:cs="Arial" w:eastAsia="Arial" w:hAnsi="Arial"/>
          <w:sz w:val="17"/>
          <w:szCs w:val="17"/>
          <w:color w:val="auto"/>
        </w:rPr>
        <w:t>For the three months ended September 30, 2026, year-over-year cost of revenue increased by $ 65.4 million and included $3.0 million benefit from currency exchange rate fluctuations. The increase is mostly driven by the addition of cost of revenue from our recently acquired businesses of $45.9 million. In addition, the increase in cost of revenue includes $5.9 million in increased net start-up costs for our North American manufacturing network, $5.8 million in increased depreciation and amortization, primarily tied to recent manufacturing equipment investments, and $1.8 million in higher net energy-related input costs. Cost of revenue was also impacted by $4.2 million of additional tariff costs on certain goods sold to U.S. customers, offset in part by a $7.5 million benefit from IEEPA tariff refunds related to costs previously incurred.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Operating Expenses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8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2025</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Technology and development expense</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86,153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84,886</w:t>
            </w: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9.2 %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9.8 %</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223,865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210,398</w:t>
            </w: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24.0 %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24.4 %</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General and administrative expense</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63,193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53,996</w:t>
            </w: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6.3 %</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Amortization of acquired intangible assets</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4,936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4,252</w:t>
            </w: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0.5 %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0.5 %</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 (1)</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3,994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298</w:t>
            </w:r>
          </w:p>
        </w:tc>
      </w:tr>
      <w:tr>
        <w:trPr>
          <w:trHeight w:val="206"/>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0.4 %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0.0 %</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(1) Refer to Note 14 in the accompanying consolidated financial statements for additional details.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194"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Technology and development expense primarily consists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37" w:lineRule="exact"/>
        <w:rPr>
          <w:sz w:val="20"/>
          <w:szCs w:val="20"/>
          <w:color w:val="auto"/>
        </w:rPr>
      </w:pPr>
    </w:p>
    <w:p>
      <w:pPr>
        <w:ind w:right="20" w:firstLine="623"/>
        <w:spacing w:after="0" w:line="268" w:lineRule="auto"/>
        <w:rPr>
          <w:sz w:val="20"/>
          <w:szCs w:val="20"/>
          <w:color w:val="auto"/>
        </w:rPr>
      </w:pPr>
      <w:r>
        <w:rPr>
          <w:rFonts w:ascii="Arial" w:cs="Arial" w:eastAsia="Arial" w:hAnsi="Arial"/>
          <w:sz w:val="17"/>
          <w:szCs w:val="17"/>
          <w:color w:val="auto"/>
        </w:rPr>
        <w:t>For the three months ended September 30, 2026, year-over-year technology and development expense increased by $1.3 million primarily driven by higher year-over-year cash compensation costs of $1.7 million due in part by the addition of cash compensation costs from our recently acquired businesses. This increase was partially offset by a decrease of third-party technology costs of $1.0 million driven by efficiency gains from standardizing parts of our technology infrastructure and reducing our reliance on certain third-party tools.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i w:val="1"/>
          <w:iCs w:val="1"/>
          <w:color w:val="auto"/>
        </w:rPr>
        <w:t>Marketing and selling expense</w:t>
      </w:r>
    </w:p>
    <w:p>
      <w:pPr>
        <w:spacing w:after="0" w:line="194" w:lineRule="exact"/>
        <w:rPr>
          <w:sz w:val="20"/>
          <w:szCs w:val="20"/>
          <w:color w:val="auto"/>
        </w:rPr>
      </w:pPr>
    </w:p>
    <w:p>
      <w:pPr>
        <w:ind w:right="180" w:firstLine="623"/>
        <w:spacing w:after="0" w:line="268" w:lineRule="auto"/>
        <w:rPr>
          <w:sz w:val="20"/>
          <w:szCs w:val="20"/>
          <w:color w:val="auto"/>
        </w:rPr>
      </w:pPr>
      <w:r>
        <w:rPr>
          <w:rFonts w:ascii="Arial" w:cs="Arial" w:eastAsia="Arial" w:hAnsi="Arial"/>
          <w:sz w:val="17"/>
          <w:szCs w:val="17"/>
          <w:color w:val="auto"/>
        </w:rPr>
        <w:t>Marketing and selling expense primarily consists of advertising and promotional costs; payroll and related expenses for our employees engaged in marketing, sales, customer support, and public relations activities; direct-mail advertising costs; and third-party payment processing fees. Our VistaPrint, National Pen, and BuildASign businesses have higher marketing and selling costs as a percentage of revenue as compared to our PrintBrothers and The Print Group businesses due to differences in the customers that they serve.</w:t>
      </w:r>
    </w:p>
    <w:p>
      <w:pPr>
        <w:spacing w:after="0" w:line="35"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For the three months ended September 30, 2026, year-over-year marketing and selling expenses increased by $ 13.5 million partly due to the addition of $5.9 million of costs from our recently acquired businesses. In addition, the increase was driven by higher year-over-year advertising spend of $5.5 million including testing into evolving marketing channels. Despite those increases, advertising expense as a percentage of revenue declined year over year. Other cost increases included higher cash compensation costs of $1.7 million.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81" w:lineRule="exact"/>
        <w:rPr>
          <w:sz w:val="20"/>
          <w:szCs w:val="20"/>
          <w:color w:val="auto"/>
        </w:rPr>
      </w:pPr>
    </w:p>
    <w:p>
      <w:pPr>
        <w:ind w:right="180" w:firstLine="623"/>
        <w:spacing w:after="0" w:line="295" w:lineRule="auto"/>
        <w:rPr>
          <w:sz w:val="20"/>
          <w:szCs w:val="20"/>
          <w:color w:val="auto"/>
        </w:rPr>
      </w:pPr>
      <w:r>
        <w:rPr>
          <w:rFonts w:ascii="Arial" w:cs="Arial" w:eastAsia="Arial" w:hAnsi="Arial"/>
          <w:sz w:val="17"/>
          <w:szCs w:val="17"/>
          <w:color w:val="auto"/>
        </w:rPr>
        <w:t>General and administrative expense primarily consists of transaction costs, including third-party professional fees, insurance, and payroll and related expenses of employees involved in executive management, finance, legal, strategy, human resources, and procurement.</w:t>
      </w:r>
    </w:p>
    <w:p>
      <w:pPr>
        <w:spacing w:after="0" w:line="26" w:lineRule="exact"/>
        <w:rPr>
          <w:sz w:val="20"/>
          <w:szCs w:val="20"/>
          <w:color w:val="auto"/>
        </w:rPr>
      </w:pPr>
    </w:p>
    <w:p>
      <w:pPr>
        <w:ind w:right="120" w:firstLine="623"/>
        <w:spacing w:after="0" w:line="265" w:lineRule="auto"/>
        <w:rPr>
          <w:sz w:val="20"/>
          <w:szCs w:val="20"/>
          <w:color w:val="auto"/>
        </w:rPr>
      </w:pPr>
      <w:r>
        <w:rPr>
          <w:rFonts w:ascii="Arial" w:cs="Arial" w:eastAsia="Arial" w:hAnsi="Arial"/>
          <w:sz w:val="17"/>
          <w:szCs w:val="17"/>
          <w:color w:val="auto"/>
        </w:rPr>
        <w:t>For the three months ended September 30, 2026, year-over-year general and administrative expenses increased by $9.2 million primarily due to the addition of $5.7 million of costs from our recently acquired businesses. The increase was also driven by an increase in long-term incentive cash compensation costs of $2.7 million due to changes in the estimated payout for certain businesses, and increased share-based compensation costs of $1.2 million. These increases were partially offset by a benefit from the non-recurrence of a $1.9 million sales tax reserve recognized in the first quarter of fiscal year 2026.</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Consolidated Results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94"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Other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 the benefits of hedge accounting relative to the additional economic cost of trade execution and administrative burden. Based on this analysis, we execute certain currency derivative contracts that do not qualify for hedge accounting.</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income, net: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80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2025</w:t>
            </w: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on derivatives not designated as hedging instruments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608"/>
              <w:spacing w:after="0"/>
              <w:rPr>
                <w:sz w:val="20"/>
                <w:szCs w:val="20"/>
                <w:color w:val="auto"/>
              </w:rPr>
            </w:pPr>
            <w:r>
              <w:rPr>
                <w:rFonts w:ascii="Arial" w:cs="Arial" w:eastAsia="Arial" w:hAnsi="Arial"/>
                <w:sz w:val="16"/>
                <w:szCs w:val="16"/>
                <w:color w:val="auto"/>
                <w:w w:val="94"/>
              </w:rPr>
              <w:t>6,554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Currency-related losses, net</w:t>
            </w:r>
          </w:p>
        </w:tc>
        <w:tc>
          <w:tcPr>
            <w:tcW w:w="320" w:type="dxa"/>
            <w:vAlign w:val="bottom"/>
          </w:tcPr>
          <w:p>
            <w:pPr>
              <w:spacing w:after="0"/>
              <w:rPr>
                <w:sz w:val="17"/>
                <w:szCs w:val="17"/>
                <w:color w:val="auto"/>
              </w:rPr>
            </w:pPr>
          </w:p>
        </w:tc>
        <w:tc>
          <w:tcPr>
            <w:tcW w:w="1220" w:type="dxa"/>
            <w:vAlign w:val="bottom"/>
          </w:tcPr>
          <w:p>
            <w:pPr>
              <w:jc w:val="center"/>
              <w:ind w:left="588"/>
              <w:spacing w:after="0"/>
              <w:rPr>
                <w:sz w:val="20"/>
                <w:szCs w:val="20"/>
                <w:color w:val="auto"/>
              </w:rPr>
            </w:pPr>
            <w:r>
              <w:rPr>
                <w:rFonts w:ascii="Arial" w:cs="Arial" w:eastAsia="Arial" w:hAnsi="Arial"/>
                <w:sz w:val="16"/>
                <w:szCs w:val="16"/>
                <w:color w:val="auto"/>
                <w:w w:val="94"/>
              </w:rPr>
              <w:t>(2,817)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0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608"/>
              <w:spacing w:after="0"/>
              <w:rPr>
                <w:sz w:val="20"/>
                <w:szCs w:val="20"/>
                <w:color w:val="auto"/>
              </w:rPr>
            </w:pPr>
            <w:r>
              <w:rPr>
                <w:rFonts w:ascii="Arial" w:cs="Arial" w:eastAsia="Arial" w:hAnsi="Arial"/>
                <w:sz w:val="16"/>
                <w:szCs w:val="16"/>
                <w:color w:val="auto"/>
                <w:w w:val="94"/>
              </w:rPr>
              <w:t>2,212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center"/>
              <w:ind w:left="608"/>
              <w:spacing w:after="0"/>
              <w:rPr>
                <w:sz w:val="20"/>
                <w:szCs w:val="20"/>
                <w:color w:val="auto"/>
              </w:rPr>
            </w:pPr>
            <w:r>
              <w:rPr>
                <w:rFonts w:ascii="Arial" w:cs="Arial" w:eastAsia="Arial" w:hAnsi="Arial"/>
                <w:sz w:val="16"/>
                <w:szCs w:val="16"/>
                <w:color w:val="auto"/>
                <w:w w:val="94"/>
              </w:rPr>
              <w:t>5,949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120" w:firstLine="623"/>
        <w:spacing w:after="0" w:line="265" w:lineRule="auto"/>
        <w:rPr>
          <w:sz w:val="20"/>
          <w:szCs w:val="20"/>
          <w:color w:val="auto"/>
        </w:rPr>
      </w:pPr>
      <w:r>
        <w:rPr>
          <w:rFonts w:ascii="Arial" w:cs="Arial" w:eastAsia="Arial" w:hAnsi="Arial"/>
          <w:sz w:val="17"/>
          <w:szCs w:val="17"/>
          <w:color w:val="auto"/>
        </w:rPr>
        <w:t>The year-over-year changes in other income, net were primarily due to the currency exchange rate volatility impacting our derivatives that are not designated as hedging instruments, of which our Euro and GBP contracts are the most significant exposures that we economically hedge. For three months ended September 30, 2026, increases in gains on derivatives not designated as hedging instruments included $1.8 million of lower realized losses recognized during the current fiscal quarter. We expect volatility to continue in future periods, as we do not apply hedge accounting for most of our derivative currency contracts.</w:t>
      </w:r>
    </w:p>
    <w:p>
      <w:pPr>
        <w:spacing w:after="0" w:line="50"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We experience currency-related net gains and losses due to currency exchange rate volatility on our non-functional currency intercompany relationships, which we may alter from time to time.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1" w:lineRule="exact"/>
        <w:rPr>
          <w:sz w:val="20"/>
          <w:szCs w:val="20"/>
          <w:color w:val="auto"/>
        </w:rPr>
      </w:pPr>
    </w:p>
    <w:p>
      <w:pPr>
        <w:ind w:right="440" w:firstLine="623"/>
        <w:spacing w:after="0" w:line="295" w:lineRule="auto"/>
        <w:rPr>
          <w:sz w:val="20"/>
          <w:szCs w:val="20"/>
          <w:color w:val="auto"/>
        </w:rPr>
      </w:pPr>
      <w:r>
        <w:rPr>
          <w:rFonts w:ascii="Arial" w:cs="Arial" w:eastAsia="Arial" w:hAnsi="Arial"/>
          <w:sz w:val="17"/>
          <w:szCs w:val="17"/>
          <w:color w:val="auto"/>
        </w:rPr>
        <w:t>Interest expense, net primarily consists of interest on outstanding debt balances, amortization of debt issuance costs, debt discounts, interest related to finance lease obligations, accretion adjustments related to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1" w:name="page32"/>
    <w:bookmarkEnd w:id="31"/>
    <w:p>
      <w:pPr>
        <w:ind w:right="220"/>
        <w:spacing w:after="0" w:line="295" w:lineRule="auto"/>
        <w:rPr>
          <w:sz w:val="20"/>
          <w:szCs w:val="20"/>
          <w:color w:val="auto"/>
        </w:rPr>
      </w:pPr>
      <w:r>
        <w:rPr>
          <w:rFonts w:ascii="Arial" w:cs="Arial" w:eastAsia="Arial" w:hAnsi="Arial"/>
          <w:sz w:val="17"/>
          <w:szCs w:val="17"/>
          <w:color w:val="auto"/>
        </w:rPr>
        <w:t>mandatorily redeemable noncontrolling interests, and realized gains (losses) on effective interest rate swap contracts and certain cross-currency swap contracts.</w:t>
      </w:r>
    </w:p>
    <w:p>
      <w:pPr>
        <w:spacing w:after="0" w:line="13" w:lineRule="exact"/>
        <w:rPr>
          <w:sz w:val="20"/>
          <w:szCs w:val="20"/>
          <w:color w:val="auto"/>
        </w:rPr>
      </w:pPr>
    </w:p>
    <w:p>
      <w:pPr>
        <w:jc w:val="both"/>
        <w:ind w:right="20" w:firstLine="623"/>
        <w:spacing w:after="0" w:line="275" w:lineRule="auto"/>
        <w:rPr>
          <w:sz w:val="20"/>
          <w:szCs w:val="20"/>
          <w:color w:val="auto"/>
        </w:rPr>
      </w:pPr>
      <w:r>
        <w:rPr>
          <w:rFonts w:ascii="Arial" w:cs="Arial" w:eastAsia="Arial" w:hAnsi="Arial"/>
          <w:sz w:val="17"/>
          <w:szCs w:val="17"/>
          <w:color w:val="auto"/>
        </w:rPr>
        <w:t>For the three months ended September 30, 2026, the year-over-year interest expense, net decreased $1.7 million primarily due to a lower weighted-average interest rate (net of interest rate swaps) on our senior secured term loan, partly from year over year reductions in our benchmark rate, term SOFR.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8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2025</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6,623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17,838</w:t>
            </w: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i w:val="1"/>
                <w:iCs w:val="1"/>
                <w:color w:val="auto"/>
              </w:rPr>
              <w:t>Effective tax rate</w:t>
            </w: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117.6 %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73.2 %</w:t>
            </w:r>
          </w:p>
        </w:tc>
      </w:tr>
    </w:tbl>
    <w:p>
      <w:pPr>
        <w:spacing w:after="0" w:line="154" w:lineRule="exact"/>
        <w:rPr>
          <w:sz w:val="20"/>
          <w:szCs w:val="20"/>
          <w:color w:val="auto"/>
        </w:rPr>
      </w:pPr>
    </w:p>
    <w:p>
      <w:pPr>
        <w:ind w:right="540" w:firstLine="623"/>
        <w:spacing w:after="0" w:line="295" w:lineRule="auto"/>
        <w:rPr>
          <w:sz w:val="20"/>
          <w:szCs w:val="20"/>
          <w:color w:val="auto"/>
        </w:rPr>
      </w:pPr>
      <w:r>
        <w:rPr>
          <w:rFonts w:ascii="Arial" w:cs="Arial" w:eastAsia="Arial" w:hAnsi="Arial"/>
          <w:sz w:val="17"/>
          <w:szCs w:val="17"/>
          <w:color w:val="auto"/>
        </w:rPr>
        <w:t>For the three months ended September 30, 2026, income tax expense decreased compared to the prior year period primarily due to decreased income before income taxes and various immaterial discrete items in both periods.</w:t>
      </w:r>
    </w:p>
    <w:p>
      <w:pPr>
        <w:spacing w:after="0" w:line="26" w:lineRule="exact"/>
        <w:rPr>
          <w:sz w:val="20"/>
          <w:szCs w:val="20"/>
          <w:color w:val="auto"/>
        </w:rPr>
      </w:pPr>
    </w:p>
    <w:p>
      <w:pPr>
        <w:jc w:val="both"/>
        <w:ind w:right="100" w:firstLine="623"/>
        <w:spacing w:after="0" w:line="268" w:lineRule="auto"/>
        <w:rPr>
          <w:sz w:val="20"/>
          <w:szCs w:val="20"/>
          <w:color w:val="auto"/>
        </w:rPr>
      </w:pPr>
      <w:r>
        <w:rPr>
          <w:rFonts w:ascii="Arial" w:cs="Arial" w:eastAsia="Arial" w:hAnsi="Arial"/>
          <w:sz w:val="17"/>
          <w:szCs w:val="17"/>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10 in our accompanying consolidated financial statements for additional details.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 Results</w:t>
      </w:r>
    </w:p>
    <w:p>
      <w:pPr>
        <w:spacing w:after="0" w:line="196"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color w:val="auto"/>
        </w:rPr>
        <w:t>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and other adjustments; plus restructuring-related charges; less gain or loss on the purchase or sale of subsidiaries as well as the disposal of assets. The effects of currency exchange rate fluctuations impact segment EBITDA and we do not allocate to segment EBITDA any gains or losses that are realized by our currency hedging program.</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VistaPrint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Three Months Ended September 30,</w:t>
            </w:r>
          </w:p>
        </w:tc>
        <w:tc>
          <w:tcPr>
            <w:tcW w:w="1400" w:type="dxa"/>
            <w:vAlign w:val="bottom"/>
            <w:tcBorders>
              <w:bottom w:val="single" w:sz="8" w:color="auto"/>
            </w:tcBorders>
          </w:tcPr>
          <w:p>
            <w:pPr>
              <w:spacing w:after="0"/>
              <w:rPr>
                <w:sz w:val="17"/>
                <w:szCs w:val="17"/>
                <w:color w:val="auto"/>
              </w:rPr>
            </w:pPr>
          </w:p>
        </w:tc>
      </w:tr>
      <w:tr>
        <w:trPr>
          <w:trHeight w:val="161"/>
        </w:trPr>
        <w:tc>
          <w:tcPr>
            <w:tcW w:w="65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2026 vs. 2025</w:t>
            </w:r>
          </w:p>
        </w:tc>
      </w:tr>
      <w:tr>
        <w:trPr>
          <w:trHeight w:val="202"/>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464,412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454,909</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508"/>
              <w:spacing w:after="0"/>
              <w:rPr>
                <w:sz w:val="20"/>
                <w:szCs w:val="20"/>
                <w:color w:val="auto"/>
              </w:rPr>
            </w:pPr>
            <w:r>
              <w:rPr>
                <w:rFonts w:ascii="Arial" w:cs="Arial" w:eastAsia="Arial" w:hAnsi="Arial"/>
                <w:sz w:val="16"/>
                <w:szCs w:val="16"/>
                <w:color w:val="auto"/>
              </w:rPr>
              <w:t>2%</w:t>
            </w:r>
          </w:p>
        </w:tc>
      </w:tr>
      <w:tr>
        <w:trPr>
          <w:trHeight w:val="207"/>
        </w:trPr>
        <w:tc>
          <w:tcPr>
            <w:tcW w:w="656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6"/>
                <w:szCs w:val="16"/>
                <w:color w:val="auto"/>
              </w:rPr>
              <w:t>80,658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89,986</w:t>
            </w:r>
          </w:p>
        </w:tc>
        <w:tc>
          <w:tcPr>
            <w:tcW w:w="80" w:type="dxa"/>
            <w:vAlign w:val="bottom"/>
          </w:tcPr>
          <w:p>
            <w:pPr>
              <w:spacing w:after="0"/>
              <w:rPr>
                <w:sz w:val="17"/>
                <w:szCs w:val="17"/>
                <w:color w:val="auto"/>
              </w:rPr>
            </w:pPr>
          </w:p>
        </w:tc>
        <w:tc>
          <w:tcPr>
            <w:tcW w:w="1400" w:type="dxa"/>
            <w:vAlign w:val="bottom"/>
          </w:tcPr>
          <w:p>
            <w:pPr>
              <w:jc w:val="right"/>
              <w:ind w:right="408"/>
              <w:spacing w:after="0"/>
              <w:rPr>
                <w:sz w:val="20"/>
                <w:szCs w:val="20"/>
                <w:color w:val="auto"/>
              </w:rPr>
            </w:pPr>
            <w:r>
              <w:rPr>
                <w:rFonts w:ascii="Arial" w:cs="Arial" w:eastAsia="Arial" w:hAnsi="Arial"/>
                <w:sz w:val="16"/>
                <w:szCs w:val="16"/>
                <w:color w:val="auto"/>
              </w:rPr>
              <w:t>(10)%</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VistaPrint's reported and constant-currency revenue growth for the three months ended September 30, 2026 was 2%. For the three months ended September 30, 2026, VistaPrint growth was strongest in elevated products, including promotional products, apparel and gifts, marketing materials and packaging. Partially offsetting these areas of growth was an increase in backlog at the end of the quarter that was influenced by a U.S. customs software disruption and a 2% decline in certain legacy products that include business cards and stationery. Additionally, we amended the terms of our Wix partnership, requiring a change of the revenue recognition from a gross to net basis, which weighed on VistaPrint's revenue growth by 50 basis points, but has no impact on profit.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81" w:lineRule="exact"/>
        <w:rPr>
          <w:sz w:val="20"/>
          <w:szCs w:val="20"/>
          <w:color w:val="auto"/>
        </w:rPr>
      </w:pPr>
    </w:p>
    <w:p>
      <w:pPr>
        <w:ind w:right="200" w:firstLine="623"/>
        <w:spacing w:after="0" w:line="268" w:lineRule="auto"/>
        <w:rPr>
          <w:sz w:val="20"/>
          <w:szCs w:val="20"/>
          <w:color w:val="auto"/>
        </w:rPr>
      </w:pPr>
      <w:r>
        <w:rPr>
          <w:rFonts w:ascii="Arial" w:cs="Arial" w:eastAsia="Arial" w:hAnsi="Arial"/>
          <w:sz w:val="17"/>
          <w:szCs w:val="17"/>
          <w:color w:val="auto"/>
        </w:rPr>
        <w:t>VistaPrint segment EBITDA decreased by $9.3 million for the three months ended September 30, 2026, driven primarily by a gross profit decline, which included $5.1 million of increased planned investment in our North American manufacturing operations, $3.0 million of higher Canadian duty and tariff costs, and $0.7 million in energy-related cost increases, net of pricing changes. Additionally, performance advertising spend increased by $8.0 million which was driven in part by testing into evolving marketing channels. These decreases were partially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32" w:name="page33"/>
    <w:bookmarkEnd w:id="32"/>
    <w:p>
      <w:pPr>
        <w:ind w:right="460"/>
        <w:spacing w:after="0" w:line="295" w:lineRule="auto"/>
        <w:rPr>
          <w:sz w:val="20"/>
          <w:szCs w:val="20"/>
          <w:color w:val="auto"/>
        </w:rPr>
      </w:pPr>
      <w:r>
        <w:rPr>
          <w:rFonts w:ascii="Arial" w:cs="Arial" w:eastAsia="Arial" w:hAnsi="Arial"/>
          <w:sz w:val="17"/>
          <w:szCs w:val="17"/>
          <w:color w:val="auto"/>
        </w:rPr>
        <w:t>offset by $ 4.2 million in lower operating expenses due in part to cost reduction actions taken over the past year. Foreign currency fluctuations negatively impacted segment EBITDA by $0.5 million year over year.</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PrintBrothers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4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400" w:type="dxa"/>
            <w:vAlign w:val="bottom"/>
          </w:tcPr>
          <w:p>
            <w:pPr>
              <w:spacing w:after="0"/>
              <w:rPr>
                <w:sz w:val="17"/>
                <w:szCs w:val="17"/>
                <w:color w:val="auto"/>
              </w:rPr>
            </w:pPr>
          </w:p>
        </w:tc>
      </w:tr>
      <w:tr>
        <w:trPr>
          <w:trHeight w:val="161"/>
        </w:trPr>
        <w:tc>
          <w:tcPr>
            <w:tcW w:w="65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2"/>
                <w:szCs w:val="12"/>
                <w:b w:val="1"/>
                <w:bCs w:val="1"/>
                <w:color w:val="auto"/>
              </w:rPr>
              <w:t>2026 vs. 2025</w:t>
            </w:r>
          </w:p>
        </w:tc>
      </w:tr>
      <w:tr>
        <w:trPr>
          <w:trHeight w:val="20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235,919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184,711</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68"/>
              <w:spacing w:after="0"/>
              <w:rPr>
                <w:sz w:val="20"/>
                <w:szCs w:val="20"/>
                <w:color w:val="auto"/>
              </w:rPr>
            </w:pPr>
            <w:r>
              <w:rPr>
                <w:rFonts w:ascii="Arial" w:cs="Arial" w:eastAsia="Arial" w:hAnsi="Arial"/>
                <w:sz w:val="16"/>
                <w:szCs w:val="16"/>
                <w:color w:val="auto"/>
              </w:rPr>
              <w:t>28%</w:t>
            </w:r>
          </w:p>
        </w:tc>
      </w:tr>
      <w:tr>
        <w:trPr>
          <w:trHeight w:val="207"/>
        </w:trPr>
        <w:tc>
          <w:tcPr>
            <w:tcW w:w="658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24,317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25,739</w:t>
            </w:r>
          </w:p>
        </w:tc>
        <w:tc>
          <w:tcPr>
            <w:tcW w:w="80" w:type="dxa"/>
            <w:vAlign w:val="bottom"/>
          </w:tcPr>
          <w:p>
            <w:pPr>
              <w:spacing w:after="0"/>
              <w:rPr>
                <w:sz w:val="17"/>
                <w:szCs w:val="17"/>
                <w:color w:val="auto"/>
              </w:rPr>
            </w:pPr>
          </w:p>
        </w:tc>
        <w:tc>
          <w:tcPr>
            <w:tcW w:w="1400" w:type="dxa"/>
            <w:vAlign w:val="bottom"/>
          </w:tcPr>
          <w:p>
            <w:pPr>
              <w:jc w:val="right"/>
              <w:ind w:right="468"/>
              <w:spacing w:after="0"/>
              <w:rPr>
                <w:sz w:val="20"/>
                <w:szCs w:val="20"/>
                <w:color w:val="auto"/>
              </w:rPr>
            </w:pPr>
            <w:r>
              <w:rPr>
                <w:rFonts w:ascii="Arial" w:cs="Arial" w:eastAsia="Arial" w:hAnsi="Arial"/>
                <w:sz w:val="16"/>
                <w:szCs w:val="16"/>
                <w:color w:val="auto"/>
              </w:rPr>
              <w:t>(6)%</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14 %</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jc w:val="both"/>
        <w:ind w:right="140" w:firstLine="623"/>
        <w:spacing w:after="0" w:line="275" w:lineRule="auto"/>
        <w:rPr>
          <w:sz w:val="20"/>
          <w:szCs w:val="20"/>
          <w:color w:val="auto"/>
        </w:rPr>
      </w:pPr>
      <w:r>
        <w:rPr>
          <w:rFonts w:ascii="Arial" w:cs="Arial" w:eastAsia="Arial" w:hAnsi="Arial"/>
          <w:sz w:val="17"/>
          <w:szCs w:val="17"/>
          <w:color w:val="auto"/>
        </w:rPr>
        <w:t>PrintBrothers' reported revenue growth for the three months ended September 30, 2026 was positively affected by tuck-in acquisitions by 25%, partially offset by negative currency exchange rate fluctuation of 2%, resulting in organic constant-currency revenue growth of 5%. Organic constant-currency revenue growth was driven primarily by order volume growth in our largest business within the segment.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81" w:lineRule="exact"/>
        <w:rPr>
          <w:sz w:val="20"/>
          <w:szCs w:val="20"/>
          <w:color w:val="auto"/>
        </w:rPr>
      </w:pPr>
    </w:p>
    <w:p>
      <w:pPr>
        <w:ind w:right="200" w:firstLine="623"/>
        <w:spacing w:after="0" w:line="265" w:lineRule="auto"/>
        <w:rPr>
          <w:sz w:val="20"/>
          <w:szCs w:val="20"/>
          <w:color w:val="auto"/>
        </w:rPr>
      </w:pPr>
      <w:r>
        <w:rPr>
          <w:rFonts w:ascii="Arial" w:cs="Arial" w:eastAsia="Arial" w:hAnsi="Arial"/>
          <w:sz w:val="17"/>
          <w:szCs w:val="17"/>
          <w:color w:val="auto"/>
        </w:rPr>
        <w:t>PrintBrothers segment EBITDA decreased by $1.4 million for the three months ended September 30, 2026, driven by a $3.2 million increase in variable long-term incentive compensation expense due in part to an expense catch-up for a long-term incentive program based on a change in probability of achievement. Currency exchange rate fluctuations had a negative $0.4 million impact year over year. These items were partially offset by $2.7 million in EBITDA contributions from recent tuck-in acquisitions (net of transaction-related costs), and organic gross profit growth driven by the revenue growth described above.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Print Group</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Three Months Ended September 30,</w:t>
            </w:r>
          </w:p>
        </w:tc>
        <w:tc>
          <w:tcPr>
            <w:tcW w:w="1400" w:type="dxa"/>
            <w:vAlign w:val="bottom"/>
            <w:tcBorders>
              <w:bottom w:val="single" w:sz="8" w:color="auto"/>
            </w:tcBorders>
          </w:tcPr>
          <w:p>
            <w:pPr>
              <w:spacing w:after="0"/>
              <w:rPr>
                <w:sz w:val="17"/>
                <w:szCs w:val="17"/>
                <w:color w:val="auto"/>
              </w:rPr>
            </w:pPr>
          </w:p>
        </w:tc>
      </w:tr>
      <w:tr>
        <w:trPr>
          <w:trHeight w:val="161"/>
        </w:trPr>
        <w:tc>
          <w:tcPr>
            <w:tcW w:w="65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2026 vs. 2025</w:t>
            </w:r>
          </w:p>
        </w:tc>
      </w:tr>
      <w:tr>
        <w:trPr>
          <w:trHeight w:val="20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109,274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96,710</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68"/>
              <w:spacing w:after="0"/>
              <w:rPr>
                <w:sz w:val="20"/>
                <w:szCs w:val="20"/>
                <w:color w:val="auto"/>
              </w:rPr>
            </w:pPr>
            <w:r>
              <w:rPr>
                <w:rFonts w:ascii="Arial" w:cs="Arial" w:eastAsia="Arial" w:hAnsi="Arial"/>
                <w:sz w:val="16"/>
                <w:szCs w:val="16"/>
                <w:color w:val="auto"/>
              </w:rPr>
              <w:t>13%</w:t>
            </w:r>
          </w:p>
        </w:tc>
      </w:tr>
      <w:tr>
        <w:trPr>
          <w:trHeight w:val="207"/>
        </w:trPr>
        <w:tc>
          <w:tcPr>
            <w:tcW w:w="658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40" w:type="dxa"/>
            <w:vAlign w:val="bottom"/>
          </w:tcPr>
          <w:p>
            <w:pPr>
              <w:spacing w:after="0"/>
              <w:rPr>
                <w:sz w:val="17"/>
                <w:szCs w:val="17"/>
                <w:color w:val="auto"/>
              </w:rPr>
            </w:pPr>
          </w:p>
        </w:tc>
        <w:tc>
          <w:tcPr>
            <w:tcW w:w="1200" w:type="dxa"/>
            <w:vAlign w:val="bottom"/>
          </w:tcPr>
          <w:p>
            <w:pPr>
              <w:jc w:val="right"/>
              <w:ind w:right="129"/>
              <w:spacing w:after="0"/>
              <w:rPr>
                <w:sz w:val="20"/>
                <w:szCs w:val="20"/>
                <w:color w:val="auto"/>
              </w:rPr>
            </w:pPr>
            <w:r>
              <w:rPr>
                <w:rFonts w:ascii="Arial" w:cs="Arial" w:eastAsia="Arial" w:hAnsi="Arial"/>
                <w:sz w:val="16"/>
                <w:szCs w:val="16"/>
                <w:color w:val="auto"/>
              </w:rPr>
              <w:t>18,074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18,671</w:t>
            </w:r>
          </w:p>
        </w:tc>
        <w:tc>
          <w:tcPr>
            <w:tcW w:w="80" w:type="dxa"/>
            <w:vAlign w:val="bottom"/>
          </w:tcPr>
          <w:p>
            <w:pPr>
              <w:spacing w:after="0"/>
              <w:rPr>
                <w:sz w:val="17"/>
                <w:szCs w:val="17"/>
                <w:color w:val="auto"/>
              </w:rPr>
            </w:pPr>
          </w:p>
        </w:tc>
        <w:tc>
          <w:tcPr>
            <w:tcW w:w="1400" w:type="dxa"/>
            <w:vAlign w:val="bottom"/>
          </w:tcPr>
          <w:p>
            <w:pPr>
              <w:jc w:val="right"/>
              <w:ind w:right="468"/>
              <w:spacing w:after="0"/>
              <w:rPr>
                <w:sz w:val="20"/>
                <w:szCs w:val="20"/>
                <w:color w:val="auto"/>
              </w:rPr>
            </w:pPr>
            <w:r>
              <w:rPr>
                <w:rFonts w:ascii="Arial" w:cs="Arial" w:eastAsia="Arial" w:hAnsi="Arial"/>
                <w:sz w:val="16"/>
                <w:szCs w:val="16"/>
                <w:color w:val="auto"/>
              </w:rPr>
              <w:t>(3)%</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81"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The Print Group's reported revenue growth for the three months ended September 30, 2026 was positively affected by a tuck-in acquisition by 13%, partially offset by negative currency exchange rate fluctuation of 2%, resulting in constant-currency revenue growth of 2%. Organic constant-currency revenue growth was driven by increased fulfillment for other Cimpress businesses as we continue to optimize our manufacturing plant network and ramp volumes at our newer North American facility. External revenue remained relatively flat year over year, as we continue to experience a shift to lower overall order values in certain product categories, as well as continued declines in sales to reseller customers, offset by continued growth in sales to end customers.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jc w:val="both"/>
        <w:ind w:right="60" w:firstLine="623"/>
        <w:spacing w:after="0" w:line="268" w:lineRule="auto"/>
        <w:rPr>
          <w:sz w:val="20"/>
          <w:szCs w:val="20"/>
          <w:color w:val="auto"/>
        </w:rPr>
      </w:pPr>
      <w:r>
        <w:rPr>
          <w:rFonts w:ascii="Arial" w:cs="Arial" w:eastAsia="Arial" w:hAnsi="Arial"/>
          <w:sz w:val="17"/>
          <w:szCs w:val="17"/>
          <w:color w:val="auto"/>
        </w:rPr>
        <w:t>The Print Group segment EBITDA decreased by $0.6 million for the three months ended September 30, 2026, driven by an organic gross profit decline, which included $0.5 million of energy-related input and shipping cost increases. Currency exchange rate fluctuations had a negative $0.3 million impact year over year. These items were partially offset by a $0.6 million EBITDA contribution from a recent acquisition, and increased cross-Cimpress fulfillment.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National Pen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Three Months Ended September 30,</w:t>
            </w:r>
          </w:p>
        </w:tc>
        <w:tc>
          <w:tcPr>
            <w:tcW w:w="1400" w:type="dxa"/>
            <w:vAlign w:val="bottom"/>
            <w:tcBorders>
              <w:bottom w:val="single" w:sz="8" w:color="auto"/>
            </w:tcBorders>
          </w:tcPr>
          <w:p>
            <w:pPr>
              <w:spacing w:after="0"/>
              <w:rPr>
                <w:sz w:val="17"/>
                <w:szCs w:val="17"/>
                <w:color w:val="auto"/>
              </w:rPr>
            </w:pPr>
          </w:p>
        </w:tc>
      </w:tr>
      <w:tr>
        <w:trPr>
          <w:trHeight w:val="161"/>
        </w:trPr>
        <w:tc>
          <w:tcPr>
            <w:tcW w:w="65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2026 vs. 2025</w:t>
            </w:r>
          </w:p>
        </w:tc>
      </w:tr>
      <w:tr>
        <w:trPr>
          <w:trHeight w:val="20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104,365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103,209</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508"/>
              <w:spacing w:after="0"/>
              <w:rPr>
                <w:sz w:val="20"/>
                <w:szCs w:val="20"/>
                <w:color w:val="auto"/>
              </w:rPr>
            </w:pPr>
            <w:r>
              <w:rPr>
                <w:rFonts w:ascii="Arial" w:cs="Arial" w:eastAsia="Arial" w:hAnsi="Arial"/>
                <w:sz w:val="16"/>
                <w:szCs w:val="16"/>
                <w:color w:val="auto"/>
              </w:rPr>
              <w:t>1%</w:t>
            </w:r>
          </w:p>
        </w:tc>
      </w:tr>
      <w:tr>
        <w:trPr>
          <w:trHeight w:val="207"/>
        </w:trPr>
        <w:tc>
          <w:tcPr>
            <w:tcW w:w="658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40" w:type="dxa"/>
            <w:vAlign w:val="bottom"/>
          </w:tcPr>
          <w:p>
            <w:pPr>
              <w:spacing w:after="0"/>
              <w:rPr>
                <w:sz w:val="17"/>
                <w:szCs w:val="17"/>
                <w:color w:val="auto"/>
              </w:rPr>
            </w:pPr>
          </w:p>
        </w:tc>
        <w:tc>
          <w:tcPr>
            <w:tcW w:w="1200" w:type="dxa"/>
            <w:vAlign w:val="bottom"/>
          </w:tcPr>
          <w:p>
            <w:pPr>
              <w:jc w:val="right"/>
              <w:ind w:right="129"/>
              <w:spacing w:after="0"/>
              <w:rPr>
                <w:sz w:val="20"/>
                <w:szCs w:val="20"/>
                <w:color w:val="auto"/>
              </w:rPr>
            </w:pPr>
            <w:r>
              <w:rPr>
                <w:rFonts w:ascii="Arial" w:cs="Arial" w:eastAsia="Arial" w:hAnsi="Arial"/>
                <w:sz w:val="16"/>
                <w:szCs w:val="16"/>
                <w:color w:val="auto"/>
              </w:rPr>
              <w:t>5,372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86"/>
              <w:spacing w:after="0"/>
              <w:rPr>
                <w:sz w:val="20"/>
                <w:szCs w:val="20"/>
                <w:color w:val="auto"/>
              </w:rPr>
            </w:pPr>
            <w:r>
              <w:rPr>
                <w:rFonts w:ascii="Arial" w:cs="Arial" w:eastAsia="Arial" w:hAnsi="Arial"/>
                <w:sz w:val="16"/>
                <w:szCs w:val="16"/>
                <w:color w:val="auto"/>
              </w:rPr>
              <w:t>(2,392)</w:t>
            </w:r>
          </w:p>
        </w:tc>
        <w:tc>
          <w:tcPr>
            <w:tcW w:w="80" w:type="dxa"/>
            <w:vAlign w:val="bottom"/>
          </w:tcPr>
          <w:p>
            <w:pPr>
              <w:spacing w:after="0"/>
              <w:rPr>
                <w:sz w:val="17"/>
                <w:szCs w:val="17"/>
                <w:color w:val="auto"/>
              </w:rPr>
            </w:pPr>
          </w:p>
        </w:tc>
        <w:tc>
          <w:tcPr>
            <w:tcW w:w="1400" w:type="dxa"/>
            <w:vAlign w:val="bottom"/>
          </w:tcPr>
          <w:p>
            <w:pPr>
              <w:jc w:val="right"/>
              <w:ind w:right="428"/>
              <w:spacing w:after="0"/>
              <w:rPr>
                <w:sz w:val="20"/>
                <w:szCs w:val="20"/>
                <w:color w:val="auto"/>
              </w:rPr>
            </w:pPr>
            <w:r>
              <w:rPr>
                <w:rFonts w:ascii="Arial" w:cs="Arial" w:eastAsia="Arial" w:hAnsi="Arial"/>
                <w:sz w:val="16"/>
                <w:szCs w:val="16"/>
                <w:color w:val="auto"/>
              </w:rPr>
              <w:t>325%</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81"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National Pen's reported revenue growth for the three months ended September 30, 2026 was negatively impacted by currency exchange rate fluctuation of 1%, resulting in constant-currency revenue growth of 2%, driven by an increase in fulfillment for other Cimpress businesses. External revenue was relatively flat year over year, as growth within the e-commerce channel was offset by the decline associated with a planned reduction in marketing spend.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National Pen's segment EBITDA increased $7.8 million for the three months ended September 30, 2026, and benefited from $7.3 million of U.S. tariff refunds. Currency exchange rate fluctuations had a negative $0.3 million impact year over year. Segment EBITDA growth was supported by lower advertising spend of $ 3.0 million, partially offset by a residual gross profit decline of $2.6 million, excluding tariff refunds, driven by increased energy-related input costs and tariff costs.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Businesses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segment includes BuildASign, Printi, and new channels that we are developing, including our strategic partnership with Canva.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Three Months Ended September 30,</w:t>
            </w:r>
          </w:p>
        </w:tc>
        <w:tc>
          <w:tcPr>
            <w:tcW w:w="1400" w:type="dxa"/>
            <w:vAlign w:val="bottom"/>
            <w:tcBorders>
              <w:bottom w:val="single" w:sz="8" w:color="auto"/>
            </w:tcBorders>
          </w:tcPr>
          <w:p>
            <w:pPr>
              <w:spacing w:after="0"/>
              <w:rPr>
                <w:sz w:val="17"/>
                <w:szCs w:val="17"/>
                <w:color w:val="auto"/>
              </w:rPr>
            </w:pPr>
          </w:p>
        </w:tc>
      </w:tr>
      <w:tr>
        <w:trPr>
          <w:trHeight w:val="161"/>
        </w:trPr>
        <w:tc>
          <w:tcPr>
            <w:tcW w:w="65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2026 vs. 2025</w:t>
            </w: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72,492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61,742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68"/>
              <w:spacing w:after="0"/>
              <w:rPr>
                <w:sz w:val="20"/>
                <w:szCs w:val="20"/>
                <w:color w:val="auto"/>
              </w:rPr>
            </w:pPr>
            <w:r>
              <w:rPr>
                <w:rFonts w:ascii="Arial" w:cs="Arial" w:eastAsia="Arial" w:hAnsi="Arial"/>
                <w:sz w:val="16"/>
                <w:szCs w:val="16"/>
                <w:color w:val="auto"/>
              </w:rPr>
              <w:t>17%</w:t>
            </w:r>
          </w:p>
        </w:tc>
      </w:tr>
      <w:tr>
        <w:trPr>
          <w:trHeight w:val="207"/>
        </w:trPr>
        <w:tc>
          <w:tcPr>
            <w:tcW w:w="6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7"/>
                <w:szCs w:val="17"/>
                <w:color w:val="auto"/>
              </w:rPr>
            </w:pPr>
          </w:p>
        </w:tc>
        <w:tc>
          <w:tcPr>
            <w:tcW w:w="1200" w:type="dxa"/>
            <w:vAlign w:val="bottom"/>
          </w:tcPr>
          <w:p>
            <w:pPr>
              <w:jc w:val="right"/>
              <w:ind w:right="129"/>
              <w:spacing w:after="0"/>
              <w:rPr>
                <w:sz w:val="20"/>
                <w:szCs w:val="20"/>
                <w:color w:val="auto"/>
              </w:rPr>
            </w:pPr>
            <w:r>
              <w:rPr>
                <w:rFonts w:ascii="Arial" w:cs="Arial" w:eastAsia="Arial" w:hAnsi="Arial"/>
                <w:sz w:val="16"/>
                <w:szCs w:val="16"/>
                <w:color w:val="auto"/>
              </w:rPr>
              <w:t>5,427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9,080</w:t>
            </w:r>
          </w:p>
        </w:tc>
        <w:tc>
          <w:tcPr>
            <w:tcW w:w="100" w:type="dxa"/>
            <w:vAlign w:val="bottom"/>
          </w:tcPr>
          <w:p>
            <w:pPr>
              <w:spacing w:after="0"/>
              <w:rPr>
                <w:sz w:val="17"/>
                <w:szCs w:val="17"/>
                <w:color w:val="auto"/>
              </w:rPr>
            </w:pPr>
          </w:p>
        </w:tc>
        <w:tc>
          <w:tcPr>
            <w:tcW w:w="1400" w:type="dxa"/>
            <w:vAlign w:val="bottom"/>
          </w:tcPr>
          <w:p>
            <w:pPr>
              <w:jc w:val="right"/>
              <w:ind w:right="408"/>
              <w:spacing w:after="0"/>
              <w:rPr>
                <w:sz w:val="20"/>
                <w:szCs w:val="20"/>
                <w:color w:val="auto"/>
              </w:rPr>
            </w:pPr>
            <w:r>
              <w:rPr>
                <w:rFonts w:ascii="Arial" w:cs="Arial" w:eastAsia="Arial" w:hAnsi="Arial"/>
                <w:sz w:val="16"/>
                <w:szCs w:val="16"/>
                <w:color w:val="auto"/>
              </w:rPr>
              <w:t>(40)%</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81" w:lineRule="exact"/>
        <w:rPr>
          <w:sz w:val="20"/>
          <w:szCs w:val="20"/>
          <w:color w:val="auto"/>
        </w:rPr>
      </w:pPr>
    </w:p>
    <w:p>
      <w:pPr>
        <w:ind w:right="120" w:firstLine="623"/>
        <w:spacing w:after="0" w:line="268" w:lineRule="auto"/>
        <w:rPr>
          <w:sz w:val="20"/>
          <w:szCs w:val="20"/>
          <w:color w:val="auto"/>
        </w:rPr>
      </w:pPr>
      <w:r>
        <w:rPr>
          <w:rFonts w:ascii="Arial" w:cs="Arial" w:eastAsia="Arial" w:hAnsi="Arial"/>
          <w:sz w:val="17"/>
          <w:szCs w:val="17"/>
          <w:color w:val="auto"/>
        </w:rPr>
        <w:t>All Other Businesses' reported and constant-currency revenue growth for the three months ended September 30, 2026 was 17%. BuildASign, the largest business in this segment, delivered strong growth from fulfillment for other Cimpress businesses, as well as growth across home decor, signage and packaging categories. In addition, our new strategic partnership with Canva drove incremental revenue growth this quarter.</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81" w:lineRule="exact"/>
        <w:rPr>
          <w:sz w:val="20"/>
          <w:szCs w:val="20"/>
          <w:color w:val="auto"/>
        </w:rPr>
      </w:pPr>
    </w:p>
    <w:p>
      <w:pPr>
        <w:jc w:val="both"/>
        <w:ind w:right="300" w:firstLine="623"/>
        <w:spacing w:after="0" w:line="265" w:lineRule="auto"/>
        <w:rPr>
          <w:sz w:val="20"/>
          <w:szCs w:val="20"/>
          <w:color w:val="auto"/>
        </w:rPr>
      </w:pPr>
      <w:r>
        <w:rPr>
          <w:rFonts w:ascii="Arial" w:cs="Arial" w:eastAsia="Arial" w:hAnsi="Arial"/>
          <w:sz w:val="17"/>
          <w:szCs w:val="17"/>
          <w:color w:val="auto"/>
        </w:rPr>
        <w:t>For the three months ended September 30, 2026, segment EBITDA decreased $3.7 million, largely driven by higher variable long-term incentive compensation expense of $1.4 million due to the non-recurrence of a benefit in the prior-year period, and $0.7 million of net increased start-up costs from the expansion of our North American production network. Segment EBITDA was also impacted by $0.9 million of additional tariff costs on certain goods sold to U.S. customers, partially offset by a $0.2 million benefit from IEEPA tariff refunds related to costs previously incurred. Partially offsetting the segment EBITDA decline was EBITDA contributions from our new strategic partnership with Canva.</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Central and Corporate Costs</w:t>
      </w:r>
    </w:p>
    <w:p>
      <w:pPr>
        <w:spacing w:after="0" w:line="196"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Central and corporate costs primarily consist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our corporate functions, including tax, treasury, internal audit, legal,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4" w:name="page35"/>
    <w:bookmarkEnd w:id="34"/>
    <w:p>
      <w:pPr>
        <w:ind w:right="100"/>
        <w:spacing w:after="0" w:line="295" w:lineRule="auto"/>
        <w:rPr>
          <w:sz w:val="20"/>
          <w:szCs w:val="20"/>
          <w:color w:val="auto"/>
        </w:rPr>
      </w:pPr>
      <w:r>
        <w:rPr>
          <w:rFonts w:ascii="Arial" w:cs="Arial" w:eastAsia="Arial" w:hAnsi="Arial"/>
          <w:sz w:val="17"/>
          <w:szCs w:val="17"/>
          <w:color w:val="auto"/>
        </w:rPr>
        <w:t>sustainability, real estate, corporate communications, consolidated reporting and compliance, investor relations, and the functions of our CEO and CFO. These costs also include certain unallocated share-based compensation costs.</w:t>
      </w:r>
    </w:p>
    <w:p>
      <w:pPr>
        <w:spacing w:after="0" w:line="104" w:lineRule="exact"/>
        <w:rPr>
          <w:sz w:val="20"/>
          <w:szCs w:val="20"/>
          <w:color w:val="auto"/>
        </w:rPr>
      </w:pPr>
    </w:p>
    <w:p>
      <w:pPr>
        <w:ind w:right="140" w:firstLine="623"/>
        <w:spacing w:after="0" w:line="268" w:lineRule="auto"/>
        <w:rPr>
          <w:sz w:val="20"/>
          <w:szCs w:val="20"/>
          <w:color w:val="auto"/>
        </w:rPr>
      </w:pPr>
      <w:r>
        <w:rPr>
          <w:rFonts w:ascii="Arial" w:cs="Arial" w:eastAsia="Arial" w:hAnsi="Arial"/>
          <w:sz w:val="17"/>
          <w:szCs w:val="17"/>
          <w:color w:val="auto"/>
        </w:rPr>
        <w:t>During the three months ended September 30, 2026, year-over-year central and corporate costs decreased by $1.0 million, primarily due to a decrease in third-party technology costs of $2.3 million that was influenced by efficiency gains in our platform infrastructure, partially offset by higher unallocated share-based compensation expense of $0.8 million, driven by fluctuations in the attainment levels year over year associated with the performance conditions of our performance share units.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Cash Flows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80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2025</w:t>
            </w: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center"/>
              <w:ind w:left="486"/>
              <w:spacing w:after="0"/>
              <w:rPr>
                <w:sz w:val="20"/>
                <w:szCs w:val="20"/>
                <w:color w:val="auto"/>
              </w:rPr>
            </w:pPr>
            <w:r>
              <w:rPr>
                <w:rFonts w:ascii="Arial" w:cs="Arial" w:eastAsia="Arial" w:hAnsi="Arial"/>
                <w:sz w:val="16"/>
                <w:szCs w:val="16"/>
                <w:color w:val="auto"/>
                <w:w w:val="98"/>
              </w:rPr>
              <w:t>25,059</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(169,119)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left="466"/>
              <w:spacing w:after="0"/>
              <w:rPr>
                <w:sz w:val="20"/>
                <w:szCs w:val="20"/>
                <w:color w:val="auto"/>
              </w:rPr>
            </w:pPr>
            <w:r>
              <w:rPr>
                <w:rFonts w:ascii="Arial" w:cs="Arial" w:eastAsia="Arial" w:hAnsi="Arial"/>
                <w:sz w:val="16"/>
                <w:szCs w:val="16"/>
                <w:color w:val="auto"/>
                <w:w w:val="97"/>
              </w:rPr>
              <w:t>(42,818)</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466"/>
              <w:spacing w:after="0"/>
              <w:rPr>
                <w:sz w:val="20"/>
                <w:szCs w:val="20"/>
                <w:color w:val="auto"/>
              </w:rPr>
            </w:pPr>
            <w:r>
              <w:rPr>
                <w:rFonts w:ascii="Arial" w:cs="Arial" w:eastAsia="Arial" w:hAnsi="Arial"/>
                <w:sz w:val="16"/>
                <w:szCs w:val="16"/>
                <w:color w:val="auto"/>
                <w:w w:val="97"/>
              </w:rPr>
              <w:t>(14,656)</w:t>
            </w:r>
          </w:p>
        </w:tc>
      </w:tr>
    </w:tbl>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cash flows during the three months ended September 30, 2026 related primarily to the following items: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inflows:</w:t>
      </w:r>
    </w:p>
    <w:p>
      <w:pPr>
        <w:spacing w:after="0" w:line="103" w:lineRule="exact"/>
        <w:rPr>
          <w:sz w:val="20"/>
          <w:szCs w:val="20"/>
          <w:color w:val="auto"/>
        </w:rPr>
      </w:pPr>
    </w:p>
    <w:p>
      <w:pPr>
        <w:ind w:left="620" w:right="180" w:hanging="305"/>
        <w:spacing w:after="0" w:line="27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Adjustments for non-cash items of $53.6 million primarily related to adjustments for depreciation and amortization of $44.3 million, and share-based compensation costs of $16.1 million, offset in part by deferred taxes of $3.7 million and unrealized currency-related gains of $2.8 million.</w:t>
      </w:r>
    </w:p>
    <w:p>
      <w:pPr>
        <w:spacing w:after="0" w:line="28" w:lineRule="exact"/>
        <w:rPr>
          <w:rFonts w:ascii="Arial" w:cs="Arial" w:eastAsia="Arial" w:hAnsi="Arial"/>
          <w:sz w:val="17"/>
          <w:szCs w:val="17"/>
          <w:color w:val="auto"/>
        </w:rPr>
      </w:pPr>
    </w:p>
    <w:p>
      <w:pPr>
        <w:ind w:left="620" w:right="760" w:hanging="305"/>
        <w:spacing w:after="0" w:line="29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proceeds from borrowings of debt of $31.3 million, including borrowings on the revolving credit facility, offset by our term loan amortization payments. Refer to Note 9 in the accompanying consolidated financial statements for additional details.</w:t>
      </w:r>
    </w:p>
    <w:p>
      <w:pPr>
        <w:spacing w:after="0" w:line="25" w:lineRule="exact"/>
        <w:rPr>
          <w:rFonts w:ascii="Arial" w:cs="Arial" w:eastAsia="Arial" w:hAnsi="Arial"/>
          <w:sz w:val="17"/>
          <w:szCs w:val="17"/>
          <w:color w:val="auto"/>
        </w:rPr>
      </w:pPr>
    </w:p>
    <w:p>
      <w:pPr>
        <w:ind w:left="620" w:right="420" w:hanging="305"/>
        <w:spacing w:after="0" w:line="29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Proceeds from the sale of assets of $1.1 million, primarily related to the sale and replacement of smaller production equipment assets across several businesses.</w:t>
      </w:r>
    </w:p>
    <w:p>
      <w:pPr>
        <w:spacing w:after="0" w:line="25"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Proceeds from the settlement of derivatives designated as hedging instruments of $0.6 million.</w:t>
      </w:r>
    </w:p>
    <w:p>
      <w:pPr>
        <w:spacing w:after="0" w:line="90"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Proceeds from the exercise of options of $0.2 million.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outflows:</w:t>
      </w:r>
    </w:p>
    <w:p>
      <w:pPr>
        <w:spacing w:after="0" w:line="103" w:lineRule="exact"/>
        <w:rPr>
          <w:sz w:val="20"/>
          <w:szCs w:val="20"/>
          <w:color w:val="auto"/>
        </w:rPr>
      </w:pPr>
    </w:p>
    <w:p>
      <w:pPr>
        <w:ind w:left="620" w:right="380" w:hanging="305"/>
        <w:spacing w:after="0" w:line="29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Business acquisitions, net of cash acquired of $131.6 million, which related to a tuck-in acquisition that is included in our PrintBrothers reportable segment. Refer to Note 6 in the accompanying consolidated financial statements for additional details.</w:t>
      </w:r>
    </w:p>
    <w:p>
      <w:pPr>
        <w:spacing w:after="0" w:line="12" w:lineRule="exact"/>
        <w:rPr>
          <w:rFonts w:ascii="Arial" w:cs="Arial" w:eastAsia="Arial" w:hAnsi="Arial"/>
          <w:sz w:val="17"/>
          <w:szCs w:val="17"/>
          <w:color w:val="auto"/>
        </w:rPr>
      </w:pPr>
    </w:p>
    <w:p>
      <w:pPr>
        <w:ind w:left="620" w:right="20" w:hanging="305"/>
        <w:spacing w:after="0" w:line="27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working capital outflows of $23.7 million, primarily due to increases in inventory levels in preparation for our peak season in the second quarter, as well as higher receivables driven by typical volume increases in September, offset in part by a net increase in current liabilities due to timing.</w:t>
      </w:r>
    </w:p>
    <w:p>
      <w:pPr>
        <w:spacing w:after="0" w:line="41" w:lineRule="exact"/>
        <w:rPr>
          <w:rFonts w:ascii="Arial" w:cs="Arial" w:eastAsia="Arial" w:hAnsi="Arial"/>
          <w:sz w:val="17"/>
          <w:szCs w:val="17"/>
          <w:color w:val="auto"/>
        </w:rPr>
      </w:pPr>
    </w:p>
    <w:p>
      <w:pPr>
        <w:ind w:left="620" w:right="400" w:hanging="305"/>
        <w:spacing w:after="0" w:line="29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Capital expenditures of $22.8 million, of which the majority is related to the purchase of manufacturing and automation equipment and expansion of our North American production network.</w:t>
      </w:r>
    </w:p>
    <w:p>
      <w:pPr>
        <w:spacing w:after="0" w:line="25"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Internal and external costs of $16.4 million for software and website development that we have capitalized.</w:t>
      </w:r>
    </w:p>
    <w:p>
      <w:pPr>
        <w:spacing w:after="0" w:line="90" w:lineRule="exact"/>
        <w:rPr>
          <w:rFonts w:ascii="Arial" w:cs="Arial" w:eastAsia="Arial" w:hAnsi="Arial"/>
          <w:sz w:val="17"/>
          <w:szCs w:val="17"/>
          <w:color w:val="auto"/>
        </w:rPr>
      </w:pPr>
    </w:p>
    <w:p>
      <w:pPr>
        <w:ind w:left="620" w:right="980" w:hanging="305"/>
        <w:spacing w:after="0" w:line="29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Payment of withholding taxes in connection with share awards of $13.8 million, primarily driven by the vesting of restricted and performance share units.</w:t>
      </w:r>
    </w:p>
    <w:p>
      <w:pPr>
        <w:spacing w:after="0" w:line="25"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Payments for finance lease arrangements of $3.1 million.</w:t>
      </w:r>
    </w:p>
    <w:p>
      <w:pPr>
        <w:spacing w:after="0" w:line="90"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loss of $1.0 million.</w:t>
      </w:r>
    </w:p>
    <w:p>
      <w:pPr>
        <w:spacing w:after="0" w:line="103" w:lineRule="exact"/>
        <w:rPr>
          <w:rFonts w:ascii="Arial" w:cs="Arial" w:eastAsia="Arial" w:hAnsi="Arial"/>
          <w:sz w:val="17"/>
          <w:szCs w:val="17"/>
          <w:color w:val="auto"/>
        </w:rPr>
      </w:pPr>
    </w:p>
    <w:p>
      <w:pPr>
        <w:ind w:left="620" w:right="120" w:hanging="305"/>
        <w:spacing w:after="0" w:line="29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Purchase of noncontrolling interests of $0.4 million. Refer to Note 11 in the accompanying consolidated financial statements for additional details.</w:t>
      </w:r>
    </w:p>
    <w:p>
      <w:pPr>
        <w:spacing w:after="0" w:line="26" w:lineRule="exact"/>
        <w:rPr>
          <w:sz w:val="20"/>
          <w:szCs w:val="20"/>
          <w:color w:val="auto"/>
        </w:rPr>
      </w:pPr>
    </w:p>
    <w:p>
      <w:pPr>
        <w:ind w:right="180" w:firstLine="623"/>
        <w:spacing w:after="0" w:line="265" w:lineRule="auto"/>
        <w:rPr>
          <w:sz w:val="20"/>
          <w:szCs w:val="20"/>
          <w:color w:val="auto"/>
        </w:rPr>
      </w:pPr>
      <w:r>
        <w:rPr>
          <w:rFonts w:ascii="Arial" w:cs="Arial" w:eastAsia="Arial" w:hAnsi="Arial"/>
          <w:sz w:val="17"/>
          <w:szCs w:val="17"/>
          <w:i w:val="1"/>
          <w:iCs w:val="1"/>
          <w:color w:val="auto"/>
        </w:rPr>
        <w:t xml:space="preserve">Additional Liquidity and Capital Resources Information. </w:t>
      </w:r>
      <w:r>
        <w:rPr>
          <w:rFonts w:ascii="Arial" w:cs="Arial" w:eastAsia="Arial" w:hAnsi="Arial"/>
          <w:sz w:val="17"/>
          <w:szCs w:val="17"/>
          <w:color w:val="auto"/>
        </w:rPr>
        <w:t>At September 30, 2026, we had $ 120.1 million of cash and cash equivalents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$1,667.6 million of debt, excluding debt issuance costs and debt premiums and discounts. During the three months ended September 30, 2026, we financed our operations and strategic investments through internally generated cash flows from operations, cash on hand, and borrowings on our Revolving Credit Facility. We expect to finance our future operations through our cash, operating cash flow, and borrowings under our debt arrangements.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35" w:name="page36"/>
    <w:bookmarkEnd w:id="35"/>
    <w:p>
      <w:pPr>
        <w:ind w:right="260" w:firstLine="623"/>
        <w:spacing w:after="0" w:line="268" w:lineRule="auto"/>
        <w:rPr>
          <w:sz w:val="20"/>
          <w:szCs w:val="20"/>
          <w:color w:val="auto"/>
        </w:rPr>
      </w:pPr>
      <w:r>
        <w:rPr>
          <w:rFonts w:ascii="Arial" w:cs="Arial" w:eastAsia="Arial" w:hAnsi="Arial"/>
          <w:sz w:val="17"/>
          <w:szCs w:val="17"/>
          <w:color w:val="auto"/>
        </w:rPr>
        <w:t>We have historically used excess cash and cash equivalents for organic investments, share repurchases, acquisitions and equity investments, and debt reduction. During the three months ended September 30, 2026, we did not purchase or retire any of our ordinary shares. We evaluate share repurchases, as any other use of capital, relative to our view of the impact on our intrinsic value per share compared against other opportunities.</w:t>
      </w:r>
    </w:p>
    <w:p>
      <w:pPr>
        <w:spacing w:after="0" w:line="35"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i w:val="1"/>
          <w:iCs w:val="1"/>
          <w:color w:val="auto"/>
        </w:rPr>
        <w:t xml:space="preserve">Supply Chain Financing Program. </w:t>
      </w:r>
      <w:r>
        <w:rPr>
          <w:rFonts w:ascii="Arial" w:cs="Arial" w:eastAsia="Arial" w:hAnsi="Arial"/>
          <w:sz w:val="17"/>
          <w:szCs w:val="17"/>
          <w:color w:val="auto"/>
        </w:rPr>
        <w:t>As part of our ongoing efforts to manage our liquidity, we work with our suppliers to optimize our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which includes the extension of payment terms. We facilitate a voluntary supply chain finance program through a financial intermediary to allow our suppliers to receive funds earlier than our contractual payment date. We do not believe there is a substantial risk that our payment terms will be shortened in the near future. Refer to Note 13 of the accompanying consolidated financial statements for additional information.</w:t>
      </w:r>
    </w:p>
    <w:p>
      <w:pPr>
        <w:spacing w:after="0" w:line="50"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September 30, 2026, a portion of our cash and cash equivalents were held by our subsidiaries. We</w:t>
      </w:r>
      <w:r>
        <w:rPr>
          <w:rFonts w:ascii="Arial" w:cs="Arial" w:eastAsia="Arial" w:hAnsi="Arial"/>
          <w:sz w:val="17"/>
          <w:szCs w:val="17"/>
          <w:i w:val="1"/>
          <w:iCs w:val="1"/>
          <w:color w:val="auto"/>
        </w:rPr>
        <w:t xml:space="preserve"> </w:t>
      </w:r>
      <w:r>
        <w:rPr>
          <w:rFonts w:ascii="Arial" w:cs="Arial" w:eastAsia="Arial" w:hAnsi="Arial"/>
          <w:sz w:val="17"/>
          <w:szCs w:val="17"/>
          <w:color w:val="auto"/>
        </w:rPr>
        <w:t>do not intend to repatriate the funds held by certain subsidiaries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Contractual obligations at September 30, 2026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rPr>
              <w:t>Payments Due by Period</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right="167"/>
              <w:spacing w:after="0" w:line="119" w:lineRule="exact"/>
              <w:rPr>
                <w:sz w:val="20"/>
                <w:szCs w:val="20"/>
                <w:color w:val="auto"/>
              </w:rPr>
            </w:pPr>
            <w:r>
              <w:rPr>
                <w:rFonts w:ascii="Arial" w:cs="Arial" w:eastAsia="Arial" w:hAnsi="Arial"/>
                <w:sz w:val="12"/>
                <w:szCs w:val="12"/>
                <w:b w:val="1"/>
                <w:bCs w:val="1"/>
                <w:color w:val="auto"/>
              </w:rPr>
              <w:t>Less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center"/>
              <w:ind w:right="186"/>
              <w:spacing w:after="0"/>
              <w:rPr>
                <w:sz w:val="20"/>
                <w:szCs w:val="20"/>
                <w:color w:val="auto"/>
              </w:rPr>
            </w:pPr>
            <w:r>
              <w:rPr>
                <w:rFonts w:ascii="Arial" w:cs="Arial" w:eastAsia="Arial" w:hAnsi="Arial"/>
                <w:sz w:val="12"/>
                <w:szCs w:val="12"/>
                <w:b w:val="1"/>
                <w:bCs w:val="1"/>
                <w:color w:val="auto"/>
                <w:w w:val="91"/>
              </w:rPr>
              <w:t>1-3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46"/>
              <w:spacing w:after="0"/>
              <w:rPr>
                <w:sz w:val="20"/>
                <w:szCs w:val="20"/>
                <w:color w:val="auto"/>
              </w:rPr>
            </w:pPr>
            <w:r>
              <w:rPr>
                <w:rFonts w:ascii="Arial" w:cs="Arial" w:eastAsia="Arial" w:hAnsi="Arial"/>
                <w:sz w:val="12"/>
                <w:szCs w:val="12"/>
                <w:b w:val="1"/>
                <w:bCs w:val="1"/>
                <w:color w:val="auto"/>
              </w:rPr>
              <w:t>3-5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187"/>
              <w:spacing w:after="0" w:line="119" w:lineRule="exact"/>
              <w:rPr>
                <w:sz w:val="20"/>
                <w:szCs w:val="20"/>
                <w:color w:val="auto"/>
              </w:rPr>
            </w:pPr>
            <w:r>
              <w:rPr>
                <w:rFonts w:ascii="Arial" w:cs="Arial" w:eastAsia="Arial" w:hAnsi="Arial"/>
                <w:sz w:val="12"/>
                <w:szCs w:val="12"/>
                <w:b w:val="1"/>
                <w:bCs w:val="1"/>
                <w:color w:val="auto"/>
                <w:w w:val="97"/>
              </w:rPr>
              <w:t>More</w:t>
            </w:r>
          </w:p>
        </w:tc>
        <w:tc>
          <w:tcPr>
            <w:tcW w:w="0" w:type="dxa"/>
            <w:vAlign w:val="bottom"/>
          </w:tcPr>
          <w:p>
            <w:pPr>
              <w:spacing w:after="0"/>
              <w:rPr>
                <w:sz w:val="1"/>
                <w:szCs w:val="1"/>
                <w:color w:val="auto"/>
              </w:rPr>
            </w:pPr>
          </w:p>
        </w:tc>
      </w:tr>
      <w:tr>
        <w:trPr>
          <w:trHeight w:val="122"/>
        </w:trPr>
        <w:tc>
          <w:tcPr>
            <w:tcW w:w="4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right="167"/>
              <w:spacing w:after="0" w:line="122" w:lineRule="exact"/>
              <w:rPr>
                <w:sz w:val="20"/>
                <w:szCs w:val="20"/>
                <w:color w:val="auto"/>
              </w:rPr>
            </w:pPr>
            <w:r>
              <w:rPr>
                <w:rFonts w:ascii="Arial" w:cs="Arial" w:eastAsia="Arial" w:hAnsi="Arial"/>
                <w:sz w:val="12"/>
                <w:szCs w:val="12"/>
                <w:b w:val="1"/>
                <w:bCs w:val="1"/>
                <w:color w:val="auto"/>
              </w:rPr>
              <w:t>than 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187"/>
              <w:spacing w:after="0" w:line="122" w:lineRule="exact"/>
              <w:rPr>
                <w:sz w:val="20"/>
                <w:szCs w:val="20"/>
                <w:color w:val="auto"/>
              </w:rPr>
            </w:pPr>
            <w:r>
              <w:rPr>
                <w:rFonts w:ascii="Arial" w:cs="Arial" w:eastAsia="Arial" w:hAnsi="Arial"/>
                <w:sz w:val="12"/>
                <w:szCs w:val="12"/>
                <w:b w:val="1"/>
                <w:bCs w:val="1"/>
                <w:color w:val="auto"/>
              </w:rPr>
              <w:t>than 5</w:t>
            </w:r>
          </w:p>
        </w:tc>
        <w:tc>
          <w:tcPr>
            <w:tcW w:w="0" w:type="dxa"/>
            <w:vAlign w:val="bottom"/>
          </w:tcPr>
          <w:p>
            <w:pPr>
              <w:spacing w:after="0"/>
              <w:rPr>
                <w:sz w:val="1"/>
                <w:szCs w:val="1"/>
                <w:color w:val="auto"/>
              </w:rPr>
            </w:pPr>
          </w:p>
        </w:tc>
      </w:tr>
      <w:tr>
        <w:trPr>
          <w:trHeight w:val="167"/>
        </w:trPr>
        <w:tc>
          <w:tcPr>
            <w:tcW w:w="48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7"/>
              <w:spacing w:after="0"/>
              <w:rPr>
                <w:sz w:val="20"/>
                <w:szCs w:val="20"/>
                <w:color w:val="auto"/>
              </w:rPr>
            </w:pPr>
            <w:r>
              <w:rPr>
                <w:rFonts w:ascii="Arial" w:cs="Arial" w:eastAsia="Arial" w:hAnsi="Arial"/>
                <w:sz w:val="12"/>
                <w:szCs w:val="12"/>
                <w:b w:val="1"/>
                <w:bCs w:val="1"/>
                <w:color w:val="auto"/>
              </w:rPr>
              <w:t>year</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7"/>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23,951</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31,099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50,899</w:t>
            </w:r>
          </w:p>
        </w:tc>
        <w:tc>
          <w:tcPr>
            <w:tcW w:w="0" w:type="dxa"/>
            <w:vAlign w:val="bottom"/>
          </w:tcPr>
          <w:p>
            <w:pPr>
              <w:spacing w:after="0"/>
              <w:rPr>
                <w:sz w:val="1"/>
                <w:szCs w:val="1"/>
                <w:color w:val="auto"/>
              </w:rPr>
            </w:pP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310,257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87,496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116,296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6"/>
                <w:szCs w:val="16"/>
                <w:color w:val="auto"/>
              </w:rPr>
              <w:t>103,229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1,578,860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158,510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1,150,406</w:t>
            </w:r>
          </w:p>
        </w:tc>
        <w:tc>
          <w:tcPr>
            <w:tcW w:w="0" w:type="dxa"/>
            <w:vAlign w:val="bottom"/>
          </w:tcPr>
          <w:p>
            <w:pPr>
              <w:spacing w:after="0"/>
              <w:rPr>
                <w:sz w:val="1"/>
                <w:szCs w:val="1"/>
                <w:color w:val="auto"/>
              </w:rPr>
            </w:pP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2032 Notes and interest payments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757,314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77,438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6"/>
                <w:szCs w:val="16"/>
                <w:color w:val="auto"/>
              </w:rPr>
              <w:t>77,438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563,719</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w:t>
            </w:r>
          </w:p>
        </w:tc>
        <w:tc>
          <w:tcPr>
            <w:tcW w:w="0" w:type="dxa"/>
            <w:vAlign w:val="bottom"/>
          </w:tcPr>
          <w:p>
            <w:pPr>
              <w:spacing w:after="0"/>
              <w:rPr>
                <w:sz w:val="1"/>
                <w:szCs w:val="1"/>
                <w:color w:val="auto"/>
              </w:rPr>
            </w:pPr>
          </w:p>
        </w:tc>
      </w:tr>
      <w:tr>
        <w:trPr>
          <w:trHeight w:val="20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leases, net of subleases (1)</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60,776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15,246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13,253</w:t>
            </w:r>
          </w:p>
        </w:tc>
        <w:tc>
          <w:tcPr>
            <w:tcW w:w="0" w:type="dxa"/>
            <w:vAlign w:val="bottom"/>
          </w:tcPr>
          <w:p>
            <w:pPr>
              <w:spacing w:after="0"/>
              <w:rPr>
                <w:sz w:val="1"/>
                <w:szCs w:val="1"/>
                <w:color w:val="auto"/>
              </w:rPr>
            </w:pPr>
          </w:p>
        </w:tc>
      </w:tr>
      <w:tr>
        <w:trPr>
          <w:trHeight w:val="22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(3)</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278,887</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386,584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1,784,684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6" w:lineRule="exact"/>
        <w:rPr>
          <w:sz w:val="20"/>
          <w:szCs w:val="20"/>
          <w:color w:val="auto"/>
        </w:rPr>
      </w:pPr>
    </w:p>
    <w:p>
      <w:pPr>
        <w:ind w:left="240" w:right="20" w:hanging="236"/>
        <w:spacing w:after="0" w:line="281"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spacing w:after="0" w:line="51" w:lineRule="exact"/>
        <w:rPr>
          <w:rFonts w:ascii="Arial" w:cs="Arial" w:eastAsia="Arial" w:hAnsi="Arial"/>
          <w:sz w:val="14"/>
          <w:szCs w:val="14"/>
          <w:color w:val="auto"/>
        </w:rPr>
      </w:pPr>
    </w:p>
    <w:p>
      <w:pPr>
        <w:ind w:left="240" w:right="80" w:hanging="236"/>
        <w:spacing w:after="0" w:line="256"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Interest payments are based on the interest rate as of September 30, 2026 and assume all Term SOFR-based revolving loan amounts outstanding will not be paid until maturity but that the term loan amortization payments will be made according to our defined schedule. Senior secured credit facility and interest payments include the effects of interest rate swaps, whether they are expected to be payments or receipts of cash.</w:t>
      </w:r>
    </w:p>
    <w:p>
      <w:pPr>
        <w:spacing w:after="0" w:line="68" w:lineRule="exact"/>
        <w:rPr>
          <w:rFonts w:ascii="Arial" w:cs="Arial" w:eastAsia="Arial" w:hAnsi="Arial"/>
          <w:sz w:val="14"/>
          <w:szCs w:val="14"/>
          <w:color w:val="auto"/>
        </w:rPr>
      </w:pPr>
    </w:p>
    <w:p>
      <w:pPr>
        <w:ind w:left="240" w:right="80" w:hanging="236"/>
        <w:spacing w:after="0" w:line="255"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$1.7 million as of September 30, 2026 have been excluded from the contractual obligations table above. See Note 10 in our accompanying consolidated financial statements for additional information on uncertain tax positions.</w:t>
      </w:r>
    </w:p>
    <w:p>
      <w:pPr>
        <w:spacing w:after="0" w:line="137" w:lineRule="exact"/>
        <w:rPr>
          <w:sz w:val="20"/>
          <w:szCs w:val="20"/>
          <w:color w:val="auto"/>
        </w:rPr>
      </w:pPr>
    </w:p>
    <w:p>
      <w:pPr>
        <w:jc w:val="both"/>
        <w:ind w:right="160" w:firstLine="623"/>
        <w:spacing w:after="0" w:line="275"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rent manufacturing facilities and office space under operating leases expiring on various dates through 2046.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certain lease agreements require security deposits in the form of bank guarantees and letters of credit, with $4.5 million in the aggregate outstanding as of September 30, 2026.</w:t>
      </w:r>
    </w:p>
    <w:p>
      <w:pPr>
        <w:spacing w:after="0" w:line="42"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At September 30, 2026, we had unrecorded commitments under contract of $ 310.3 million.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consisted of third-party cloud services of $ 192.6 million; third-party fulfillment and digital services of $70.1 million; software of $30.8 million; professional and consulting fees of $11.4 million; production and computer equipment purchases of $1.7 million; advertising of $1.1 million; and other commitments of $2.4 million.</w:t>
      </w:r>
    </w:p>
    <w:p>
      <w:pPr>
        <w:spacing w:after="0" w:line="48" w:lineRule="exact"/>
        <w:rPr>
          <w:sz w:val="20"/>
          <w:szCs w:val="20"/>
          <w:color w:val="auto"/>
        </w:rPr>
      </w:pPr>
    </w:p>
    <w:p>
      <w:pPr>
        <w:ind w:right="160" w:firstLine="623"/>
        <w:spacing w:after="0" w:line="253" w:lineRule="auto"/>
        <w:rPr>
          <w:sz w:val="20"/>
          <w:szCs w:val="20"/>
          <w:color w:val="auto"/>
        </w:rPr>
      </w:pPr>
      <w:r>
        <w:rPr>
          <w:rFonts w:ascii="Arial" w:cs="Arial" w:eastAsia="Arial" w:hAnsi="Arial"/>
          <w:sz w:val="17"/>
          <w:szCs w:val="17"/>
          <w:i w:val="1"/>
          <w:iCs w:val="1"/>
          <w:color w:val="auto"/>
        </w:rPr>
        <w:t xml:space="preserve">Senior Secured Credit Facility and Interest Payments. </w:t>
      </w:r>
      <w:r>
        <w:rPr>
          <w:rFonts w:ascii="Arial" w:cs="Arial" w:eastAsia="Arial" w:hAnsi="Arial"/>
          <w:sz w:val="17"/>
          <w:szCs w:val="17"/>
          <w:color w:val="auto"/>
        </w:rPr>
        <w:t>As of September 30, 2026, we had $35.0 million in outstanding borrowings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$250.0 million senior secured revolving credit facility. After accounting for outstanding borrowings and letters of credit, available borrowing capacity under the credit facility was $197.7 million. Our unused balance can be drawn at any time so long as we are in compliance with our debt covenants, and if the aggregate principal amount of outstanding revolving loans, swingline loans and unreimbursed letter of credit disbursements made under the Revolving Credit Facility exceeds 20% of the aggregate revolving commitments as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36" w:name="page37"/>
    <w:bookmarkEnd w:id="36"/>
    <w:p>
      <w:pPr>
        <w:spacing w:after="0" w:line="251" w:lineRule="auto"/>
        <w:rPr>
          <w:sz w:val="20"/>
          <w:szCs w:val="20"/>
          <w:color w:val="auto"/>
        </w:rPr>
      </w:pPr>
      <w:r>
        <w:rPr>
          <w:rFonts w:ascii="Arial" w:cs="Arial" w:eastAsia="Arial" w:hAnsi="Arial"/>
          <w:sz w:val="17"/>
          <w:szCs w:val="17"/>
          <w:color w:val="auto"/>
        </w:rPr>
        <w:t>of the last day of any fiscal quarter, then we are subject to a financial maintenance covenant requiring that the Consolidated Leverage Ratio calculated as of the last day of such quarter may not exceed 4.50 to 1.00. Any amounts drawn under the Revolving Credit Facility will be due on June 4, 2031. Interest payable included in the above table is based on the interest rate as of September 30, 2026 and assumes all Term SOFR-based revolving loan amounts outstanding will not be paid until maturity but that the term loan amortization payments will be made according to our defined schedule. As of September 30, 2026, we have borrowings under our Restated Credit Agreement of $1,129.5 million, consisting of the revolving credit facility of $35.0 million and the term loan of $1,094.5 million. The term loan amortizes over the loan period, with a scheduled maturity date of June 4, 2033.</w:t>
      </w:r>
    </w:p>
    <w:p>
      <w:pPr>
        <w:spacing w:after="0" w:line="49" w:lineRule="exact"/>
        <w:rPr>
          <w:sz w:val="20"/>
          <w:szCs w:val="20"/>
          <w:color w:val="auto"/>
        </w:rPr>
      </w:pPr>
    </w:p>
    <w:p>
      <w:pPr>
        <w:jc w:val="both"/>
        <w:ind w:right="380" w:firstLine="623"/>
        <w:spacing w:after="0" w:line="275" w:lineRule="auto"/>
        <w:rPr>
          <w:sz w:val="20"/>
          <w:szCs w:val="20"/>
          <w:color w:val="auto"/>
        </w:rPr>
      </w:pPr>
      <w:r>
        <w:rPr>
          <w:rFonts w:ascii="Arial" w:cs="Arial" w:eastAsia="Arial" w:hAnsi="Arial"/>
          <w:sz w:val="17"/>
          <w:szCs w:val="17"/>
          <w:i w:val="1"/>
          <w:iCs w:val="1"/>
          <w:color w:val="auto"/>
        </w:rPr>
        <w:t xml:space="preserve">2032 Senior Notes and Interest Payments. </w:t>
      </w:r>
      <w:r>
        <w:rPr>
          <w:rFonts w:ascii="Arial" w:cs="Arial" w:eastAsia="Arial" w:hAnsi="Arial"/>
          <w:sz w:val="17"/>
          <w:szCs w:val="17"/>
          <w:color w:val="auto"/>
        </w:rPr>
        <w:t>Our $525.0 million 2032 Notes bear interest at a rate of 7.375% per annum and mature on</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15, 2032. Interest on the 2032 Notes is payable semi-annually on March 15 and September 15 of each year. Refer to Note 9 in the accompanying consolidated financial statements for additional information.</w:t>
      </w:r>
    </w:p>
    <w:p>
      <w:pPr>
        <w:spacing w:after="0" w:line="42" w:lineRule="exact"/>
        <w:rPr>
          <w:sz w:val="20"/>
          <w:szCs w:val="20"/>
          <w:color w:val="auto"/>
        </w:rPr>
      </w:pPr>
    </w:p>
    <w:p>
      <w:pPr>
        <w:ind w:right="220" w:firstLine="623"/>
        <w:spacing w:after="0" w:line="268" w:lineRule="auto"/>
        <w:rPr>
          <w:sz w:val="20"/>
          <w:szCs w:val="20"/>
          <w:color w:val="auto"/>
        </w:rPr>
      </w:pPr>
      <w:r>
        <w:rPr>
          <w:rFonts w:ascii="Arial" w:cs="Arial" w:eastAsia="Arial" w:hAnsi="Arial"/>
          <w:sz w:val="17"/>
          <w:szCs w:val="17"/>
          <w:i w:val="1"/>
          <w:iCs w:val="1"/>
          <w:color w:val="auto"/>
        </w:rPr>
        <w:t xml:space="preserve">Debt Covenants. </w:t>
      </w:r>
      <w:r>
        <w:rPr>
          <w:rFonts w:ascii="Arial" w:cs="Arial" w:eastAsia="Arial" w:hAnsi="Arial"/>
          <w:sz w:val="17"/>
          <w:szCs w:val="17"/>
          <w:color w:val="auto"/>
        </w:rPr>
        <w:t>The Restated Credit Agreement and the indenture that governs our 2032 Notes contain covenants that restrict or limit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activities and transactions by Cimpress and our subsidiaries. As of September 30, 2026, we were in compliance with all covenants under our Restated Credit Agreement and the indenture governing our 2032 Notes. Refer to Note 9 in the accompanying consolidated financial statements for additional information.</w:t>
      </w:r>
    </w:p>
    <w:p>
      <w:pPr>
        <w:spacing w:after="0" w:line="35" w:lineRule="exact"/>
        <w:rPr>
          <w:sz w:val="20"/>
          <w:szCs w:val="20"/>
          <w:color w:val="auto"/>
        </w:rPr>
      </w:pPr>
    </w:p>
    <w:p>
      <w:pPr>
        <w:ind w:right="200" w:firstLine="623"/>
        <w:spacing w:after="0" w:line="275" w:lineRule="auto"/>
        <w:rPr>
          <w:sz w:val="20"/>
          <w:szCs w:val="20"/>
          <w:color w:val="auto"/>
        </w:rPr>
      </w:pPr>
      <w:r>
        <w:rPr>
          <w:rFonts w:ascii="Arial" w:cs="Arial" w:eastAsia="Arial" w:hAnsi="Arial"/>
          <w:sz w:val="17"/>
          <w:szCs w:val="17"/>
          <w:i w:val="1"/>
          <w:iCs w:val="1"/>
          <w:color w:val="auto"/>
        </w:rPr>
        <w:t xml:space="preserve">Other Debt. </w:t>
      </w:r>
      <w:r>
        <w:rPr>
          <w:rFonts w:ascii="Arial" w:cs="Arial" w:eastAsia="Arial" w:hAnsi="Arial"/>
          <w:sz w:val="17"/>
          <w:szCs w:val="17"/>
          <w:color w:val="auto"/>
        </w:rPr>
        <w:t>In addition, we have other debt which consists primarily of term loans acquired through our various acquisitions or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fund certain capital investments. As of September 30, 2026, we had $13.1 million outstanding for those obligations that have repayments due on various dates through September 2037.</w:t>
      </w:r>
    </w:p>
    <w:p>
      <w:pPr>
        <w:spacing w:after="0" w:line="42"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i w:val="1"/>
          <w:iCs w:val="1"/>
          <w:color w:val="auto"/>
        </w:rPr>
        <w:t xml:space="preserve">Finance Leases. </w:t>
      </w:r>
      <w:r>
        <w:rPr>
          <w:rFonts w:ascii="Arial" w:cs="Arial" w:eastAsia="Arial" w:hAnsi="Arial"/>
          <w:sz w:val="17"/>
          <w:szCs w:val="17"/>
          <w:color w:val="auto"/>
        </w:rPr>
        <w:t>We lease certain facilities, machinery, and plant equipment under finance lease agreements that expire at various dates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2037. The aggregate carrying value of the leased assets under finance leases included in property, plant and equipment, net in our consolidated balance sheet at September 30, 2026 is $49.3 million, net of accumulated depreciation of $28.7 million. The present value of lease installments not yet due included in other current liabilities and other liabilities in our consolidated balance sheet at September 30, 2026 amounts to $56.0 million.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196"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Constant-currency revenue growth and constant-currency revenue growth excluding acquisitions/divestitures (which we refer to above as organic constant-currency revenue growth), in each case as defined and presented in the consolidated results of operations section above (with reconciliations to GAAP revenue growth), as well as adjusted EBITDA and adjusted free cash flow presented below, are supplemental measures of our performance that are not required by, or presented in accordance with, GAAP. We do not, nor do we suggest that investors should, consider such non-GAAP financial measures in isolation from, or as a substitute for, financial information prepared in accordance with GAAP.</w:t>
      </w:r>
    </w:p>
    <w:p>
      <w:pPr>
        <w:spacing w:after="0" w:line="37"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Adjusted EBITDA is defined as net income plus income tax expense plus (gain) loss on early extinguishment of debt plus interest expense, net plus other expense (income), net plus depreciation and amortization plus share-based compensation expense plus earn-out related charges plus certain impairments plus restructuring-related charges less the gain or loss on purchase or sale of subsidiaries as well as the disposal of assets. In addition, adjusted EBITDA includes the impact of certain items that are recognized in other income, net which includes realized gains or losses on currency derivatives that are intended to hedge our adjusted EBITDA exposure to foreign currencies for which we do not apply hedge accounting, as well as proceeds from insurance recoveries.</w:t>
      </w:r>
    </w:p>
    <w:p>
      <w:pPr>
        <w:spacing w:after="0" w:line="52"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net income.</w:t>
      </w:r>
    </w:p>
    <w:p>
      <w:pPr>
        <w:spacing w:after="0" w:line="50" w:lineRule="exact"/>
        <w:rPr>
          <w:sz w:val="20"/>
          <w:szCs w:val="20"/>
          <w:color w:val="auto"/>
        </w:rPr>
      </w:pPr>
    </w:p>
    <w:p>
      <w:pPr>
        <w:ind w:right="320" w:firstLine="623"/>
        <w:spacing w:after="0" w:line="265" w:lineRule="auto"/>
        <w:rPr>
          <w:sz w:val="20"/>
          <w:szCs w:val="20"/>
          <w:color w:val="auto"/>
        </w:rPr>
      </w:pPr>
      <w:r>
        <w:rPr>
          <w:rFonts w:ascii="Arial" w:cs="Arial" w:eastAsia="Arial" w:hAnsi="Arial"/>
          <w:sz w:val="17"/>
          <w:szCs w:val="17"/>
          <w:color w:val="auto"/>
        </w:rPr>
        <w:t>Adjusted free cash flow is the primary financial metric by which we set quarterly and annual budgets both for individual businesses and Cimpress-wide. Adjusted free cash flow is defined as net cash provided by (used in)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not included in net cash provided by</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7" w:name="page38"/>
    <w:bookmarkEnd w:id="37"/>
    <w:p>
      <w:pPr>
        <w:jc w:val="both"/>
        <w:ind w:right="100"/>
        <w:spacing w:after="0" w:line="268" w:lineRule="auto"/>
        <w:rPr>
          <w:sz w:val="20"/>
          <w:szCs w:val="20"/>
          <w:color w:val="auto"/>
        </w:rPr>
      </w:pPr>
      <w:r>
        <w:rPr>
          <w:rFonts w:ascii="Arial" w:cs="Arial" w:eastAsia="Arial" w:hAnsi="Arial"/>
          <w:sz w:val="17"/>
          <w:szCs w:val="17"/>
          <w:color w:val="auto"/>
        </w:rPr>
        <w:t>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35"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net (loss) income and adjusted EBITDA for the three months ended September 30, 2026 and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80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4"/>
              <w:spacing w:after="0"/>
              <w:rPr>
                <w:sz w:val="20"/>
                <w:szCs w:val="20"/>
                <w:color w:val="auto"/>
              </w:rPr>
            </w:pPr>
            <w:r>
              <w:rPr>
                <w:rFonts w:ascii="Arial" w:cs="Arial" w:eastAsia="Arial" w:hAnsi="Arial"/>
                <w:sz w:val="12"/>
                <w:szCs w:val="12"/>
                <w:b w:val="1"/>
                <w:bCs w:val="1"/>
                <w:color w:val="auto"/>
              </w:rPr>
              <w:t>2025</w:t>
            </w: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6,520</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Exclude expense (benefit) impact of:</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6,623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17,838</w:t>
            </w:r>
          </w:p>
        </w:tc>
      </w:tr>
      <w:tr>
        <w:trPr>
          <w:trHeight w:val="207"/>
        </w:trPr>
        <w:tc>
          <w:tcPr>
            <w:tcW w:w="80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26,337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28,066</w:t>
            </w:r>
          </w:p>
        </w:tc>
      </w:tr>
      <w:tr>
        <w:trPr>
          <w:trHeight w:val="20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r>
      <w:tr>
        <w:trPr>
          <w:trHeight w:val="207"/>
        </w:trPr>
        <w:tc>
          <w:tcPr>
            <w:tcW w:w="80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44,280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36,618</w:t>
            </w:r>
          </w:p>
        </w:tc>
      </w:tr>
      <w:tr>
        <w:trPr>
          <w:trHeight w:val="20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 (1)</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15,911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14,793</w:t>
            </w:r>
          </w:p>
        </w:tc>
      </w:tr>
      <w:tr>
        <w:trPr>
          <w:trHeight w:val="207"/>
        </w:trPr>
        <w:tc>
          <w:tcPr>
            <w:tcW w:w="8060" w:type="dxa"/>
            <w:vAlign w:val="bottom"/>
          </w:tcPr>
          <w:p>
            <w:pPr>
              <w:ind w:left="140"/>
              <w:spacing w:after="0"/>
              <w:rPr>
                <w:sz w:val="20"/>
                <w:szCs w:val="20"/>
                <w:color w:val="auto"/>
              </w:rPr>
            </w:pPr>
            <w:r>
              <w:rPr>
                <w:rFonts w:ascii="Arial" w:cs="Arial" w:eastAsia="Arial" w:hAnsi="Arial"/>
                <w:sz w:val="16"/>
                <w:szCs w:val="16"/>
                <w:color w:val="auto"/>
              </w:rPr>
              <w:t>Certain impairments and other adjustments</w:t>
            </w:r>
          </w:p>
        </w:tc>
        <w:tc>
          <w:tcPr>
            <w:tcW w:w="32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727</w:t>
            </w:r>
          </w:p>
        </w:tc>
      </w:tr>
      <w:tr>
        <w:trPr>
          <w:trHeight w:val="20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Restructuring-related charges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07"/>
        </w:trPr>
        <w:tc>
          <w:tcPr>
            <w:tcW w:w="8060" w:type="dxa"/>
            <w:vAlign w:val="bottom"/>
          </w:tcPr>
          <w:p>
            <w:pPr>
              <w:ind w:left="40"/>
              <w:spacing w:after="0"/>
              <w:rPr>
                <w:sz w:val="20"/>
                <w:szCs w:val="20"/>
                <w:color w:val="auto"/>
              </w:rPr>
            </w:pPr>
            <w:r>
              <w:rPr>
                <w:rFonts w:ascii="Arial" w:cs="Arial" w:eastAsia="Arial" w:hAnsi="Arial"/>
                <w:sz w:val="16"/>
                <w:szCs w:val="16"/>
                <w:color w:val="auto"/>
              </w:rPr>
              <w:t>Include certain items that are a part of Other income, net:</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insurance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Realized losses on currency derivatives (2)</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w:t>
            </w:r>
          </w:p>
        </w:tc>
      </w:tr>
      <w:tr>
        <w:trPr>
          <w:trHeight w:val="22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89,820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98,715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99" w:lineRule="exact"/>
        <w:rPr>
          <w:sz w:val="20"/>
          <w:szCs w:val="20"/>
          <w:color w:val="auto"/>
        </w:rPr>
      </w:pPr>
    </w:p>
    <w:p>
      <w:pPr>
        <w:ind w:left="220" w:hanging="216"/>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Share-based compensation expense excludes the portion included in restructuring-related charges to avoid double counting.</w:t>
      </w:r>
    </w:p>
    <w:p>
      <w:pPr>
        <w:spacing w:after="0" w:line="85" w:lineRule="exact"/>
        <w:rPr>
          <w:rFonts w:ascii="Arial" w:cs="Arial" w:eastAsia="Arial" w:hAnsi="Arial"/>
          <w:sz w:val="14"/>
          <w:szCs w:val="14"/>
          <w:color w:val="auto"/>
        </w:rPr>
      </w:pPr>
    </w:p>
    <w:p>
      <w:pPr>
        <w:ind w:left="240" w:right="20" w:hanging="236"/>
        <w:spacing w:after="0" w:line="281" w:lineRule="auto"/>
        <w:tabs>
          <w:tab w:leader="none" w:pos="214"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Realized losses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spacing w:after="0" w:line="120" w:lineRule="exact"/>
        <w:rPr>
          <w:sz w:val="20"/>
          <w:szCs w:val="20"/>
          <w:color w:val="auto"/>
        </w:rPr>
      </w:pPr>
    </w:p>
    <w:p>
      <w:pPr>
        <w:ind w:right="40" w:firstLine="623"/>
        <w:spacing w:after="0" w:line="295" w:lineRule="auto"/>
        <w:rPr>
          <w:sz w:val="20"/>
          <w:szCs w:val="20"/>
          <w:color w:val="auto"/>
        </w:rPr>
      </w:pPr>
      <w:r>
        <w:rPr>
          <w:rFonts w:ascii="Arial" w:cs="Arial" w:eastAsia="Arial" w:hAnsi="Arial"/>
          <w:sz w:val="17"/>
          <w:szCs w:val="17"/>
          <w:color w:val="auto"/>
        </w:rPr>
        <w:t>The table below sets forth net cash provided by operating activities and adjusted free cash flow for the three months ended September 30, 2026 and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85"/>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80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2025</w:t>
            </w: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25,059</w:t>
            </w:r>
          </w:p>
        </w:tc>
      </w:tr>
      <w:tr>
        <w:trPr>
          <w:trHeight w:val="207"/>
        </w:trPr>
        <w:tc>
          <w:tcPr>
            <w:tcW w:w="806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(22,803)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(26,353)</w:t>
            </w:r>
          </w:p>
        </w:tc>
      </w:tr>
      <w:tr>
        <w:trPr>
          <w:trHeight w:val="20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(17,286)</w:t>
            </w:r>
          </w:p>
        </w:tc>
      </w:tr>
      <w:tr>
        <w:trPr>
          <w:trHeight w:val="207"/>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the sale of assets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r>
      <w:tr>
        <w:trPr>
          <w:trHeight w:val="22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free cash flow</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interest rate risk relates primarily to our cash, cash equivalents, and debt.</w:t>
      </w:r>
    </w:p>
    <w:p>
      <w:pPr>
        <w:spacing w:after="0" w:line="103" w:lineRule="exact"/>
        <w:rPr>
          <w:sz w:val="20"/>
          <w:szCs w:val="20"/>
          <w:color w:val="auto"/>
        </w:rPr>
      </w:pPr>
    </w:p>
    <w:p>
      <w:pPr>
        <w:ind w:right="200" w:firstLine="623"/>
        <w:spacing w:after="0" w:line="275" w:lineRule="auto"/>
        <w:rPr>
          <w:sz w:val="20"/>
          <w:szCs w:val="20"/>
          <w:color w:val="auto"/>
        </w:rPr>
      </w:pPr>
      <w:r>
        <w:rPr>
          <w:rFonts w:ascii="Arial" w:cs="Arial" w:eastAsia="Arial" w:hAnsi="Arial"/>
          <w:sz w:val="17"/>
          <w:szCs w:val="17"/>
          <w:color w:val="auto"/>
        </w:rPr>
        <w:t>As of September 30, 2026,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29" w:lineRule="exact"/>
        <w:rPr>
          <w:sz w:val="20"/>
          <w:szCs w:val="20"/>
          <w:color w:val="auto"/>
        </w:rPr>
      </w:pPr>
    </w:p>
    <w:p>
      <w:pPr>
        <w:ind w:right="200" w:firstLine="623"/>
        <w:spacing w:after="0" w:line="263" w:lineRule="auto"/>
        <w:rPr>
          <w:sz w:val="20"/>
          <w:szCs w:val="20"/>
          <w:color w:val="auto"/>
        </w:rPr>
      </w:pPr>
      <w:r>
        <w:rPr>
          <w:rFonts w:ascii="Arial" w:cs="Arial" w:eastAsia="Arial" w:hAnsi="Arial"/>
          <w:sz w:val="17"/>
          <w:szCs w:val="17"/>
          <w:color w:val="auto"/>
        </w:rPr>
        <w:t>As of September 30, 2026, we had $1,129.5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September 30, 2026, a hypothetical 100 basis point increase in rates, inclusive of the impact of our outstanding interest rate swaps that are accruing interest as of September 30, 2026, would result in a $7.4 million increase to interest expense over the next 12 months. This does not include any yield from cash and marketable securities.</w:t>
      </w:r>
    </w:p>
    <w:p>
      <w:pPr>
        <w:spacing w:after="0" w:line="52"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Currency Exchange Rate Risk. </w:t>
      </w:r>
      <w:r>
        <w:rPr>
          <w:rFonts w:ascii="Arial" w:cs="Arial" w:eastAsia="Arial" w:hAnsi="Arial"/>
          <w:sz w:val="17"/>
          <w:szCs w:val="17"/>
          <w:color w:val="auto"/>
        </w:rPr>
        <w:t>We conduct business in multiple currencies through our worldwide operations but report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50" w:lineRule="exact"/>
        <w:rPr>
          <w:sz w:val="20"/>
          <w:szCs w:val="20"/>
          <w:color w:val="auto"/>
        </w:rPr>
      </w:pPr>
    </w:p>
    <w:p>
      <w:pPr>
        <w:ind w:left="620" w:right="120" w:hanging="305"/>
        <w:spacing w:after="0" w:line="268"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Translation of our non-U.S. dollar revenues and expenses: </w:t>
      </w:r>
      <w:r>
        <w:rPr>
          <w:rFonts w:ascii="Arial" w:cs="Arial" w:eastAsia="Arial" w:hAnsi="Arial"/>
          <w:sz w:val="17"/>
          <w:szCs w:val="17"/>
          <w:color w:val="auto"/>
        </w:rPr>
        <w:t>Revenue and related expenses generated in currencies other than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dollar could result in higher or lower net (loss) income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spacing w:after="0" w:line="35" w:lineRule="exact"/>
        <w:rPr>
          <w:rFonts w:ascii="Arial" w:cs="Arial" w:eastAsia="Arial" w:hAnsi="Arial"/>
          <w:sz w:val="17"/>
          <w:szCs w:val="17"/>
          <w:color w:val="auto"/>
        </w:rPr>
      </w:pPr>
    </w:p>
    <w:p>
      <w:pPr>
        <w:ind w:left="620" w:right="80"/>
        <w:spacing w:after="0" w:line="268" w:lineRule="auto"/>
        <w:rPr>
          <w:rFonts w:ascii="Arial" w:cs="Arial" w:eastAsia="Arial" w:hAnsi="Arial"/>
          <w:sz w:val="17"/>
          <w:szCs w:val="17"/>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income, we may experience increased, not decreased, volatility in our GAAP results due to our hedging approach. Our most significant net currency exposures by volume are in the Euro and GBP.</w:t>
      </w:r>
    </w:p>
    <w:p>
      <w:pPr>
        <w:spacing w:after="0" w:line="48" w:lineRule="exact"/>
        <w:rPr>
          <w:rFonts w:ascii="Arial" w:cs="Arial" w:eastAsia="Arial" w:hAnsi="Arial"/>
          <w:sz w:val="17"/>
          <w:szCs w:val="17"/>
          <w:color w:val="auto"/>
        </w:rPr>
      </w:pPr>
    </w:p>
    <w:p>
      <w:pPr>
        <w:ind w:left="620" w:right="20"/>
        <w:spacing w:after="0" w:line="268" w:lineRule="auto"/>
        <w:rPr>
          <w:rFonts w:ascii="Arial" w:cs="Arial" w:eastAsia="Arial" w:hAnsi="Arial"/>
          <w:sz w:val="17"/>
          <w:szCs w:val="17"/>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net, on the mark-to-market of outstanding contracts and (ii) realized gains and losses recognized in other income, net, whereas the offsetting economic gains and losses are reported in the line item of the underlying activity, for example, revenue.</w:t>
      </w:r>
    </w:p>
    <w:p>
      <w:pPr>
        <w:spacing w:after="0" w:line="48" w:lineRule="exact"/>
        <w:rPr>
          <w:rFonts w:ascii="Arial" w:cs="Arial" w:eastAsia="Arial" w:hAnsi="Arial"/>
          <w:sz w:val="17"/>
          <w:szCs w:val="17"/>
          <w:color w:val="auto"/>
        </w:rPr>
      </w:pPr>
    </w:p>
    <w:p>
      <w:pPr>
        <w:ind w:left="620" w:hanging="305"/>
        <w:spacing w:after="0" w:line="265"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Translation of our non-U.S. dollar assets and liabilities</w:t>
      </w:r>
      <w:r>
        <w:rPr>
          <w:rFonts w:ascii="Arial" w:cs="Arial" w:eastAsia="Arial" w:hAnsi="Arial"/>
          <w:sz w:val="17"/>
          <w:szCs w:val="17"/>
          <w:color w:val="auto"/>
        </w:rPr>
        <w:t>: Each of our subsidiaries translates its assets and liabilities to U.S. dollars at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w:t>
      </w:r>
    </w:p>
    <w:p>
      <w:pPr>
        <w:spacing w:after="0" w:line="37" w:lineRule="exact"/>
        <w:rPr>
          <w:rFonts w:ascii="Arial" w:cs="Arial" w:eastAsia="Arial" w:hAnsi="Arial"/>
          <w:sz w:val="17"/>
          <w:szCs w:val="17"/>
          <w:color w:val="auto"/>
        </w:rPr>
      </w:pPr>
    </w:p>
    <w:p>
      <w:pPr>
        <w:ind w:left="620" w:right="100" w:hanging="305"/>
        <w:spacing w:after="0" w:line="25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Remeasurement of monetary assets and liabilities: </w:t>
      </w:r>
      <w:r>
        <w:rPr>
          <w:rFonts w:ascii="Arial" w:cs="Arial" w:eastAsia="Arial" w:hAnsi="Arial"/>
          <w:sz w:val="17"/>
          <w:szCs w:val="17"/>
          <w:color w:val="auto"/>
        </w:rPr>
        <w:t>Transaction gains and losses generated from remeasurement of monetary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denominated in currencies other than the functional currency of a subsidiary are included in other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net. We expect these impacts may be volatile in the future, although our largest intercompany loans do not have a U.S. dollar cash impact for the consolidated group because they are either: 1) U.S. dollar loans or 2) are non-U.S. dollar loans that we hedge with cross-currency swap and forward contracts. A hypothetical 10% change in currency exchange rates was applied to total net monetary assets denominated in currencies other than the functional currencies at the balance sheet dates to compute the impact these changes would have had on our income before income taxes in the near term. A hypothetical decrease in exchange rates of 10% against the functional currency of our subsidiaries would</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9" w:name="page40"/>
    <w:bookmarkEnd w:id="39"/>
    <w:p>
      <w:pPr>
        <w:ind w:left="620"/>
        <w:spacing w:after="0"/>
        <w:rPr>
          <w:sz w:val="20"/>
          <w:szCs w:val="20"/>
          <w:color w:val="auto"/>
        </w:rPr>
      </w:pPr>
      <w:r>
        <w:rPr>
          <w:rFonts w:ascii="Arial" w:cs="Arial" w:eastAsia="Arial" w:hAnsi="Arial"/>
          <w:sz w:val="17"/>
          <w:szCs w:val="17"/>
          <w:color w:val="auto"/>
        </w:rPr>
        <w:t>have resulted in a change of $6.8 million on our income before income taxes for the three months ended September 30, 2026.</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83" w:lineRule="exact"/>
        <w:rPr>
          <w:sz w:val="20"/>
          <w:szCs w:val="20"/>
          <w:color w:val="auto"/>
        </w:rPr>
      </w:pPr>
    </w:p>
    <w:p>
      <w:pPr>
        <w:ind w:firstLine="623"/>
        <w:spacing w:after="0" w:line="25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2026.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2026, our chief executive officer and chief financial officer concluded that, as of such date, our disclosure controls and procedures were effective at the reasonable assurance level.</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96"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There were no significant changes in our internal control over financial reporting (as defined in Rules 13a-15(f) and 15d-15(f) under the Exchange Act) during the three months ended September 30, 2026 that materially affected, or are reasonably likely to materially affect, our internal control over financial reporting.</w:t>
      </w:r>
    </w:p>
    <w:p>
      <w:pPr>
        <w:spacing w:after="0" w:line="214"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PART II. OTHER INFORMATION</w:t>
      </w:r>
    </w:p>
    <w:p>
      <w:pPr>
        <w:spacing w:after="0" w:line="25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61" w:lineRule="exact"/>
        <w:rPr>
          <w:sz w:val="20"/>
          <w:szCs w:val="20"/>
          <w:color w:val="auto"/>
        </w:rPr>
      </w:pPr>
    </w:p>
    <w:p>
      <w:pPr>
        <w:ind w:right="160" w:firstLine="623"/>
        <w:spacing w:after="0" w:line="234" w:lineRule="auto"/>
        <w:rPr>
          <w:sz w:val="20"/>
          <w:szCs w:val="20"/>
          <w:color w:val="auto"/>
        </w:rPr>
      </w:pPr>
      <w:r>
        <w:rPr>
          <w:rFonts w:ascii="Arial" w:cs="Arial" w:eastAsia="Arial" w:hAnsi="Arial"/>
          <w:sz w:val="17"/>
          <w:szCs w:val="17"/>
          <w:color w:val="auto"/>
        </w:rPr>
        <w:t>On March 25, 2026, our Board authorized the repurchase, from time to time, with no expiration date, of up to $200 million aggregate purchase price (excluding any fees, commissions, or other expenses of such purchases) of Cimpress' issued and outstanding ordinary shares on the open market, through privately negotiated transactions, or in one or more self-tender offers. The Board’s authorization does not necessarily</w:t>
      </w:r>
    </w:p>
    <w:p>
      <w:pPr>
        <w:spacing w:after="0" w:line="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mean that we will repurchase the full dollar amount authorized. Share repurchases remain subject to Cimpress’ net leverage and capital allocation priorities and may be suspended or discontinued at any time.</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did not repurchase any of our ordinary shares during the three months ended September 30, 2026.</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196" w:lineRule="exact"/>
        <w:rPr>
          <w:sz w:val="20"/>
          <w:szCs w:val="20"/>
          <w:color w:val="auto"/>
        </w:rPr>
      </w:pPr>
    </w:p>
    <w:p>
      <w:pPr>
        <w:ind w:right="100" w:firstLine="623"/>
        <w:spacing w:after="0" w:line="268" w:lineRule="auto"/>
        <w:rPr>
          <w:sz w:val="20"/>
          <w:szCs w:val="20"/>
          <w:color w:val="auto"/>
        </w:rPr>
      </w:pPr>
      <w:r>
        <w:rPr>
          <w:rFonts w:ascii="Arial" w:cs="Arial" w:eastAsia="Arial" w:hAnsi="Arial"/>
          <w:sz w:val="17"/>
          <w:szCs w:val="17"/>
          <w:color w:val="auto"/>
        </w:rPr>
        <w:t>On August 4, 2026, Florian Baumgartner, our Executive Vice President and Chief Executive Officer, VistaPrint, adopted a plan for the sale of Cimpress ordinary shares that is intended to satisfy the affirmative defense conditions of Exchange Act Rule 10b5-1(c) and that expires on January 31, 2027. The plan provides for sales, on dates and at prices set forth in the plan, of up to 30,688 ordinary shares held by Mr. Baumgartner as of the date of the plan adoption.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 and Financial Statement Schedules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40" w:type="dxa"/>
            <w:vAlign w:val="bottom"/>
          </w:tcPr>
          <w:p>
            <w:pPr>
              <w:spacing w:after="0"/>
              <w:rPr>
                <w:sz w:val="14"/>
                <w:szCs w:val="14"/>
                <w:color w:val="auto"/>
              </w:rPr>
            </w:pPr>
          </w:p>
        </w:tc>
        <w:tc>
          <w:tcPr>
            <w:tcW w:w="8340" w:type="dxa"/>
            <w:vAlign w:val="bottom"/>
            <w:gridSpan w:val="4"/>
            <w:vMerge w:val="restart"/>
          </w:tcPr>
          <w:p>
            <w:pPr>
              <w:ind w:left="2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840" w:type="dxa"/>
            <w:vAlign w:val="bottom"/>
          </w:tcPr>
          <w:p>
            <w:pPr>
              <w:spacing w:after="0"/>
              <w:rPr>
                <w:sz w:val="15"/>
                <w:szCs w:val="15"/>
                <w:color w:val="auto"/>
              </w:rPr>
            </w:pPr>
          </w:p>
        </w:tc>
        <w:tc>
          <w:tcPr>
            <w:tcW w:w="8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60" w:type="dxa"/>
            <w:vAlign w:val="bottom"/>
          </w:tcPr>
          <w:p>
            <w:pPr>
              <w:spacing w:after="0" w:line="168" w:lineRule="exact"/>
              <w:rPr>
                <w:sz w:val="20"/>
                <w:szCs w:val="20"/>
                <w:color w:val="auto"/>
              </w:rPr>
            </w:pPr>
            <w:r>
              <w:rPr>
                <w:rFonts w:ascii="Arial" w:cs="Arial" w:eastAsia="Arial" w:hAnsi="Arial"/>
                <w:sz w:val="16"/>
                <w:szCs w:val="16"/>
                <w:color w:val="auto"/>
              </w:rPr>
              <w:t>31.1</w:t>
            </w:r>
          </w:p>
        </w:tc>
        <w:tc>
          <w:tcPr>
            <w:tcW w:w="8660" w:type="dxa"/>
            <w:vAlign w:val="bottom"/>
            <w:tcBorders>
              <w:bottom w:val="single" w:sz="8" w:color="auto"/>
            </w:tcBorders>
            <w:gridSpan w:val="3"/>
          </w:tcPr>
          <w:p>
            <w:pPr>
              <w:spacing w:after="0" w:line="168" w:lineRule="exact"/>
              <w:rPr>
                <w:sz w:val="20"/>
                <w:szCs w:val="20"/>
                <w:color w:val="auto"/>
              </w:rPr>
            </w:pPr>
            <w:r>
              <w:rPr>
                <w:rFonts w:ascii="Arial" w:cs="Arial" w:eastAsia="Arial" w:hAnsi="Arial"/>
                <w:sz w:val="16"/>
                <w:szCs w:val="16"/>
                <w:color w:val="auto"/>
                <w:w w:val="97"/>
              </w:rPr>
              <w:t>Certification pursuant to Section 302 of the Sarbanes-Oxley Act of 2002, Rule 13a-14(a)/15d-14(a), by Chief Executive Officer</w:t>
            </w:r>
          </w:p>
        </w:tc>
        <w:tc>
          <w:tcPr>
            <w:tcW w:w="15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10180" w:type="dxa"/>
            <w:vAlign w:val="bottom"/>
            <w:gridSpan w:val="5"/>
          </w:tcPr>
          <w:p>
            <w:pPr>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76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10180" w:type="dxa"/>
            <w:vAlign w:val="bottom"/>
            <w:gridSpan w:val="5"/>
          </w:tcPr>
          <w:p>
            <w:pPr>
              <w:spacing w:after="0"/>
              <w:rPr>
                <w:sz w:val="20"/>
                <w:szCs w:val="20"/>
                <w:color w:val="auto"/>
              </w:rPr>
            </w:pPr>
            <w:r>
              <w:rPr>
                <w:rFonts w:ascii="Arial" w:cs="Arial" w:eastAsia="Arial" w:hAnsi="Arial"/>
                <w:sz w:val="16"/>
                <w:szCs w:val="16"/>
                <w:color w:val="auto"/>
                <w:w w:val="97"/>
              </w:rPr>
              <w:t>Certification pursuant to 18 U.S.C. Section 1350, as adopted pursuant to Section 906 of the Sarbanes-Oxley Act of 2002, by Chief Executive Officer</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84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4"/>
                <w:szCs w:val="14"/>
                <w:color w:val="auto"/>
              </w:rPr>
              <w:t>and Chief Financial Officer</w:t>
            </w:r>
          </w:p>
        </w:tc>
        <w:tc>
          <w:tcPr>
            <w:tcW w:w="8320" w:type="dxa"/>
            <w:vAlign w:val="bottom"/>
            <w:tcBorders>
              <w:top w:val="single" w:sz="8" w:color="auto"/>
            </w:tcBorders>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880" w:hanging="859"/>
        <w:spacing w:after="0" w:line="257" w:lineRule="auto"/>
        <w:tabs>
          <w:tab w:leader="none" w:pos="8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following materials from this Quarterly Report on Form 10-Q, formatted in Inline Extensible Business Reporting Language (iXBRL): (i) Consolidated Balance Sheets, (ii) Consolidated Statements of Operations, (iii) Consolidated Statements of Comprehensive Income, (iv) Consolidated Statements of Shareholders' Deficit, (v) Consolidated Statements of Cash Flows and (vi) Notes to Consolidated Financial Statements.</w:t>
      </w:r>
    </w:p>
    <w:p>
      <w:pPr>
        <w:spacing w:after="0" w:line="2" w:lineRule="exact"/>
        <w:rPr>
          <w:sz w:val="20"/>
          <w:szCs w:val="20"/>
          <w:color w:val="auto"/>
        </w:rPr>
      </w:pPr>
    </w:p>
    <w:p>
      <w:pPr>
        <w:ind w:left="880" w:hanging="859"/>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Cover Page Interactive Data File (formatted as iXBRL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1055" w:right="439" w:bottom="1440" w:gutter="0" w:footer="0" w:header="0"/>
        </w:sectPr>
      </w:pPr>
    </w:p>
    <w:bookmarkStart w:id="41" w:name="page42"/>
    <w:bookmarkEnd w:id="41"/>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131"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spacing w:after="0"/>
        <w:tabs>
          <w:tab w:leader="none" w:pos="2520" w:val="left"/>
        </w:tabs>
        <w:rPr>
          <w:sz w:val="20"/>
          <w:szCs w:val="20"/>
          <w:color w:val="auto"/>
        </w:rPr>
      </w:pPr>
      <w:r>
        <w:rPr>
          <w:rFonts w:ascii="Arial" w:cs="Arial" w:eastAsia="Arial" w:hAnsi="Arial"/>
          <w:sz w:val="17"/>
          <w:szCs w:val="17"/>
          <w:color w:val="auto"/>
        </w:rPr>
        <w:t>October 29, 2026</w:t>
      </w:r>
      <w:r>
        <w:rPr>
          <w:sz w:val="20"/>
          <w:szCs w:val="20"/>
          <w:color w:val="auto"/>
        </w:rPr>
        <w:tab/>
      </w:r>
      <w:r>
        <w:rPr>
          <w:rFonts w:ascii="Arial" w:cs="Arial" w:eastAsia="Arial" w:hAnsi="Arial"/>
          <w:sz w:val="17"/>
          <w:szCs w:val="17"/>
          <w:color w:val="auto"/>
        </w:rPr>
        <w:t>Cimpress plc</w:t>
      </w:r>
    </w:p>
    <w:p>
      <w:pPr>
        <w:spacing w:after="0" w:line="363" w:lineRule="exact"/>
        <w:rPr>
          <w:sz w:val="20"/>
          <w:szCs w:val="20"/>
          <w:color w:val="auto"/>
        </w:rPr>
      </w:pPr>
    </w:p>
    <w:p>
      <w:pPr>
        <w:ind w:left="5500"/>
        <w:spacing w:after="0"/>
        <w:tabs>
          <w:tab w:leader="none" w:pos="7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18415</wp:posOffset>
            </wp:positionV>
            <wp:extent cx="3296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96920" cy="8255"/>
                    </a:xfrm>
                    <a:prstGeom prst="rect">
                      <a:avLst/>
                    </a:prstGeom>
                    <a:noFill/>
                  </pic:spPr>
                </pic:pic>
              </a:graphicData>
            </a:graphic>
          </wp:anchor>
        </w:drawing>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Chief Financial Officer</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080"/>
          </w:cols>
          <w:pgMar w:left="320" w:top="1068" w:right="49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 Robert S. Keane, certify that:</w:t>
      </w:r>
    </w:p>
    <w:p>
      <w:pPr>
        <w:spacing w:after="0" w:line="116" w:lineRule="exact"/>
        <w:rPr>
          <w:sz w:val="20"/>
          <w:szCs w:val="20"/>
          <w:color w:val="auto"/>
        </w:rPr>
      </w:pPr>
    </w:p>
    <w:p>
      <w:pPr>
        <w:ind w:left="620" w:hanging="30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90" w:lineRule="exact"/>
        <w:rPr>
          <w:rFonts w:ascii="Arial" w:cs="Arial" w:eastAsia="Arial" w:hAnsi="Arial"/>
          <w:sz w:val="17"/>
          <w:szCs w:val="17"/>
          <w:color w:val="auto"/>
        </w:rPr>
      </w:pPr>
    </w:p>
    <w:p>
      <w:pPr>
        <w:ind w:left="620" w:right="200" w:hanging="305"/>
        <w:spacing w:after="0" w:line="243" w:lineRule="auto"/>
        <w:tabs>
          <w:tab w:leader="none" w:pos="6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20" w:right="260" w:hanging="305"/>
        <w:spacing w:after="0" w:line="224" w:lineRule="auto"/>
        <w:tabs>
          <w:tab w:leader="none" w:pos="6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74"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2" w:lineRule="exact"/>
        <w:rPr>
          <w:rFonts w:ascii="Arial" w:cs="Arial" w:eastAsia="Arial" w:hAnsi="Arial"/>
          <w:sz w:val="17"/>
          <w:szCs w:val="17"/>
          <w:color w:val="auto"/>
        </w:rPr>
      </w:pPr>
    </w:p>
    <w:p>
      <w:pPr>
        <w:ind w:left="1240" w:right="440" w:hanging="302"/>
        <w:spacing w:after="0" w:line="243" w:lineRule="auto"/>
        <w:tabs>
          <w:tab w:leader="none" w:pos="12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1240" w:right="20" w:hanging="302"/>
        <w:spacing w:after="0" w:line="243" w:lineRule="auto"/>
        <w:tabs>
          <w:tab w:leader="none" w:pos="1232"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1240" w:right="300" w:hanging="302"/>
        <w:spacing w:after="0" w:line="263" w:lineRule="auto"/>
        <w:tabs>
          <w:tab w:leader="none" w:pos="12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Date: October 29, 2026</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7062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36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 Sean E. Quinn, certify that:</w:t>
      </w:r>
    </w:p>
    <w:p>
      <w:pPr>
        <w:spacing w:after="0" w:line="87" w:lineRule="exact"/>
        <w:rPr>
          <w:sz w:val="20"/>
          <w:szCs w:val="20"/>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103" w:lineRule="exact"/>
        <w:rPr>
          <w:rFonts w:ascii="Arial" w:cs="Arial" w:eastAsia="Arial" w:hAnsi="Arial"/>
          <w:sz w:val="17"/>
          <w:szCs w:val="17"/>
          <w:color w:val="auto"/>
        </w:rPr>
      </w:pPr>
    </w:p>
    <w:p>
      <w:pPr>
        <w:ind w:left="620" w:right="200" w:hanging="305"/>
        <w:spacing w:after="0" w:line="236" w:lineRule="auto"/>
        <w:tabs>
          <w:tab w:leader="none" w:pos="60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620" w:right="260" w:hanging="305"/>
        <w:spacing w:after="0" w:line="232" w:lineRule="auto"/>
        <w:tabs>
          <w:tab w:leader="none" w:pos="60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61"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5" w:lineRule="exact"/>
        <w:rPr>
          <w:rFonts w:ascii="Arial" w:cs="Arial" w:eastAsia="Arial" w:hAnsi="Arial"/>
          <w:sz w:val="17"/>
          <w:szCs w:val="17"/>
          <w:color w:val="auto"/>
        </w:rPr>
      </w:pPr>
    </w:p>
    <w:p>
      <w:pPr>
        <w:ind w:left="1240" w:right="440" w:hanging="302"/>
        <w:spacing w:after="0" w:line="236" w:lineRule="auto"/>
        <w:tabs>
          <w:tab w:leader="none" w:pos="1229"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240" w:right="20" w:hanging="302"/>
        <w:spacing w:after="0" w:line="236" w:lineRule="auto"/>
        <w:tabs>
          <w:tab w:leader="none" w:pos="1232"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240" w:right="300" w:hanging="302"/>
        <w:spacing w:after="0" w:line="247" w:lineRule="auto"/>
        <w:tabs>
          <w:tab w:leader="none" w:pos="1229"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October 29, 2026</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18415</wp:posOffset>
            </wp:positionV>
            <wp:extent cx="17062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36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4" w:lineRule="exact"/>
        <w:rPr>
          <w:sz w:val="20"/>
          <w:szCs w:val="20"/>
          <w:color w:val="auto"/>
        </w:rPr>
      </w:pPr>
    </w:p>
    <w:p>
      <w:pPr>
        <w:ind w:right="180" w:firstLine="709"/>
        <w:spacing w:after="0" w:line="232" w:lineRule="auto"/>
        <w:rPr>
          <w:sz w:val="20"/>
          <w:szCs w:val="20"/>
          <w:color w:val="auto"/>
        </w:rPr>
      </w:pPr>
      <w:r>
        <w:rPr>
          <w:rFonts w:ascii="Arial" w:cs="Arial" w:eastAsia="Arial" w:hAnsi="Arial"/>
          <w:sz w:val="17"/>
          <w:szCs w:val="17"/>
          <w:color w:val="auto"/>
        </w:rPr>
        <w:t>In connection with the Quarterly Report on Form 10-Q of Cimpress plc (the “Company”) for the quarter ended September 30, 2026 as filed with the Securities and Exchange Commission on the date hereof (the “Report”), the undersigned, Robert S. Keane, Chief Executive Officer,</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and Sean E. Quinn, Chief Financial Officer, of the Company, each hereby certifies, pursuant to 18 U.S.C. Section 1350, that, to his knowledge on the date hereof:</w:t>
      </w:r>
    </w:p>
    <w:p>
      <w:pPr>
        <w:spacing w:after="0" w:line="57" w:lineRule="exact"/>
        <w:rPr>
          <w:sz w:val="20"/>
          <w:szCs w:val="20"/>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0" w:lineRule="exact"/>
        <w:rPr>
          <w:rFonts w:ascii="Arial" w:cs="Arial" w:eastAsia="Arial" w:hAnsi="Arial"/>
          <w:sz w:val="17"/>
          <w:szCs w:val="17"/>
          <w:color w:val="auto"/>
        </w:rPr>
      </w:pPr>
    </w:p>
    <w:p>
      <w:pPr>
        <w:ind w:left="620" w:right="460" w:hanging="305"/>
        <w:spacing w:after="0" w:line="263" w:lineRule="auto"/>
        <w:tabs>
          <w:tab w:leader="none" w:pos="60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7"/>
                <w:szCs w:val="17"/>
                <w:color w:val="auto"/>
              </w:rPr>
              <w:t>Date: October 29, 2026</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S. Keane</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781"/>
        </w:trPr>
        <w:tc>
          <w:tcPr>
            <w:tcW w:w="8160" w:type="dxa"/>
            <w:vAlign w:val="bottom"/>
          </w:tcPr>
          <w:p>
            <w:pPr>
              <w:spacing w:after="0"/>
              <w:rPr>
                <w:sz w:val="20"/>
                <w:szCs w:val="20"/>
                <w:color w:val="auto"/>
              </w:rPr>
            </w:pPr>
            <w:r>
              <w:rPr>
                <w:rFonts w:ascii="Arial" w:cs="Arial" w:eastAsia="Arial" w:hAnsi="Arial"/>
                <w:sz w:val="17"/>
                <w:szCs w:val="17"/>
                <w:color w:val="auto"/>
              </w:rPr>
              <w:t>Date: October 29, 2026</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E. Quinn</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lvl w:ilvl="1">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2026-10-29T17:14:40Z</dcterms:created>
  <dcterms:modified xsi:type="dcterms:W3CDTF">2026-10-29T17:14:40Z</dcterms:modified>
</cp:coreProperties>
</file>