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380" w:hanging="259"/>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December 31, 2023</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ind w:left="380" w:hanging="259"/>
        <w:spacing w:after="0" w:line="207" w:lineRule="auto"/>
        <w:tabs>
          <w:tab w:leader="none" w:pos="38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380"/>
        <w:spacing w:after="0"/>
        <w:tabs>
          <w:tab w:leader="none" w:pos="30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252" w:lineRule="exact"/>
        <w:rPr>
          <w:sz w:val="24"/>
          <w:szCs w:val="24"/>
          <w:color w:val="auto"/>
        </w:rPr>
      </w:pPr>
    </w:p>
    <w:p>
      <w:pPr>
        <w:ind w:left="1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7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January 29, 2024, there were 26,636,591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December 31, 2023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December 31, 2023 and June 30, 2023</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and six months ended December 31, 2023 and 2022</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Income (Loss) for the three and six months ended December 31, 2023 and 2022</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and six months ended December 31, 2023 and 2022</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six months ended December 31, 2023 and 2022</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3. 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Item 1A. Risk Factors</w:t>
            </w:r>
          </w:p>
        </w:tc>
        <w:tc>
          <w:tcPr>
            <w:tcW w:w="816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5.</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Other Information</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274,208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130,313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17,239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38,540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$7,470 and $6,630,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63,222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67,353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104,635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107,835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118,730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96,986</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578,034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441,027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276,901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287,574</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69,228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76,776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95,315</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12,740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790,967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781,541</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90,617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109,196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 non-current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32,647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46,193</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1,947,989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1,854,859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343,997</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265,461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257,109</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45,113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44,698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10,713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20,403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22,559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21,649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24,469</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707,706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645,332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44,611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47,351</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1,600,942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1,627,243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56,668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81,704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90,058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2,486,513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2,466,652</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 (Note 10)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13,392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10,893</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8240" w:type="dxa"/>
            <w:vAlign w:val="bottom"/>
          </w:tcPr>
          <w:p>
            <w:pPr>
              <w:ind w:left="220"/>
              <w:spacing w:after="0" w:line="157" w:lineRule="exact"/>
              <w:rPr>
                <w:sz w:val="20"/>
                <w:szCs w:val="20"/>
                <w:color w:val="auto"/>
              </w:rPr>
            </w:pPr>
            <w:r>
              <w:rPr>
                <w:rFonts w:ascii="Arial" w:cs="Arial" w:eastAsia="Arial" w:hAnsi="Arial"/>
                <w:sz w:val="16"/>
                <w:szCs w:val="16"/>
                <w:color w:val="auto"/>
              </w:rPr>
              <w:t>Ordinary shares, nominal value €0.01 per share, 100,000,000 shares authorized; 44,604,367 and 44,315,855</w:t>
            </w: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shares issued, respectively; 26,633,120 and 26,344,608 shares outstanding, respectively</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560,019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539,454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297,590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235,396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(623,145)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(Note 10)</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(622,686)</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1,947,989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1,854,859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921,363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845,202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1,678,657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1,548,617</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463,423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455,393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862,206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833,128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79,961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152,198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211,843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404,031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406,078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48,793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103,863</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9,181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19,067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24,712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 (1)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13,027</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107,679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141,779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15,611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(30,588)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(53,403)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77,049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(12,411)</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89,740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(27,787)</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16,795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24,917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135,494</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60,254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64,823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(163,281)</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Add: 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Net income (loss) attributable to Cimpress plc</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58,105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62,659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net income (loss) per share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4720" w:type="dxa"/>
            <w:vAlign w:val="bottom"/>
          </w:tcPr>
          <w:p>
            <w:pPr>
              <w:spacing w:after="0" w:line="180" w:lineRule="exact"/>
              <w:rPr>
                <w:sz w:val="20"/>
                <w:szCs w:val="20"/>
                <w:color w:val="auto"/>
              </w:rPr>
            </w:pPr>
            <w:r>
              <w:rPr>
                <w:rFonts w:ascii="Arial" w:cs="Arial" w:eastAsia="Arial" w:hAnsi="Arial"/>
                <w:sz w:val="16"/>
                <w:szCs w:val="16"/>
                <w:color w:val="auto"/>
              </w:rPr>
              <w:t>Diluted net income (loss) per share attributable to Cimpress plc</w:t>
            </w: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2.14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(5.34)</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2.31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 basic</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26,609,929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26,234,747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26,539,349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26,206,782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4720" w:type="dxa"/>
            <w:vAlign w:val="bottom"/>
          </w:tcPr>
          <w:p>
            <w:pPr>
              <w:spacing w:after="0" w:line="180" w:lineRule="exact"/>
              <w:rPr>
                <w:sz w:val="20"/>
                <w:szCs w:val="20"/>
                <w:color w:val="auto"/>
              </w:rPr>
            </w:pPr>
            <w:r>
              <w:rPr>
                <w:rFonts w:ascii="Arial" w:cs="Arial" w:eastAsia="Arial" w:hAnsi="Arial"/>
                <w:sz w:val="16"/>
                <w:szCs w:val="16"/>
                <w:color w:val="auto"/>
              </w:rPr>
              <w:t>Weighted average shares outstanding — diluted</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27,179,073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26,234,747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27,129,264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26,206,782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78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24"/>
                <w:szCs w:val="24"/>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5,700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9,909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7,308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8,631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14,490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10,134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64,823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(163,281)</w:t>
            </w:r>
          </w:p>
        </w:tc>
        <w:tc>
          <w:tcPr>
            <w:tcW w:w="0" w:type="dxa"/>
            <w:vAlign w:val="bottom"/>
          </w:tcPr>
          <w:p>
            <w:pPr>
              <w:spacing w:after="0"/>
              <w:rPr>
                <w:sz w:val="1"/>
                <w:szCs w:val="1"/>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gains, net of hedges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157"/>
        </w:trPr>
        <w:tc>
          <w:tcPr>
            <w:tcW w:w="4720" w:type="dxa"/>
            <w:vAlign w:val="bottom"/>
          </w:tcPr>
          <w:p>
            <w:pPr>
              <w:ind w:left="200"/>
              <w:spacing w:after="0" w:line="157" w:lineRule="exact"/>
              <w:rPr>
                <w:sz w:val="20"/>
                <w:szCs w:val="20"/>
                <w:color w:val="auto"/>
              </w:rPr>
            </w:pPr>
            <w:r>
              <w:rPr>
                <w:rFonts w:ascii="Arial" w:cs="Arial" w:eastAsia="Arial" w:hAnsi="Arial"/>
                <w:sz w:val="16"/>
                <w:szCs w:val="16"/>
                <w:color w:val="auto"/>
              </w:rPr>
              <w:t>Net unrealized (losses) gains on derivative instruments</w:t>
            </w:r>
          </w:p>
        </w:tc>
        <w:tc>
          <w:tcPr>
            <w:tcW w:w="9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(10,271)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(5,649)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6"/>
                <w:szCs w:val="16"/>
                <w:color w:val="auto"/>
              </w:rPr>
              <w:t>11,111</w:t>
            </w:r>
          </w:p>
        </w:tc>
        <w:tc>
          <w:tcPr>
            <w:tcW w:w="0" w:type="dxa"/>
            <w:vAlign w:val="bottom"/>
          </w:tcPr>
          <w:p>
            <w:pPr>
              <w:spacing w:after="0"/>
              <w:rPr>
                <w:sz w:val="1"/>
                <w:szCs w:val="1"/>
                <w:color w:val="auto"/>
              </w:rPr>
            </w:pPr>
          </w:p>
        </w:tc>
      </w:tr>
      <w:tr>
        <w:trPr>
          <w:trHeight w:val="206"/>
        </w:trPr>
        <w:tc>
          <w:tcPr>
            <w:tcW w:w="4720" w:type="dxa"/>
            <w:vAlign w:val="bottom"/>
          </w:tcPr>
          <w:p>
            <w:pPr>
              <w:ind w:left="200"/>
              <w:spacing w:after="0"/>
              <w:rPr>
                <w:sz w:val="20"/>
                <w:szCs w:val="20"/>
                <w:color w:val="auto"/>
              </w:rPr>
            </w:pPr>
            <w:r>
              <w:rPr>
                <w:rFonts w:ascii="Arial" w:cs="Arial" w:eastAsia="Arial" w:hAnsi="Arial"/>
                <w:sz w:val="16"/>
                <w:szCs w:val="16"/>
                <w:color w:val="auto"/>
              </w:rPr>
              <w:t>designated and qualifying as cash flow hedges</w:t>
            </w:r>
          </w:p>
        </w:tc>
        <w:tc>
          <w:tcPr>
            <w:tcW w:w="9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Amounts reclassified from accumulated other comprehensive</w:t>
            </w:r>
          </w:p>
        </w:tc>
        <w:tc>
          <w:tcPr>
            <w:tcW w:w="9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to net income (loss) for derivative instruments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9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47,985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(129,933)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52,898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(149,034)</w:t>
            </w: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w w:val="99"/>
              </w:rPr>
              <w:t>Add: Comprehensive (income) loss attributable to noncontrolling</w:t>
            </w:r>
          </w:p>
        </w:tc>
        <w:tc>
          <w:tcPr>
            <w:tcW w:w="9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tcPr>
          <w:p>
            <w:pPr>
              <w:spacing w:after="0"/>
              <w:rPr>
                <w:sz w:val="20"/>
                <w:szCs w:val="20"/>
                <w:color w:val="auto"/>
              </w:rPr>
            </w:pPr>
            <w:r>
              <w:rPr>
                <w:rFonts w:ascii="Arial" w:cs="Arial" w:eastAsia="Arial" w:hAnsi="Arial"/>
                <w:sz w:val="16"/>
                <w:szCs w:val="16"/>
                <w:color w:val="auto"/>
              </w:rPr>
              <w:t>Total comprehensive income (loss) attributable to Cimpress plc</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45,504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(127,918)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50,496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(146,372)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80" w:top="861" w:right="37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2"/>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44,084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501,003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414,138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w w:val="98"/>
              </w:rPr>
              <w:t>Restricted share units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10,653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(25,441)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(25,441)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4"/>
                <w:szCs w:val="14"/>
                <w:color w:val="auto"/>
              </w:rPr>
              <w:t>13,822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13,822</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44,196</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509,444</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385,972</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(40,141)</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(507,660)</w:t>
            </w:r>
          </w:p>
        </w:tc>
        <w:tc>
          <w:tcPr>
            <w:tcW w:w="0" w:type="dxa"/>
            <w:vAlign w:val="bottom"/>
          </w:tcPr>
          <w:p>
            <w:pPr>
              <w:spacing w:after="0"/>
              <w:rPr>
                <w:sz w:val="1"/>
                <w:szCs w:val="1"/>
                <w:color w:val="auto"/>
              </w:rPr>
            </w:pPr>
          </w:p>
        </w:tc>
      </w:tr>
      <w:tr>
        <w:trPr>
          <w:trHeight w:val="180"/>
        </w:trPr>
        <w:tc>
          <w:tcPr>
            <w:tcW w:w="1860" w:type="dxa"/>
            <w:vAlign w:val="bottom"/>
          </w:tcPr>
          <w:p>
            <w:pPr>
              <w:ind w:left="2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w w:val="98"/>
              </w:rPr>
              <w:t>Restricted share units vested,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12,245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12,245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10,180</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14,595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14,595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44,211</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521,531</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256,152</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(28,059)</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(613,311)</w:t>
            </w:r>
          </w:p>
        </w:tc>
        <w:tc>
          <w:tcPr>
            <w:tcW w:w="0" w:type="dxa"/>
            <w:vAlign w:val="bottom"/>
          </w:tcPr>
          <w:p>
            <w:pPr>
              <w:spacing w:after="0"/>
              <w:rPr>
                <w:sz w:val="1"/>
                <w:szCs w:val="1"/>
                <w:color w:val="auto"/>
              </w:rPr>
            </w:pPr>
          </w:p>
        </w:tc>
      </w:tr>
      <w:tr>
        <w:trPr>
          <w:trHeight w:val="154"/>
        </w:trPr>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2"/>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44,316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Restricted share units vested,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44,554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543,754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239,620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(34,622)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(614,183)</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Restricted share units vested,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18,051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18,051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58,105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loss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44,604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560,019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297,590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(47,223)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(552,543)</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Six Months Ended 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64,823</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(163,281)</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79,031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81,816</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30,102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22,671</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116,927</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early extinguishment of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Unrealized loss on derivatives not designated as hedging instruments included in net income (loss)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4,868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25,897</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(4,982)</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11,908</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(5,465)</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(26,249)</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881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(13,176)</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55,017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10,960</w:t>
            </w:r>
          </w:p>
        </w:tc>
      </w:tr>
      <w:tr>
        <w:trPr>
          <w:trHeight w:val="207"/>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217,200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55,875</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5,988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1,365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25,916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32,330</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(16,586)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early redemption of 7% Senior Notes due 2026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(95,567)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(3,652)</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(112,715)</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4,245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1,765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held for sale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143,895</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(165,774)</w:t>
            </w: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130,313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277,053</w:t>
            </w: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274,208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111,279</w:t>
            </w: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Six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2022</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66,646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50,820</w:t>
            </w:r>
          </w:p>
        </w:tc>
      </w:tr>
      <w:tr>
        <w:trPr>
          <w:trHeight w:val="207"/>
        </w:trPr>
        <w:tc>
          <w:tcPr>
            <w:tcW w:w="804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26,434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11,166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during the period for:</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420"/>
              <w:spacing w:after="0"/>
              <w:rPr>
                <w:sz w:val="20"/>
                <w:szCs w:val="20"/>
                <w:color w:val="auto"/>
              </w:rPr>
            </w:pPr>
            <w:r>
              <w:rPr>
                <w:rFonts w:ascii="Arial" w:cs="Arial" w:eastAsia="Arial" w:hAnsi="Arial"/>
                <w:sz w:val="16"/>
                <w:szCs w:val="16"/>
                <w:color w:val="auto"/>
              </w:rPr>
              <w:t>Interest</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6,165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5,028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2,209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8,643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9,903</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82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6,838</w:t>
            </w: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8"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3"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209"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medium-term notes. We invest in securities with a remaining maturity of two years or less. As the investments are classified as held-to-maturity, they are recorded at amortized cost and interest income is recorded as it is earned within interest expense, net.</w:t>
      </w:r>
    </w:p>
    <w:p>
      <w:pPr>
        <w:spacing w:after="0" w:line="154"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and six months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 w:name="page11"/>
    <w:bookmarkEnd w:id="10"/>
    <w:p>
      <w:pPr>
        <w:ind w:right="720" w:firstLine="623"/>
        <w:spacing w:after="0" w:line="295" w:lineRule="auto"/>
        <w:rPr>
          <w:sz w:val="20"/>
          <w:szCs w:val="20"/>
          <w:color w:val="auto"/>
        </w:rPr>
      </w:pPr>
      <w:r>
        <w:rPr>
          <w:rFonts w:ascii="Arial" w:cs="Arial" w:eastAsia="Arial" w:hAnsi="Arial"/>
          <w:sz w:val="17"/>
          <w:szCs w:val="17"/>
          <w:color w:val="auto"/>
        </w:rPr>
        <w:t>The following is a summary of the net carrying amount, unrealized losses, and fair value of held-to-maturity securities by type and contractual maturity as of December 31, 2023 and June 30,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Unrealized losses</w:t>
            </w:r>
          </w:p>
        </w:tc>
        <w:tc>
          <w:tcPr>
            <w:tcW w:w="260" w:type="dxa"/>
            <w:vAlign w:val="bottom"/>
          </w:tcPr>
          <w:p>
            <w:pPr>
              <w:spacing w:after="0"/>
              <w:rPr>
                <w:sz w:val="16"/>
                <w:szCs w:val="16"/>
                <w:color w:val="auto"/>
              </w:rPr>
            </w:pPr>
          </w:p>
        </w:tc>
        <w:tc>
          <w:tcPr>
            <w:tcW w:w="1180" w:type="dxa"/>
            <w:vAlign w:val="bottom"/>
          </w:tcPr>
          <w:p>
            <w:pPr>
              <w:jc w:val="right"/>
              <w:ind w:right="323"/>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12,247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12,189</w:t>
            </w:r>
          </w:p>
        </w:tc>
      </w:tr>
      <w:tr>
        <w:trPr>
          <w:trHeight w:val="208"/>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4,959</w:t>
            </w: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17,148</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94"/>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June 30, 2023</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Unrealized losses</w:t>
            </w:r>
          </w:p>
        </w:tc>
        <w:tc>
          <w:tcPr>
            <w:tcW w:w="260" w:type="dxa"/>
            <w:vAlign w:val="bottom"/>
          </w:tcPr>
          <w:p>
            <w:pPr>
              <w:spacing w:after="0"/>
              <w:rPr>
                <w:sz w:val="16"/>
                <w:szCs w:val="16"/>
                <w:color w:val="auto"/>
              </w:rPr>
            </w:pPr>
          </w:p>
        </w:tc>
        <w:tc>
          <w:tcPr>
            <w:tcW w:w="1180" w:type="dxa"/>
            <w:vAlign w:val="bottom"/>
          </w:tcPr>
          <w:p>
            <w:pPr>
              <w:jc w:val="right"/>
              <w:ind w:right="323"/>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15,982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15,972</w:t>
            </w:r>
          </w:p>
        </w:tc>
      </w:tr>
      <w:tr>
        <w:trPr>
          <w:trHeight w:val="209"/>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w:t>
            </w:r>
          </w:p>
        </w:tc>
      </w:tr>
      <w:tr>
        <w:trPr>
          <w:trHeight w:val="207"/>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due within one year or less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38,271</w:t>
            </w:r>
          </w:p>
        </w:tc>
      </w:tr>
      <w:tr>
        <w:trPr>
          <w:trHeight w:val="17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Due between one and two years: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07"/>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r>
      <w:tr>
        <w:trPr>
          <w:trHeight w:val="20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due between one and two years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42,667</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Income, Net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6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940" w:type="dxa"/>
            <w:vAlign w:val="bottom"/>
            <w:vMerge w:val="restart"/>
            <w:shd w:val="clear" w:color="auto" w:fill="CCEEFF"/>
          </w:tcPr>
          <w:p>
            <w:pPr>
              <w:jc w:val="right"/>
              <w:ind w:right="771"/>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(24,196)</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 (1)</w:t>
            </w:r>
          </w:p>
        </w:tc>
        <w:tc>
          <w:tcPr>
            <w:tcW w:w="9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Arial" w:cs="Arial" w:eastAsia="Arial" w:hAnsi="Arial"/>
                <w:sz w:val="16"/>
                <w:szCs w:val="16"/>
                <w:color w:val="auto"/>
              </w:rPr>
              <w:t>Currency-related gains, net (2)</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6"/>
                <w:szCs w:val="16"/>
                <w:color w:val="auto"/>
              </w:rPr>
              <w:t>10,363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2"/>
        </w:trPr>
        <w:tc>
          <w:tcPr>
            <w:tcW w:w="464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(17,392)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6,028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14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losses of $2,539 and $488 for the three and six months ended December 31, 2023, respectively, and gains of $16,368 and $30,988 for the three and six months ended December 31, 2022, respectively. Refer to Note 4 for additional details relating to our derivative contracts.</w:t>
      </w:r>
    </w:p>
    <w:p>
      <w:pPr>
        <w:spacing w:after="0" w:line="48" w:lineRule="exact"/>
        <w:rPr>
          <w:rFonts w:ascii="Arial" w:cs="Arial" w:eastAsia="Arial" w:hAnsi="Arial"/>
          <w:sz w:val="14"/>
          <w:szCs w:val="14"/>
          <w:color w:val="auto"/>
        </w:rPr>
      </w:pPr>
    </w:p>
    <w:p>
      <w:pPr>
        <w:ind w:left="240" w:right="18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gains,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 Per Share Attributable to Cimpress plc</w:t>
      </w:r>
    </w:p>
    <w:p>
      <w:pPr>
        <w:spacing w:after="0" w:line="209"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Basic net income (loss) per share attributable to Cimpress plc is computed by dividing net income (loss) attributable to Cimpress plc by the weighted-average number of ordinary shares outstanding for the respective period. Diluted net income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60" w:type="dxa"/>
            <w:vAlign w:val="bottom"/>
            <w:gridSpan w:val="4"/>
          </w:tcPr>
          <w:p>
            <w:pPr>
              <w:ind w:left="660"/>
              <w:spacing w:after="0"/>
              <w:rPr>
                <w:sz w:val="20"/>
                <w:szCs w:val="20"/>
                <w:color w:val="auto"/>
              </w:rPr>
            </w:pPr>
            <w:r>
              <w:rPr>
                <w:rFonts w:ascii="Arial" w:cs="Arial" w:eastAsia="Arial" w:hAnsi="Arial"/>
                <w:sz w:val="12"/>
                <w:szCs w:val="12"/>
                <w:b w:val="1"/>
                <w:bCs w:val="1"/>
                <w:color w:val="auto"/>
              </w:rPr>
              <w:t>Three Months Ended December 31,</w:t>
            </w:r>
          </w:p>
        </w:tc>
        <w:tc>
          <w:tcPr>
            <w:tcW w:w="3340" w:type="dxa"/>
            <w:vAlign w:val="bottom"/>
            <w:gridSpan w:val="3"/>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26,609,929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26,234,747</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26,539,349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26,206,782</w:t>
            </w:r>
          </w:p>
        </w:tc>
        <w:tc>
          <w:tcPr>
            <w:tcW w:w="0" w:type="dxa"/>
            <w:vAlign w:val="bottom"/>
          </w:tcPr>
          <w:p>
            <w:pPr>
              <w:spacing w:after="0"/>
              <w:rPr>
                <w:sz w:val="1"/>
                <w:szCs w:val="1"/>
                <w:color w:val="auto"/>
              </w:rPr>
            </w:pPr>
          </w:p>
        </w:tc>
      </w:tr>
      <w:tr>
        <w:trPr>
          <w:trHeight w:val="157"/>
        </w:trPr>
        <w:tc>
          <w:tcPr>
            <w:tcW w:w="4440" w:type="dxa"/>
            <w:vAlign w:val="bottom"/>
          </w:tcPr>
          <w:p>
            <w:pPr>
              <w:ind w:left="20"/>
              <w:spacing w:after="0" w:line="157" w:lineRule="exact"/>
              <w:rPr>
                <w:sz w:val="20"/>
                <w:szCs w:val="20"/>
                <w:color w:val="auto"/>
              </w:rPr>
            </w:pPr>
            <w:r>
              <w:rPr>
                <w:rFonts w:ascii="Arial" w:cs="Arial" w:eastAsia="Arial" w:hAnsi="Arial"/>
                <w:sz w:val="16"/>
                <w:szCs w:val="16"/>
                <w:color w:val="auto"/>
              </w:rPr>
              <w:t>Weighted average shares issuable upon exercise/vesting of</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569,144</w:t>
            </w:r>
          </w:p>
        </w:tc>
        <w:tc>
          <w:tcPr>
            <w:tcW w:w="100" w:type="dxa"/>
            <w:vAlign w:val="bottom"/>
          </w:tcPr>
          <w:p>
            <w:pPr>
              <w:spacing w:after="0"/>
              <w:rPr>
                <w:sz w:val="13"/>
                <w:szCs w:val="13"/>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589,915</w:t>
            </w:r>
          </w:p>
        </w:tc>
        <w:tc>
          <w:tcPr>
            <w:tcW w:w="10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40" w:type="dxa"/>
            <w:vAlign w:val="bottom"/>
          </w:tcPr>
          <w:p>
            <w:pPr>
              <w:ind w:left="20"/>
              <w:spacing w:after="0"/>
              <w:rPr>
                <w:sz w:val="20"/>
                <w:szCs w:val="20"/>
                <w:color w:val="auto"/>
              </w:rPr>
            </w:pPr>
            <w:r>
              <w:rPr>
                <w:rFonts w:ascii="Arial" w:cs="Arial" w:eastAsia="Arial" w:hAnsi="Arial"/>
                <w:sz w:val="16"/>
                <w:szCs w:val="16"/>
                <w:color w:val="auto"/>
              </w:rPr>
              <w:t>outstanding share options/RSUs/warrants (1)(2)</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4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Shares used in computing diluted net income (loss) per share</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27,179,073</w:t>
            </w:r>
          </w:p>
        </w:tc>
        <w:tc>
          <w:tcPr>
            <w:tcW w:w="1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26,234,747</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27,129,264</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26,206,782</w:t>
            </w:r>
          </w:p>
        </w:tc>
        <w:tc>
          <w:tcPr>
            <w:tcW w:w="0" w:type="dxa"/>
            <w:vAlign w:val="bottom"/>
          </w:tcPr>
          <w:p>
            <w:pPr>
              <w:spacing w:after="0"/>
              <w:rPr>
                <w:sz w:val="1"/>
                <w:szCs w:val="1"/>
                <w:color w:val="auto"/>
              </w:rPr>
            </w:pPr>
          </w:p>
        </w:tc>
      </w:tr>
      <w:tr>
        <w:trPr>
          <w:trHeight w:val="201"/>
        </w:trPr>
        <w:tc>
          <w:tcPr>
            <w:tcW w:w="44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attributable to Cimpress plc</w:t>
            </w: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7"/>
              </w:rPr>
              <w:t>Weighted average anti-dilutive shares excluded from diluted net</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40" w:type="dxa"/>
            <w:vAlign w:val="bottom"/>
            <w:vMerge w:val="continue"/>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192,204</w:t>
            </w:r>
          </w:p>
        </w:tc>
        <w:tc>
          <w:tcPr>
            <w:tcW w:w="100" w:type="dxa"/>
            <w:vAlign w:val="bottom"/>
          </w:tcPr>
          <w:p>
            <w:pPr>
              <w:spacing w:after="0"/>
              <w:rPr>
                <w:sz w:val="8"/>
                <w:szCs w:val="8"/>
                <w:color w:val="auto"/>
              </w:rPr>
            </w:pPr>
          </w:p>
        </w:tc>
        <w:tc>
          <w:tcPr>
            <w:tcW w:w="1640" w:type="dxa"/>
            <w:vAlign w:val="bottom"/>
            <w:vMerge w:val="restart"/>
          </w:tcPr>
          <w:p>
            <w:pPr>
              <w:jc w:val="right"/>
              <w:ind w:right="6"/>
              <w:spacing w:after="0"/>
              <w:rPr>
                <w:sz w:val="20"/>
                <w:szCs w:val="20"/>
                <w:color w:val="auto"/>
              </w:rPr>
            </w:pPr>
            <w:r>
              <w:rPr>
                <w:rFonts w:ascii="Arial" w:cs="Arial" w:eastAsia="Arial" w:hAnsi="Arial"/>
                <w:sz w:val="16"/>
                <w:szCs w:val="16"/>
                <w:color w:val="auto"/>
              </w:rPr>
              <w:t>3,286,936</w:t>
            </w:r>
          </w:p>
        </w:tc>
        <w:tc>
          <w:tcPr>
            <w:tcW w:w="100" w:type="dxa"/>
            <w:vAlign w:val="bottom"/>
          </w:tcPr>
          <w:p>
            <w:pPr>
              <w:spacing w:after="0"/>
              <w:rPr>
                <w:sz w:val="8"/>
                <w:szCs w:val="8"/>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189,927</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2,987,875</w:t>
            </w:r>
          </w:p>
        </w:tc>
        <w:tc>
          <w:tcPr>
            <w:tcW w:w="0" w:type="dxa"/>
            <w:vAlign w:val="bottom"/>
          </w:tcPr>
          <w:p>
            <w:pPr>
              <w:spacing w:after="0"/>
              <w:rPr>
                <w:sz w:val="1"/>
                <w:szCs w:val="1"/>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6"/>
                <w:szCs w:val="16"/>
                <w:color w:val="auto"/>
              </w:rPr>
              <w:t>income (loss) per share attributable to Cimpress plc (1)</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01" w:lineRule="exact"/>
        <w:rPr>
          <w:sz w:val="20"/>
          <w:szCs w:val="20"/>
          <w:color w:val="auto"/>
        </w:rPr>
      </w:pPr>
    </w:p>
    <w:p>
      <w:pPr>
        <w:ind w:left="240" w:right="80" w:hanging="236"/>
        <w:spacing w:after="0" w:line="281"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RSUs and warrants is excluded from shares used in computed diluted net income (loss) per share as it is anti-dilutive. Any equity awards that have a performance condition are not included in dilutive or anti-dilutive shares until the performance condition is met.</w:t>
      </w:r>
    </w:p>
    <w:p>
      <w:pPr>
        <w:spacing w:after="0" w:line="51" w:lineRule="exact"/>
        <w:rPr>
          <w:rFonts w:ascii="Arial" w:cs="Arial" w:eastAsia="Arial" w:hAnsi="Arial"/>
          <w:sz w:val="14"/>
          <w:szCs w:val="14"/>
          <w:color w:val="auto"/>
        </w:rPr>
      </w:pPr>
    </w:p>
    <w:p>
      <w:pPr>
        <w:jc w:val="both"/>
        <w:ind w:left="240" w:right="20" w:hanging="236"/>
        <w:spacing w:after="0" w:line="270" w:lineRule="auto"/>
        <w:tabs>
          <w:tab w:leader="none" w:pos="214"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May 1, 2020, we entered into a financing arrangement with Apollo Global Management, Inc., which included 7-year warrants to purchase 1,055,377 of our ordinary shares with a strike price of $60 that have a potentially dilutive impact on our weighted average shares outstanding. For the three and six months ended December 31, 2023, the average market price of our ordinary shares was higher than the strike price of the warrants, as such the weighted average dilutive effect of the warrants was 146,506 and 122,412, respectively.</w:t>
      </w:r>
    </w:p>
    <w:p>
      <w:pPr>
        <w:ind w:left="240" w:right="520"/>
        <w:spacing w:after="0" w:line="263" w:lineRule="auto"/>
        <w:rPr>
          <w:rFonts w:ascii="Arial" w:cs="Arial" w:eastAsia="Arial" w:hAnsi="Arial"/>
          <w:sz w:val="13"/>
          <w:szCs w:val="13"/>
          <w:color w:val="auto"/>
        </w:rPr>
      </w:pPr>
      <w:r>
        <w:rPr>
          <w:rFonts w:ascii="Arial" w:cs="Arial" w:eastAsia="Arial" w:hAnsi="Arial"/>
          <w:sz w:val="14"/>
          <w:szCs w:val="14"/>
          <w:color w:val="auto"/>
        </w:rPr>
        <w:t>For the three and six months ended December 31, 2022, the average market price of our ordinary shares was lower than the strike price of the warrants; therefore, the total 1,055,377 outstanding warrants were considered anti-dilutive.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8" w:lineRule="exact"/>
        <w:rPr>
          <w:sz w:val="20"/>
          <w:szCs w:val="20"/>
          <w:color w:val="auto"/>
        </w:rPr>
      </w:pPr>
    </w:p>
    <w:p>
      <w:pPr>
        <w:ind w:right="220" w:firstLine="623"/>
        <w:spacing w:after="0" w:line="295" w:lineRule="auto"/>
        <w:rPr>
          <w:sz w:val="20"/>
          <w:szCs w:val="20"/>
          <w:color w:val="auto"/>
        </w:rPr>
      </w:pPr>
      <w:r>
        <w:rPr>
          <w:rFonts w:ascii="Arial" w:cs="Arial" w:eastAsia="Arial" w:hAnsi="Arial"/>
          <w:sz w:val="17"/>
          <w:szCs w:val="17"/>
          <w:color w:val="auto"/>
        </w:rPr>
        <w:t>Total share-based compensation costs were $17,649 and $30,102 for the three and six months ended December 31, 2023, respectively, as compared to $12,040 and $22,671 for the three and six months ended December 31, 2022.</w:t>
      </w:r>
    </w:p>
    <w:p>
      <w:pPr>
        <w:spacing w:after="0" w:line="168" w:lineRule="exact"/>
        <w:rPr>
          <w:sz w:val="20"/>
          <w:szCs w:val="20"/>
          <w:color w:val="auto"/>
        </w:rPr>
      </w:pPr>
    </w:p>
    <w:p>
      <w:pPr>
        <w:ind w:right="120" w:firstLine="623"/>
        <w:spacing w:after="0" w:line="260" w:lineRule="auto"/>
        <w:rPr>
          <w:sz w:val="20"/>
          <w:szCs w:val="20"/>
          <w:color w:val="auto"/>
        </w:rPr>
      </w:pPr>
      <w:r>
        <w:rPr>
          <w:rFonts w:ascii="Arial" w:cs="Arial" w:eastAsia="Arial" w:hAnsi="Arial"/>
          <w:sz w:val="17"/>
          <w:szCs w:val="17"/>
          <w:color w:val="auto"/>
        </w:rPr>
        <w:t>During the first half of fiscal year 2024, we issued PSUs (the "2024 PSUs") as part of our long-term incentive program. The 2024 PSUs include both a service and performance condition, and the related expense is recognized using an accelerated expense attribution over the requisite service period for each separately vesting portion of the award. The performance condition for these awards is based on one-year financial targets for fiscal year 2024 revenue, adjusted EBITDA, and unlevered free cash flow. Actual shares issued for each grant will range from 0% to 160% of the number of 2024 PSUs granted based on the attainment of the performance condition. Share-based compensation expense for these awards will be recognized on an accelerated basis using the grant date fair value and our estimated attainment percentage of the related performance condition. Until the performance condition is measured during the first fiscal quarter following the end of fiscal year 2024, changes in the estimated attainment percentages may cause expense volatility since a cumulative expense adjustment will be recognized in the period a change occurs.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Held for Sale</w:t>
      </w:r>
    </w:p>
    <w:p>
      <w:pPr>
        <w:spacing w:after="0" w:line="248"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During the first quarter of fiscal year 2024, we began marketing our customer service facility located in Montego Bay, Jamaica for sale as part of the ongoing efforts to optimize our real estate footprint with many of our team members in Jamaica operating under a remote-first model. As such, we continue to classify the facility as held for sale, which has a carrying value of $16,595 recognized within prepaid expenses and other current assets in the consolidated balance sheet as of December 31, 2023. We have not recognized any losses on the planned sale of these assets, since the expected sale price less selling costs remains above the carrying value.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Adopted Accounting Standards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Supply Chain Finance Programs</w:t>
      </w:r>
    </w:p>
    <w:p>
      <w:pPr>
        <w:spacing w:after="0" w:line="168"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In September 2022, the FASB issued Accounting Standards Update No. 2022-04 "Liabilities - Supplier Finance Programs (Subtopic 405-50): Disclosure of Supplier Finance Program Obligations" (ASU 2022-04), which provides authoritative guidance about expanded disclosure requirements for supply chain finance programs. The new standard requires disclosure of the key terms of outstanding supply chain finance programs and a rollforward of the related amounts due to suppliers participating in these programs. The adoption of the new disclosure requirements was effective for the current quarter, except for a rollforward of activity within supply chain finance programs, which is effective as part of our annual disclosures for fiscal year 2025. The adoption of the new standard did not have an impact on our consolidated financial statements.</w:t>
      </w:r>
    </w:p>
    <w:p>
      <w:pPr>
        <w:spacing w:after="0" w:line="199"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199"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December 31, 2023 and June 30, 2023 were $55,777 and $44,522,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to be Adopted</w:t>
      </w:r>
    </w:p>
    <w:p>
      <w:pPr>
        <w:spacing w:after="0" w:line="168"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spacing w:after="0" w:line="11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Early adoption is permitted, but we do not intend to early adopt this standard.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0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40" w:hanging="305"/>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3" w:name="page14"/>
    <w:bookmarkEnd w:id="13"/>
    <w:p>
      <w:pPr>
        <w:ind w:left="620" w:hanging="30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0"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rPr>
              <w:t>December 31, 2023</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7"/>
              </w:rPr>
              <w:t>Total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14,362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14,362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14,451</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14,451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(11,662)</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9"/>
              </w:rPr>
              <w:t>June 30, 2023</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7"/>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19,218</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19,218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22,509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22,509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220" w:firstLine="623"/>
        <w:spacing w:after="0" w:line="295" w:lineRule="auto"/>
        <w:rPr>
          <w:sz w:val="20"/>
          <w:szCs w:val="20"/>
          <w:color w:val="auto"/>
        </w:rPr>
      </w:pPr>
      <w:r>
        <w:rPr>
          <w:rFonts w:ascii="Arial" w:cs="Arial" w:eastAsia="Arial" w:hAnsi="Arial"/>
          <w:sz w:val="17"/>
          <w:szCs w:val="17"/>
          <w:color w:val="auto"/>
        </w:rPr>
        <w:t>During the six months ended December 31, 2023 and year ended June 30, 2023, there were no significant transfers in or out of Level 1, Level 2, and Level 3 classifications.</w:t>
      </w:r>
    </w:p>
    <w:p>
      <w:pPr>
        <w:spacing w:after="0" w:line="130"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55"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2023, we have assessed the significance of the impact of the credit valuation adjustments on the overall valuation of our</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4" w:name="page15"/>
    <w:bookmarkEnd w:id="14"/>
    <w:p>
      <w:pPr>
        <w:ind w:right="280"/>
        <w:spacing w:after="0" w:line="295" w:lineRule="auto"/>
        <w:rPr>
          <w:sz w:val="20"/>
          <w:szCs w:val="20"/>
          <w:color w:val="auto"/>
        </w:rPr>
      </w:pPr>
      <w:r>
        <w:rPr>
          <w:rFonts w:ascii="Arial" w:cs="Arial" w:eastAsia="Arial" w:hAnsi="Arial"/>
          <w:sz w:val="17"/>
          <w:szCs w:val="17"/>
          <w:color w:val="auto"/>
        </w:rPr>
        <w:t>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68" w:lineRule="exact"/>
        <w:rPr>
          <w:sz w:val="20"/>
          <w:szCs w:val="20"/>
          <w:color w:val="auto"/>
        </w:rPr>
      </w:pPr>
    </w:p>
    <w:p>
      <w:pPr>
        <w:ind w:right="200" w:firstLine="623"/>
        <w:spacing w:after="0" w:line="261" w:lineRule="auto"/>
        <w:rPr>
          <w:sz w:val="20"/>
          <w:szCs w:val="20"/>
          <w:color w:val="auto"/>
        </w:rPr>
      </w:pPr>
      <w:r>
        <w:rPr>
          <w:rFonts w:ascii="Arial" w:cs="Arial" w:eastAsia="Arial" w:hAnsi="Arial"/>
          <w:sz w:val="17"/>
          <w:szCs w:val="17"/>
          <w:color w:val="auto"/>
        </w:rPr>
        <w:t>As of December 31, 2023 and June 30, 2023, the carrying amounts of our cash and cash equivalents, accounts receivable, accounts payable, and other current liabilities approximated their estimated fair values. As of December 31, 2023 and June 30, 2023, the carrying value of our debt, excluding debt issuance costs and debt premiums and discounts, was $1,626,325 and $1,653,989, respectively, and the fair value was $1,625,473 and $ 1,604,190, respectively. Our debt at December 31, 2023 includes variable-rate debt instruments indexed to Term SOFR and Euribor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ind w:right="280" w:firstLine="623"/>
        <w:spacing w:after="0" w:line="275" w:lineRule="auto"/>
        <w:rPr>
          <w:sz w:val="20"/>
          <w:szCs w:val="20"/>
          <w:color w:val="auto"/>
        </w:rPr>
      </w:pPr>
      <w:r>
        <w:rPr>
          <w:rFonts w:ascii="Arial" w:cs="Arial" w:eastAsia="Arial" w:hAnsi="Arial"/>
          <w:sz w:val="17"/>
          <w:szCs w:val="17"/>
          <w:color w:val="auto"/>
        </w:rPr>
        <w:t>As of December 31, 2023 and June 30, 2023, our held-to-maturity marketable securities were held at an amortized cost of $17,239 and $43,037, respectively, while the fair value was $17,148 and $ 42,667, respectively. The securities were valued using quoted prices for identical assets in active markets, which fall into Level 1 under the fair value hierarchy.</w:t>
      </w:r>
    </w:p>
    <w:p>
      <w:pPr>
        <w:spacing w:after="0" w:line="185"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196"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spacing w:after="0" w:line="160"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change in the fair value of derivatives not designated as hedges is recognized directly in earnings as a component of other (expense) income, net.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196"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60" w:lineRule="exact"/>
        <w:rPr>
          <w:sz w:val="20"/>
          <w:szCs w:val="20"/>
          <w:color w:val="auto"/>
        </w:rPr>
      </w:pPr>
    </w:p>
    <w:p>
      <w:pPr>
        <w:jc w:val="both"/>
        <w:ind w:right="220" w:firstLine="623"/>
        <w:spacing w:after="0" w:line="275" w:lineRule="auto"/>
        <w:rPr>
          <w:sz w:val="20"/>
          <w:szCs w:val="20"/>
          <w:color w:val="auto"/>
        </w:rPr>
      </w:pPr>
      <w:r>
        <w:rPr>
          <w:rFonts w:ascii="Arial" w:cs="Arial" w:eastAsia="Arial" w:hAnsi="Arial"/>
          <w:sz w:val="17"/>
          <w:szCs w:val="17"/>
          <w:color w:val="auto"/>
        </w:rPr>
        <w:t>As of December 31, 2023, we estimate that $4,356 of income will be reclassified from accumulated other comprehensive loss to interest expense, net during the twelve months ending December 31, 2024. As of December 31, 2023, we had eleven effective outstanding interest rate swap contracts that were indexed to Term or Daily SOFR.</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interest rate swap contracts have varying start and maturity dates through April 2028.</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December 31, 2023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245,000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675,000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3" w:lineRule="exact"/>
        <w:rPr>
          <w:sz w:val="20"/>
          <w:szCs w:val="20"/>
          <w:color w:val="auto"/>
        </w:rPr>
      </w:pPr>
    </w:p>
    <w:p>
      <w:pPr>
        <w:ind w:left="240" w:right="160" w:hanging="236"/>
        <w:spacing w:after="0" w:line="262"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contracts outstanding as of December 31, 2023, the notional value of our contracted interest rate swaps accruing interest will fluctuate between $215,000 and $380,000 through April 2028 based on layered start dates and maturities.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5"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December 31, 2023,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spacing w:after="0" w:line="327"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Amounts reported in accumulated other comprehensive loss will be reclassified to other (expense) income, net as interest payments are accrued or paid, and upon remeasuring the intercompany loan. As of December 31, 2023, we estimate that $809 of income will be reclassified from accumulated other comprehensive loss to interest expense, net during the twelve months ending December 31, 2024.</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52"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As of December 31, 2023, we have one intercompany loan designated as a net investment hedge with a total notional amount of $323,242 that matures in May 2028.</w:t>
      </w:r>
    </w:p>
    <w:p>
      <w:pPr>
        <w:spacing w:after="0" w:line="130"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and six months ended December 31, 2023 and 2022, we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43"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ind w:right="360"/>
        <w:spacing w:after="0" w:line="295" w:lineRule="auto"/>
        <w:rPr>
          <w:sz w:val="20"/>
          <w:szCs w:val="20"/>
          <w:color w:val="auto"/>
        </w:rPr>
      </w:pPr>
      <w:r>
        <w:rPr>
          <w:rFonts w:ascii="Arial" w:cs="Arial" w:eastAsia="Arial" w:hAnsi="Arial"/>
          <w:sz w:val="17"/>
          <w:szCs w:val="17"/>
          <w:color w:val="auto"/>
        </w:rPr>
        <w:t>currencies with a smaller net impact, we hedge nearly all of our forecasted net exposures for the upcoming six months, with a declining hedge percentage out to fifteen months.</w:t>
      </w:r>
    </w:p>
    <w:p>
      <w:pPr>
        <w:spacing w:after="0" w:line="11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As of December 31, 2023,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$626,697</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March 2022 through December</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 December</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2023</w:t>
            </w:r>
          </w:p>
        </w:tc>
        <w:tc>
          <w:tcPr>
            <w:tcW w:w="12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December 31, 2023 and June 30, 2023. Our derivative asset and liability balances fluctuate with interest rate and currency exchange rate volatility.</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December 31, 2023</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960" w:type="dxa"/>
            <w:vAlign w:val="bottom"/>
            <w:tcBorders>
              <w:top w:val="single" w:sz="8" w:color="CCEEFF"/>
            </w:tcBorders>
            <w:shd w:val="clear" w:color="auto" w:fill="CCEEFF"/>
          </w:tcPr>
          <w:p>
            <w:pPr>
              <w:ind w:left="20"/>
              <w:spacing w:after="0" w:line="101" w:lineRule="exact"/>
              <w:rPr>
                <w:sz w:val="20"/>
                <w:szCs w:val="20"/>
                <w:color w:val="auto"/>
              </w:rPr>
            </w:pPr>
            <w:r>
              <w:rPr>
                <w:rFonts w:ascii="Arial" w:cs="Arial" w:eastAsia="Arial" w:hAnsi="Arial"/>
                <w:sz w:val="11"/>
                <w:szCs w:val="11"/>
                <w:b w:val="1"/>
                <w:bCs w:val="1"/>
                <w:color w:val="auto"/>
              </w:rPr>
              <w:t>Derivatives in cash flow hedging</w:t>
            </w: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14,622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960" w:type="dxa"/>
            <w:vAlign w:val="bottom"/>
            <w:vMerge w:val="continue"/>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82"/>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960" w:type="dxa"/>
            <w:vAlign w:val="bottom"/>
          </w:tcPr>
          <w:p>
            <w:pPr>
              <w:ind w:left="20"/>
              <w:spacing w:after="0" w:line="123"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14,622</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0"/>
                <w:szCs w:val="10"/>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56"/>
        </w:trPr>
        <w:tc>
          <w:tcPr>
            <w:tcW w:w="1960" w:type="dxa"/>
            <w:vAlign w:val="bottom"/>
          </w:tcPr>
          <w:p>
            <w:pPr>
              <w:ind w:left="20"/>
              <w:spacing w:after="0" w:line="156"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(6,534)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0" w:type="dxa"/>
            <w:vAlign w:val="bottom"/>
          </w:tcPr>
          <w:p>
            <w:pPr>
              <w:spacing w:after="0"/>
              <w:rPr>
                <w:sz w:val="1"/>
                <w:szCs w:val="1"/>
                <w:color w:val="auto"/>
              </w:rPr>
            </w:pPr>
          </w:p>
        </w:tc>
      </w:tr>
      <w:tr>
        <w:trPr>
          <w:trHeight w:val="189"/>
        </w:trPr>
        <w:tc>
          <w:tcPr>
            <w:tcW w:w="196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(4,445)</w:t>
            </w:r>
          </w:p>
        </w:tc>
        <w:tc>
          <w:tcPr>
            <w:tcW w:w="0" w:type="dxa"/>
            <w:vAlign w:val="bottom"/>
          </w:tcPr>
          <w:p>
            <w:pPr>
              <w:spacing w:after="0"/>
              <w:rPr>
                <w:sz w:val="1"/>
                <w:szCs w:val="1"/>
                <w:color w:val="auto"/>
              </w:rPr>
            </w:pPr>
          </w:p>
        </w:tc>
      </w:tr>
      <w:tr>
        <w:trPr>
          <w:trHeight w:val="185"/>
        </w:trPr>
        <w:tc>
          <w:tcPr>
            <w:tcW w:w="19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9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5" w:right="35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2023</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96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19,341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19,218</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19,341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19,218</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11"/>
                <w:szCs w:val="11"/>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3,863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net of tax, for the three and six months ended December 31, 2023 and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3260" w:type="dxa"/>
            <w:vAlign w:val="bottom"/>
            <w:gridSpan w:val="6"/>
          </w:tcPr>
          <w:p>
            <w:pPr>
              <w:ind w:left="58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4"/>
                <w:szCs w:val="14"/>
                <w:color w:val="auto"/>
              </w:rPr>
            </w:pPr>
          </w:p>
        </w:tc>
        <w:tc>
          <w:tcPr>
            <w:tcW w:w="2780" w:type="dxa"/>
            <w:vAlign w:val="bottom"/>
            <w:gridSpan w:val="4"/>
          </w:tcPr>
          <w:p>
            <w:pPr>
              <w:jc w:val="right"/>
              <w:ind w:right="565"/>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7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2022</w:t>
            </w:r>
          </w:p>
        </w:tc>
      </w:tr>
      <w:tr>
        <w:trPr>
          <w:trHeight w:val="17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jc w:val="right"/>
              <w:ind w:right="73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(1,266)</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(1,950)</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11,688</w:t>
            </w: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19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w:t>
            </w: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ind w:right="10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and six months ended December 31, 2023 and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5920" w:type="dxa"/>
            <w:vAlign w:val="bottom"/>
            <w:gridSpan w:val="11"/>
            <w:vMerge w:val="restart"/>
          </w:tcPr>
          <w:p>
            <w:pPr>
              <w:jc w:val="right"/>
              <w:ind w:right="45"/>
              <w:spacing w:after="0"/>
              <w:rPr>
                <w:sz w:val="20"/>
                <w:szCs w:val="20"/>
                <w:color w:val="auto"/>
              </w:rPr>
            </w:pPr>
            <w:r>
              <w:rPr>
                <w:rFonts w:ascii="Arial" w:cs="Arial" w:eastAsia="Arial" w:hAnsi="Arial"/>
                <w:sz w:val="12"/>
                <w:szCs w:val="12"/>
                <w:b w:val="1"/>
                <w:bCs w:val="1"/>
                <w:color w:val="auto"/>
              </w:rPr>
              <w:t>Amount of Net Gain (Loss) Reclassified from Accumulated Other Comprehensive Loss into Income</w:t>
            </w: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5920" w:type="dxa"/>
            <w:vAlign w:val="bottom"/>
            <w:tcBorders>
              <w:bottom w:val="single" w:sz="8" w:color="auto"/>
            </w:tcBorders>
            <w:gridSpan w:val="11"/>
            <w:vMerge w:val="continue"/>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3000" w:type="dxa"/>
            <w:vAlign w:val="bottom"/>
            <w:gridSpan w:val="6"/>
          </w:tcPr>
          <w:p>
            <w:pPr>
              <w:ind w:left="44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5"/>
              <w:spacing w:after="0"/>
              <w:rPr>
                <w:sz w:val="20"/>
                <w:szCs w:val="20"/>
                <w:color w:val="auto"/>
              </w:rPr>
            </w:pPr>
            <w:r>
              <w:rPr>
                <w:rFonts w:ascii="Arial" w:cs="Arial" w:eastAsia="Arial" w:hAnsi="Arial"/>
                <w:sz w:val="12"/>
                <w:szCs w:val="12"/>
                <w:b w:val="1"/>
                <w:bCs w:val="1"/>
                <w:color w:val="auto"/>
              </w:rPr>
              <w:t>Six Months Ended December 31,</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2022</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Derivatives in cash flow hedging</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860" w:type="dxa"/>
            <w:vAlign w:val="bottom"/>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Interest expense, net</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Cross-currency swaps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864</w:t>
            </w:r>
          </w:p>
        </w:tc>
        <w:tc>
          <w:tcPr>
            <w:tcW w:w="2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172</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Income (loss) before income taxes</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w:t>
            </w:r>
          </w:p>
        </w:tc>
        <w:tc>
          <w:tcPr>
            <w:tcW w:w="2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2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198</w:t>
            </w:r>
          </w:p>
        </w:tc>
        <w:tc>
          <w:tcPr>
            <w:tcW w:w="2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9" w:name="page20"/>
    <w:bookmarkEnd w:id="19"/>
    <w:p>
      <w:pPr>
        <w:ind w:right="28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and six months ended December 31, 2023 and 2022 for derivative instruments for which we did not elect hedge accounting.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80" w:type="dxa"/>
            <w:vAlign w:val="bottom"/>
            <w:gridSpan w:val="9"/>
            <w:vMerge w:val="restart"/>
          </w:tcPr>
          <w:p>
            <w:pPr>
              <w:jc w:val="right"/>
              <w:ind w:right="182"/>
              <w:spacing w:after="0"/>
              <w:rPr>
                <w:sz w:val="20"/>
                <w:szCs w:val="20"/>
                <w:color w:val="auto"/>
              </w:rPr>
            </w:pPr>
            <w:r>
              <w:rPr>
                <w:rFonts w:ascii="Arial" w:cs="Arial" w:eastAsia="Arial" w:hAnsi="Arial"/>
                <w:sz w:val="12"/>
                <w:szCs w:val="12"/>
                <w:b w:val="1"/>
                <w:bCs w:val="1"/>
                <w:color w:val="auto"/>
              </w:rPr>
              <w:t>Amount of Gain (Loss) Recognized in Net Income (Loss)</w:t>
            </w:r>
          </w:p>
        </w:tc>
        <w:tc>
          <w:tcPr>
            <w:tcW w:w="108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gridSpan w:val="9"/>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8"/>
              <w:spacing w:after="0"/>
              <w:rPr>
                <w:sz w:val="20"/>
                <w:szCs w:val="20"/>
                <w:color w:val="auto"/>
              </w:rPr>
            </w:pPr>
            <w:r>
              <w:rPr>
                <w:rFonts w:ascii="Arial" w:cs="Arial" w:eastAsia="Arial" w:hAnsi="Arial"/>
                <w:sz w:val="12"/>
                <w:szCs w:val="12"/>
                <w:b w:val="1"/>
                <w:bCs w:val="1"/>
                <w:color w:val="auto"/>
              </w:rPr>
              <w:t>Six Months Ended December 31,</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2022</w:t>
            </w:r>
          </w:p>
        </w:tc>
        <w:tc>
          <w:tcPr>
            <w:tcW w:w="26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4,449</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4,449</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$464 for the six months ended December 31, 2023</w:t>
      </w:r>
      <w:r>
        <w:rPr>
          <w:rFonts w:ascii="Times New Roman" w:cs="Times New Roman" w:eastAsia="Times New Roman" w:hAnsi="Times New Roman"/>
          <w:sz w:val="17"/>
          <w:szCs w:val="17"/>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Losses on pension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benefit obligation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12,297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(8,670)</w:t>
            </w:r>
          </w:p>
        </w:tc>
        <w:tc>
          <w:tcPr>
            <w:tcW w:w="0" w:type="dxa"/>
            <w:vAlign w:val="bottom"/>
          </w:tcPr>
          <w:p>
            <w:pPr>
              <w:spacing w:after="0"/>
              <w:rPr>
                <w:sz w:val="1"/>
                <w:szCs w:val="1"/>
                <w:color w:val="auto"/>
              </w:rPr>
            </w:pPr>
          </w:p>
        </w:tc>
      </w:tr>
      <w:tr>
        <w:trPr>
          <w:trHeight w:val="158"/>
        </w:trPr>
        <w:tc>
          <w:tcPr>
            <w:tcW w:w="5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7"/>
              </w:rPr>
              <w:t>Amounts reclassified from accumulated other comprehensive loss to net income</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25" w:lineRule="exact"/>
        <w:rPr>
          <w:sz w:val="20"/>
          <w:szCs w:val="20"/>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and cross-currency swap contracts designated in cash flow hedging relationships.</w:t>
      </w:r>
    </w:p>
    <w:p>
      <w:pPr>
        <w:spacing w:after="0" w:line="46" w:lineRule="exact"/>
        <w:rPr>
          <w:rFonts w:ascii="Arial" w:cs="Arial" w:eastAsia="Arial" w:hAnsi="Arial"/>
          <w:sz w:val="14"/>
          <w:szCs w:val="14"/>
          <w:color w:val="auto"/>
        </w:rPr>
      </w:pPr>
    </w:p>
    <w:p>
      <w:pPr>
        <w:ind w:left="240" w:right="120" w:hanging="236"/>
        <w:spacing w:after="0" w:line="266"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2023 and June 30, 2023, the translation adjustment is inclusive of both the unrealized and realized effects of our net investment hedges. Gains on currency forward and swap contracts, net of tax, of $15,079 have been included in accumulated other comprehensive loss as of December 31, 2023 and June 30, 2023. Intercompany loan hedge gains of $33,199 and $38,489 have been included in accumulated other comprehensive loss as of December 31, 2023 and June 30, 2023,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December 31, 2023 and June 30, 2023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295,731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141,092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149,797</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781,541</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9,426</w:t>
            </w:r>
          </w:p>
        </w:tc>
      </w:tr>
      <w:tr>
        <w:trPr>
          <w:trHeight w:val="227"/>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299,851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790,967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Related to goodwill held by subsidiaries whose functional currency is not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Pr>
          <w:p>
            <w:pPr>
              <w:spacing w:after="0"/>
              <w:rPr>
                <w:sz w:val="14"/>
                <w:szCs w:val="14"/>
                <w:color w:val="auto"/>
              </w:rPr>
            </w:pPr>
          </w:p>
        </w:tc>
        <w:tc>
          <w:tcPr>
            <w:tcW w:w="1400" w:type="dxa"/>
            <w:vAlign w:val="bottom"/>
          </w:tcPr>
          <w:p>
            <w:pPr>
              <w:jc w:val="right"/>
              <w:ind w:right="363"/>
              <w:spacing w:after="0"/>
              <w:rPr>
                <w:sz w:val="20"/>
                <w:szCs w:val="20"/>
                <w:color w:val="auto"/>
              </w:rPr>
            </w:pPr>
            <w:r>
              <w:rPr>
                <w:rFonts w:ascii="Arial" w:cs="Arial" w:eastAsia="Arial" w:hAnsi="Arial"/>
                <w:sz w:val="12"/>
                <w:szCs w:val="12"/>
                <w:b w:val="1"/>
                <w:bCs w:val="1"/>
                <w:color w:val="auto"/>
              </w:rPr>
              <w:t>June 30, 2023</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72,897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74,879</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 (1)</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60,893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53,266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 (1)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16,548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Third party manufacturing and digital content costs (1)</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20,713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17,380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 (1)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11,146</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9,413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Interest payable</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2,847</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2,743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Restructuring costs (2)</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7,567</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54,879</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265,461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257,109</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60" w:lineRule="exact"/>
        <w:rPr>
          <w:sz w:val="20"/>
          <w:szCs w:val="20"/>
          <w:color w:val="auto"/>
        </w:rPr>
      </w:pPr>
    </w:p>
    <w:p>
      <w:pPr>
        <w:ind w:left="240" w:right="28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increase in income and indirect taxes, advertising, third party manufacturing, and shipping costs is due to increased sales volumes during our holiday season in the second quarter of our fiscal year.</w:t>
      </w:r>
    </w:p>
    <w:p>
      <w:pPr>
        <w:spacing w:after="0" w:line="12" w:lineRule="exact"/>
        <w:rPr>
          <w:rFonts w:ascii="Arial" w:cs="Arial" w:eastAsia="Arial" w:hAnsi="Arial"/>
          <w:sz w:val="14"/>
          <w:szCs w:val="14"/>
          <w:color w:val="auto"/>
        </w:rPr>
      </w:pPr>
    </w:p>
    <w:p>
      <w:pPr>
        <w:ind w:left="240" w:right="14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decrease in restructuring costs included in accrued expenses as of December 31, 2023 is primarily due to severance payments made as a result of the cost reduction actions implemented during fiscal year 2023. Refer to Note 13 for additional details.</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Pr>
          <w:p>
            <w:pPr>
              <w:spacing w:after="0"/>
              <w:rPr>
                <w:sz w:val="14"/>
                <w:szCs w:val="14"/>
                <w:color w:val="auto"/>
              </w:rPr>
            </w:pPr>
          </w:p>
        </w:tc>
        <w:tc>
          <w:tcPr>
            <w:tcW w:w="1400" w:type="dxa"/>
            <w:vAlign w:val="bottom"/>
          </w:tcPr>
          <w:p>
            <w:pPr>
              <w:jc w:val="right"/>
              <w:ind w:right="366"/>
              <w:spacing w:after="0"/>
              <w:rPr>
                <w:sz w:val="20"/>
                <w:szCs w:val="20"/>
                <w:color w:val="auto"/>
              </w:rPr>
            </w:pPr>
            <w:r>
              <w:rPr>
                <w:rFonts w:ascii="Arial" w:cs="Arial" w:eastAsia="Arial" w:hAnsi="Arial"/>
                <w:sz w:val="12"/>
                <w:szCs w:val="12"/>
                <w:b w:val="1"/>
                <w:bCs w:val="1"/>
                <w:color w:val="auto"/>
              </w:rPr>
              <w:t>June 30, 2023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8,978</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9,938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9,865</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4,666</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24,469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2023</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31,119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29,822</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22,286</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12,018</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24,195</w:t>
            </w:r>
          </w:p>
        </w:tc>
      </w:tr>
      <w:tr>
        <w:trPr>
          <w:trHeight w:val="22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90,058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2023</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 Senior Notes due 2026</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522,135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548,300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1,098,366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1,098,613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7,076</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(16,033)</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1,612,025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1,637,956</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10,713</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1,600,942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1,627,243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December 31, 2023 and June 30, 2023 are inclusive of short-term debt issuance costs, debt premiums and discounts of $3,532 and $3,526, respectively.</w:t>
      </w:r>
    </w:p>
    <w:p>
      <w:pPr>
        <w:spacing w:after="0" w:line="206"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December 31, 2023, we were in compliance with all covenants in our debt contracts, including those under our amended and restated senior secured credit agreement ("Restated Credit Agreement") and the indenture governing our 7.0% Senior Notes due 2026 ("2026 Notes").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17, 2021, we entered into a Restated Credit Agreement consisting of the following:</w:t>
      </w:r>
    </w:p>
    <w:p>
      <w:pPr>
        <w:spacing w:after="0" w:line="103" w:lineRule="exact"/>
        <w:rPr>
          <w:sz w:val="20"/>
          <w:szCs w:val="20"/>
          <w:color w:val="auto"/>
        </w:rPr>
      </w:pPr>
    </w:p>
    <w:p>
      <w:pPr>
        <w:ind w:left="620" w:hanging="305"/>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senior secured Term Loan B with a maturity date of May 17, 2028 (the “Term Loan B”), consisting of:</w:t>
      </w:r>
    </w:p>
    <w:p>
      <w:pPr>
        <w:spacing w:after="0" w:line="54" w:lineRule="exact"/>
        <w:rPr>
          <w:rFonts w:ascii="Arial" w:cs="Arial" w:eastAsia="Arial" w:hAnsi="Arial"/>
          <w:sz w:val="19"/>
          <w:szCs w:val="19"/>
          <w:color w:val="auto"/>
        </w:rPr>
      </w:pPr>
    </w:p>
    <w:p>
      <w:pPr>
        <w:ind w:left="1240" w:right="60" w:hanging="302"/>
        <w:spacing w:after="0" w:line="251" w:lineRule="auto"/>
        <w:tabs>
          <w:tab w:leader="none" w:pos="1230" w:val="left"/>
        </w:tabs>
        <w:numPr>
          <w:ilvl w:val="1"/>
          <w:numId w:val="11"/>
        </w:numPr>
        <w:rPr>
          <w:rFonts w:ascii="Arial" w:cs="Arial" w:eastAsia="Arial" w:hAnsi="Arial"/>
          <w:sz w:val="19"/>
          <w:szCs w:val="19"/>
          <w:color w:val="auto"/>
        </w:rPr>
      </w:pPr>
      <w:r>
        <w:rPr>
          <w:rFonts w:ascii="Arial" w:cs="Arial" w:eastAsia="Arial" w:hAnsi="Arial"/>
          <w:sz w:val="17"/>
          <w:szCs w:val="17"/>
          <w:color w:val="auto"/>
        </w:rPr>
        <w:t>a $795,000 tranche that currently bears interest at Term SOFR plus the Term SOFR Adjustment as defined by our Restated Credit Agreement (with an Adjusted Term SOFR rate floor of 0.50%) plus 3.50%, and</w:t>
      </w:r>
    </w:p>
    <w:p>
      <w:pPr>
        <w:spacing w:after="0" w:line="34" w:lineRule="exact"/>
        <w:rPr>
          <w:rFonts w:ascii="Arial" w:cs="Arial" w:eastAsia="Arial" w:hAnsi="Arial"/>
          <w:sz w:val="19"/>
          <w:szCs w:val="19"/>
          <w:color w:val="auto"/>
        </w:rPr>
      </w:pPr>
    </w:p>
    <w:p>
      <w:pPr>
        <w:ind w:left="1240" w:hanging="302"/>
        <w:spacing w:after="0"/>
        <w:tabs>
          <w:tab w:leader="none" w:pos="1240" w:val="left"/>
        </w:tabs>
        <w:numPr>
          <w:ilvl w:val="1"/>
          <w:numId w:val="11"/>
        </w:numPr>
        <w:rPr>
          <w:rFonts w:ascii="Arial" w:cs="Arial" w:eastAsia="Arial" w:hAnsi="Arial"/>
          <w:sz w:val="19"/>
          <w:szCs w:val="19"/>
          <w:color w:val="auto"/>
        </w:rPr>
      </w:pPr>
      <w:r>
        <w:rPr>
          <w:rFonts w:ascii="Arial" w:cs="Arial" w:eastAsia="Arial" w:hAnsi="Arial"/>
          <w:sz w:val="17"/>
          <w:szCs w:val="17"/>
          <w:color w:val="auto"/>
        </w:rPr>
        <w:t>a €300,000 tranche that currently bears interest at EURIBOR (with a EURIBOR floor of 0%) plus 3.50%; and</w:t>
      </w:r>
    </w:p>
    <w:p>
      <w:pPr>
        <w:spacing w:after="0" w:line="54" w:lineRule="exact"/>
        <w:rPr>
          <w:rFonts w:ascii="Arial" w:cs="Arial" w:eastAsia="Arial" w:hAnsi="Arial"/>
          <w:sz w:val="19"/>
          <w:szCs w:val="19"/>
          <w:color w:val="auto"/>
        </w:rPr>
      </w:pPr>
    </w:p>
    <w:p>
      <w:pPr>
        <w:ind w:left="620" w:right="40" w:hanging="305"/>
        <w:spacing w:after="0" w:line="243"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$250,000 senior secured revolving credit facility with a maturity date of May 17, 2026 (the “Revolving Credit Facility”). Borrowings under the Revolving Credit Facility currently bear interest at Term SOFR plus the Term SOFR Adjustment as defined by our Restated Credit Agreement (with an Adjusted Term SOFR rate floor of 0%) plus 2.50% to 3.00% depending on the Company’s First Lien Leverage Ratio, a net leverage calculation, as defined in the Restated Credit Agreement.</w:t>
      </w:r>
    </w:p>
    <w:p>
      <w:pPr>
        <w:spacing w:after="0" w:line="171" w:lineRule="exact"/>
        <w:rPr>
          <w:sz w:val="20"/>
          <w:szCs w:val="20"/>
          <w:color w:val="auto"/>
        </w:rPr>
      </w:pPr>
    </w:p>
    <w:p>
      <w:pPr>
        <w:ind w:right="80" w:firstLine="623"/>
        <w:spacing w:after="0" w:line="279" w:lineRule="auto"/>
        <w:rPr>
          <w:sz w:val="20"/>
          <w:szCs w:val="20"/>
          <w:color w:val="auto"/>
        </w:rPr>
      </w:pPr>
      <w:r>
        <w:rPr>
          <w:rFonts w:ascii="Arial" w:cs="Arial" w:eastAsia="Arial" w:hAnsi="Arial"/>
          <w:sz w:val="17"/>
          <w:szCs w:val="17"/>
          <w:color w:val="auto"/>
        </w:rPr>
        <w:t>The LIBOR sunset occurred on June 30, 2023, and under the terms of our Restated Credit Agreement, our benchmark rate transitioned to Term SOFR in July 2023.</w:t>
      </w:r>
    </w:p>
    <w:p>
      <w:pPr>
        <w:spacing w:after="0" w:line="143" w:lineRule="exact"/>
        <w:rPr>
          <w:sz w:val="20"/>
          <w:szCs w:val="20"/>
          <w:color w:val="auto"/>
        </w:rPr>
      </w:pPr>
    </w:p>
    <w:p>
      <w:pPr>
        <w:ind w:firstLine="623"/>
        <w:spacing w:after="0" w:line="254"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67" w:lineRule="exact"/>
        <w:rPr>
          <w:sz w:val="20"/>
          <w:szCs w:val="20"/>
          <w:color w:val="auto"/>
        </w:rPr>
      </w:pPr>
    </w:p>
    <w:p>
      <w:pPr>
        <w:jc w:val="both"/>
        <w:ind w:right="120" w:firstLine="623"/>
        <w:spacing w:after="0" w:line="275" w:lineRule="auto"/>
        <w:rPr>
          <w:sz w:val="20"/>
          <w:szCs w:val="20"/>
          <w:color w:val="auto"/>
        </w:rPr>
      </w:pPr>
      <w:r>
        <w:rPr>
          <w:rFonts w:ascii="Arial" w:cs="Arial" w:eastAsia="Arial" w:hAnsi="Arial"/>
          <w:sz w:val="17"/>
          <w:szCs w:val="17"/>
          <w:color w:val="auto"/>
        </w:rPr>
        <w:t>As of December 31, 2023, we have borrowings under the Restated Credit Agreement of $1,098,366 consisting of the Term Loan B, which amortizes over the loan period, with a final maturity date of May 17, 2028. We have no outstanding borrowings under our Revolving Credit Facility as of December 31, 2023.</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2023,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7.91%, inclusive of interest rate swap rates. We are also required to pay a commitment fee for our Revolving Credit Facility on unused balances of</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0.35% to 0.45% depending on our First Lien Leverage Ratio. We have pledged the assets and/or share capital of a number of our subsidiaries as collateral for our debt.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Senior Unsecured Notes</w:t>
      </w:r>
    </w:p>
    <w:p>
      <w:pPr>
        <w:spacing w:after="0" w:line="220"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As of December 31, 2023, we have $522,135 in aggregate principal outstanding of our 2026 Notes, which are unsecured. We can redeem some or all of the 2026 Notes at the redemption prices specified in the indenture that governs the 2026 Notes, plus accrued and unpaid interest to, but not including, the redemption date. During the six months ended December 31, 2023, we purchased an aggregate principal amount of $26,165 for a purchase price of $24,471, as well as the related settlement of unpaid interest. For the three and six months ended December 31, 2023, we have recognized gains on the extinguishment of debt of $349 and $1,721,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194" w:lineRule="exact"/>
        <w:rPr>
          <w:sz w:val="20"/>
          <w:szCs w:val="20"/>
          <w:color w:val="auto"/>
        </w:rPr>
      </w:pPr>
    </w:p>
    <w:p>
      <w:pPr>
        <w:ind w:right="360"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December 31, 2023 and June 30, 2023, we had $5,824 and $7,076, respectively, outstanding for those obligations that are payable through September 2027.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6" w:lineRule="exact"/>
        <w:rPr>
          <w:sz w:val="20"/>
          <w:szCs w:val="20"/>
          <w:color w:val="auto"/>
        </w:rPr>
      </w:pPr>
    </w:p>
    <w:p>
      <w:pPr>
        <w:ind w:right="60" w:firstLine="623"/>
        <w:spacing w:after="0" w:line="260" w:lineRule="auto"/>
        <w:rPr>
          <w:sz w:val="20"/>
          <w:szCs w:val="20"/>
          <w:color w:val="auto"/>
        </w:rPr>
      </w:pPr>
      <w:r>
        <w:rPr>
          <w:rFonts w:ascii="Arial" w:cs="Arial" w:eastAsia="Arial" w:hAnsi="Arial"/>
          <w:sz w:val="17"/>
          <w:szCs w:val="17"/>
          <w:color w:val="auto"/>
        </w:rPr>
        <w:t>Our income tax expense was $16,795 and $24,917 for the three and six months ended December 31, 2023, respectively, as compared to $126,129 and $135,494 for the three and six months ended December 31, 2022, respectively. Tax expense decreased year over year primarily related to the full valuation allowance that was recorded in the second quarter of fiscal year 2023 on Swiss deferred tax assets of $116,694 primarily related to Swiss tax reform benefits recognized in fiscal year 2020 and tax loss carryforwards. This was partially offset by increased tax on increased profits. Excluding the effect of discrete tax adjustments, our estimated annual effective tax rate is higher for fiscal year 2024 than for fiscal year 2023 primarily due to forecasted pre-tax profits in fiscal year 2024 as compared to a pre-tax loss in fiscal year 2023. Our effective tax rate continues to be negatively impacted by losses in certain jurisdictions where we are unable to recognize a tax benefit in the current period. We continuously analyze our valuation allowance positions and the weight of objective and verifiable evidence of actual results against the more subjective evidence of anticipated future income.</w:t>
      </w:r>
    </w:p>
    <w:p>
      <w:pPr>
        <w:spacing w:after="0" w:line="197"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As of December 31, 2023 we had unrecognized tax benefits of $16,141, including accrued interest and penalties of $1,953. We recognize interest and, if applicable, penalties related to unrecognized tax benefits in the provision for income taxes. If recognized, $7,275 of unrecognized tax benefits would reduce our tax expense. It is reasonably possible that a reduction in unrecognized tax benefits may occur within the next twelve months in the range of $1,200 to $1,300 related to the lapse of applicable statutes of limitations or settlement. We believe we have appropriately provided for all tax uncertainties.</w:t>
      </w:r>
    </w:p>
    <w:p>
      <w:pPr>
        <w:spacing w:after="0" w:line="167"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2023 remain open for examination by the U.S. Internal Revenue Service and the years 2015 through 2023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181" w:lineRule="exact"/>
        <w:rPr>
          <w:sz w:val="20"/>
          <w:szCs w:val="20"/>
          <w:color w:val="auto"/>
        </w:rPr>
      </w:pPr>
    </w:p>
    <w:p>
      <w:pPr>
        <w:ind w:right="6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23" w:name="page24"/>
    <w:bookmarkEnd w:id="23"/>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Redeemable</w:t>
            </w:r>
          </w:p>
        </w:tc>
        <w:tc>
          <w:tcPr>
            <w:tcW w:w="140" w:type="dxa"/>
            <w:vAlign w:val="bottom"/>
          </w:tcPr>
          <w:p>
            <w:pPr>
              <w:spacing w:after="0"/>
              <w:rPr>
                <w:sz w:val="12"/>
                <w:szCs w:val="12"/>
                <w:color w:val="auto"/>
              </w:rPr>
            </w:pPr>
          </w:p>
        </w:tc>
        <w:tc>
          <w:tcPr>
            <w:tcW w:w="112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7"/>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5"/>
                <w:szCs w:val="15"/>
                <w:color w:val="auto"/>
              </w:rPr>
            </w:pPr>
          </w:p>
        </w:tc>
        <w:tc>
          <w:tcPr>
            <w:tcW w:w="1120" w:type="dxa"/>
            <w:vAlign w:val="bottom"/>
          </w:tcPr>
          <w:p>
            <w:pPr>
              <w:jc w:val="right"/>
              <w:ind w:right="346"/>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net income attributable to noncontrolling interests (1)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Distribution to noncontrolling interests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7" w:lineRule="exact"/>
        <w:rPr>
          <w:sz w:val="20"/>
          <w:szCs w:val="20"/>
          <w:color w:val="auto"/>
        </w:rPr>
      </w:pPr>
    </w:p>
    <w:p>
      <w:pPr>
        <w:ind w:left="240" w:right="340" w:hanging="236"/>
        <w:spacing w:after="0" w:line="257"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196"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46"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As of December 31, 2023, we have numerous operating segments under our management reporting structure which are reported in the following five reportable segments:</w:t>
      </w:r>
    </w:p>
    <w:p>
      <w:pPr>
        <w:spacing w:after="0" w:line="117" w:lineRule="exact"/>
        <w:rPr>
          <w:sz w:val="20"/>
          <w:szCs w:val="20"/>
          <w:color w:val="auto"/>
        </w:rPr>
      </w:pPr>
    </w:p>
    <w:p>
      <w:pPr>
        <w:ind w:left="620" w:right="160" w:hanging="305"/>
        <w:spacing w:after="0" w:line="29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Vista - </w:t>
      </w:r>
      <w:r>
        <w:rPr>
          <w:rFonts w:ascii="Arial" w:cs="Arial" w:eastAsia="Arial" w:hAnsi="Arial"/>
          <w:sz w:val="17"/>
          <w:szCs w:val="17"/>
          <w:color w:val="auto"/>
        </w:rPr>
        <w:t>Vista is the parent brand of multiple offerings including VistaPrint, VistaCreate, 99designs by Vista, Vista Corporate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Depositphotos, which together represent a full-service design, digital, and print solution.</w:t>
      </w:r>
    </w:p>
    <w:p>
      <w:pPr>
        <w:spacing w:after="0" w:line="129" w:lineRule="exact"/>
        <w:rPr>
          <w:rFonts w:ascii="Arial" w:cs="Arial" w:eastAsia="Arial" w:hAnsi="Arial"/>
          <w:sz w:val="17"/>
          <w:szCs w:val="17"/>
          <w:color w:val="auto"/>
        </w:rPr>
      </w:pPr>
    </w:p>
    <w:p>
      <w:pPr>
        <w:ind w:left="620" w:right="20" w:hanging="305"/>
        <w:spacing w:after="0" w:line="26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our druck.at, Printdeal, and WIRmachenDRUCK businesses, which is a collection of Upload &amp; Print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serves graphic professionals throughout Europe, primarily in Austria, Belgium, Germany, the Netherlands, and Switzerland</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ind w:left="620" w:right="80" w:hanging="305"/>
        <w:spacing w:after="0" w:line="27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our Easyflyer, Exaprint, Packstyle, Pixartprinting, and Tradeprint businesses, which is a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Upload &amp; Print businesses that serves graphic professionals throughout Europe, primarily in France, Italy, Spain, and the United Kingdom.</w:t>
      </w:r>
    </w:p>
    <w:p>
      <w:pPr>
        <w:spacing w:after="0" w:line="132" w:lineRule="exact"/>
        <w:rPr>
          <w:rFonts w:ascii="Arial" w:cs="Arial" w:eastAsia="Arial" w:hAnsi="Arial"/>
          <w:sz w:val="17"/>
          <w:szCs w:val="17"/>
          <w:color w:val="auto"/>
        </w:rPr>
      </w:pPr>
    </w:p>
    <w:p>
      <w:pPr>
        <w:ind w:left="620" w:right="180" w:hanging="305"/>
        <w:spacing w:after="0" w:line="29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Includes the global operations of our National Pen business, which manufactures and markets custom writing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promotional products, apparel and gifts.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w:t>
      </w:r>
    </w:p>
    <w:p>
      <w:pPr>
        <w:spacing w:after="0" w:line="64"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BuildASign is a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Printi, a smaller business that we continue to manage at a relatively modest operating loss, is an online printing leader in Brazil.</w:t>
      </w:r>
    </w:p>
    <w:p>
      <w:pPr>
        <w:spacing w:after="0" w:line="207"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41"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41"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3360" w:type="dxa"/>
            <w:vAlign w:val="bottom"/>
            <w:gridSpan w:val="6"/>
          </w:tcPr>
          <w:p>
            <w:pPr>
              <w:ind w:left="64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4"/>
                <w:szCs w:val="14"/>
                <w:color w:val="auto"/>
              </w:rPr>
            </w:pPr>
          </w:p>
        </w:tc>
        <w:tc>
          <w:tcPr>
            <w:tcW w:w="2880" w:type="dxa"/>
            <w:vAlign w:val="bottom"/>
            <w:gridSpan w:val="4"/>
          </w:tcPr>
          <w:p>
            <w:pPr>
              <w:jc w:val="right"/>
              <w:ind w:right="60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62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4620" w:type="dxa"/>
            <w:vAlign w:val="bottom"/>
          </w:tcPr>
          <w:p>
            <w:pPr>
              <w:ind w:left="340"/>
              <w:spacing w:after="0"/>
              <w:rPr>
                <w:sz w:val="20"/>
                <w:szCs w:val="20"/>
                <w:color w:val="auto"/>
              </w:rPr>
            </w:pPr>
            <w:r>
              <w:rPr>
                <w:rFonts w:ascii="Arial" w:cs="Arial" w:eastAsia="Arial" w:hAnsi="Arial"/>
                <w:sz w:val="16"/>
                <w:szCs w:val="16"/>
                <w:color w:val="auto"/>
              </w:rPr>
              <w:t>Vista</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485,151</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437,736</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881,798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807,105</w:t>
            </w:r>
          </w:p>
        </w:tc>
      </w:tr>
      <w:tr>
        <w:trPr>
          <w:trHeight w:val="209"/>
        </w:trPr>
        <w:tc>
          <w:tcPr>
            <w:tcW w:w="4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165,148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148,598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281,297</w:t>
            </w:r>
          </w:p>
        </w:tc>
      </w:tr>
      <w:tr>
        <w:trPr>
          <w:trHeight w:val="207"/>
        </w:trPr>
        <w:tc>
          <w:tcPr>
            <w:tcW w:w="46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93,268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89,336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173,807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166,159</w:t>
            </w:r>
          </w:p>
        </w:tc>
      </w:tr>
      <w:tr>
        <w:trPr>
          <w:trHeight w:val="209"/>
        </w:trPr>
        <w:tc>
          <w:tcPr>
            <w:tcW w:w="4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130,572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120,621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202,287</w:t>
            </w:r>
          </w:p>
        </w:tc>
      </w:tr>
      <w:tr>
        <w:trPr>
          <w:trHeight w:val="207"/>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All Other Businesses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59,998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111,825</w:t>
            </w:r>
          </w:p>
        </w:tc>
      </w:tr>
      <w:tr>
        <w:trPr>
          <w:trHeight w:val="202"/>
        </w:trPr>
        <w:tc>
          <w:tcPr>
            <w:tcW w:w="4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segment revenue</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934,422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856,289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1,568,673</w:t>
            </w:r>
          </w:p>
        </w:tc>
      </w:tr>
      <w:tr>
        <w:trPr>
          <w:trHeight w:val="207"/>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Inter-segment eliminations (1)</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(20,056)</w:t>
            </w:r>
          </w:p>
        </w:tc>
      </w:tr>
      <w:tr>
        <w:trPr>
          <w:trHeight w:val="227"/>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consolidated revenue</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921,363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845,202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1,678,657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1,548,617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2"/>
                <w:szCs w:val="12"/>
                <w:b w:val="1"/>
                <w:bCs w:val="1"/>
                <w:color w:val="auto"/>
              </w:rPr>
              <w:t>Three Months Ended December 31, 2023</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325,693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59,229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50,570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435,492</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164,378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449,024</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36,847</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13,059</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165,148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93,268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60,283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934,422</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(13,059)</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164,378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90,026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57,506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921,363</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4"/>
        </w:trPr>
        <w:tc>
          <w:tcPr>
            <w:tcW w:w="3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2"/>
                <w:szCs w:val="12"/>
                <w:b w:val="1"/>
                <w:bCs w:val="1"/>
                <w:color w:val="auto"/>
              </w:rPr>
              <w:t>Six Months Ended December 31, 2023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614,748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111,964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92,784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819,496</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315,920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791,512</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14,471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67,649</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4,828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24,227</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881,798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317,369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173,807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112,083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1,702,884</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(24,227)</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881,063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315,920</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167,828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206,591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107,255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1,678,657</w:t>
            </w: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2"/>
                <w:szCs w:val="12"/>
                <w:b w:val="1"/>
                <w:bCs w:val="1"/>
                <w:color w:val="auto"/>
                <w:w w:val="99"/>
              </w:rPr>
              <w:t>Three Months Ended December 31, 2022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ind w:left="120"/>
              <w:spacing w:after="0"/>
              <w:rPr>
                <w:sz w:val="20"/>
                <w:szCs w:val="20"/>
                <w:color w:val="auto"/>
              </w:rPr>
            </w:pPr>
            <w:r>
              <w:rPr>
                <w:rFonts w:ascii="Arial" w:cs="Arial" w:eastAsia="Arial" w:hAnsi="Arial"/>
                <w:sz w:val="12"/>
                <w:szCs w:val="12"/>
                <w:b w:val="1"/>
                <w:bCs w:val="1"/>
                <w:color w:val="auto"/>
              </w:rPr>
              <w:t>Vista (1)</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264"/>
              <w:spacing w:after="0"/>
              <w:rPr>
                <w:sz w:val="20"/>
                <w:szCs w:val="20"/>
                <w:color w:val="auto"/>
              </w:rPr>
            </w:pPr>
            <w:r>
              <w:rPr>
                <w:rFonts w:ascii="Arial" w:cs="Arial" w:eastAsia="Arial" w:hAnsi="Arial"/>
                <w:sz w:val="12"/>
                <w:szCs w:val="12"/>
                <w:b w:val="1"/>
                <w:bCs w:val="1"/>
                <w:color w:val="auto"/>
              </w:rPr>
              <w:t>Total (1)</w:t>
            </w:r>
          </w:p>
        </w:tc>
      </w:tr>
      <w:tr>
        <w:trPr>
          <w:trHeight w:val="18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298,698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62,208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52,200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413,106</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397,877</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34,219</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11,087</w:t>
            </w:r>
          </w:p>
        </w:tc>
      </w:tr>
      <w:tr>
        <w:trPr>
          <w:trHeight w:val="200"/>
        </w:trPr>
        <w:tc>
          <w:tcPr>
            <w:tcW w:w="3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segment revenue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437,736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59,998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856,289</w:t>
            </w:r>
          </w:p>
        </w:tc>
      </w:tr>
      <w:tr>
        <w:trPr>
          <w:trHeight w:val="20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(11,087)</w:t>
            </w:r>
          </w:p>
        </w:tc>
      </w:tr>
      <w:tr>
        <w:trPr>
          <w:trHeight w:val="20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437,234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148,089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86,291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115,137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58,451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845,202</w:t>
            </w: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74"/>
        </w:trPr>
        <w:tc>
          <w:tcPr>
            <w:tcW w:w="39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8"/>
          </w:tcPr>
          <w:p>
            <w:pPr>
              <w:ind w:left="60"/>
              <w:spacing w:after="0"/>
              <w:rPr>
                <w:sz w:val="20"/>
                <w:szCs w:val="20"/>
                <w:color w:val="auto"/>
              </w:rPr>
            </w:pPr>
            <w:r>
              <w:rPr>
                <w:rFonts w:ascii="Arial" w:cs="Arial" w:eastAsia="Arial" w:hAnsi="Arial"/>
                <w:sz w:val="12"/>
                <w:szCs w:val="12"/>
                <w:b w:val="1"/>
                <w:bCs w:val="1"/>
                <w:color w:val="auto"/>
              </w:rPr>
              <w:t>Six Months Ended December 31, 2022</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Vista (1)</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264"/>
              <w:spacing w:after="0"/>
              <w:rPr>
                <w:sz w:val="20"/>
                <w:szCs w:val="20"/>
                <w:color w:val="auto"/>
              </w:rPr>
            </w:pPr>
            <w:r>
              <w:rPr>
                <w:rFonts w:ascii="Arial" w:cs="Arial" w:eastAsia="Arial" w:hAnsi="Arial"/>
                <w:sz w:val="12"/>
                <w:szCs w:val="12"/>
                <w:b w:val="1"/>
                <w:bCs w:val="1"/>
                <w:color w:val="auto"/>
              </w:rPr>
              <w:t>Total (1)</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572,355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111,655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95,492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779,502</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280,471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702,990</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13,198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66,125</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r>
      <w:tr>
        <w:trPr>
          <w:trHeight w:val="201"/>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807,105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281,297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166,159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202,287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111,825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1,568,673</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r>
      <w:tr>
        <w:trPr>
          <w:trHeight w:val="20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806,093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280,471</w:t>
            </w:r>
          </w:p>
        </w:tc>
        <w:tc>
          <w:tcPr>
            <w:tcW w:w="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161,282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192,081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108,690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1,548,617</w:t>
            </w: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49" w:lineRule="exact"/>
        <w:rPr>
          <w:sz w:val="20"/>
          <w:szCs w:val="20"/>
          <w:color w:val="auto"/>
        </w:rPr>
      </w:pPr>
    </w:p>
    <w:p>
      <w:pPr>
        <w:ind w:left="240" w:right="140" w:hanging="236"/>
        <w:spacing w:after="0" w:line="247"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fiscal year 2023, we identified an immaterial error in our previously disclosed revenue by geographic area for our Vista reportable segment for the three and six months ended December 31, 2022, which understated revenue in North America and Europe, with an offsetting overstatement in the Other geographies. We have corrected the disclosed figures as included herein.</w:t>
      </w:r>
    </w:p>
    <w:p>
      <w:pPr>
        <w:spacing w:after="0" w:line="130"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The following table includes segment EBITDA by reportable segment, total income (loss) from operations and total income (loss) before income taxes: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b w:val="1"/>
                <w:bCs w:val="1"/>
                <w:color w:val="auto"/>
              </w:rPr>
              <w:t>2022</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103,176</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55,157</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177,600</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85,894</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28,341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34,500</w:t>
            </w: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18,442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13,681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32,050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25,901</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25,865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23,486</w:t>
            </w:r>
          </w:p>
        </w:tc>
      </w:tr>
      <w:tr>
        <w:trPr>
          <w:trHeight w:val="207"/>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7,983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5,406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11,584</w:t>
            </w:r>
          </w:p>
        </w:tc>
      </w:tr>
      <w:tr>
        <w:trPr>
          <w:trHeight w:val="202"/>
        </w:trPr>
        <w:tc>
          <w:tcPr>
            <w:tcW w:w="44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segment EBITDA</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183,807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118,536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289,820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181,365</w:t>
            </w:r>
          </w:p>
        </w:tc>
      </w:tr>
      <w:tr>
        <w:trPr>
          <w:trHeight w:val="200"/>
        </w:trPr>
        <w:tc>
          <w:tcPr>
            <w:tcW w:w="4400" w:type="dxa"/>
            <w:vAlign w:val="bottom"/>
          </w:tcPr>
          <w:p>
            <w:pPr>
              <w:ind w:left="320"/>
              <w:spacing w:after="0"/>
              <w:rPr>
                <w:sz w:val="20"/>
                <w:szCs w:val="20"/>
                <w:color w:val="auto"/>
              </w:rPr>
            </w:pPr>
            <w:r>
              <w:rPr>
                <w:rFonts w:ascii="Arial" w:cs="Arial" w:eastAsia="Arial" w:hAnsi="Arial"/>
                <w:sz w:val="16"/>
                <w:szCs w:val="16"/>
                <w:color w:val="auto"/>
              </w:rPr>
              <w:t>Central and corporate costs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(35,967)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(33,802)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(67,747)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(68,380)</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(81,816)</w:t>
            </w: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Restructuring-related charges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(13,027)</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Certain impairments and other adjustments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w:t>
            </w:r>
          </w:p>
        </w:tc>
      </w:tr>
      <w:tr>
        <w:trPr>
          <w:trHeight w:val="200"/>
        </w:trPr>
        <w:tc>
          <w:tcPr>
            <w:tcW w:w="44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income from operations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6"/>
              </w:rPr>
              <w:t>107,679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33,578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141,779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15,611</w:t>
            </w:r>
          </w:p>
        </w:tc>
      </w:tr>
      <w:tr>
        <w:trPr>
          <w:trHeight w:val="202"/>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(expense) income, net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10,005</w:t>
            </w: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(30,588)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(59,788)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(53,403)</w:t>
            </w:r>
          </w:p>
        </w:tc>
      </w:tr>
      <w:tr>
        <w:trPr>
          <w:trHeight w:val="208"/>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early extinguishment of debt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2"/>
        </w:trPr>
        <w:tc>
          <w:tcPr>
            <w:tcW w:w="4400" w:type="dxa"/>
            <w:vAlign w:val="bottom"/>
          </w:tcPr>
          <w:p>
            <w:pPr>
              <w:ind w:left="640"/>
              <w:spacing w:after="0"/>
              <w:rPr>
                <w:sz w:val="20"/>
                <w:szCs w:val="20"/>
                <w:color w:val="auto"/>
              </w:rPr>
            </w:pPr>
            <w:r>
              <w:rPr>
                <w:rFonts w:ascii="Arial" w:cs="Arial" w:eastAsia="Arial" w:hAnsi="Arial"/>
                <w:sz w:val="16"/>
                <w:szCs w:val="16"/>
                <w:color w:val="auto"/>
              </w:rPr>
              <w:t>Income (loss) before income taxes</w:t>
            </w:r>
          </w:p>
        </w:tc>
        <w:tc>
          <w:tcPr>
            <w:tcW w:w="98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77,049</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(12,411)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89,740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(27,787)</w:t>
            </w: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13,176</w:t>
            </w:r>
          </w:p>
        </w:tc>
        <w:tc>
          <w:tcPr>
            <w:tcW w:w="100" w:type="dxa"/>
            <w:vAlign w:val="bottom"/>
          </w:tcPr>
          <w:p>
            <w:pPr>
              <w:spacing w:after="0"/>
              <w:rPr>
                <w:sz w:val="17"/>
                <w:szCs w:val="17"/>
                <w:color w:val="auto"/>
              </w:rPr>
            </w:pPr>
          </w:p>
        </w:tc>
        <w:tc>
          <w:tcPr>
            <w:tcW w:w="1020" w:type="dxa"/>
            <w:vAlign w:val="bottom"/>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14,193</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28,051</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28,863</w:t>
            </w:r>
          </w:p>
        </w:tc>
      </w:tr>
      <w:tr>
        <w:trPr>
          <w:trHeight w:val="209"/>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9,922</w:t>
            </w: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11,661</w:t>
            </w:r>
          </w:p>
        </w:tc>
      </w:tr>
      <w:tr>
        <w:trPr>
          <w:trHeight w:val="209"/>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8,842</w:t>
            </w:r>
          </w:p>
        </w:tc>
      </w:tr>
      <w:tr>
        <w:trPr>
          <w:trHeight w:val="208"/>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10,842</w:t>
            </w:r>
          </w:p>
        </w:tc>
      </w:tr>
      <w:tr>
        <w:trPr>
          <w:trHeight w:val="202"/>
        </w:trPr>
        <w:tc>
          <w:tcPr>
            <w:tcW w:w="428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79,031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81,816</w:t>
            </w:r>
          </w:p>
        </w:tc>
      </w:tr>
      <w:tr>
        <w:trPr>
          <w:trHeight w:val="20"/>
        </w:trPr>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b w:val="1"/>
                <w:bCs w:val="1"/>
                <w:color w:val="auto"/>
              </w:rPr>
              <w:t>2022</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Vista</w:t>
            </w:r>
          </w:p>
        </w:tc>
        <w:tc>
          <w:tcPr>
            <w:tcW w:w="1020" w:type="dxa"/>
            <w:vAlign w:val="bottom"/>
          </w:tcPr>
          <w:p>
            <w:pPr>
              <w:jc w:val="right"/>
              <w:ind w:right="85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5,859</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6,445</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9,470</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9,569</w:t>
            </w:r>
          </w:p>
        </w:tc>
      </w:tr>
      <w:tr>
        <w:trPr>
          <w:trHeight w:val="209"/>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5,242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1,761</w:t>
            </w: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2,547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11,043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10,089</w:t>
            </w:r>
          </w:p>
        </w:tc>
      </w:tr>
      <w:tr>
        <w:trPr>
          <w:trHeight w:val="209"/>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4,155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2,447</w:t>
            </w: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3,416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1,835</w:t>
            </w:r>
          </w:p>
        </w:tc>
      </w:tr>
      <w:tr>
        <w:trPr>
          <w:trHeight w:val="208"/>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629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789</w:t>
            </w:r>
          </w:p>
        </w:tc>
      </w:tr>
      <w:tr>
        <w:trPr>
          <w:trHeight w:val="202"/>
        </w:trPr>
        <w:tc>
          <w:tcPr>
            <w:tcW w:w="4420" w:type="dxa"/>
            <w:vAlign w:val="bottom"/>
          </w:tcPr>
          <w:p>
            <w:pPr>
              <w:ind w:left="640"/>
              <w:spacing w:after="0"/>
              <w:rPr>
                <w:sz w:val="20"/>
                <w:szCs w:val="20"/>
                <w:color w:val="auto"/>
              </w:rPr>
            </w:pPr>
            <w:r>
              <w:rPr>
                <w:rFonts w:ascii="Arial" w:cs="Arial" w:eastAsia="Arial" w:hAnsi="Arial"/>
                <w:sz w:val="16"/>
                <w:szCs w:val="16"/>
                <w:color w:val="auto"/>
              </w:rPr>
              <w:t>Total purchases of property, plant and equipment</w:t>
            </w: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11,390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14,732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33,955</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26,490</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3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7"/>
                <w:szCs w:val="17"/>
                <w:color w:val="auto"/>
              </w:rPr>
            </w:pPr>
          </w:p>
        </w:tc>
        <w:tc>
          <w:tcPr>
            <w:tcW w:w="1020" w:type="dxa"/>
            <w:vAlign w:val="bottom"/>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12,690</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11,774</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11,830</w:t>
            </w:r>
          </w:p>
        </w:tc>
        <w:tc>
          <w:tcPr>
            <w:tcW w:w="0" w:type="dxa"/>
            <w:vAlign w:val="bottom"/>
          </w:tcPr>
          <w:p>
            <w:pPr>
              <w:spacing w:after="0"/>
              <w:rPr>
                <w:sz w:val="1"/>
                <w:szCs w:val="1"/>
                <w:color w:val="auto"/>
              </w:rPr>
            </w:pPr>
          </w:p>
        </w:tc>
      </w:tr>
      <w:tr>
        <w:trPr>
          <w:trHeight w:val="137"/>
        </w:trPr>
        <w:tc>
          <w:tcPr>
            <w:tcW w:w="4300" w:type="dxa"/>
            <w:vAlign w:val="bottom"/>
          </w:tcPr>
          <w:p>
            <w:pPr>
              <w:ind w:left="640"/>
              <w:spacing w:after="0" w:line="137" w:lineRule="exact"/>
              <w:rPr>
                <w:sz w:val="20"/>
                <w:szCs w:val="20"/>
                <w:color w:val="auto"/>
              </w:rPr>
            </w:pPr>
            <w:r>
              <w:rPr>
                <w:rFonts w:ascii="Arial" w:cs="Arial" w:eastAsia="Arial" w:hAnsi="Arial"/>
                <w:sz w:val="14"/>
                <w:szCs w:val="14"/>
                <w:color w:val="auto"/>
              </w:rPr>
              <w:t>Total capitalization of software and website</w:t>
            </w:r>
          </w:p>
        </w:tc>
        <w:tc>
          <w:tcPr>
            <w:tcW w:w="980" w:type="dxa"/>
            <w:vAlign w:val="bottom"/>
            <w:vMerge w:val="restart"/>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13,947</w:t>
            </w:r>
          </w:p>
        </w:tc>
        <w:tc>
          <w:tcPr>
            <w:tcW w:w="100" w:type="dxa"/>
            <w:vAlign w:val="bottom"/>
          </w:tcPr>
          <w:p>
            <w:pPr>
              <w:spacing w:after="0"/>
              <w:rPr>
                <w:sz w:val="11"/>
                <w:szCs w:val="11"/>
                <w:color w:val="auto"/>
              </w:rPr>
            </w:pPr>
          </w:p>
        </w:tc>
        <w:tc>
          <w:tcPr>
            <w:tcW w:w="1020" w:type="dxa"/>
            <w:vAlign w:val="bottom"/>
            <w:vMerge w:val="restart"/>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1"/>
                <w:szCs w:val="11"/>
                <w:color w:val="auto"/>
              </w:rPr>
            </w:pPr>
          </w:p>
        </w:tc>
        <w:tc>
          <w:tcPr>
            <w:tcW w:w="4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28,344</w:t>
            </w:r>
          </w:p>
        </w:tc>
        <w:tc>
          <w:tcPr>
            <w:tcW w:w="100" w:type="dxa"/>
            <w:vAlign w:val="bottom"/>
          </w:tcPr>
          <w:p>
            <w:pPr>
              <w:spacing w:after="0"/>
              <w:rPr>
                <w:sz w:val="11"/>
                <w:szCs w:val="11"/>
                <w:color w:val="auto"/>
              </w:rPr>
            </w:pPr>
          </w:p>
        </w:tc>
        <w:tc>
          <w:tcPr>
            <w:tcW w:w="4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29,246</w:t>
            </w:r>
          </w:p>
        </w:tc>
        <w:tc>
          <w:tcPr>
            <w:tcW w:w="0" w:type="dxa"/>
            <w:vAlign w:val="bottom"/>
          </w:tcPr>
          <w:p>
            <w:pPr>
              <w:spacing w:after="0"/>
              <w:rPr>
                <w:sz w:val="1"/>
                <w:szCs w:val="1"/>
                <w:color w:val="auto"/>
              </w:rPr>
            </w:pPr>
          </w:p>
        </w:tc>
      </w:tr>
      <w:tr>
        <w:trPr>
          <w:trHeight w:val="186"/>
        </w:trPr>
        <w:tc>
          <w:tcPr>
            <w:tcW w:w="4300" w:type="dxa"/>
            <w:vAlign w:val="bottom"/>
          </w:tcPr>
          <w:p>
            <w:pPr>
              <w:ind w:left="640"/>
              <w:spacing w:after="0" w:line="181" w:lineRule="exact"/>
              <w:rPr>
                <w:sz w:val="20"/>
                <w:szCs w:val="20"/>
                <w:color w:val="auto"/>
              </w:rPr>
            </w:pPr>
            <w:r>
              <w:rPr>
                <w:rFonts w:ascii="Arial" w:cs="Arial" w:eastAsia="Arial" w:hAnsi="Arial"/>
                <w:sz w:val="16"/>
                <w:szCs w:val="16"/>
                <w:color w:val="auto"/>
              </w:rPr>
              <w:t>development costs</w:t>
            </w: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2023</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2023</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83,956</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74,769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73,857</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65,547</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54,588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57,328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42,377</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31,268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29,302</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27,813</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19,664</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Jamaica (3)</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17,834</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86,690</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504,368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ind w:left="240" w:right="160" w:hanging="236"/>
        <w:spacing w:after="0" w:line="281"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goodwill of $790,967 and $781,541, intangible assets, net of $90,617 and $109,196, deferred tax assets of $11,773 and $12,740 as of December 31, 2023 and June 30, 2023, respectively, as well as marketable securities, non-current of $4,497 as of June 30, 2023.</w:t>
      </w:r>
    </w:p>
    <w:p>
      <w:pPr>
        <w:spacing w:after="0" w:line="38" w:lineRule="exact"/>
        <w:rPr>
          <w:rFonts w:ascii="Arial" w:cs="Arial" w:eastAsia="Arial" w:hAnsi="Arial"/>
          <w:sz w:val="14"/>
          <w:szCs w:val="14"/>
          <w:color w:val="auto"/>
        </w:rPr>
      </w:pPr>
    </w:p>
    <w:p>
      <w:pPr>
        <w:ind w:left="220" w:hanging="216"/>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decrease in the United States long-lived assets is due to the reclassification of a tax receivable from non-current to current during the current fiscal year.</w:t>
      </w:r>
    </w:p>
    <w:p>
      <w:pPr>
        <w:spacing w:after="0" w:line="85" w:lineRule="exact"/>
        <w:rPr>
          <w:rFonts w:ascii="Arial" w:cs="Arial" w:eastAsia="Arial" w:hAnsi="Arial"/>
          <w:sz w:val="14"/>
          <w:szCs w:val="14"/>
          <w:color w:val="auto"/>
        </w:rPr>
      </w:pPr>
    </w:p>
    <w:p>
      <w:pPr>
        <w:ind w:left="240" w:hanging="236"/>
        <w:spacing w:after="0" w:line="266"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decrease in Jamaica's long-lived assets is due to the planned sale of an owned customer service facility as we continue to optimize our real estate footprint with many of these team members operating under a remote-first model, which resulted in the classification of the related assets as held-for-sale as of December 31, 2023. The asset is now presented as part of prepaid expenses and other current assets in the consolidated balance sheet. Refer to Note 2 for additional details.</w:t>
      </w:r>
    </w:p>
    <w:p>
      <w:pPr>
        <w:spacing w:after="0" w:line="258" w:lineRule="exact"/>
        <w:rPr>
          <w:sz w:val="20"/>
          <w:szCs w:val="20"/>
          <w:color w:val="auto"/>
        </w:rPr>
      </w:pPr>
    </w:p>
    <w:p>
      <w:pPr>
        <w:ind w:right="8200" w:firstLine="4"/>
        <w:spacing w:after="0" w:line="425" w:lineRule="auto"/>
        <w:tabs>
          <w:tab w:leader="none" w:pos="289"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Purchase Obligations</w:t>
      </w:r>
    </w:p>
    <w:p>
      <w:pPr>
        <w:spacing w:after="0" w:line="11" w:lineRule="exact"/>
        <w:rPr>
          <w:sz w:val="20"/>
          <w:szCs w:val="20"/>
          <w:color w:val="auto"/>
        </w:rPr>
      </w:pPr>
    </w:p>
    <w:p>
      <w:pPr>
        <w:ind w:right="120" w:firstLine="623"/>
        <w:spacing w:after="0" w:line="275" w:lineRule="auto"/>
        <w:rPr>
          <w:sz w:val="20"/>
          <w:szCs w:val="20"/>
          <w:color w:val="auto"/>
        </w:rPr>
      </w:pPr>
      <w:r>
        <w:rPr>
          <w:rFonts w:ascii="Arial" w:cs="Arial" w:eastAsia="Arial" w:hAnsi="Arial"/>
          <w:sz w:val="17"/>
          <w:szCs w:val="17"/>
          <w:color w:val="auto"/>
        </w:rPr>
        <w:t>At December 31, 2023, we had unrecorded commitments under contract of $208,113, including inventory, third-party fulfillment and digital service purchase commitments of $93,352; third-party cloud services of $56,113; software of $17,388; advertising of $6,888; professional and consulting fees of $5,973; production and computer equipment purchases of $2,468; and other unrecorded purchase commitments of $25,931.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94"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Restructuring Charges</w:t>
      </w:r>
    </w:p>
    <w:p>
      <w:pPr>
        <w:spacing w:after="0" w:line="248" w:lineRule="exact"/>
        <w:rPr>
          <w:sz w:val="20"/>
          <w:szCs w:val="20"/>
          <w:color w:val="auto"/>
        </w:rPr>
      </w:pPr>
    </w:p>
    <w:p>
      <w:pPr>
        <w:ind w:right="160" w:firstLine="623"/>
        <w:spacing w:after="0" w:line="275"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w:t>
      </w:r>
    </w:p>
    <w:p>
      <w:pPr>
        <w:spacing w:after="0" w:line="185"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During the three and six months ended December 31, 2023, we recognized restructuring expense of $483 and $149, respectively. The restructuring charges recognized in the current period primarily include adjustments made to the previously estimated restructuring expense for actions taken in our Vista and National Pen reportable segments. We do not expect any additional material charges for these restructuring actions.</w:t>
      </w:r>
    </w:p>
    <w:p>
      <w:pPr>
        <w:spacing w:after="0" w:line="185" w:lineRule="exact"/>
        <w:rPr>
          <w:sz w:val="20"/>
          <w:szCs w:val="20"/>
          <w:color w:val="auto"/>
        </w:rPr>
      </w:pPr>
    </w:p>
    <w:p>
      <w:pPr>
        <w:ind w:right="1240" w:firstLine="623"/>
        <w:spacing w:after="0" w:line="295" w:lineRule="auto"/>
        <w:rPr>
          <w:sz w:val="20"/>
          <w:szCs w:val="20"/>
          <w:color w:val="auto"/>
        </w:rPr>
      </w:pPr>
      <w:r>
        <w:rPr>
          <w:rFonts w:ascii="Arial" w:cs="Arial" w:eastAsia="Arial" w:hAnsi="Arial"/>
          <w:sz w:val="17"/>
          <w:szCs w:val="17"/>
          <w:color w:val="auto"/>
        </w:rPr>
        <w:t>During the three and six months ended December 31, 2022, we recognized restructuring expense of $11,207 and $13,027, respectively.The prior periods' restructuring charges were primarily recognized in our Vista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8" w:name="page29"/>
    <w:bookmarkEnd w:id="28"/>
    <w:p>
      <w:pPr>
        <w:jc w:val="both"/>
        <w:ind w:right="100"/>
        <w:spacing w:after="0" w:line="275" w:lineRule="auto"/>
        <w:rPr>
          <w:sz w:val="20"/>
          <w:szCs w:val="20"/>
          <w:color w:val="auto"/>
        </w:rPr>
      </w:pPr>
      <w:r>
        <w:rPr>
          <w:rFonts w:ascii="Arial" w:cs="Arial" w:eastAsia="Arial" w:hAnsi="Arial"/>
          <w:sz w:val="17"/>
          <w:szCs w:val="17"/>
          <w:color w:val="auto"/>
        </w:rPr>
        <w:t>reportable segment, related to the impairment and write-off of assets associated with our exit of the Japanese market. Additionally, we recognized $3,561 for the three and six months ended December 31, 2022 within our All Other Businesses reportable segment, which included losses related to the sale of our Chinese business.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restructuring activity during the six months ended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ind w:left="40"/>
              <w:spacing w:after="0"/>
              <w:rPr>
                <w:sz w:val="20"/>
                <w:szCs w:val="20"/>
                <w:color w:val="auto"/>
              </w:rPr>
            </w:pPr>
            <w:r>
              <w:rPr>
                <w:rFonts w:ascii="Arial" w:cs="Arial" w:eastAsia="Arial" w:hAnsi="Arial"/>
                <w:sz w:val="12"/>
                <w:szCs w:val="12"/>
                <w:b w:val="1"/>
                <w:bCs w:val="1"/>
                <w:color w:val="auto"/>
              </w:rPr>
              <w:t>Severance and Related</w:t>
            </w:r>
          </w:p>
        </w:tc>
        <w:tc>
          <w:tcPr>
            <w:tcW w:w="16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Other Restructuring Costs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right"/>
              <w:ind w:right="146"/>
              <w:spacing w:after="0"/>
              <w:rPr>
                <w:sz w:val="20"/>
                <w:szCs w:val="20"/>
                <w:color w:val="auto"/>
              </w:rPr>
            </w:pPr>
            <w:r>
              <w:rPr>
                <w:rFonts w:ascii="Arial" w:cs="Arial" w:eastAsia="Arial" w:hAnsi="Arial"/>
                <w:sz w:val="12"/>
                <w:szCs w:val="12"/>
                <w:b w:val="1"/>
                <w:bCs w:val="1"/>
                <w:color w:val="auto"/>
              </w:rPr>
              <w:t>Accrued Restructuring</w:t>
            </w:r>
          </w:p>
        </w:tc>
        <w:tc>
          <w:tcPr>
            <w:tcW w:w="0" w:type="dxa"/>
            <w:vAlign w:val="bottom"/>
          </w:tcPr>
          <w:p>
            <w:pPr>
              <w:spacing w:after="0"/>
              <w:rPr>
                <w:sz w:val="1"/>
                <w:szCs w:val="1"/>
                <w:color w:val="auto"/>
              </w:rPr>
            </w:pPr>
          </w:p>
        </w:tc>
      </w:tr>
      <w:tr>
        <w:trPr>
          <w:trHeight w:val="178"/>
        </w:trPr>
        <w:tc>
          <w:tcPr>
            <w:tcW w:w="5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Benefits</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Non-cash charges</w:t>
            </w:r>
          </w:p>
        </w:tc>
        <w:tc>
          <w:tcPr>
            <w:tcW w:w="12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2"/>
        </w:trPr>
        <w:tc>
          <w:tcPr>
            <w:tcW w:w="598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7"/>
                <w:szCs w:val="17"/>
                <w:color w:val="auto"/>
              </w:rPr>
            </w:pPr>
          </w:p>
        </w:tc>
        <w:tc>
          <w:tcPr>
            <w:tcW w:w="740" w:type="dxa"/>
            <w:vAlign w:val="bottom"/>
          </w:tcPr>
          <w:p>
            <w:pPr>
              <w:jc w:val="right"/>
              <w:ind w:right="54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right="80" w:firstLine="623"/>
        <w:spacing w:after="0" w:line="257"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including liquidity, net leverage, and capital allocation opportunities; future payment terms with suppliers; legal proceedings; our expectations with respect to our valuation allowance;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inflation; our inability to make the investments in our business that we plan to make or the failure of those investments to achieve the results we expect; our failure to execute on the transformation of the Vista business;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disruptions caused by political instability and war in Ukraine, Israel, or elsewhere;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and other factors described in our Annual Report on Form 10-K for the fiscal year ended June 30, 2023 and the documents that we periodically file with the SEC.</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81"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We have five reportable segments: Vista, PrintBrothers, The Print Group, National Pen, and All Other Businesses. For further details on our reportable segments, refer to Note 11 in our accompanying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right="40" w:firstLine="623"/>
        <w:spacing w:after="0" w:line="261"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six months ended December 31, 2023 as compared to the three and six months ended December 31, 2022 follows: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Fiscal Year 2024</w:t>
      </w:r>
    </w:p>
    <w:p>
      <w:pPr>
        <w:spacing w:after="0" w:line="220" w:lineRule="exact"/>
        <w:rPr>
          <w:sz w:val="20"/>
          <w:szCs w:val="20"/>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increased by 9% to $921.4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6%.</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income increased by $74.1 million to $107.7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(a non-GAAP financial measure) increased by $55.3 million to $166.4 million.</w:t>
      </w:r>
    </w:p>
    <w:p>
      <w:pPr>
        <w:spacing w:after="0" w:line="116" w:lineRule="exact"/>
        <w:rPr>
          <w:rFonts w:ascii="Arial" w:cs="Arial" w:eastAsia="Arial" w:hAnsi="Arial"/>
          <w:sz w:val="17"/>
          <w:szCs w:val="17"/>
          <w:color w:val="auto"/>
        </w:rPr>
      </w:pPr>
    </w:p>
    <w:p>
      <w:pPr>
        <w:ind w:left="940" w:right="320" w:hanging="313"/>
        <w:spacing w:after="0" w:line="295"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Diluted net income (loss) per share attributable to Cimpress plc increased to income of $2.14 from a loss of $5.34 in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Year to Date Fiscal Year 2024</w:t>
      </w:r>
    </w:p>
    <w:p>
      <w:pPr>
        <w:spacing w:after="0" w:line="116" w:lineRule="exact"/>
        <w:rPr>
          <w:sz w:val="20"/>
          <w:szCs w:val="20"/>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Revenue increased by 8% to $1,678.7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5%.</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income increased by $126.2 million to $141.8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(a non-GAAP financial measure) increased by $98.4 million to $255.2 million.</w:t>
      </w:r>
    </w:p>
    <w:p>
      <w:pPr>
        <w:spacing w:after="0" w:line="116" w:lineRule="exact"/>
        <w:rPr>
          <w:rFonts w:ascii="Arial" w:cs="Arial" w:eastAsia="Arial" w:hAnsi="Arial"/>
          <w:sz w:val="17"/>
          <w:szCs w:val="17"/>
          <w:color w:val="auto"/>
        </w:rPr>
      </w:pPr>
    </w:p>
    <w:p>
      <w:pPr>
        <w:ind w:left="940" w:right="320" w:hanging="313"/>
        <w:spacing w:after="0" w:line="295"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Diluted net income (loss) per share attributable to Cimpress plc increased to income of $2.31 from a loss of $6.31 in the prior fiscal year.</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provided by operating activities increased by $161.3 million to $217.2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increased by $159.4 million to $160.9 million.</w:t>
      </w:r>
    </w:p>
    <w:p>
      <w:pPr>
        <w:spacing w:after="0" w:line="207"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For the three and six months ended December 31, 2023, the increase in reported revenue was primarily due to growth across our Vista, PrintBrothers and National Pen reportable segments. Revenue growth in our Vista business was driven by growth in total customer count and the continued increase of revenue per customer. Revenue in our Vista business grew year over year across all major product categories and markets. The second fiscal quarter is seasonally significant for Vista's sales of consumer products, and this category delivered strong growth during the current period. Currency exchange fluctuations had a positive effect on revenue growth during the current quarter.</w:t>
      </w:r>
    </w:p>
    <w:p>
      <w:pPr>
        <w:spacing w:after="0" w:line="141"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The increase to operating income during the three and six months ended December 31, 2023 was driven by higher gross profit that benefited from the revenue growth described above as well as gross margin expansion. Operating income also benefited from improved leverage of advertising spend as a percentage of revenue and reduced operating expenses driven by prior-year cost reduction actions, as well as lower restructuring costs of $10.7 million and $12.9 million, respectively, as a result of actions that were completed during the prior year.</w:t>
      </w:r>
    </w:p>
    <w:p>
      <w:pPr>
        <w:spacing w:after="0" w:line="152" w:lineRule="exact"/>
        <w:rPr>
          <w:sz w:val="20"/>
          <w:szCs w:val="20"/>
          <w:color w:val="auto"/>
        </w:rPr>
      </w:pPr>
    </w:p>
    <w:p>
      <w:pPr>
        <w:jc w:val="both"/>
        <w:ind w:right="80" w:firstLine="623"/>
        <w:spacing w:after="0" w:line="268" w:lineRule="auto"/>
        <w:rPr>
          <w:sz w:val="20"/>
          <w:szCs w:val="20"/>
          <w:color w:val="auto"/>
        </w:rPr>
      </w:pPr>
      <w:r>
        <w:rPr>
          <w:rFonts w:ascii="Arial" w:cs="Arial" w:eastAsia="Arial" w:hAnsi="Arial"/>
          <w:sz w:val="17"/>
          <w:szCs w:val="17"/>
          <w:color w:val="auto"/>
        </w:rPr>
        <w:t>Adjusted EBITDA increased during the three and six months ended December 31, 2023, primarily driven by the operating income growth described above, which was was partially offset by $8.0 million and $11.5 million of year-over-year net unfavorable currency impacts, respectively. Adjusted EBITDA excludes restructuring charges, share-based compensation expense, certain impairments, and gains on the sale of assets, and includes the realized gains or losses on our currency derivatives intended to hedge adjusted EBITDA.</w:t>
      </w:r>
    </w:p>
    <w:p>
      <w:pPr>
        <w:spacing w:after="0" w:line="152"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Diluted net income (loss) per share attributable to Cimpress plc increased year over year for the three and six months ended December 31, 2023, primarily due to the operating income increase described above and $109.3 million and $110.6 million of decreases to income tax expense, respectively. The reduced income tax expense was due to the recognition of a full valuation allowance on Swiss deferred tax assets in the prior periods. These increases to income were partially offset by higher interest expense of $2.0 million and $6.4 million, respectively, driven by an increased weighted-average interest rate. Net currency impacts on net income for the three months ended December 31, 2023 were positive year over year due to lower unrealized losses on our derivative contracts, while the net currency impacts on net income for the six months ended December 31, 2023 were negative year over year, primarily due to lower realized gains on our derivative contracts. These fluctuations were primarily caused by currency exchange rate volatility.</w:t>
      </w:r>
    </w:p>
    <w:p>
      <w:pPr>
        <w:spacing w:after="0" w:line="149"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During the six months ended December 31, 2023, cash from operations increased $161.3 million year over year due primarily to the increase in operating income as described above, as well as a favorable shift in working capital inflows of $88.7 million, which was driven in part by the normalization of working capital trends. This favorable impact was partially offset by higher cash taxes of $15.3 million, due in part to increased prior-year assessments in one jurisdiction driven by profitability growth, as well as higher net cash interest payments of $14.7 million.</w:t>
      </w:r>
    </w:p>
    <w:p>
      <w:pPr>
        <w:spacing w:after="0" w:line="152"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Adjusted free cash flow increased by $ 159.4 million for the six months ended December 31, 2023, due to the operating cash flow increase described above, as well as $4.6 million higher proceeds from the sale of assets, primarily driven by the sale of our previously owned manufacturing facility in Japan. These increases were partially offset by $7.5 million of higher capitalized expenditures.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2" w:lineRule="exact"/>
        <w:rPr>
          <w:sz w:val="20"/>
          <w:szCs w:val="20"/>
          <w:color w:val="auto"/>
        </w:rPr>
      </w:pPr>
    </w:p>
    <w:p>
      <w:pPr>
        <w:jc w:val="both"/>
        <w:ind w:right="36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right="140" w:firstLine="623"/>
        <w:spacing w:after="0" w:line="295" w:lineRule="auto"/>
        <w:rPr>
          <w:sz w:val="20"/>
          <w:szCs w:val="20"/>
          <w:color w:val="auto"/>
        </w:rPr>
      </w:pPr>
      <w:r>
        <w:rPr>
          <w:rFonts w:ascii="Arial" w:cs="Arial" w:eastAsia="Arial" w:hAnsi="Arial"/>
          <w:sz w:val="17"/>
          <w:szCs w:val="17"/>
          <w:color w:val="auto"/>
        </w:rPr>
        <w:t>Total revenue and revenue growth by reportable segment for the three and six months ended December 31, 2023 and 2022 are shown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vMerge w:val="restart"/>
          </w:tcPr>
          <w:p>
            <w:pPr>
              <w:jc w:val="right"/>
              <w:ind w:right="144"/>
              <w:spacing w:after="0"/>
              <w:rPr>
                <w:sz w:val="20"/>
                <w:szCs w:val="20"/>
                <w:color w:val="auto"/>
              </w:rPr>
            </w:pPr>
            <w:r>
              <w:rPr>
                <w:rFonts w:ascii="Arial" w:cs="Arial" w:eastAsia="Arial" w:hAnsi="Arial"/>
                <w:sz w:val="12"/>
                <w:szCs w:val="12"/>
                <w:b w:val="1"/>
                <w:bCs w:val="1"/>
                <w:color w:val="auto"/>
              </w:rPr>
              <w:t>Three Months Ended December 31,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68"/>
        </w:trPr>
        <w:tc>
          <w:tcPr>
            <w:tcW w:w="2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11"/>
        </w:trPr>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26"/>
              <w:spacing w:after="0"/>
              <w:rPr>
                <w:sz w:val="20"/>
                <w:szCs w:val="20"/>
                <w:color w:val="auto"/>
              </w:rPr>
            </w:pPr>
            <w:r>
              <w:rPr>
                <w:rFonts w:ascii="Arial" w:cs="Arial" w:eastAsia="Arial" w:hAnsi="Arial"/>
                <w:sz w:val="12"/>
                <w:szCs w:val="12"/>
                <w:b w:val="1"/>
                <w:bCs w:val="1"/>
                <w:color w:val="auto"/>
              </w:rPr>
              <w:t>2023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2022</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485,151</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437,736</w:t>
            </w:r>
          </w:p>
        </w:tc>
        <w:tc>
          <w:tcPr>
            <w:tcW w:w="860" w:type="dxa"/>
            <w:vAlign w:val="bottom"/>
            <w:gridSpan w:val="2"/>
            <w:shd w:val="clear" w:color="auto" w:fill="CCEEFF"/>
          </w:tcPr>
          <w:p>
            <w:pPr>
              <w:jc w:val="center"/>
              <w:ind w:left="45"/>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165,148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148,598</w:t>
            </w:r>
          </w:p>
        </w:tc>
        <w:tc>
          <w:tcPr>
            <w:tcW w:w="860" w:type="dxa"/>
            <w:vAlign w:val="bottom"/>
            <w:gridSpan w:val="2"/>
          </w:tcPr>
          <w:p>
            <w:pPr>
              <w:jc w:val="center"/>
              <w:ind w:left="45"/>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89,336</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130,572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120,621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59,998</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(13,059)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921,363</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845,202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line="20" w:lineRule="exact"/>
              <w:rPr>
                <w:sz w:val="1"/>
                <w:szCs w:val="1"/>
                <w:color w:val="auto"/>
              </w:rPr>
            </w:pPr>
          </w:p>
        </w:tc>
      </w:tr>
      <w:tr>
        <w:trPr>
          <w:trHeight w:val="331"/>
        </w:trPr>
        <w:tc>
          <w:tcPr>
            <w:tcW w:w="2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vMerge w:val="restart"/>
          </w:tcPr>
          <w:p>
            <w:pPr>
              <w:jc w:val="right"/>
              <w:ind w:right="244"/>
              <w:spacing w:after="0"/>
              <w:rPr>
                <w:sz w:val="20"/>
                <w:szCs w:val="20"/>
                <w:color w:val="auto"/>
              </w:rPr>
            </w:pPr>
            <w:r>
              <w:rPr>
                <w:rFonts w:ascii="Arial" w:cs="Arial" w:eastAsia="Arial" w:hAnsi="Arial"/>
                <w:sz w:val="12"/>
                <w:szCs w:val="12"/>
                <w:b w:val="1"/>
                <w:bCs w:val="1"/>
                <w:color w:val="auto"/>
              </w:rPr>
              <w:t>Six Months Ended December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20" w:type="dxa"/>
            <w:vAlign w:val="bottom"/>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11"/>
        </w:trPr>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2"/>
                <w:szCs w:val="12"/>
                <w:b w:val="1"/>
                <w:bCs w:val="1"/>
                <w:color w:val="auto"/>
              </w:rPr>
              <w:t>2022</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881,798</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807,105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317,369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281,297</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9"/>
              </w:rPr>
              <w:t>13%</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166,159</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217,827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202,287</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111,825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(24,227)</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1,678,657</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1,548,617</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34" w:lineRule="exact"/>
        <w:rPr>
          <w:sz w:val="20"/>
          <w:szCs w:val="20"/>
          <w:color w:val="auto"/>
        </w:rPr>
      </w:pPr>
    </w:p>
    <w:p>
      <w:pPr>
        <w:ind w:left="240" w:right="140" w:hanging="236"/>
        <w:spacing w:after="0" w:line="264"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ind w:left="240" w:right="240" w:hanging="236"/>
        <w:spacing w:after="0" w:line="280"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 w:lineRule="exact"/>
        <w:rPr>
          <w:sz w:val="20"/>
          <w:szCs w:val="20"/>
          <w:color w:val="auto"/>
        </w:rPr>
      </w:pPr>
    </w:p>
    <w:p>
      <w:pPr>
        <w:ind w:left="240" w:right="40"/>
        <w:spacing w:after="0" w:line="25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6"/>
        </w:trPr>
        <w:tc>
          <w:tcPr>
            <w:tcW w:w="432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20" w:type="dxa"/>
            <w:vAlign w:val="bottom"/>
            <w:gridSpan w:val="5"/>
          </w:tcPr>
          <w:p>
            <w:pPr>
              <w:jc w:val="right"/>
              <w:ind w:right="80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Pr>
          <w:p>
            <w:pPr>
              <w:spacing w:after="0"/>
              <w:rPr>
                <w:sz w:val="17"/>
                <w:szCs w:val="17"/>
                <w:color w:val="auto"/>
              </w:rPr>
            </w:pPr>
          </w:p>
        </w:tc>
        <w:tc>
          <w:tcPr>
            <w:tcW w:w="3000" w:type="dxa"/>
            <w:vAlign w:val="bottom"/>
            <w:gridSpan w:val="4"/>
          </w:tcPr>
          <w:p>
            <w:pPr>
              <w:jc w:val="right"/>
              <w:ind w:right="68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3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2022</w:t>
            </w:r>
          </w:p>
        </w:tc>
      </w:tr>
      <w:tr>
        <w:trPr>
          <w:trHeight w:val="20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463,423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455,393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862,206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833,128</w:t>
            </w: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50.3 %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53.9 %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51.4 %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53.8 %</w:t>
            </w:r>
          </w:p>
        </w:tc>
      </w:tr>
    </w:tbl>
    <w:p>
      <w:pPr>
        <w:spacing w:after="0" w:line="167"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For the three months ended December 31, 2023, cost of revenue increased by $8.0 million year over year, primarily driven by unfavorable changes in currency exchange rates of $12.8 million as well as higher production and shipping costs due to volume growth and product mix shifts in some of our businesses. These cost increases were partially offset by lower input costs, savings that resulted from the March 2023 cost reduction actions, a favorable indirect tax ruling in the current quarter that provided a benefit of $3.0 million, and a $2.6 million timing-related benefit which was offset by a negative impact during the first fiscal quarter of the current fiscal year.</w:t>
      </w:r>
    </w:p>
    <w:p>
      <w:pPr>
        <w:spacing w:after="0" w:line="63" w:lineRule="exact"/>
        <w:rPr>
          <w:sz w:val="20"/>
          <w:szCs w:val="20"/>
          <w:color w:val="auto"/>
        </w:rPr>
      </w:pPr>
    </w:p>
    <w:p>
      <w:pPr>
        <w:ind w:right="120" w:firstLine="623"/>
        <w:spacing w:after="0" w:line="272" w:lineRule="auto"/>
        <w:rPr>
          <w:sz w:val="20"/>
          <w:szCs w:val="20"/>
          <w:color w:val="auto"/>
        </w:rPr>
      </w:pPr>
      <w:r>
        <w:rPr>
          <w:rFonts w:ascii="Arial" w:cs="Arial" w:eastAsia="Arial" w:hAnsi="Arial"/>
          <w:sz w:val="17"/>
          <w:szCs w:val="17"/>
          <w:color w:val="auto"/>
        </w:rPr>
        <w:t>Cost of revenue increased $29.1 million for the six months ended December 31, 2023, as compared to the prior-year period, primarily driven by unfavorable changes in currency exchange rates of $28.3 million. Production volume growth also contributed to the year-to-date increase, while lower input costs, the March 2023 cost reduction actions, and the aforementioned favorable indirect tax ruling partially offset these increases.</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2023 vs. 2022</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2023 vs. 2022</w:t>
            </w:r>
          </w:p>
        </w:tc>
        <w:tc>
          <w:tcPr>
            <w:tcW w:w="0" w:type="dxa"/>
            <w:vAlign w:val="bottom"/>
          </w:tcPr>
          <w:p>
            <w:pPr>
              <w:spacing w:after="0"/>
              <w:rPr>
                <w:sz w:val="1"/>
                <w:szCs w:val="1"/>
                <w:color w:val="auto"/>
              </w:rPr>
            </w:pPr>
          </w:p>
        </w:tc>
      </w:tr>
      <w:tr>
        <w:trPr>
          <w:trHeight w:val="137"/>
        </w:trPr>
        <w:tc>
          <w:tcPr>
            <w:tcW w:w="26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Technology and development</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79,961</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77,723</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154,291</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152,198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8.7 %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211,843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205,148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404,031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406,078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23.0 %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24.3 %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26.2 %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General and administrative</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48,793</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49,791</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97,134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103,863</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5.9 %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5.8 %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6.7 %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Amortization of acquired</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9,181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12,362</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(26)%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19,067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24,712</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w:t>
            </w: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1.5 %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11,207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0.1 %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1.3 %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0.8 %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13 in our accompanying consolidated financial statements for additional details relating to restructuring expense.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2" w:lineRule="exact"/>
        <w:rPr>
          <w:sz w:val="20"/>
          <w:szCs w:val="20"/>
          <w:color w:val="auto"/>
        </w:rPr>
      </w:pPr>
    </w:p>
    <w:p>
      <w:pPr>
        <w:ind w:right="20" w:firstLine="623"/>
        <w:spacing w:after="0" w:line="232" w:lineRule="auto"/>
        <w:rPr>
          <w:sz w:val="20"/>
          <w:szCs w:val="20"/>
          <w:color w:val="auto"/>
        </w:rPr>
      </w:pPr>
      <w:r>
        <w:rPr>
          <w:rFonts w:ascii="Arial" w:cs="Arial" w:eastAsia="Arial" w:hAnsi="Arial"/>
          <w:sz w:val="17"/>
          <w:szCs w:val="17"/>
          <w:color w:val="auto"/>
        </w:rPr>
        <w:t>Technology and development expenses increased by $2.2 million and $2.1 million for the three and six months ended December 31, 2023, respectively, as compared to the prior-year periods. The increase is largely attributable to increased amortization expense from capitalized software of $1.9 million and $4.0 million, respectively, driven by the higher capitalized asset base and fluctuations in currency exchange rates. There were also increased share-based compensation costs of $1.6 million and $2.9 million, respectively, due to a higher grant value and the</w:t>
      </w:r>
    </w:p>
    <w:p>
      <w:pPr>
        <w:ind w:right="120"/>
        <w:spacing w:after="0" w:line="235" w:lineRule="auto"/>
        <w:rPr>
          <w:sz w:val="20"/>
          <w:szCs w:val="20"/>
          <w:color w:val="auto"/>
        </w:rPr>
      </w:pPr>
      <w:r>
        <w:rPr>
          <w:rFonts w:ascii="Arial" w:cs="Arial" w:eastAsia="Arial" w:hAnsi="Arial"/>
          <w:sz w:val="17"/>
          <w:szCs w:val="17"/>
          <w:color w:val="auto"/>
        </w:rPr>
        <w:t>impact from our 2024 PSU grants that have an accelerated expense profile as well as expense volatility from changes in the estimated attainment of the related performance condition. These increases were partially offset by lower cash compensation costs of $1.6 million and $3.5 million, respectively, due primarily to cost savings resulting from the March 2023 restructuring actions that reduced headcount.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months ended December 31, 2023, marketing and selling expenses increased by $6.7 million, primarily due to higher</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advertising spend of $6.7 million, which is largely driven by our Vista and National Pen businesses. Payment processing fees also increased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$1.7 million, as compared to the prior year, due to increased order volumes. Additionally, share-based compensation costs increased $1.4 million,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due to a higher grant value and the impact from our 2024 PSU grants that have an accelerated expense profile as well as expense volatility from</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attainment of the related performance condition. These cost increases are offset in part by lower cash compensation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costs of $3.1 million, primarily due to the cost reductions that were implemented in March 2023.</w:t>
      </w:r>
    </w:p>
    <w:p>
      <w:pPr>
        <w:spacing w:after="0" w:line="191"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For the six months ended December 31, 2023, marketing and selling expenses decreased by $2.0 million as compared to the prior year period. The decrease was caused by lower cash compensation costs due in part to the March 2023 cost reduction actions, as well as lower third-party consulting spend, mainly in our Vista business, and lower building costs driven by actions taken over the past year to further optimize our real estate footprint for many of our team members operating under a remote-first model. These cost decreases were offset in part by higher advertising spend of $5.6 million, largely due to higher spend in our Vista and National Pen businesses, as well as increased share-based compensation costs of $1.1 million driven by the 2024 PSU grants.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ind w:right="80" w:firstLine="623"/>
        <w:spacing w:after="0" w:line="260" w:lineRule="auto"/>
        <w:rPr>
          <w:sz w:val="20"/>
          <w:szCs w:val="20"/>
          <w:color w:val="auto"/>
        </w:rPr>
      </w:pPr>
      <w:r>
        <w:rPr>
          <w:rFonts w:ascii="Arial" w:cs="Arial" w:eastAsia="Arial" w:hAnsi="Arial"/>
          <w:sz w:val="17"/>
          <w:szCs w:val="17"/>
          <w:color w:val="auto"/>
        </w:rPr>
        <w:t>For the three and six months ended December 31, 2023, general and administrative expenses were flat and decreased by $6.7 million, respectively, as compared to the prior-year periods. The year-to-date decrease was driven by a $3.0 million reduction of third-party consulting spend, the nonrecurrence of $2.4 million of expense related to the prior-year termination of one of our leased office locations, and the exit of our business in China during fiscal year 2023 that reduced our general and administrative expenses by $1.8 million versus the prior year. Cash compensation decreased by $1.9 million and $ 2.5 million for the three and six months ended December 31, 2023, respectively, largely driven by a reduction to long-term incentive compensation expense, due to lower than previously estimated attainment levels in certain Cimpress businesses, as well as cost savings from the March 2023 cost reductions. These decreases were partially offset by costs from our annual merit increase cycle and increases to share-based compensation costs of $3.3 million and $4.4 million, respectively, as compared to the prior-year periods, largely due to the 2024 PSU grants.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 net</w:t>
      </w:r>
    </w:p>
    <w:p>
      <w:pPr>
        <w:spacing w:after="0" w:line="207"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2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6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Currency-related gains, net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6"/>
                <w:szCs w:val="16"/>
                <w:color w:val="auto"/>
              </w:rPr>
              <w:t>10,363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6,028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firstLine="623"/>
        <w:spacing w:after="0" w:line="275" w:lineRule="auto"/>
        <w:rPr>
          <w:sz w:val="20"/>
          <w:szCs w:val="20"/>
          <w:color w:val="auto"/>
        </w:rPr>
      </w:pPr>
      <w:r>
        <w:rPr>
          <w:rFonts w:ascii="Arial" w:cs="Arial" w:eastAsia="Arial" w:hAnsi="Arial"/>
          <w:sz w:val="17"/>
          <w:szCs w:val="17"/>
          <w:color w:val="auto"/>
        </w:rPr>
        <w:t>The decrease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33"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We experience currency-related net losses due to currency exchange rate volatility on our non-functional currency intercompany relationships, which we may alter from time to time. Gains on the revaluation of non-functional currency debt and on a cross-currency swap contract designated as a cash flow hedge are included in our currency-related losses, net, offsetting the impact of certain non-functional currency intercompany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7"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33"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Interest expense, net increased by $2.0 million and $6.4 million during the three and six months ended December 31, 2023, respectively, as compared to the prior year periods, primarily due to a higher weighted-average interest rate (net of interest rate swaps) and partially offset by an increase in interest income earned on our cash and marketable securities of $0.6 million and $1.9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extinguishment of debt</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and six months ended December 31, 2023, we have recognized gains on the extinguishment of debt of $0.3 million and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$1.7 million, respectively, resulting from the purchase of 2026 Notes' principal of $5.0 million and $26.2 million, respectively. Refer to Note 8 in our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consolidated financial statements for additional details.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20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Pr>
          <w:p>
            <w:pPr>
              <w:spacing w:after="0"/>
              <w:rPr>
                <w:sz w:val="17"/>
                <w:szCs w:val="17"/>
                <w:color w:val="auto"/>
              </w:rPr>
            </w:pPr>
          </w:p>
        </w:tc>
        <w:tc>
          <w:tcPr>
            <w:tcW w:w="3080" w:type="dxa"/>
            <w:vAlign w:val="bottom"/>
            <w:gridSpan w:val="4"/>
          </w:tcPr>
          <w:p>
            <w:pPr>
              <w:jc w:val="right"/>
              <w:ind w:right="72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1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2022</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16,795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126,129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24,917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135,494</w:t>
            </w: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21.8 %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ind w:left="500"/>
              <w:spacing w:after="0"/>
              <w:rPr>
                <w:sz w:val="20"/>
                <w:szCs w:val="20"/>
                <w:color w:val="auto"/>
              </w:rPr>
            </w:pPr>
            <w:r>
              <w:rPr>
                <w:rFonts w:ascii="Arial" w:cs="Arial" w:eastAsia="Arial" w:hAnsi="Arial"/>
                <w:sz w:val="16"/>
                <w:szCs w:val="16"/>
                <w:i w:val="1"/>
                <w:iCs w:val="1"/>
                <w:color w:val="auto"/>
                <w:w w:val="97"/>
              </w:rPr>
              <w:t>(1,016.3)%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27.8 %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(487.6)%</w:t>
            </w:r>
          </w:p>
        </w:tc>
      </w:tr>
    </w:tbl>
    <w:p>
      <w:pPr>
        <w:spacing w:after="0" w:line="310"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Income tax expense for the three and six months ended December 31, 2023 decreased versus the prior comparative period. During the second quarter of fiscal year 2023, we recorded a full valuation allowance on Swiss deferred tax assets of $116.7 million primarily related to Swiss tax reform benefits recognized in fiscal year 2020 and tax loss carryforwards. This was partially offset by increased tax on increased profits as we reported pre-tax income for the three and six months ended December 31, 2023 and pre-tax losses in the prior comparative periods.</w:t>
      </w:r>
    </w:p>
    <w:p>
      <w:pPr>
        <w:spacing w:after="0" w:line="191"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Given our current earnings and anticipated future earnings, we believe that there is a reasonable possibility that within the next 12 months, sufficient positive evidence may become available to allow us to reach a conclusion that a significant portion of our valuation allowance will no longer be needed. A release of the valuation allowance would result in the recognition of certain deferred tax assets and a decrease to income tax expense in the period the release is recorded. However, the timing and amount of the valuation allowance release, if any, are unknown as this is subject to change on the basis of the level of profitability that we are able to actually achieve in future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jc w:val="both"/>
        <w:ind w:right="10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plus restructuring related charges; less gain on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2023 vs. 2022</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2023 vs. 2022</w:t>
            </w: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485,151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437,736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881,798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807,105</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9%</w:t>
            </w: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103,176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26"/>
              <w:spacing w:after="0"/>
              <w:rPr>
                <w:sz w:val="20"/>
                <w:szCs w:val="20"/>
                <w:color w:val="auto"/>
              </w:rPr>
            </w:pPr>
            <w:r>
              <w:rPr>
                <w:rFonts w:ascii="Arial" w:cs="Arial" w:eastAsia="Arial" w:hAnsi="Arial"/>
                <w:sz w:val="16"/>
                <w:szCs w:val="16"/>
                <w:color w:val="auto"/>
              </w:rPr>
              <w:t>55,157</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177,600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85,894</w:t>
            </w:r>
          </w:p>
        </w:tc>
        <w:tc>
          <w:tcPr>
            <w:tcW w:w="1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107%</w:t>
            </w: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80" w:firstLine="623"/>
        <w:spacing w:after="0" w:line="266" w:lineRule="auto"/>
        <w:rPr>
          <w:sz w:val="20"/>
          <w:szCs w:val="20"/>
          <w:color w:val="auto"/>
        </w:rPr>
      </w:pPr>
      <w:r>
        <w:rPr>
          <w:rFonts w:ascii="Arial" w:cs="Arial" w:eastAsia="Arial" w:hAnsi="Arial"/>
          <w:sz w:val="17"/>
          <w:szCs w:val="17"/>
          <w:color w:val="auto"/>
        </w:rPr>
        <w:t>Vista's reported revenue growth for the three and six months ended December 31, 2023 was positively affected by a currency impact of 2% and 1%, respectively, and constant-currency revenue growth was 9% and 8%, respectively. Revenue growth was driven by growth in total customer count, paired with the continued increase of revenue per customer. Revenue grew across all major product categories and markets. The second fiscal quarter is seasonally significant for Vista's sales of consumer products, and this category delivered strong growth during the current period.</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40" w:firstLine="623"/>
        <w:spacing w:after="0" w:line="261" w:lineRule="auto"/>
        <w:rPr>
          <w:sz w:val="20"/>
          <w:szCs w:val="20"/>
          <w:color w:val="auto"/>
        </w:rPr>
      </w:pPr>
      <w:r>
        <w:rPr>
          <w:rFonts w:ascii="Arial" w:cs="Arial" w:eastAsia="Arial" w:hAnsi="Arial"/>
          <w:sz w:val="17"/>
          <w:szCs w:val="17"/>
          <w:color w:val="auto"/>
        </w:rPr>
        <w:t>For the three and six months ended December 31, 2023, segment EBITDA increased by $48.0 million and $91.7 million, respectively. Gross profit growth was driven by the revenue growth described above, lower input costs, efficiency gains, and customer experience improvements. During the current quarter Vista's gross profit benefited $3.0 million from a favorable indirect tax ruling. Vista's advertising spend as a percentage of revenue decreased due to efficiency gains and focus. Operating expenses, excluding the effect of restructuring costs which do not impact segment EBITDA, decreased $5.9 million and $20.2 million, respectively, primarily due to savings resulting from cost reduction actions implemented in March 2023, partially offset by inflationary cost increases such as the effect of merit increases on compensation costs. Changes in currency exchange rates had a positive impact on segment EBITDA of $3.6 million and $4.3 million, respectively, as compared to the prior-year periods.</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2023 vs. 2022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2023 vs. 2022</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165,148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148,598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317,369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281,297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28,341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19,509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48,167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34,500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40%</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640" w:firstLine="623"/>
        <w:spacing w:after="0" w:line="295" w:lineRule="auto"/>
        <w:rPr>
          <w:sz w:val="20"/>
          <w:szCs w:val="20"/>
          <w:color w:val="auto"/>
        </w:rPr>
      </w:pPr>
      <w:r>
        <w:rPr>
          <w:rFonts w:ascii="Arial" w:cs="Arial" w:eastAsia="Arial" w:hAnsi="Arial"/>
          <w:sz w:val="17"/>
          <w:szCs w:val="17"/>
          <w:color w:val="auto"/>
        </w:rPr>
        <w:t>PrintBrothers' reported revenue growth for the three and six months ended December 31, 2023 was positively affected by currency impacts of 6% and 7%, respectively, with revenue increasing on a constant-currency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ind w:right="120"/>
        <w:spacing w:after="0" w:line="295" w:lineRule="auto"/>
        <w:rPr>
          <w:sz w:val="20"/>
          <w:szCs w:val="20"/>
          <w:color w:val="auto"/>
        </w:rPr>
      </w:pPr>
      <w:r>
        <w:rPr>
          <w:rFonts w:ascii="Arial" w:cs="Arial" w:eastAsia="Arial" w:hAnsi="Arial"/>
          <w:sz w:val="17"/>
          <w:szCs w:val="17"/>
          <w:color w:val="auto"/>
        </w:rPr>
        <w:t>basis by 5% and 6%, respectively. Constant-currency growth was driven primarily by continued order volume growth, partially offset by customers purchasing lower quantities in certain product categories.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80" w:firstLine="623"/>
        <w:spacing w:after="0" w:line="263" w:lineRule="auto"/>
        <w:rPr>
          <w:sz w:val="20"/>
          <w:szCs w:val="20"/>
          <w:color w:val="auto"/>
        </w:rPr>
      </w:pPr>
      <w:r>
        <w:rPr>
          <w:rFonts w:ascii="Arial" w:cs="Arial" w:eastAsia="Arial" w:hAnsi="Arial"/>
          <w:sz w:val="17"/>
          <w:szCs w:val="17"/>
          <w:color w:val="auto"/>
        </w:rPr>
        <w:t>PrintBrothers' segment EBITDA for the three and six months ended December 31, 2023 grew year over year, driven by the constant-currency revenue growth described above, as well as gross margin expansion which benefited from lower input costs and operating expense efficiencies. Additionally, PrintBrothers benefited from a favorable timing item of $2.6 million in the three months ended December 31, 2023, which offset unfavorability in the first quarter and therefore does not impact the six month period. Segment EBITDA also benefited from $1.5 million of government incentives during the three and six months ended December 31, 2023. Currency exchange fluctuations positively impacted segment EBITDA year over year by $1.5 million and $3.0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40" w:type="dxa"/>
            <w:vAlign w:val="bottom"/>
            <w:gridSpan w:val="5"/>
          </w:tcPr>
          <w:p>
            <w:pPr>
              <w:ind w:left="20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4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2023 vs. 2022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2023 vs. 2022</w:t>
            </w:r>
          </w:p>
        </w:tc>
      </w:tr>
      <w:tr>
        <w:trPr>
          <w:trHeight w:val="20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93,268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89,336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173,807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166,159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18,442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26"/>
              <w:spacing w:after="0"/>
              <w:rPr>
                <w:sz w:val="20"/>
                <w:szCs w:val="20"/>
                <w:color w:val="auto"/>
              </w:rPr>
            </w:pPr>
            <w:r>
              <w:rPr>
                <w:rFonts w:ascii="Arial" w:cs="Arial" w:eastAsia="Arial" w:hAnsi="Arial"/>
                <w:sz w:val="16"/>
                <w:szCs w:val="16"/>
                <w:color w:val="auto"/>
              </w:rPr>
              <w:t>13,681</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6"/>
                <w:szCs w:val="16"/>
                <w:color w:val="auto"/>
              </w:rPr>
              <w:t>32,050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25,901</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24%</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The Print Group's reported revenue for the three and six months ended December 31, 2023 was positively affected by a currency impact of 5% and 7%, respectively, with revenue decreasing on a constant-currency basis by 1% and 2%, respectively. This segment is continuing to see order growth, which was partially offset by customers purchasing lower quantities in certain product categories and headwinds in the reseller channel, which is more prominent in The Print Group.</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increase in The Print Group's segment EBITDA during the three and six months ended December 31, 2023 as compared to the prior-year periods was largely driven by $4.6 million and $9.8 million of gross profit growth, respectively, as gross margins expanded materially, benefiting from a reduction in key input costs such as materials and shipping. Segment EBITDA also benefited from a reduction in long-term incentive compensation expense of $2.1 million and $1.1 million for the three and six months ended December 31, 2023, respectively, due to lower forecasted payouts for business-specific long-term incentive awards. Currency exchange fluctuations positively impacted segment EBITDA year over year by $1.0 million and $2.0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4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2023 vs. 2022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2023 vs. 2022</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130,572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120,621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217,827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202,287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8%</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25,865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24,783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6"/>
                <w:szCs w:val="16"/>
                <w:color w:val="auto"/>
              </w:rPr>
              <w:t>17,562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23,486</w:t>
            </w:r>
          </w:p>
        </w:tc>
        <w:tc>
          <w:tcPr>
            <w:tcW w:w="10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(25)%</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20" w:firstLine="623"/>
        <w:spacing w:after="0" w:line="275" w:lineRule="auto"/>
        <w:rPr>
          <w:sz w:val="20"/>
          <w:szCs w:val="20"/>
          <w:color w:val="auto"/>
        </w:rPr>
      </w:pPr>
      <w:r>
        <w:rPr>
          <w:rFonts w:ascii="Arial" w:cs="Arial" w:eastAsia="Arial" w:hAnsi="Arial"/>
          <w:sz w:val="17"/>
          <w:szCs w:val="17"/>
          <w:color w:val="auto"/>
        </w:rPr>
        <w:t>For the three and six months ended December 31, 2023, National Pen's revenue growth was positively affected by currency impacts of 3%, with constant-currency revenue growth of 5% in both periods. National Pen continued to deliver strong growth in its e-commerce channel and from fulfillment for other Cimpress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42" w:lineRule="exact"/>
        <w:rPr>
          <w:sz w:val="20"/>
          <w:szCs w:val="20"/>
          <w:color w:val="auto"/>
        </w:rPr>
      </w:pPr>
    </w:p>
    <w:p>
      <w:pPr>
        <w:ind w:right="60" w:firstLine="623"/>
        <w:spacing w:after="0" w:line="295" w:lineRule="auto"/>
        <w:rPr>
          <w:sz w:val="20"/>
          <w:szCs w:val="20"/>
          <w:color w:val="auto"/>
        </w:rPr>
      </w:pPr>
      <w:r>
        <w:rPr>
          <w:rFonts w:ascii="Arial" w:cs="Arial" w:eastAsia="Arial" w:hAnsi="Arial"/>
          <w:sz w:val="17"/>
          <w:szCs w:val="17"/>
          <w:color w:val="auto"/>
        </w:rPr>
        <w:t>The increase in National Pen's segment EBITDA for the three months ended December 31, 2023 was driven by revenue growth described above, partially offset by increased advertising spend in their e-commerce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right="220"/>
        <w:spacing w:after="0" w:line="295" w:lineRule="auto"/>
        <w:rPr>
          <w:sz w:val="20"/>
          <w:szCs w:val="20"/>
          <w:color w:val="auto"/>
        </w:rPr>
      </w:pPr>
      <w:r>
        <w:rPr>
          <w:rFonts w:ascii="Arial" w:cs="Arial" w:eastAsia="Arial" w:hAnsi="Arial"/>
          <w:sz w:val="17"/>
          <w:szCs w:val="17"/>
          <w:color w:val="auto"/>
        </w:rPr>
        <w:t>channels and higher compensation costs. Currency exchange fluctuations had an immaterial effect on segment EBITDA during the current fiscal quarter.</w:t>
      </w:r>
    </w:p>
    <w:p>
      <w:pPr>
        <w:spacing w:after="0" w:line="78"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The decrease in National Pen's segment EBITDA for the six months ended December 31, 2023 was driven by higher external marketing spend, primarily to support their e-commerce channel, as well as higher operating expenses. Currency exchange fluctuations had a negative year-over-year impact of $1.6 million for the six months ended December 31, 2023.</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2023 vs. 2022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2023 vs. 2022</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60,283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59,998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112,083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111,825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0%</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5,406</w:t>
            </w:r>
          </w:p>
        </w:tc>
        <w:tc>
          <w:tcPr>
            <w:tcW w:w="100" w:type="dxa"/>
            <w:vAlign w:val="bottom"/>
          </w:tcPr>
          <w:p>
            <w:pPr>
              <w:spacing w:after="0"/>
              <w:rPr>
                <w:sz w:val="17"/>
                <w:szCs w:val="17"/>
                <w:color w:val="auto"/>
              </w:rPr>
            </w:pPr>
          </w:p>
        </w:tc>
        <w:tc>
          <w:tcPr>
            <w:tcW w:w="1100" w:type="dxa"/>
            <w:vAlign w:val="bottom"/>
          </w:tcPr>
          <w:p>
            <w:pPr>
              <w:jc w:val="right"/>
              <w:ind w:right="328"/>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14,441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11,584</w:t>
            </w:r>
          </w:p>
        </w:tc>
        <w:tc>
          <w:tcPr>
            <w:tcW w:w="8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25%</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and Printi, an early-stage business that we have managed at a relatively modest operating loss.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320" w:firstLine="623"/>
        <w:spacing w:after="0" w:line="268" w:lineRule="auto"/>
        <w:rPr>
          <w:sz w:val="20"/>
          <w:szCs w:val="20"/>
          <w:color w:val="auto"/>
        </w:rPr>
      </w:pPr>
      <w:r>
        <w:rPr>
          <w:rFonts w:ascii="Arial" w:cs="Arial" w:eastAsia="Arial" w:hAnsi="Arial"/>
          <w:sz w:val="17"/>
          <w:szCs w:val="17"/>
          <w:color w:val="auto"/>
        </w:rPr>
        <w:t>All Other Businesses' constant-currency revenue was flat and decreased by 1% during the three and six months ended December 31, 2023, respectively. BuildASign generates the majority of revenue in this segment, and revenue declined slightly year over year as this business continued to experience lower revenue for real estate-related products as well as home decor products in the seasonally significant second quarter. Other signage products grew in this business. Printi revenue continued to grow.</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The increase in segment EBITDA for the three and six months ended December 31, 2023, as compared to the prior year, was partly due to $2.0 million and $3.3 million of lower long-term incentive compensation expense, respectively, as compared to the prior year periods, due to lower forecasted payouts for business-specific long-term incentive awards. Segment EBITDA also benefited from the fiscal year 2023 exit of our business in China, which drove $1.1 million and $1.8 million of losses in the respective year-ago periods.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209"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During the three months ended December 31, 2023, central and corporate costs increased by $2.2 million as compared to the prior-year period, largely driven by $5.4 million of increased share-based compensation expense due to due to a higher grant value and the impact from our 2024 PSU grants that have an accelerated expense profile as well as expense volatility from changes in the estimated attainment of the related performance condition. This increase was partially offset by lower cash compensation expense of $2.2 million due to savings from the March 2023 cost reductions, as well as lower third-party consulting spend of $1.6 million as compared to the prior-year period.</w:t>
      </w:r>
    </w:p>
    <w:p>
      <w:pPr>
        <w:spacing w:after="0" w:line="141"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Central and corporate costs decreased by $0.6 million during the six months ended December 31, 2023, as compared to the year-ago period, largely driven by $3.4 million of lower third-party consulting spend, partially offset by compensation cost increases of $ 2.6 million. The higher compensation costs were driven by increased share-based compensation costs due to the 2024 PSU awards, partially offset by the benefit from the March 2023 cost reduction actions.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806"/>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73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9"/>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6"/>
              <w:spacing w:after="0"/>
              <w:rPr>
                <w:sz w:val="20"/>
                <w:szCs w:val="20"/>
                <w:color w:val="auto"/>
              </w:rPr>
            </w:pPr>
            <w:r>
              <w:rPr>
                <w:rFonts w:ascii="Arial" w:cs="Arial" w:eastAsia="Arial" w:hAnsi="Arial"/>
                <w:sz w:val="12"/>
                <w:szCs w:val="12"/>
                <w:b w:val="1"/>
                <w:bCs w:val="1"/>
                <w:color w:val="auto"/>
              </w:rPr>
              <w:t>2022</w:t>
            </w:r>
          </w:p>
        </w:tc>
      </w:tr>
      <w:tr>
        <w:trPr>
          <w:trHeight w:val="20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217,200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55,875</w:t>
            </w: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(30,395)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(106,569)</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(112,715)</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six months ended December 31, 2023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194" w:lineRule="exact"/>
        <w:rPr>
          <w:sz w:val="20"/>
          <w:szCs w:val="20"/>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income of $64.8 million</w:t>
      </w:r>
    </w:p>
    <w:p>
      <w:pPr>
        <w:spacing w:after="0" w:line="206" w:lineRule="exact"/>
        <w:rPr>
          <w:rFonts w:ascii="Arial" w:cs="Arial" w:eastAsia="Arial" w:hAnsi="Arial"/>
          <w:sz w:val="17"/>
          <w:szCs w:val="17"/>
          <w:color w:val="auto"/>
        </w:rPr>
      </w:pPr>
    </w:p>
    <w:p>
      <w:pPr>
        <w:jc w:val="both"/>
        <w:ind w:left="620" w:right="300" w:hanging="305"/>
        <w:spacing w:after="0" w:line="27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Adjustments for non-cash items of $98.7 million primarily related to adjustments for depreciation and amortization of $79.0 million and share-based compensation costs of $30.1 million, partially offset by unrealized currency-related gains of $5.8 million, deferred taxes of $2.1 million, and the gain on extinguishment of debt of $1.7 million</w:t>
      </w:r>
    </w:p>
    <w:p>
      <w:pPr>
        <w:spacing w:after="0" w:line="145" w:lineRule="exact"/>
        <w:rPr>
          <w:rFonts w:ascii="Arial" w:cs="Arial" w:eastAsia="Arial" w:hAnsi="Arial"/>
          <w:sz w:val="17"/>
          <w:szCs w:val="17"/>
          <w:color w:val="auto"/>
        </w:rPr>
      </w:pPr>
    </w:p>
    <w:p>
      <w:pPr>
        <w:ind w:left="620" w:right="120" w:hanging="305"/>
        <w:spacing w:after="0" w:line="29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working capital inflow of $53.6 million, primarily due to timing impacts from favorable changes to accounts payable, as well as further reductions to inventory following the prior year build up of safety stock to mitigate the risk of supply chain disruptions</w:t>
      </w:r>
    </w:p>
    <w:p>
      <w:pPr>
        <w:spacing w:after="0" w:line="116"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$25.9 million</w:t>
      </w:r>
    </w:p>
    <w:p>
      <w:pPr>
        <w:spacing w:after="0" w:line="206" w:lineRule="exact"/>
        <w:rPr>
          <w:rFonts w:ascii="Arial" w:cs="Arial" w:eastAsia="Arial" w:hAnsi="Arial"/>
          <w:sz w:val="17"/>
          <w:szCs w:val="17"/>
          <w:color w:val="auto"/>
        </w:rPr>
      </w:pPr>
    </w:p>
    <w:p>
      <w:pPr>
        <w:ind w:left="620" w:right="220" w:hanging="305"/>
        <w:spacing w:after="0" w:line="29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the sale of assets of $6.0 million, which primarily included proceeds from the sale of our Japanese manufacturing facility following our prior year exit from the Japanese market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right="30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Capital expenditures of $34.0 million, of which the majority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Internal and external costs of $28.3 million for software and website development that we have capitalized</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Payments for early redemption of our 2026 Notes of $24.5 million</w:t>
      </w:r>
    </w:p>
    <w:p>
      <w:pPr>
        <w:spacing w:after="0" w:line="193" w:lineRule="exact"/>
        <w:rPr>
          <w:rFonts w:ascii="Arial" w:cs="Arial" w:eastAsia="Arial" w:hAnsi="Arial"/>
          <w:sz w:val="17"/>
          <w:szCs w:val="17"/>
          <w:color w:val="auto"/>
        </w:rPr>
      </w:pPr>
    </w:p>
    <w:p>
      <w:pPr>
        <w:ind w:left="620" w:right="440" w:hanging="305"/>
        <w:spacing w:after="0" w:line="29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$10.2 million, primarily driven by the annual vesting of share grants during August 2023</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Repayments of debt, net of proceeds from borrowings, of $7.2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Payments for finance lease arrangements of $4.9 million</w:t>
      </w:r>
    </w:p>
    <w:p>
      <w:pPr>
        <w:spacing w:after="0" w:line="19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December 31, 2023, we had $274.2 million of cash and cash equivalents, $17.2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marketable securities, and $1,626.3 million of debt, excluding debt issuance costs and debt premiums and discounts. During the six months ended December 31, 2023, we financed our operations and strategic investments through internally generated cash flows from operations and cash on hand. We expect to finance our future operations through our cash, investments, operating cash flow, and borrowings under our debt arrangements.</w:t>
      </w:r>
    </w:p>
    <w:p>
      <w:pPr>
        <w:spacing w:after="0" w:line="154" w:lineRule="exact"/>
        <w:rPr>
          <w:sz w:val="20"/>
          <w:szCs w:val="20"/>
          <w:color w:val="auto"/>
        </w:rPr>
      </w:pPr>
    </w:p>
    <w:p>
      <w:pPr>
        <w:ind w:right="180" w:firstLine="623"/>
        <w:spacing w:after="0" w:line="263"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first half of fiscal year 2024, we allocated $24.5 million of capital toward the purchase of a portion of our 2026 Notes, and we will continue to consider using excess liquidity to repurchase our debt. We have significantly reduced our net leverage over the last year primarily through increased profitability driven by the combination of returns from past investments, the focusing of our growth investments, restrained growth of operating expenses, and the easing of inflationary pressure on our input costs. This increased profitability and resultant cash flow generation should provide the opportunity to continue to delever</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55" w:right="399" w:bottom="1440" w:gutter="0" w:footer="0" w:header="0"/>
        </w:sectPr>
      </w:pPr>
    </w:p>
    <w:bookmarkStart w:id="39" w:name="page40"/>
    <w:bookmarkEnd w:id="39"/>
    <w:p>
      <w:pPr>
        <w:ind w:right="120"/>
        <w:spacing w:after="0" w:line="268" w:lineRule="auto"/>
        <w:rPr>
          <w:sz w:val="20"/>
          <w:szCs w:val="20"/>
          <w:color w:val="auto"/>
        </w:rPr>
      </w:pPr>
      <w:r>
        <w:rPr>
          <w:rFonts w:ascii="Arial" w:cs="Arial" w:eastAsia="Arial" w:hAnsi="Arial"/>
          <w:sz w:val="17"/>
          <w:szCs w:val="17"/>
          <w:color w:val="auto"/>
        </w:rPr>
        <w:t>our balance sheet while also opportunistically allocating capital that enhances our intrinsic value per share. Our Board of Directors has authorized the repurchase of up to $150.0 million of Cimpress shares. This authorization does not have an expiration date or a defined time frame for repurchases. We evaluate share repurchases, as any other use of capital, relative to our view of the impact on our intrinsic value per share compared against other opportunities; therefore, any repurchases will be price dependent.</w:t>
      </w:r>
    </w:p>
    <w:p>
      <w:pPr>
        <w:spacing w:after="0" w:line="139"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 the extension of payment terms. We facilitate a voluntary supply chain finance program through a financial intermediary to enable the extension of our payment terms with certain suppliers. We do not believe there is a substantial risk that our payment terms will be shortened in the near future. Refer to Note 2 of the accompanying consolidated financial statements for additional information.</w:t>
      </w:r>
    </w:p>
    <w:p>
      <w:pPr>
        <w:spacing w:after="0" w:line="15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December 31, 2023,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$72.9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December 31, 2023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06"/>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78"/>
        </w:trPr>
        <w:tc>
          <w:tcPr>
            <w:tcW w:w="4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7"/>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83,729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16,416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18,936</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208,113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149,449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10,708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Notes and interest payments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613,508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1,460,636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97,851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189,196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1,173,589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44,015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10,759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14,337</w:t>
            </w: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2,415,825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1,211,628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44,273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2" w:lineRule="exact"/>
        <w:rPr>
          <w:rFonts w:ascii="Arial" w:cs="Arial" w:eastAsia="Arial" w:hAnsi="Arial"/>
          <w:sz w:val="14"/>
          <w:szCs w:val="14"/>
          <w:color w:val="auto"/>
        </w:rPr>
      </w:pPr>
    </w:p>
    <w:p>
      <w:pPr>
        <w:ind w:left="220" w:hanging="216"/>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85"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$9.1 million as of December 31, 2023 have been excluded from the contractual obligations table above. See Note 9 in our accompanying consolidated financial statements for further information on uncertain tax positions.</w:t>
      </w:r>
    </w:p>
    <w:p>
      <w:pPr>
        <w:spacing w:after="0" w:line="163" w:lineRule="exact"/>
        <w:rPr>
          <w:sz w:val="20"/>
          <w:szCs w:val="20"/>
          <w:color w:val="auto"/>
        </w:rPr>
      </w:pPr>
    </w:p>
    <w:p>
      <w:pPr>
        <w:jc w:val="both"/>
        <w:ind w:right="16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2028.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$2.7 million in the aggregate outstanding as of December 31, 2023.</w:t>
      </w:r>
    </w:p>
    <w:p>
      <w:pPr>
        <w:spacing w:after="0" w:line="146"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December 31, 2023, we had unrecorded commitments under contract of $208.1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fulfillment and digital services of $93.4 million; third-party cloud services of $56.1 million; software of $17.4 million; advertising of $6.9 million; commitments for professional and consulting fees of $6.0 million; production and computer equipment purchases of $2.5 million; and other commitments of $25.9 million.</w:t>
      </w:r>
    </w:p>
    <w:p>
      <w:pPr>
        <w:spacing w:after="0" w:line="139"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As of December 31, 2023, we have borrowings under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$1,098.4 million, consisting of the Term Loan B, which amortizes over the loan period, with a final maturity date of May 17, 2028. Our $250.0 million Revolving Credit Facility with a maturity date of</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ind w:right="20"/>
        <w:spacing w:after="0" w:line="260" w:lineRule="auto"/>
        <w:rPr>
          <w:sz w:val="20"/>
          <w:szCs w:val="20"/>
          <w:color w:val="auto"/>
        </w:rPr>
      </w:pPr>
      <w:r>
        <w:rPr>
          <w:rFonts w:ascii="Arial" w:cs="Arial" w:eastAsia="Arial" w:hAnsi="Arial"/>
          <w:sz w:val="17"/>
          <w:szCs w:val="17"/>
          <w:color w:val="auto"/>
        </w:rPr>
        <w:t>May 17, 2026, under our Restated Credit Agreement, has $243.3 million unused as of December 31, 2023.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December 31, 2023 and assumes all Term SOFR-based revolving loan amounts outstanding will not be paid until maturity but that the term loan amortization payments will be made according to our defined schedule.</w:t>
      </w:r>
    </w:p>
    <w:p>
      <w:pPr>
        <w:spacing w:after="0" w:line="149"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i w:val="1"/>
          <w:iCs w:val="1"/>
          <w:color w:val="auto"/>
        </w:rPr>
        <w:t xml:space="preserve">2026 Notes and Interest Payments. </w:t>
      </w:r>
      <w:r>
        <w:rPr>
          <w:rFonts w:ascii="Arial" w:cs="Arial" w:eastAsia="Arial" w:hAnsi="Arial"/>
          <w:sz w:val="17"/>
          <w:szCs w:val="17"/>
          <w:color w:val="auto"/>
        </w:rPr>
        <w:t>Our $522.1 million 2026 Notes bear interest at a rate of 7.0% per annum and mature on June 15,</w:t>
      </w:r>
      <w:r>
        <w:rPr>
          <w:rFonts w:ascii="Arial" w:cs="Arial" w:eastAsia="Arial" w:hAnsi="Arial"/>
          <w:sz w:val="17"/>
          <w:szCs w:val="17"/>
          <w:i w:val="1"/>
          <w:iCs w:val="1"/>
          <w:color w:val="auto"/>
        </w:rPr>
        <w:t xml:space="preserve"> </w:t>
      </w:r>
      <w:r>
        <w:rPr>
          <w:rFonts w:ascii="Arial" w:cs="Arial" w:eastAsia="Arial" w:hAnsi="Arial"/>
          <w:sz w:val="17"/>
          <w:szCs w:val="17"/>
          <w:color w:val="auto"/>
        </w:rPr>
        <w:t>2026. Interest on the notes is payable semi-annually on June 15 and December 15 of each year. During the six months ended December 31, 2023, we purchased an aggregate principal amount of $26.2 million for a purchase price of $24.5 million, as well as the related settlement of unpaid interest, which resulted in the recognition of a gain on the extinguishment of debt of $1.7 million.</w:t>
      </w:r>
    </w:p>
    <w:p>
      <w:pPr>
        <w:spacing w:after="0" w:line="152"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2026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December 31, 2023, we were in compliance with all covenants under our Restated Credit Agreement and the indenture governing our 2026 Notes. Refer to Note 8 in our accompanying consolidated financial statements for additional information.</w:t>
      </w:r>
    </w:p>
    <w:p>
      <w:pPr>
        <w:spacing w:after="0" w:line="152" w:lineRule="exact"/>
        <w:rPr>
          <w:sz w:val="20"/>
          <w:szCs w:val="20"/>
          <w:color w:val="auto"/>
        </w:rPr>
      </w:pPr>
    </w:p>
    <w:p>
      <w:pPr>
        <w:jc w:val="both"/>
        <w:ind w:right="36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December 31, 2023, we had $5.8 million outstanding for those obligations that have repayments due on various dates through September 2027.</w:t>
      </w:r>
    </w:p>
    <w:p>
      <w:pPr>
        <w:spacing w:after="0" w:line="133"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equipment under finance leases included in property, plant and equipment, net in our consolidated balance sheet at December 31, 2023 is $29.2 million, net of accumulated depreciation of $38.9 million. The present value of lease installments not yet due included in other current liabilities and other liabilities in our consolidated balance sheet at December 31, 2023 amounts to $40.1 million.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09"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spacing w:after="0" w:line="143"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58"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During the current fiscal year, we revised our adjusted free cash flow</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ind w:right="620"/>
        <w:spacing w:after="0" w:line="275" w:lineRule="auto"/>
        <w:rPr>
          <w:sz w:val="20"/>
          <w:szCs w:val="20"/>
          <w:color w:val="auto"/>
        </w:rPr>
      </w:pPr>
      <w:r>
        <w:rPr>
          <w:rFonts w:ascii="Arial" w:cs="Arial" w:eastAsia="Arial" w:hAnsi="Arial"/>
          <w:sz w:val="17"/>
          <w:szCs w:val="17"/>
          <w:color w:val="auto"/>
        </w:rPr>
        <w:t>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w:t>
      </w:r>
    </w:p>
    <w:p>
      <w:pPr>
        <w:spacing w:after="0" w:line="133" w:lineRule="exact"/>
        <w:rPr>
          <w:sz w:val="20"/>
          <w:szCs w:val="20"/>
          <w:color w:val="auto"/>
        </w:rPr>
      </w:pPr>
    </w:p>
    <w:p>
      <w:pPr>
        <w:ind w:right="60" w:firstLine="623"/>
        <w:spacing w:after="0" w:line="261" w:lineRule="auto"/>
        <w:rPr>
          <w:sz w:val="20"/>
          <w:szCs w:val="20"/>
          <w:color w:val="auto"/>
        </w:rPr>
      </w:pPr>
      <w:r>
        <w:rPr>
          <w:rFonts w:ascii="Arial" w:cs="Arial" w:eastAsia="Arial" w:hAnsi="Arial"/>
          <w:sz w:val="17"/>
          <w:szCs w:val="17"/>
          <w:color w:val="auto"/>
        </w:rPr>
        <w:t>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0"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operating income and adjusted EBITDA for the three and six months ended December 31, 2023 and 2022:</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3040" w:type="dxa"/>
            <w:vAlign w:val="bottom"/>
            <w:gridSpan w:val="5"/>
          </w:tcPr>
          <w:p>
            <w:pPr>
              <w:ind w:left="26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7"/>
                <w:szCs w:val="17"/>
                <w:color w:val="auto"/>
              </w:rPr>
            </w:pPr>
          </w:p>
        </w:tc>
        <w:tc>
          <w:tcPr>
            <w:tcW w:w="2920" w:type="dxa"/>
            <w:vAlign w:val="bottom"/>
            <w:gridSpan w:val="4"/>
          </w:tcPr>
          <w:p>
            <w:pPr>
              <w:jc w:val="right"/>
              <w:ind w:right="64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4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141,779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15,611</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79,031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81,816</w:t>
            </w:r>
          </w:p>
        </w:tc>
        <w:tc>
          <w:tcPr>
            <w:tcW w:w="0" w:type="dxa"/>
            <w:vAlign w:val="bottom"/>
          </w:tcPr>
          <w:p>
            <w:pPr>
              <w:spacing w:after="0"/>
              <w:rPr>
                <w:sz w:val="1"/>
                <w:szCs w:val="1"/>
                <w:color w:val="auto"/>
              </w:rPr>
            </w:pPr>
          </w:p>
        </w:tc>
      </w:tr>
      <w:tr>
        <w:trPr>
          <w:trHeight w:val="207"/>
        </w:trPr>
        <w:tc>
          <w:tcPr>
            <w:tcW w:w="44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11,547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30,102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22,022</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07"/>
        </w:trPr>
        <w:tc>
          <w:tcPr>
            <w:tcW w:w="448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13,027</w:t>
            </w:r>
          </w:p>
        </w:tc>
        <w:tc>
          <w:tcPr>
            <w:tcW w:w="0" w:type="dxa"/>
            <w:vAlign w:val="bottom"/>
          </w:tcPr>
          <w:p>
            <w:pPr>
              <w:spacing w:after="0"/>
              <w:rPr>
                <w:sz w:val="1"/>
                <w:szCs w:val="1"/>
                <w:color w:val="auto"/>
              </w:rPr>
            </w:pPr>
          </w:p>
        </w:tc>
      </w:tr>
      <w:tr>
        <w:trPr>
          <w:trHeight w:val="158"/>
        </w:trPr>
        <w:tc>
          <w:tcPr>
            <w:tcW w:w="448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Realized gains on currency derivatives not included in</w:t>
            </w: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14,901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2,995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21,770</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income (1)</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255,170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156,777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0" w:lineRule="exact"/>
        <w:rPr>
          <w:sz w:val="20"/>
          <w:szCs w:val="20"/>
          <w:color w:val="auto"/>
        </w:rPr>
      </w:pPr>
    </w:p>
    <w:p>
      <w:pPr>
        <w:ind w:left="240" w:right="140" w:hanging="236"/>
        <w:spacing w:after="0" w:line="281"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realized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76"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six months ended December 31,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2022</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55,875</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(26,490)</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(29,246)</w:t>
            </w:r>
          </w:p>
        </w:tc>
      </w:tr>
      <w:tr>
        <w:trPr>
          <w:trHeight w:val="20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 (1)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 (1)</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7" w:lineRule="exact"/>
        <w:rPr>
          <w:sz w:val="20"/>
          <w:szCs w:val="20"/>
          <w:color w:val="auto"/>
        </w:rPr>
      </w:pPr>
    </w:p>
    <w:p>
      <w:pPr>
        <w:ind w:left="240" w:right="220" w:hanging="236"/>
        <w:spacing w:after="0" w:line="281"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During the first quarter of fiscal year 2024, we revised our adjusted free cash flow definition to include proceeds from the sale of assets. We have revised all periods presented to incorporate this change.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jc w:val="both"/>
        <w:ind w:right="280" w:firstLine="623"/>
        <w:spacing w:after="0" w:line="275" w:lineRule="auto"/>
        <w:rPr>
          <w:sz w:val="20"/>
          <w:szCs w:val="20"/>
          <w:color w:val="auto"/>
        </w:rPr>
      </w:pPr>
      <w:r>
        <w:rPr>
          <w:rFonts w:ascii="Arial" w:cs="Arial" w:eastAsia="Arial" w:hAnsi="Arial"/>
          <w:sz w:val="17"/>
          <w:szCs w:val="17"/>
          <w:color w:val="auto"/>
        </w:rPr>
        <w:t>As of December 31, 2023,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33"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As of December 31, 2023, we had $ 1,098.4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December 31, 2023, a hypothetical 100 basis point increase in rates, inclusive of the impact of our outstanding interest rate swaps that are accruing interest as of December 31, 2023, would result in a $8.8 million impact to interest expense over the next 12 months. This does not include any yield from cash and marketable securities.</w:t>
      </w:r>
    </w:p>
    <w:p>
      <w:pPr>
        <w:spacing w:after="0" w:line="155"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4" w:lineRule="exact"/>
        <w:rPr>
          <w:sz w:val="20"/>
          <w:szCs w:val="20"/>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p>
    <w:p>
      <w:pPr>
        <w:spacing w:after="0" w:line="28" w:lineRule="exact"/>
        <w:rPr>
          <w:rFonts w:ascii="Arial" w:cs="Arial" w:eastAsia="Arial" w:hAnsi="Arial"/>
          <w:sz w:val="17"/>
          <w:szCs w:val="17"/>
          <w:color w:val="auto"/>
        </w:rPr>
      </w:pPr>
    </w:p>
    <w:p>
      <w:pPr>
        <w:ind w:left="620" w:right="120"/>
        <w:spacing w:after="0" w:line="265" w:lineRule="auto"/>
        <w:rPr>
          <w:rFonts w:ascii="Arial" w:cs="Arial" w:eastAsia="Arial" w:hAnsi="Arial"/>
          <w:sz w:val="17"/>
          <w:szCs w:val="17"/>
          <w:color w:val="auto"/>
        </w:rPr>
      </w:pPr>
      <w:r>
        <w:rPr>
          <w:rFonts w:ascii="Arial" w:cs="Arial" w:eastAsia="Arial" w:hAnsi="Arial"/>
          <w:sz w:val="17"/>
          <w:szCs w:val="17"/>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41" w:lineRule="exact"/>
        <w:rPr>
          <w:rFonts w:ascii="Arial" w:cs="Arial" w:eastAsia="Arial" w:hAnsi="Arial"/>
          <w:sz w:val="17"/>
          <w:szCs w:val="17"/>
          <w:color w:val="auto"/>
        </w:rPr>
      </w:pPr>
    </w:p>
    <w:p>
      <w:pPr>
        <w:ind w:left="620" w:right="16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52" w:lineRule="exact"/>
        <w:rPr>
          <w:rFonts w:ascii="Arial" w:cs="Arial" w:eastAsia="Arial" w:hAnsi="Arial"/>
          <w:sz w:val="17"/>
          <w:szCs w:val="17"/>
          <w:color w:val="auto"/>
        </w:rPr>
      </w:pPr>
    </w:p>
    <w:p>
      <w:pPr>
        <w:ind w:left="620" w:right="14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52" w:lineRule="exact"/>
        <w:rPr>
          <w:rFonts w:ascii="Arial" w:cs="Arial" w:eastAsia="Arial" w:hAnsi="Arial"/>
          <w:sz w:val="17"/>
          <w:szCs w:val="17"/>
          <w:color w:val="auto"/>
        </w:rPr>
      </w:pPr>
    </w:p>
    <w:p>
      <w:pPr>
        <w:ind w:left="620" w:right="40" w:hanging="305"/>
        <w:spacing w:after="0" w:line="265"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40" w:lineRule="exact"/>
        <w:rPr>
          <w:rFonts w:ascii="Arial" w:cs="Arial" w:eastAsia="Arial" w:hAnsi="Arial"/>
          <w:sz w:val="17"/>
          <w:szCs w:val="17"/>
          <w:color w:val="auto"/>
        </w:rPr>
      </w:pPr>
    </w:p>
    <w:p>
      <w:pPr>
        <w:ind w:left="620" w:right="60" w:hanging="305"/>
        <w:spacing w:after="0" w:line="263" w:lineRule="auto"/>
        <w:tabs>
          <w:tab w:leader="none" w:pos="616"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3" w:name="page44"/>
    <w:bookmarkEnd w:id="43"/>
    <w:p>
      <w:pPr>
        <w:ind w:left="620" w:right="220"/>
        <w:spacing w:after="0" w:line="261" w:lineRule="auto"/>
        <w:rPr>
          <w:sz w:val="20"/>
          <w:szCs w:val="20"/>
          <w:color w:val="auto"/>
        </w:rPr>
      </w:pPr>
      <w:r>
        <w:rPr>
          <w:rFonts w:ascii="Arial" w:cs="Arial" w:eastAsia="Arial" w:hAnsi="Arial"/>
          <w:sz w:val="17"/>
          <w:szCs w:val="17"/>
          <w:color w:val="auto"/>
        </w:rPr>
        <w:t>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The balances are inclusive of the notional value of any cross-currency swaps designated as cash flow hedges. A hypothetical decrease in exchange rates of 10% against the functional currency of our subsidiaries would have resulted in a change of $7.4 million on our income (loss) before income taxes for the three and six months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5"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5"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December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21"/>
          <w:szCs w:val="21"/>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have been no material changes with respect to the risk factors we disclosed in our Form 10-K for the fiscal year ended June 30,</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2023.</w:t>
      </w:r>
    </w:p>
    <w:p>
      <w:pPr>
        <w:spacing w:after="0" w:line="16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48" w:lineRule="exact"/>
        <w:rPr>
          <w:sz w:val="20"/>
          <w:szCs w:val="20"/>
          <w:color w:val="auto"/>
        </w:rPr>
      </w:pPr>
    </w:p>
    <w:p>
      <w:pPr>
        <w:ind w:right="20" w:firstLine="192"/>
        <w:spacing w:after="0" w:line="268" w:lineRule="auto"/>
        <w:rPr>
          <w:sz w:val="20"/>
          <w:szCs w:val="20"/>
          <w:color w:val="auto"/>
        </w:rPr>
      </w:pPr>
      <w:r>
        <w:rPr>
          <w:rFonts w:ascii="Arial" w:cs="Arial" w:eastAsia="Arial" w:hAnsi="Arial"/>
          <w:sz w:val="17"/>
          <w:szCs w:val="17"/>
          <w:color w:val="auto"/>
        </w:rPr>
        <w:t>On January 31, 2024, we announced that our Board had authorized us to repurchase up to $150.0 million aggregate purchase price (excluding any fees, commissions, or other expenses of such purchases) of Cimpress' issued and outstanding ordinary shares on the open market, through privately negotiated transactions, or in one or more self tender offers. Although the Board did not set an expiration date for this repurchase program, we may suspend or discontinue our share repurchases at any time.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purchase any of our ordinary shares during the three and six months ended December 31, 2023.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13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On November 21, 2023, Maarten Wensveen, our Executive Vice President and Chief Technology Officer, adopted a plan for the sale of Cimpress ordinary shares that is intended to satisfy the affirmative defense conditions of Exchange Act Rule 10b5-1(c). The plan provides for the sales, on the dates and at the prices set forth in the plan, of up to 4,072 ordinary shares held by Mr. Wensveen as of the date of the plan adoption plus additional shares Mr. Wensveen receives between the adoption and expiration dates of his plan upon the vesting of his RSU awards. Mr. Wensveen's plan expires on November 21, 2024.</w:t>
      </w:r>
    </w:p>
    <w:p>
      <w:pPr>
        <w:spacing w:after="0" w:line="89"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On December 14, 2023, Florian Baumgartner, our Executive Vice President and Chief Executive Officer of Vista, adopted a plan for the sale of Cimpress ordinary shares that is intended to satisfy the affirmative defense conditions of Exchange Act Rule 10b5-1(c). The plan provides for the sales of shares held by Mr. Baumgartner and the exercise of Mr. Baumgartner's share option and sales of shares, on the dates and at the prices set forth in the plan, up to 44,838 ordinary shares in the aggregate. Mr. Baumgartner's plan expires on July 31, 2024.</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0000FF"/>
            </w:tcBorders>
          </w:tcPr>
          <w:p>
            <w:pPr>
              <w:spacing w:after="0" w:line="168"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60" w:type="dxa"/>
            <w:vAlign w:val="bottom"/>
          </w:tcPr>
          <w:p>
            <w:pPr>
              <w:spacing w:after="0"/>
              <w:rPr>
                <w:sz w:val="14"/>
                <w:szCs w:val="14"/>
                <w:color w:val="auto"/>
              </w:rPr>
            </w:pPr>
          </w:p>
        </w:tc>
        <w:tc>
          <w:tcPr>
            <w:tcW w:w="10360" w:type="dxa"/>
            <w:vAlign w:val="bottom"/>
          </w:tcPr>
          <w:p>
            <w:pPr>
              <w:ind w:left="200"/>
              <w:spacing w:after="0" w:line="168" w:lineRule="exact"/>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970" w:right="459" w:bottom="1440" w:gutter="0" w:footer="0" w:header="0"/>
        </w:sectPr>
      </w:pPr>
    </w:p>
    <w:bookmarkStart w:id="45" w:name="page46"/>
    <w:bookmarkEnd w:id="45"/>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February 1, 2024</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080"/>
          </w:cols>
          <w:pgMar w:left="320" w:top="1068" w:right="49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 2024</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February 1, 2024</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2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December 31, 2023 as filed with the Securities and Exchange Commission on the date hereof (the “Report”), the undersigned, Robert S. Keane, Chief Executive Officer, and</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February 1,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February 1,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lvl w:ilvl="1">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2024-02-01T15:28:28Z</dcterms:created>
  <dcterms:modified xsi:type="dcterms:W3CDTF">2024-02-01T15:28:28Z</dcterms:modified>
</cp:coreProperties>
</file>