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479482.xml.htm"/>
      <w:bookmarkStart w:id="1" w:name="kswkform4_178647948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Baumgartner Florian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CIMPRESS PLC, FIRST FLOOR BUILDING 3</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FINNABAIR BUSINESS &amp; TECHNOLOGY PARK</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DUNDALK, CO. LOUTH</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IRELAND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CIMPRESS plc</w:t>
              </w:r>
            </w:hyperlink>
            <w:r>
              <w:rPr/>
              <w:t xml:space="preserve"> [ </w:t>
            </w:r>
            <w:r>
              <w:rPr>
                <w:rFonts w:ascii="Times;serif" w:hAnsi="Times;serif"/>
                <w:color w:val="0000FF"/>
                <w:sz w:val="24"/>
                <w:shd w:fill="FFFFFF" w:val="clear"/>
              </w:rPr>
              <w:t>CMPR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and CEO, Vista</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344" w:type="dxa"/>
        <w:jc w:val="left"/>
        <w:tblInd w:w="-7" w:type="dxa"/>
        <w:tblLayout w:type="fixed"/>
        <w:tblCellMar>
          <w:top w:w="60" w:type="dxa"/>
          <w:left w:w="60" w:type="dxa"/>
          <w:bottom w:w="60" w:type="dxa"/>
          <w:right w:w="60" w:type="dxa"/>
        </w:tblCellMar>
      </w:tblPr>
      <w:tblGrid>
        <w:gridCol w:w="1160"/>
        <w:gridCol w:w="861"/>
        <w:gridCol w:w="891"/>
        <w:gridCol w:w="771"/>
        <w:gridCol w:w="591"/>
        <w:gridCol w:w="300"/>
        <w:gridCol w:w="711"/>
        <w:gridCol w:w="276"/>
        <w:gridCol w:w="906"/>
        <w:gridCol w:w="801"/>
        <w:gridCol w:w="861"/>
        <w:gridCol w:w="801"/>
        <w:gridCol w:w="801"/>
        <w:gridCol w:w="936"/>
        <w:gridCol w:w="831"/>
        <w:gridCol w:w="846"/>
      </w:tblGrid>
      <w:tr>
        <w:trPr>
          <w:tblHeader w:val="true"/>
        </w:trPr>
        <w:tc>
          <w:tcPr>
            <w:tcW w:w="1234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Performance Share Units</w:t>
            </w:r>
            <w:r>
              <w:rPr>
                <w:rFonts w:ascii="Times;serif" w:hAnsi="Times;serif"/>
                <w:color w:val="008000"/>
                <w:position w:val="7"/>
                <w:sz w:val="16"/>
                <w:sz w:val="20"/>
                <w:shd w:fill="FFFFFF" w:val="clear"/>
              </w:rPr>
              <w:t>(1)</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47,239</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08/15/2026</w:t>
            </w: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08/15/2029</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47,239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47,239</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Performance share unit (PSU) award granted on August 15, 2025 with performance conditions based on adjusted EBITDA and variable gross profit of Cimpress plc's Vista business for the fiscal year ended June 30, 2026. On August 7, 2026, Cimpress' Compensation Committee determined the number of shares issuable pursuant to this PSU award based on the level of achievement against the performance conditions, with each PSU representing Cimpress' commitment to issue one ordinary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PSUs vest over the following four-year period: 25% of the number of shares determined to be issuable vest on the Date Exercisable shown in Table II and 6.25% of such number of shares vest quarterly thereafter.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Sean E. Quinn, as attorney-in-fact for Florian Baumgartner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64743" TargetMode="External"/><Relationship Id="rId5" Type="http://schemas.openxmlformats.org/officeDocument/2006/relationships/hyperlink" Target="http://www.sec.gov/cgi-bin/browse-edgar?action=getcompany&amp;CIK=000126297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696</Words>
  <Characters>3802</Characters>
  <CharactersWithSpaces>4425</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