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tbl>
      <w:tblPr>
        <w:tblW w:w="9156" w:type="dxa"/>
        <w:jc w:val="center"/>
        <w:tblInd w:w="0" w:type="dxa"/>
        <w:tblLayout w:type="fixed"/>
        <w:tblCellMar>
          <w:top w:w="28" w:type="dxa"/>
          <w:left w:w="28" w:type="dxa"/>
          <w:bottom w:w="28" w:type="dxa"/>
          <w:right w:w="28" w:type="dxa"/>
        </w:tblCellMar>
      </w:tblPr>
      <w:tblGrid>
        <w:gridCol w:w="183"/>
        <w:gridCol w:w="161"/>
        <w:gridCol w:w="161"/>
        <w:gridCol w:w="1342"/>
        <w:gridCol w:w="1342"/>
        <w:gridCol w:w="1342"/>
        <w:gridCol w:w="1342"/>
        <w:gridCol w:w="1342"/>
        <w:gridCol w:w="1941"/>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4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QUARTERLY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quarterly period ended</w:t>
            </w:r>
          </w:p>
        </w:tc>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March 31, 2024</w:t>
            </w:r>
          </w:p>
        </w:tc>
      </w:tr>
      <w:tr>
        <w:trPr/>
        <w:tc>
          <w:tcPr>
            <w:tcW w:w="91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or</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r>
    </w:tbl>
    <w:p>
      <w:pPr>
        <w:pStyle w:val="TextBody"/>
        <w:bidi w:val="0"/>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tbl>
      <w:tblPr>
        <w:tblW w:w="4510" w:type="dxa"/>
        <w:jc w:val="left"/>
        <w:tblInd w:w="0" w:type="dxa"/>
        <w:tblLayout w:type="fixed"/>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Dundalk, Co. Louth,</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w:t>
      </w:r>
    </w:p>
    <w:p>
      <w:pPr>
        <w:pStyle w:val="TextBody"/>
        <w:bidi w:val="0"/>
        <w:spacing w:before="0" w:after="0"/>
        <w:jc w:val="center"/>
        <w:rPr/>
      </w:pPr>
      <w:r>
        <w:rPr/>
      </w:r>
    </w:p>
    <w:p>
      <w:pPr>
        <w:pStyle w:val="TextBody"/>
        <w:bidi w:val="0"/>
        <w:spacing w:lineRule="auto" w:line="288" w:before="20" w:after="283"/>
        <w:jc w:val="left"/>
        <w:rPr>
          <w:color w:val="000000"/>
        </w:rPr>
      </w:pPr>
      <w:r>
        <w:rPr>
          <w:color w:val="000000"/>
        </w:rPr>
        <w:t>    </w:t>
      </w:r>
      <w:r>
        <w:rPr>
          <w:rFonts w:ascii="Arial;sans-serif" w:hAnsi="Arial;sans-serif"/>
          <w:b/>
          <w:color w:val="000000"/>
          <w:sz w:val="17"/>
        </w:rPr>
        <w:t>Securities registered pursuant to Section 12(g) of the Act: None</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center"/>
        <w:tblInd w:w="0" w:type="dxa"/>
        <w:tblLayout w:type="fixed"/>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firstLine="72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bidi w:val="0"/>
        <w:spacing w:lineRule="auto" w:line="288" w:before="20" w:after="60"/>
        <w:ind w:left="0" w:right="0" w:firstLine="720"/>
        <w:jc w:val="left"/>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bidi w:val="0"/>
        <w:spacing w:lineRule="auto" w:line="288" w:before="20" w:after="60"/>
        <w:ind w:left="0" w:right="0" w:firstLine="720"/>
        <w:jc w:val="left"/>
        <w:rPr/>
      </w:pPr>
      <w:r>
        <w:rPr>
          <w:rFonts w:ascii="Arial;sans-serif" w:hAnsi="Arial;sans-serif"/>
          <w:b w:val="false"/>
          <w:color w:val="000000"/>
          <w:sz w:val="17"/>
        </w:rPr>
        <w:t>As of April 29, 2024, there were</w:t>
      </w:r>
      <w:r>
        <w:rPr>
          <w:color w:val="FF0000"/>
        </w:rPr>
        <w:t xml:space="preserve"> </w:t>
      </w:r>
      <w:r>
        <w:rPr>
          <w:rFonts w:ascii="Arial;sans-serif" w:hAnsi="Arial;sans-serif"/>
          <w:b w:val="false"/>
          <w:color w:val="000000"/>
          <w:sz w:val="17"/>
        </w:rPr>
        <w:t>25,450,907</w:t>
      </w:r>
      <w:r>
        <w:rPr>
          <w:color w:val="FF0000"/>
        </w:rPr>
        <w:t xml:space="preserve"> </w:t>
      </w:r>
      <w:r>
        <w:rPr>
          <w:rFonts w:ascii="Arial;sans-serif" w:hAnsi="Arial;sans-serif"/>
          <w:b w:val="false"/>
          <w:color w:val="000000"/>
          <w:sz w:val="17"/>
        </w:rPr>
        <w:t xml:space="preserve">Cimpress plc ordinary shares outstanding. </w:t>
      </w:r>
    </w:p>
    <w:p>
      <w:pPr>
        <w:pStyle w:val="TextBody"/>
        <w:bidi w:val="0"/>
        <w:spacing w:before="20" w:after="6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March 31, 2024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64"/>
        <w:gridCol w:w="1564"/>
        <w:gridCol w:w="1564"/>
        <w:gridCol w:w="1564"/>
        <w:gridCol w:w="1568"/>
        <w:gridCol w:w="176"/>
        <w:gridCol w:w="176"/>
        <w:gridCol w:w="254"/>
      </w:tblGrid>
      <w:tr>
        <w:trPr/>
        <w:tc>
          <w:tcPr>
            <w:tcW w:w="177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22">
              <w:r>
                <w:rPr>
                  <w:rStyle w:val="InternetLink"/>
                  <w:rFonts w:ascii="Arial;sans-serif" w:hAnsi="Arial;sans-serif"/>
                  <w:b/>
                  <w:strike w:val="false"/>
                  <w:dstrike w:val="false"/>
                  <w:color w:val="000000"/>
                  <w:sz w:val="20"/>
                  <w:u w:val="none"/>
                  <w:effect w:val="none"/>
                </w:rPr>
                <w:t>PART I FINANCIAL INFORMATION</w:t>
              </w:r>
            </w:hyperlink>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25">
              <w:r>
                <w:rPr>
                  <w:rStyle w:val="InternetLink"/>
                  <w:rFonts w:ascii="Arial;sans-serif" w:hAnsi="Arial;sans-serif"/>
                  <w:b w:val="false"/>
                  <w:strike w:val="false"/>
                  <w:dstrike w:val="false"/>
                  <w:color w:val="000000"/>
                  <w:sz w:val="19"/>
                  <w:u w:val="none"/>
                  <w:effect w:val="none"/>
                </w:rPr>
                <w:t>Item 1. Financial Statements (unaudited)</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22">
              <w:r>
                <w:rPr>
                  <w:rStyle w:val="InternetLink"/>
                  <w:rFonts w:ascii="Arial;sans-serif" w:hAnsi="Arial;sans-serif"/>
                  <w:b w:val="false"/>
                  <w:strike w:val="false"/>
                  <w:dstrike w:val="false"/>
                  <w:color w:val="000000"/>
                  <w:sz w:val="19"/>
                  <w:u w:val="none"/>
                  <w:effect w:val="none"/>
                </w:rPr>
                <w:t>1</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25">
              <w:r>
                <w:rPr>
                  <w:rStyle w:val="InternetLink"/>
                  <w:rFonts w:ascii="Arial;sans-serif" w:hAnsi="Arial;sans-serif"/>
                  <w:b w:val="false"/>
                  <w:strike w:val="false"/>
                  <w:dstrike w:val="false"/>
                  <w:color w:val="000000"/>
                  <w:sz w:val="19"/>
                  <w:u w:val="none"/>
                  <w:effect w:val="none"/>
                </w:rPr>
                <w:t>Consolidated Balance Sheets as of</w:t>
              </w:r>
            </w:hyperlink>
            <w:r>
              <w:rPr>
                <w:rFonts w:ascii="Arial;sans-serif" w:hAnsi="Arial;sans-serif"/>
                <w:b w:val="false"/>
                <w:color w:val="000000"/>
                <w:sz w:val="19"/>
              </w:rPr>
              <w:t xml:space="preserve"> March 31, 2024 and June 30, 2023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31">
              <w:r>
                <w:rPr>
                  <w:rStyle w:val="InternetLink"/>
                  <w:rFonts w:ascii="Arial;sans-serif" w:hAnsi="Arial;sans-serif"/>
                  <w:b w:val="false"/>
                  <w:strike w:val="false"/>
                  <w:dstrike w:val="false"/>
                  <w:color w:val="000000"/>
                  <w:sz w:val="19"/>
                  <w:u w:val="none"/>
                  <w:effect w:val="none"/>
                </w:rPr>
                <w:t>Consolidated Statements of Operations for the</w:t>
              </w:r>
            </w:hyperlink>
            <w:r>
              <w:rPr>
                <w:rFonts w:ascii="Arial;sans-serif" w:hAnsi="Arial;sans-serif"/>
                <w:b w:val="false"/>
                <w:color w:val="000000"/>
                <w:sz w:val="19"/>
              </w:rPr>
              <w:t xml:space="preserve"> three and nine months ended March 31, 2024 and 2023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31">
              <w:r>
                <w:rPr>
                  <w:rStyle w:val="InternetLink"/>
                  <w:rFonts w:ascii="Arial;sans-serif" w:hAnsi="Arial;sans-serif"/>
                  <w:b w:val="false"/>
                  <w:strike w:val="false"/>
                  <w:dstrike w:val="false"/>
                  <w:color w:val="000000"/>
                  <w:sz w:val="19"/>
                  <w:u w:val="none"/>
                  <w:effect w:val="none"/>
                </w:rPr>
                <w:t>2</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34">
              <w:r>
                <w:rPr>
                  <w:rStyle w:val="InternetLink"/>
                  <w:rFonts w:ascii="Arial;sans-serif" w:hAnsi="Arial;sans-serif"/>
                  <w:b w:val="false"/>
                  <w:strike w:val="false"/>
                  <w:dstrike w:val="false"/>
                  <w:color w:val="000000"/>
                  <w:sz w:val="19"/>
                  <w:u w:val="none"/>
                  <w:effect w:val="none"/>
                </w:rPr>
                <w:t>Consolidated Statements of Comprehensive Income (Loss) for the</w:t>
              </w:r>
            </w:hyperlink>
            <w:r>
              <w:rPr>
                <w:rFonts w:ascii="Arial;sans-serif" w:hAnsi="Arial;sans-serif"/>
                <w:b w:val="false"/>
                <w:color w:val="000000"/>
                <w:sz w:val="19"/>
              </w:rPr>
              <w:t xml:space="preserve"> three and nine months ended March 31, 2024 and 2023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34">
              <w:r>
                <w:rPr>
                  <w:rStyle w:val="InternetLink"/>
                  <w:rFonts w:ascii="Arial;sans-serif" w:hAnsi="Arial;sans-serif"/>
                  <w:b w:val="false"/>
                  <w:strike w:val="false"/>
                  <w:dstrike w:val="false"/>
                  <w:color w:val="000000"/>
                  <w:sz w:val="19"/>
                  <w:u w:val="none"/>
                  <w:effect w:val="none"/>
                </w:rPr>
                <w:t>3</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37">
              <w:r>
                <w:rPr>
                  <w:rStyle w:val="InternetLink"/>
                  <w:rFonts w:ascii="Arial;sans-serif" w:hAnsi="Arial;sans-serif"/>
                  <w:b w:val="false"/>
                  <w:strike w:val="false"/>
                  <w:dstrike w:val="false"/>
                  <w:color w:val="000000"/>
                  <w:sz w:val="19"/>
                  <w:u w:val="none"/>
                  <w:effect w:val="none"/>
                </w:rPr>
                <w:t>Consolidated Statements of Shareholders' Deficit for the</w:t>
              </w:r>
            </w:hyperlink>
            <w:r>
              <w:rPr>
                <w:rFonts w:ascii="Arial;sans-serif" w:hAnsi="Arial;sans-serif"/>
                <w:b w:val="false"/>
                <w:color w:val="000000"/>
                <w:sz w:val="19"/>
              </w:rPr>
              <w:t xml:space="preserve"> three and nine months ended March 31, 2024 and 2023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37">
              <w:r>
                <w:rPr>
                  <w:rStyle w:val="InternetLink"/>
                  <w:rFonts w:ascii="Arial;sans-serif" w:hAnsi="Arial;sans-serif"/>
                  <w:b w:val="false"/>
                  <w:strike w:val="false"/>
                  <w:dstrike w:val="false"/>
                  <w:color w:val="000000"/>
                  <w:sz w:val="19"/>
                  <w:u w:val="none"/>
                  <w:effect w:val="none"/>
                </w:rPr>
                <w:t>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43">
              <w:r>
                <w:rPr>
                  <w:rStyle w:val="InternetLink"/>
                  <w:rFonts w:ascii="Arial;sans-serif" w:hAnsi="Arial;sans-serif"/>
                  <w:b w:val="false"/>
                  <w:strike w:val="false"/>
                  <w:dstrike w:val="false"/>
                  <w:color w:val="000000"/>
                  <w:sz w:val="19"/>
                  <w:u w:val="none"/>
                  <w:effect w:val="none"/>
                </w:rPr>
                <w:t>Consolidated Statements of Cash Flows for the</w:t>
              </w:r>
            </w:hyperlink>
            <w:r>
              <w:rPr>
                <w:rFonts w:ascii="Arial;sans-serif" w:hAnsi="Arial;sans-serif"/>
                <w:b w:val="false"/>
                <w:color w:val="000000"/>
                <w:sz w:val="19"/>
              </w:rPr>
              <w:t xml:space="preserve"> nine months ended March 31, 2024 and 2023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43">
              <w:r>
                <w:rPr>
                  <w:rStyle w:val="InternetLink"/>
                  <w:rFonts w:ascii="Arial;sans-serif" w:hAnsi="Arial;sans-serif"/>
                  <w:b w:val="false"/>
                  <w:strike w:val="false"/>
                  <w:dstrike w:val="false"/>
                  <w:color w:val="000000"/>
                  <w:sz w:val="19"/>
                  <w:u w:val="none"/>
                  <w:effect w:val="none"/>
                </w:rPr>
                <w:t>7</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46">
              <w:r>
                <w:rPr>
                  <w:rStyle w:val="InternetLink"/>
                  <w:rFonts w:ascii="Arial;sans-serif" w:hAnsi="Arial;sans-serif"/>
                  <w:b w:val="false"/>
                  <w:strike w:val="false"/>
                  <w:dstrike w:val="false"/>
                  <w:color w:val="000000"/>
                  <w:sz w:val="19"/>
                  <w:u w:val="none"/>
                  <w:effect w:val="none"/>
                </w:rPr>
                <w:t>Notes to Consolidated Financial Statements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46">
              <w:r>
                <w:rPr>
                  <w:rStyle w:val="InternetLink"/>
                  <w:rFonts w:ascii="Arial;sans-serif" w:hAnsi="Arial;sans-serif"/>
                  <w:b w:val="false"/>
                  <w:strike w:val="false"/>
                  <w:dstrike w:val="false"/>
                  <w:color w:val="000000"/>
                  <w:sz w:val="19"/>
                  <w:u w:val="none"/>
                  <w:effect w:val="none"/>
                </w:rPr>
                <w:t>9</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18">
              <w:r>
                <w:rPr>
                  <w:rStyle w:val="InternetLink"/>
                  <w:rFonts w:ascii="Arial;sans-serif" w:hAnsi="Arial;sans-serif"/>
                  <w:b w:val="false"/>
                  <w:strike w:val="false"/>
                  <w:dstrike w:val="false"/>
                  <w:color w:val="000000"/>
                  <w:sz w:val="19"/>
                  <w:u w:val="none"/>
                  <w:effect w:val="none"/>
                </w:rPr>
                <w:t>Item 2. Management's Discussion and Analysis of Financial Condition and Results of Operations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18">
              <w:r>
                <w:rPr>
                  <w:rStyle w:val="InternetLink"/>
                  <w:rFonts w:ascii="Arial;sans-serif" w:hAnsi="Arial;sans-serif"/>
                  <w:b w:val="false"/>
                  <w:strike w:val="false"/>
                  <w:dstrike w:val="false"/>
                  <w:color w:val="000000"/>
                  <w:sz w:val="19"/>
                  <w:u w:val="none"/>
                  <w:effect w:val="none"/>
                </w:rPr>
                <w:t>28</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21">
              <w:r>
                <w:rPr>
                  <w:rStyle w:val="InternetLink"/>
                  <w:rFonts w:ascii="Arial;sans-serif" w:hAnsi="Arial;sans-serif"/>
                  <w:b w:val="false"/>
                  <w:strike w:val="false"/>
                  <w:dstrike w:val="false"/>
                  <w:color w:val="000000"/>
                  <w:sz w:val="19"/>
                  <w:u w:val="none"/>
                  <w:effect w:val="none"/>
                </w:rPr>
                <w:t>Item 3. Quantitative and Qualitative Disclosures About Market Risk</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21">
              <w:r>
                <w:rPr>
                  <w:rStyle w:val="InternetLink"/>
                  <w:rFonts w:ascii="Arial;sans-serif" w:hAnsi="Arial;sans-serif"/>
                  <w:b w:val="false"/>
                  <w:strike w:val="false"/>
                  <w:dstrike w:val="false"/>
                  <w:color w:val="000000"/>
                  <w:sz w:val="19"/>
                  <w:u w:val="none"/>
                  <w:effect w:val="none"/>
                </w:rPr>
                <w:t>41</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24">
              <w:r>
                <w:rPr>
                  <w:rStyle w:val="InternetLink"/>
                  <w:rFonts w:ascii="Arial;sans-serif" w:hAnsi="Arial;sans-serif"/>
                  <w:b w:val="false"/>
                  <w:strike w:val="false"/>
                  <w:dstrike w:val="false"/>
                  <w:color w:val="000000"/>
                  <w:sz w:val="19"/>
                  <w:u w:val="none"/>
                  <w:effect w:val="none"/>
                </w:rPr>
                <w:t>Item 4. Controls and Procedures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24">
              <w:r>
                <w:rPr>
                  <w:rStyle w:val="InternetLink"/>
                  <w:rFonts w:ascii="Arial;sans-serif" w:hAnsi="Arial;sans-serif"/>
                  <w:b w:val="false"/>
                  <w:strike w:val="false"/>
                  <w:dstrike w:val="false"/>
                  <w:color w:val="000000"/>
                  <w:sz w:val="19"/>
                  <w:u w:val="none"/>
                  <w:effect w:val="none"/>
                </w:rPr>
                <w:t>42</w:t>
              </w:r>
            </w:hyperlink>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30">
              <w:r>
                <w:rPr>
                  <w:rStyle w:val="InternetLink"/>
                  <w:rFonts w:ascii="Arial;sans-serif" w:hAnsi="Arial;sans-serif"/>
                  <w:b/>
                  <w:strike w:val="false"/>
                  <w:dstrike w:val="false"/>
                  <w:color w:val="000000"/>
                  <w:sz w:val="19"/>
                  <w:u w:val="none"/>
                  <w:effect w:val="none"/>
                </w:rPr>
                <w:t>PART II OTHER INFORMATION</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36">
              <w:r>
                <w:rPr>
                  <w:rStyle w:val="InternetLink"/>
                  <w:rFonts w:ascii="Arial;sans-serif" w:hAnsi="Arial;sans-serif"/>
                  <w:b w:val="false"/>
                  <w:strike w:val="false"/>
                  <w:dstrike w:val="false"/>
                  <w:color w:val="000000"/>
                  <w:sz w:val="19"/>
                  <w:u w:val="none"/>
                  <w:effect w:val="none"/>
                </w:rPr>
                <w:t>Item 2. Unregistered Sales of Equity Securities and Use of Proceeds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36">
              <w:r>
                <w:rPr>
                  <w:rStyle w:val="InternetLink"/>
                  <w:rFonts w:ascii="Arial;sans-serif" w:hAnsi="Arial;sans-serif"/>
                  <w:b w:val="false"/>
                  <w:strike w:val="false"/>
                  <w:dstrike w:val="false"/>
                  <w:color w:val="000000"/>
                  <w:sz w:val="19"/>
                  <w:u w:val="none"/>
                  <w:effect w:val="none"/>
                </w:rPr>
                <w:t>44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42">
              <w:r>
                <w:rPr>
                  <w:rStyle w:val="InternetLink"/>
                  <w:rFonts w:ascii="Arial;sans-serif" w:hAnsi="Arial;sans-serif"/>
                  <w:b w:val="false"/>
                  <w:strike w:val="false"/>
                  <w:dstrike w:val="false"/>
                  <w:color w:val="000000"/>
                  <w:sz w:val="19"/>
                  <w:u w:val="none"/>
                  <w:effect w:val="none"/>
                </w:rPr>
                <w:t>Item 6. Exhibits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42">
              <w:r>
                <w:rPr>
                  <w:rStyle w:val="InternetLink"/>
                  <w:rFonts w:ascii="Arial;sans-serif" w:hAnsi="Arial;sans-serif"/>
                  <w:b w:val="false"/>
                  <w:strike w:val="false"/>
                  <w:dstrike w:val="false"/>
                  <w:color w:val="000000"/>
                  <w:sz w:val="19"/>
                  <w:u w:val="none"/>
                  <w:effect w:val="none"/>
                </w:rPr>
                <w:t>44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15644e708146d289cc8798604a7c85_145">
              <w:r>
                <w:rPr>
                  <w:rStyle w:val="InternetLink"/>
                  <w:rFonts w:ascii="Arial;sans-serif" w:hAnsi="Arial;sans-serif"/>
                  <w:b w:val="false"/>
                  <w:strike w:val="false"/>
                  <w:dstrike w:val="false"/>
                  <w:color w:val="000000"/>
                  <w:sz w:val="19"/>
                  <w:u w:val="none"/>
                  <w:effect w:val="none"/>
                </w:rPr>
                <w:t>Signatures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5644e708146d289cc8798604a7c85_145">
              <w:r>
                <w:rPr>
                  <w:rStyle w:val="InternetLink"/>
                  <w:rFonts w:ascii="Arial;sans-serif" w:hAnsi="Arial;sans-serif"/>
                  <w:b w:val="false"/>
                  <w:strike w:val="false"/>
                  <w:dstrike w:val="false"/>
                  <w:color w:val="000000"/>
                  <w:sz w:val="19"/>
                  <w:u w:val="none"/>
                  <w:effect w:val="none"/>
                </w:rPr>
                <w:t>45</w:t>
              </w:r>
            </w:hyperlink>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PART I. FINANCIAL INFORMATION</w:t>
      </w:r>
    </w:p>
    <w:p>
      <w:pPr>
        <w:pStyle w:val="TextBody"/>
        <w:bidi w:val="0"/>
        <w:spacing w:lineRule="auto" w:line="288" w:before="0" w:after="0"/>
        <w:jc w:val="left"/>
        <w:rPr/>
      </w:pPr>
      <w:r>
        <w:rPr>
          <w:rFonts w:ascii="Arial;sans-serif" w:hAnsi="Arial;sans-serif"/>
          <w:b/>
          <w:color w:val="000000"/>
          <w:sz w:val="20"/>
        </w:rPr>
        <w:t xml:space="preserve">Item 1. </w:t>
      </w:r>
      <w:r>
        <w:rPr>
          <w:rFonts w:ascii="Arial;sans-serif" w:hAnsi="Arial;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net of allowances of $8,068</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$6,630,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441,027 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645,332 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1,627,243 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2,466,652 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shares, nominal value €0.01 per share, 100,000,000 shares authorized; none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43,611,795 and 44,315,855 shares issued, respectively; 25,640,548 and 26,344,608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(623,145)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(622,686)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55"/>
        <w:gridCol w:w="1158"/>
        <w:gridCol w:w="1175"/>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09"/>
        <w:gridCol w:w="109"/>
        <w:gridCol w:w="155"/>
      </w:tblGrid>
      <w:tr>
        <w:trPr/>
        <w:tc>
          <w:tcPr>
            <w:tcW w:w="16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4" w:type="dxa"/>
            <w:gridSpan w:val="2"/>
            <w:tcBorders/>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Net loss (income)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attributable to Cimpress plc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income per share attributable to Cimpress plc</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income per share attributable to Cimpress plc</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26,216,216 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26,432,423 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26,216,216 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27,143,619 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(1) Share-based compensation expense is allocated as follows:</w:t>
      </w:r>
    </w:p>
    <w:tbl>
      <w:tblPr>
        <w:tblW w:w="8979" w:type="dxa"/>
        <w:jc w:val="center"/>
        <w:tblInd w:w="0" w:type="dxa"/>
        <w:tblLayout w:type="fixed"/>
        <w:tblCellMar>
          <w:top w:w="28" w:type="dxa"/>
          <w:left w:w="28" w:type="dxa"/>
          <w:bottom w:w="28" w:type="dxa"/>
          <w:right w:w="28" w:type="dxa"/>
        </w:tblCellMar>
      </w:tblPr>
      <w:tblGrid>
        <w:gridCol w:w="1193"/>
        <w:gridCol w:w="1048"/>
        <w:gridCol w:w="1058"/>
        <w:gridCol w:w="305"/>
        <w:gridCol w:w="674"/>
        <w:gridCol w:w="157"/>
        <w:gridCol w:w="157"/>
        <w:gridCol w:w="157"/>
        <w:gridCol w:w="157"/>
        <w:gridCol w:w="305"/>
        <w:gridCol w:w="522"/>
        <w:gridCol w:w="157"/>
        <w:gridCol w:w="109"/>
        <w:gridCol w:w="109"/>
        <w:gridCol w:w="109"/>
        <w:gridCol w:w="278"/>
        <w:gridCol w:w="614"/>
        <w:gridCol w:w="143"/>
        <w:gridCol w:w="143"/>
        <w:gridCol w:w="143"/>
        <w:gridCol w:w="143"/>
        <w:gridCol w:w="278"/>
        <w:gridCol w:w="614"/>
        <w:gridCol w:w="143"/>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726"/>
        <w:gridCol w:w="1487"/>
        <w:gridCol w:w="1406"/>
        <w:gridCol w:w="215"/>
        <w:gridCol w:w="671"/>
        <w:gridCol w:w="111"/>
        <w:gridCol w:w="111"/>
        <w:gridCol w:w="111"/>
        <w:gridCol w:w="111"/>
        <w:gridCol w:w="215"/>
        <w:gridCol w:w="779"/>
        <w:gridCol w:w="111"/>
        <w:gridCol w:w="109"/>
        <w:gridCol w:w="109"/>
        <w:gridCol w:w="109"/>
        <w:gridCol w:w="211"/>
        <w:gridCol w:w="721"/>
        <w:gridCol w:w="109"/>
        <w:gridCol w:w="109"/>
        <w:gridCol w:w="109"/>
        <w:gridCol w:w="109"/>
        <w:gridCol w:w="211"/>
        <w:gridCol w:w="865"/>
        <w:gridCol w:w="109"/>
        <w:gridCol w:w="109"/>
        <w:gridCol w:w="162"/>
      </w:tblGrid>
      <w:tr>
        <w:trPr/>
        <w:tc>
          <w:tcPr>
            <w:tcW w:w="172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71" w:type="dxa"/>
            <w:gridSpan w:val="2"/>
            <w:tcBorders/>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gains (losses), net of hedges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derivative instruments designated and qualifying as cash flow hedges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(loss) income for derivative instruments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loss (income) attributable to noncontrolling interests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(loss) attributable to Cimpress plc</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1771"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44,196 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(40,141)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(613,311)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(35,291)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(662,417)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1771"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(623,145)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(614,183)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2023</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44,604 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560,019 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(47,223)</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(552,543)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1771" w:type="dxa"/>
        <w:jc w:val="center"/>
        <w:tblInd w:w="0" w:type="dxa"/>
        <w:tblLayout w:type="fixed"/>
        <w:tblCellMar>
          <w:top w:w="28" w:type="dxa"/>
          <w:left w:w="28" w:type="dxa"/>
          <w:bottom w:w="28" w:type="dxa"/>
          <w:right w:w="28" w:type="dxa"/>
        </w:tblCellMar>
      </w:tblPr>
      <w:tblGrid>
        <w:gridCol w:w="576"/>
        <w:gridCol w:w="282"/>
        <w:gridCol w:w="283"/>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retirement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(636,018)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550"/>
        <w:gridCol w:w="2135"/>
        <w:gridCol w:w="2142"/>
        <w:gridCol w:w="211"/>
        <w:gridCol w:w="826"/>
        <w:gridCol w:w="109"/>
        <w:gridCol w:w="109"/>
        <w:gridCol w:w="109"/>
        <w:gridCol w:w="109"/>
        <w:gridCol w:w="211"/>
        <w:gridCol w:w="885"/>
        <w:gridCol w:w="109"/>
        <w:gridCol w:w="109"/>
        <w:gridCol w:w="109"/>
        <w:gridCol w:w="109"/>
        <w:gridCol w:w="109"/>
        <w:gridCol w:w="109"/>
        <w:gridCol w:w="155"/>
      </w:tblGrid>
      <w:tr>
        <w:trPr/>
        <w:tc>
          <w:tcPr>
            <w:tcW w:w="255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before="180" w:after="283"/>
              <w:jc w:val="center"/>
              <w:rPr/>
            </w:pPr>
            <w:r>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loss on derivatives not designated as hedging instruments included in 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subsidiaries, net of transaction costs and cash 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purchase of 7% Senior Notes due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purchase consideration included in acquisition-date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ordinary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ordinary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8797" w:type="dxa"/>
        <w:jc w:val="center"/>
        <w:tblInd w:w="0" w:type="dxa"/>
        <w:tblLayout w:type="fixed"/>
        <w:tblCellMar>
          <w:top w:w="28" w:type="dxa"/>
          <w:left w:w="28" w:type="dxa"/>
          <w:bottom w:w="28" w:type="dxa"/>
          <w:right w:w="28" w:type="dxa"/>
        </w:tblCellMar>
      </w:tblPr>
      <w:tblGrid>
        <w:gridCol w:w="2028"/>
        <w:gridCol w:w="1782"/>
        <w:gridCol w:w="1785"/>
        <w:gridCol w:w="219"/>
        <w:gridCol w:w="750"/>
        <w:gridCol w:w="113"/>
        <w:gridCol w:w="113"/>
        <w:gridCol w:w="113"/>
        <w:gridCol w:w="113"/>
        <w:gridCol w:w="219"/>
        <w:gridCol w:w="750"/>
        <w:gridCol w:w="113"/>
        <w:gridCol w:w="109"/>
        <w:gridCol w:w="109"/>
        <w:gridCol w:w="109"/>
        <w:gridCol w:w="109"/>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during the period for:</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Description of the Business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Marketable Securities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medium-term notes. We invest in securities with a remaining maturity of two years or less. As the investments are classified as held-to-maturity, they are recorded at amortized cost and interest income is recorded as it is earned within interest expense, net.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and nine months ended March 31, 2024 and 2023.</w:t>
      </w:r>
    </w:p>
    <w:p>
      <w:pPr>
        <w:pStyle w:val="TextBody"/>
        <w:bidi w:val="0"/>
        <w:spacing w:before="2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is a summary of the net carrying amount, unrealized losses, and fair value of held-to-maturity securities by type and contractual maturity as of March 31, 2024 and June 30, 2023.</w:t>
      </w:r>
    </w:p>
    <w:p>
      <w:pPr>
        <w:pStyle w:val="TextBody"/>
        <w:bidi w:val="0"/>
        <w:spacing w:before="0" w:after="0"/>
        <w:ind w:left="0" w:right="0" w:firstLine="720"/>
        <w:jc w:val="left"/>
        <w:rPr/>
      </w:pPr>
      <w:r>
        <w:rPr/>
      </w:r>
    </w:p>
    <w:tbl>
      <w:tblPr>
        <w:tblW w:w="7341" w:type="dxa"/>
        <w:jc w:val="center"/>
        <w:tblInd w:w="0" w:type="dxa"/>
        <w:tblLayout w:type="fixed"/>
        <w:tblCellMar>
          <w:top w:w="28" w:type="dxa"/>
          <w:left w:w="28" w:type="dxa"/>
          <w:bottom w:w="28" w:type="dxa"/>
          <w:right w:w="28" w:type="dxa"/>
        </w:tblCellMar>
      </w:tblPr>
      <w:tblGrid>
        <w:gridCol w:w="967"/>
        <w:gridCol w:w="850"/>
        <w:gridCol w:w="853"/>
        <w:gridCol w:w="297"/>
        <w:gridCol w:w="869"/>
        <w:gridCol w:w="153"/>
        <w:gridCol w:w="109"/>
        <w:gridCol w:w="109"/>
        <w:gridCol w:w="109"/>
        <w:gridCol w:w="109"/>
        <w:gridCol w:w="109"/>
        <w:gridCol w:w="453"/>
        <w:gridCol w:w="810"/>
        <w:gridCol w:w="236"/>
        <w:gridCol w:w="109"/>
        <w:gridCol w:w="109"/>
        <w:gridCol w:w="109"/>
        <w:gridCol w:w="211"/>
        <w:gridCol w:w="61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1308"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Due within one year:</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56" w:type="dxa"/>
        <w:jc w:val="left"/>
        <w:tblInd w:w="0" w:type="dxa"/>
        <w:tblLayout w:type="fixed"/>
        <w:tblCellMar>
          <w:top w:w="28" w:type="dxa"/>
          <w:left w:w="28" w:type="dxa"/>
          <w:bottom w:w="28" w:type="dxa"/>
          <w:right w:w="28" w:type="dxa"/>
        </w:tblCellMar>
      </w:tblPr>
      <w:tblGrid>
        <w:gridCol w:w="1151"/>
        <w:gridCol w:w="1012"/>
        <w:gridCol w:w="1016"/>
        <w:gridCol w:w="267"/>
        <w:gridCol w:w="914"/>
        <w:gridCol w:w="138"/>
        <w:gridCol w:w="109"/>
        <w:gridCol w:w="109"/>
        <w:gridCol w:w="109"/>
        <w:gridCol w:w="109"/>
        <w:gridCol w:w="109"/>
        <w:gridCol w:w="395"/>
        <w:gridCol w:w="901"/>
        <w:gridCol w:w="204"/>
        <w:gridCol w:w="109"/>
        <w:gridCol w:w="109"/>
        <w:gridCol w:w="109"/>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Due within one year:</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due within one year</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Due between one and two years:</w:t>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between one and two years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Ordinary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March 31, 2024, we repurchased 1,085,574 of our ordinary shares on the open market and through privately negotiated transactions for $100,729. The repurchased shares were immediately retired after repurchase and therefore have been classified as authorized and unissued shares as of March 31, 2024. The retirement of ordinary shares resulted in a reduction to the nominal value of our ordinary shares outstanding and additional paid in capital in proportion to the amount of total shares outstanding, with the remaining repurchase value recognized as a reduction to retained earnings.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(Expense) Income, Net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components of other (expense) income, net:</w:t>
      </w:r>
    </w:p>
    <w:tbl>
      <w:tblPr>
        <w:tblW w:w="10205" w:type="dxa"/>
        <w:jc w:val="center"/>
        <w:tblInd w:w="0" w:type="dxa"/>
        <w:tblLayout w:type="fixed"/>
        <w:tblCellMar>
          <w:top w:w="28" w:type="dxa"/>
          <w:left w:w="28" w:type="dxa"/>
          <w:bottom w:w="28" w:type="dxa"/>
          <w:right w:w="28" w:type="dxa"/>
        </w:tblCellMar>
      </w:tblPr>
      <w:tblGrid>
        <w:gridCol w:w="1866"/>
        <w:gridCol w:w="1556"/>
        <w:gridCol w:w="1565"/>
        <w:gridCol w:w="211"/>
        <w:gridCol w:w="677"/>
        <w:gridCol w:w="109"/>
        <w:gridCol w:w="109"/>
        <w:gridCol w:w="109"/>
        <w:gridCol w:w="109"/>
        <w:gridCol w:w="211"/>
        <w:gridCol w:w="677"/>
        <w:gridCol w:w="109"/>
        <w:gridCol w:w="109"/>
        <w:gridCol w:w="109"/>
        <w:gridCol w:w="109"/>
        <w:gridCol w:w="211"/>
        <w:gridCol w:w="616"/>
        <w:gridCol w:w="109"/>
        <w:gridCol w:w="109"/>
        <w:gridCol w:w="109"/>
        <w:gridCol w:w="109"/>
        <w:gridCol w:w="211"/>
        <w:gridCol w:w="721"/>
        <w:gridCol w:w="109"/>
        <w:gridCol w:w="109"/>
        <w:gridCol w:w="157"/>
      </w:tblGrid>
      <w:tr>
        <w:trPr/>
        <w:tc>
          <w:tcPr>
            <w:tcW w:w="186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6" w:type="dxa"/>
            <w:gridSpan w:val="2"/>
            <w:tcBorders/>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gains, net (2)</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(losses) gains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realized and unrealized gains and losses on derivative currency forward and option contracts not designated as hedging instruments. For contracts not designated as hedging instruments, we realized losses of $349 and $838 for the three and nine months ended March 31, 2024, respectively, and realized gains of $4,876 and $35,864 for the three and nine months ended March 31, 2023, respectively. Refer to Note 4 for additional details relating to our derivative contracts.</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Currency-related (losses) gains,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270"/>
        <w:jc w:val="left"/>
        <w:rPr>
          <w:rFonts w:ascii="Arial;sans-serif" w:hAnsi="Arial;sans-serif"/>
          <w:b/>
          <w:color w:val="000000"/>
          <w:sz w:val="20"/>
        </w:rPr>
      </w:pPr>
      <w:r>
        <w:rPr>
          <w:rFonts w:ascii="Arial;sans-serif" w:hAnsi="Arial;sans-serif"/>
          <w:b/>
          <w:color w:val="000000"/>
          <w:sz w:val="20"/>
        </w:rPr>
        <w:t>Net (Loss) Income Per Share Attributable to Cimpress plc</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Layout w:type="fixed"/>
        <w:tblCellMar>
          <w:top w:w="28" w:type="dxa"/>
          <w:left w:w="28" w:type="dxa"/>
          <w:bottom w:w="28" w:type="dxa"/>
          <w:right w:w="28" w:type="dxa"/>
        </w:tblCellMar>
      </w:tblPr>
      <w:tblGrid>
        <w:gridCol w:w="1385"/>
        <w:gridCol w:w="1215"/>
        <w:gridCol w:w="1222"/>
        <w:gridCol w:w="684"/>
        <w:gridCol w:w="397"/>
        <w:gridCol w:w="148"/>
        <w:gridCol w:w="148"/>
        <w:gridCol w:w="148"/>
        <w:gridCol w:w="148"/>
        <w:gridCol w:w="684"/>
        <w:gridCol w:w="397"/>
        <w:gridCol w:w="148"/>
        <w:gridCol w:w="109"/>
        <w:gridCol w:w="109"/>
        <w:gridCol w:w="109"/>
        <w:gridCol w:w="684"/>
        <w:gridCol w:w="397"/>
        <w:gridCol w:w="145"/>
        <w:gridCol w:w="145"/>
        <w:gridCol w:w="145"/>
        <w:gridCol w:w="145"/>
        <w:gridCol w:w="684"/>
        <w:gridCol w:w="397"/>
        <w:gridCol w:w="145"/>
        <w:gridCol w:w="109"/>
        <w:gridCol w:w="158"/>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7" w:type="dxa"/>
            <w:gridSpan w:val="2"/>
            <w:tcBorders/>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outstanding, basic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26,216,216 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26,432,423 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issuable upon exercise/vesting of outstanding share options/RSUs/warrants (1)(2)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711,196 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computing diluted net (loss) income per share attributable to Cimpress plc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26,216,216 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27,143,619 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anti-dilutive shares excluded from diluted net (loss) income per share attributable to Cimpress plc (1)</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955,594 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3,161,275 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127,229 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3,045,675 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 the periods in which a net loss is recognized, the impact of share options, RSUs and warrants is excluded from shares used in computed diluted net (loss) income per share as it is anti-dilutive. Any equity awards that have a performance condition are not included in dilutive or anti-dilutive shares until the performance condition is met.</w:t>
      </w:r>
    </w:p>
    <w:p>
      <w:pPr>
        <w:pStyle w:val="TextBody"/>
        <w:bidi w:val="0"/>
        <w:spacing w:lineRule="auto" w:line="288" w:before="100" w:after="100"/>
        <w:ind w:left="0" w:right="0" w:hanging="270"/>
        <w:jc w:val="left"/>
        <w:rPr/>
      </w:pPr>
      <w:r>
        <w:rPr>
          <w:rFonts w:ascii="Arial;sans-serif" w:hAnsi="Arial;sans-serif"/>
          <w:b w:val="false"/>
          <w:color w:val="000000"/>
          <w:sz w:val="16"/>
        </w:rPr>
        <w:t>(2) On May 1, 2020, we entered into a financing arrangement which included 7-year warrants to purchase 1,055,377 of our ordinary shares with a strike price of $60 that have a potentially dilutive impact on our weighted average shares outstanding. For the three and nine months ended March 31, 2024, the average market price of our ordinary shares was higher than the strike price of the warrants. The weighted average anti-dilutive effect of the warrants was 309,000</w:t>
      </w:r>
      <w:r>
        <w:rPr>
          <w:color w:val="EE2724"/>
        </w:rPr>
        <w:t xml:space="preserve"> </w:t>
      </w:r>
      <w:r>
        <w:rPr>
          <w:rFonts w:ascii="Arial;sans-serif" w:hAnsi="Arial;sans-serif"/>
          <w:b w:val="false"/>
          <w:color w:val="000000"/>
          <w:sz w:val="16"/>
        </w:rPr>
        <w:t>for the three months ended March 31, 2024 (anti-dilutive due to our net loss position), and the weighted average dilutive effect of the warrants was</w:t>
      </w:r>
      <w:r>
        <w:rPr>
          <w:color w:val="EE2724"/>
        </w:rPr>
        <w:t xml:space="preserve"> </w:t>
      </w:r>
      <w:r>
        <w:rPr>
          <w:rFonts w:ascii="Arial;sans-serif" w:hAnsi="Arial;sans-serif"/>
          <w:b w:val="false"/>
          <w:color w:val="000000"/>
          <w:sz w:val="16"/>
        </w:rPr>
        <w:t>184,608 for the nine months ended March 31, 2024.</w:t>
      </w:r>
      <w:r>
        <w:rPr>
          <w:color w:val="EE2724"/>
        </w:rPr>
        <w:t xml:space="preserve"> </w:t>
      </w:r>
      <w:r>
        <w:rPr>
          <w:rFonts w:ascii="Arial;sans-serif" w:hAnsi="Arial;sans-serif"/>
          <w:b w:val="false"/>
          <w:color w:val="000000"/>
          <w:sz w:val="16"/>
        </w:rPr>
        <w:t>For the three and nine months ended March 31, 2023, the average market price of our ordinary shares was lower than the strike price of the warrants; therefore, the total 1,055,377 outstanding warrants were considered anti-dilutive.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Total share-based compensation costs were $18,397 and $48,499 for the three and nine months ended March 31, 2024, respectively, as compared to $8,734 and $31,405 for the three and nine months ended March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current fiscal year, we issued PSUs (the "2024 PSUs") as part of our long-term incentive program. The 2024 PSUs include both a service and performance condition, and the related expense is recognized using an accelerated expense attribution over the requisite service period for each separately vesting portion of the award. The performance condition for these awards is based on one-year financial targets for fiscal year 2024 revenue, adjusted EBITDA, and unlevered free cash flow. Actual shares issued for each grant will range from 0% to 160% of the number of 2024 PSUs granted based on the attainment of the performance condition. Share-based compensation expense for these awards is recognized on an accelerated basis using the grant date fair value and our estimated attainment percentage of the related performance condition. Until the performance condition is measured during the first fiscal quarter following the end of fiscal year 2024, changes in the estimated attainment percentages may cause expense volatility since a cumulative expense adjustment will be recognized in the period a change occurs.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first quarter of fiscal year 2024, we began marketing our customer service facility located in Montego Bay, Jamaica for sale as part of the ongoing efforts to optimize our real estate footprint with many of our team members in Jamaica operating under a remote-first model. We continue to classify the facility as held for sale, which has a carrying value of $16,595 recognized within prepaid expenses and other current assets in the consolidated balance sheet as of March 31, 2024. We have not recognized any losses on the planned sale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The sale of this facility has subsequently closed during April 2024, resulting in net cash proceeds of $16,785 and an immaterial gain on the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Adopted Accounting Standards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Supply Chain Finance Programs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September 2022, the FASB issued Accounting Standards Update No. 2022-04 "Liabilities - Supplier Finance Programs (Subtopic 405-50): Disclosure of Supplier Finance Program Obligations" (ASU 2022-04), which provides authoritative guidance about expanded disclosure requirements for supply chain finance programs. The new standard requires disclosure of the key terms of outstanding supply chain finance programs and a rollforward of the related amounts due to suppliers participating in these programs. The adoption of the new disclosure requirements was effective during the first quarter of fiscal year 2024, except for a rollforward of activity within supply chain finance programs, which is effective as part of our annual disclosures for fiscal year 2025. The adoption of the new standard did not have an impact on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March 31, 2024 and June 30, 2023 were $52,555 and $44,522, respectively.</w:t>
      </w:r>
    </w:p>
    <w:p>
      <w:pPr>
        <w:pStyle w:val="TextBody"/>
        <w:bidi w:val="0"/>
        <w:spacing w:before="0" w:after="0"/>
        <w:ind w:left="0" w:right="0" w:firstLine="72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Accounting Standards to be Adopted</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pStyle w:val="TextBody"/>
        <w:bidi w:val="0"/>
        <w:spacing w:lineRule="auto" w:line="288" w:before="0" w:after="60"/>
        <w:ind w:left="0" w:right="0" w:firstLine="720"/>
        <w:jc w:val="left"/>
        <w:rPr>
          <w:rFonts w:ascii="Arial;sans-serif" w:hAnsi="Arial;sans-serif"/>
          <w:b w:val="false"/>
          <w:color w:val="000000"/>
          <w:sz w:val="20"/>
        </w:rPr>
      </w:pPr>
      <w:r>
        <w:rPr>
          <w:rFonts w:ascii="Arial;sans-serif" w:hAnsi="Arial;sans-serif"/>
          <w:b w:val="false"/>
          <w:color w:val="000000"/>
          <w:sz w:val="20"/>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Early adoption is permitted, but we do not intend to early adopt this standard.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 xml:space="preserve">Inputs to the valuation methodology include quoted prices for similar assets and liabilities in active markets, quoted prices for identical or similar assets in markets that are not active and inputs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observable for the asset or liability, either directly or indirectly, for substantially the full term of the financial instrument.</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tbl>
      <w:tblPr>
        <w:tblW w:w="8562" w:type="dxa"/>
        <w:jc w:val="left"/>
        <w:tblInd w:w="0" w:type="dxa"/>
        <w:tblLayout w:type="fixed"/>
        <w:tblCellMar>
          <w:top w:w="28" w:type="dxa"/>
          <w:left w:w="28" w:type="dxa"/>
          <w:bottom w:w="28" w:type="dxa"/>
          <w:right w:w="28" w:type="dxa"/>
        </w:tblCellMar>
      </w:tblPr>
      <w:tblGrid>
        <w:gridCol w:w="1104"/>
        <w:gridCol w:w="972"/>
        <w:gridCol w:w="984"/>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62" w:type="dxa"/>
        <w:jc w:val="left"/>
        <w:tblInd w:w="0" w:type="dxa"/>
        <w:tblLayout w:type="fixed"/>
        <w:tblCellMar>
          <w:top w:w="28" w:type="dxa"/>
          <w:left w:w="28" w:type="dxa"/>
          <w:bottom w:w="28" w:type="dxa"/>
          <w:right w:w="28" w:type="dxa"/>
        </w:tblCellMar>
      </w:tblPr>
      <w:tblGrid>
        <w:gridCol w:w="1104"/>
        <w:gridCol w:w="972"/>
        <w:gridCol w:w="984"/>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nine months ended March 31, 2024 and year ended June 30, 2023, there were no significant transfers in or out of Level 1, Level 2, and Level 3 classifications.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2024,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As of March 31, 2024 and June 30, 2023, the carrying amounts of our cash and cash equivalents, accounts receivable, accounts payable, and other current liabilities approximated their estimated fair values. As of March 31, 2024 and June 30, 2023, the carrying value of our debt, excluding debt issuance costs and debt premiums and discounts, was</w:t>
      </w:r>
      <w:r>
        <w:rPr>
          <w:color w:val="FF0000"/>
        </w:rPr>
        <w:t xml:space="preserve"> </w:t>
      </w:r>
      <w:r>
        <w:rPr>
          <w:rFonts w:ascii="Arial;sans-serif" w:hAnsi="Arial;sans-serif"/>
          <w:b w:val="false"/>
          <w:color w:val="000000"/>
          <w:sz w:val="20"/>
        </w:rPr>
        <w:t xml:space="preserve">$1,615,037 and $1,653,989, respectively, and the fair value was $1,621,136 and $1,604,190, respectively. Our debt at March 31, 2024 includes variable-rate debt instruments indexed to Term SOFR and Euribor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As of March 31, 2024 and June 30, 2023, our held-to-maturity marketable securities were held at an amortized cost of $6,499</w:t>
      </w:r>
      <w:r>
        <w:rPr>
          <w:color w:val="000000"/>
        </w:rPr>
        <w:t xml:space="preserve"> </w:t>
      </w:r>
      <w:r>
        <w:rPr>
          <w:rFonts w:ascii="Arial;sans-serif" w:hAnsi="Arial;sans-serif"/>
          <w:b w:val="false"/>
          <w:color w:val="000000"/>
          <w:sz w:val="20"/>
        </w:rPr>
        <w:t>and $43,037,</w:t>
      </w:r>
      <w:r>
        <w:rPr>
          <w:color w:val="000000"/>
        </w:rPr>
        <w:t xml:space="preserve"> </w:t>
      </w:r>
      <w:r>
        <w:rPr>
          <w:rFonts w:ascii="Arial;sans-serif" w:hAnsi="Arial;sans-serif"/>
          <w:b w:val="false"/>
          <w:color w:val="000000"/>
          <w:sz w:val="20"/>
        </w:rPr>
        <w:t>respectively,</w:t>
      </w:r>
      <w:r>
        <w:rPr>
          <w:color w:val="000000"/>
        </w:rPr>
        <w:t xml:space="preserve"> </w:t>
      </w:r>
      <w:r>
        <w:rPr>
          <w:rFonts w:ascii="Arial;sans-serif" w:hAnsi="Arial;sans-serif"/>
          <w:b w:val="false"/>
          <w:color w:val="000000"/>
          <w:sz w:val="20"/>
        </w:rPr>
        <w:t>while the fair value was $6,470</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$42,667, respectively. The securities were valued using quoted prices for identical assets in active markets, which fall into Level 1 under the fair value hierarchy.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Arial;sans-serif" w:hAnsi="Arial;sans-serif"/>
          <w:b/>
          <w:color w:val="000000"/>
          <w:sz w:val="20"/>
        </w:rPr>
      </w:pPr>
      <w:r>
        <w:rPr>
          <w:rFonts w:ascii="Arial;sans-serif" w:hAnsi="Arial;sans-serif"/>
          <w:b/>
          <w:color w:val="000000"/>
          <w:sz w:val="20"/>
        </w:rPr>
        <w:t>4. Derivative Financial Instruments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change in the fair value of derivatives not designated as hedges is recognized directly in earnings as a component of other (expense) income, net.</w:t>
      </w:r>
    </w:p>
    <w:p>
      <w:pPr>
        <w:pStyle w:val="TextBody"/>
        <w:bidi w:val="0"/>
        <w:spacing w:lineRule="auto" w:line="288" w:before="220" w:after="283"/>
        <w:jc w:val="both"/>
        <w:rPr>
          <w:rFonts w:ascii="Arial;sans-serif" w:hAnsi="Arial;sans-serif"/>
          <w:b/>
          <w:color w:val="000000"/>
          <w:sz w:val="20"/>
        </w:rPr>
      </w:pPr>
      <w:r>
        <w:rPr>
          <w:rFonts w:ascii="Arial;sans-serif" w:hAnsi="Arial;sans-serif"/>
          <w:b/>
          <w:color w:val="000000"/>
          <w:sz w:val="20"/>
        </w:rPr>
        <w:t>Hedges of Interest Rate Risk</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 </w:t>
      </w:r>
    </w:p>
    <w:p>
      <w:pPr>
        <w:pStyle w:val="TextBody"/>
        <w:bidi w:val="0"/>
        <w:spacing w:lineRule="auto" w:line="288" w:before="220" w:after="283"/>
        <w:ind w:left="0" w:right="0" w:firstLine="720"/>
        <w:jc w:val="left"/>
        <w:rPr/>
      </w:pPr>
      <w:r>
        <w:rPr>
          <w:rFonts w:ascii="Arial;sans-serif" w:hAnsi="Arial;sans-serif"/>
          <w:b w:val="false"/>
          <w:color w:val="000000"/>
          <w:sz w:val="20"/>
        </w:rPr>
        <w:t>As of March 31, 2024, we estimate that $4,671 of income will be reclassified from accumulated other comprehensive loss to interest expense, net during the twelve months ending March 31, 2025. As of March 31, 2024, we had</w:t>
      </w:r>
      <w:r>
        <w:rPr>
          <w:color w:val="EE2724"/>
        </w:rPr>
        <w:t xml:space="preserve"> </w:t>
      </w:r>
      <w:r>
        <w:rPr>
          <w:rFonts w:ascii="Arial;sans-serif" w:hAnsi="Arial;sans-serif"/>
          <w:b w:val="false"/>
          <w:color w:val="000000"/>
          <w:sz w:val="20"/>
        </w:rPr>
        <w:t xml:space="preserve">eleven effective outstanding interest rate swap contracts that were indexed to Term or Daily SOFR. </w:t>
      </w:r>
    </w:p>
    <w:p>
      <w:pPr>
        <w:pStyle w:val="TextBody"/>
        <w:bidi w:val="0"/>
        <w:spacing w:before="2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interest rate swap contracts have varying start and maturity dates through April 2028. </w:t>
      </w:r>
    </w:p>
    <w:tbl>
      <w:tblPr>
        <w:tblW w:w="6251" w:type="dxa"/>
        <w:jc w:val="center"/>
        <w:tblInd w:w="0" w:type="dxa"/>
        <w:tblLayout w:type="fixed"/>
        <w:tblCellMar>
          <w:top w:w="28" w:type="dxa"/>
          <w:left w:w="28" w:type="dxa"/>
          <w:bottom w:w="28" w:type="dxa"/>
          <w:right w:w="28" w:type="dxa"/>
        </w:tblCellMar>
      </w:tblPr>
      <w:tblGrid>
        <w:gridCol w:w="1565"/>
        <w:gridCol w:w="1376"/>
        <w:gridCol w:w="1379"/>
        <w:gridCol w:w="109"/>
        <w:gridCol w:w="109"/>
        <w:gridCol w:w="109"/>
        <w:gridCol w:w="284"/>
        <w:gridCol w:w="1113"/>
        <w:gridCol w:w="207"/>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March 31, 2024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14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Based on contracts outstanding as of March 31, 2024, the notional value of our contracted interest rate swaps accruing interest will fluctuate between $215,000 and $380,000 through April 2028 based on layered start dates and maturities. </w:t>
      </w:r>
    </w:p>
    <w:p>
      <w:pPr>
        <w:pStyle w:val="TextBody"/>
        <w:bidi w:val="0"/>
        <w:spacing w:lineRule="auto" w:line="288" w:before="240" w:after="100"/>
        <w:jc w:val="left"/>
        <w:rPr>
          <w:rFonts w:ascii="Arial;sans-serif" w:hAnsi="Arial;sans-serif"/>
          <w:b/>
          <w:color w:val="000000"/>
          <w:sz w:val="20"/>
        </w:rPr>
      </w:pPr>
      <w:r>
        <w:rPr>
          <w:rFonts w:ascii="Arial;sans-serif" w:hAnsi="Arial;sans-serif"/>
          <w:b/>
          <w:color w:val="000000"/>
          <w:sz w:val="20"/>
        </w:rPr>
        <w:t xml:space="preserve">Hedges of Currency Risk </w:t>
      </w:r>
    </w:p>
    <w:p>
      <w:pPr>
        <w:pStyle w:val="TextBody"/>
        <w:bidi w:val="0"/>
        <w:spacing w:lineRule="auto" w:line="288" w:before="280" w:after="283"/>
        <w:jc w:val="left"/>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March 31, 2024,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pStyle w:val="TextBody"/>
        <w:bidi w:val="0"/>
        <w:spacing w:lineRule="auto" w:line="288" w:before="180" w:after="283"/>
        <w:ind w:left="0" w:right="0" w:firstLine="720"/>
        <w:jc w:val="left"/>
        <w:rPr/>
      </w:pPr>
      <w:r>
        <w:rPr>
          <w:rFonts w:ascii="Arial;sans-serif" w:hAnsi="Arial;sans-serif"/>
          <w:b w:val="false"/>
          <w:color w:val="000000"/>
          <w:sz w:val="20"/>
        </w:rPr>
        <w:t>Amounts reported in accumulated other comprehensive loss will be reclassified to other (expense) income, net as interest payments are accrued or paid, and upon remeasuring the intercompany loan. As of March 31, 2024, we estimate that $399</w:t>
      </w:r>
      <w:r>
        <w:rPr>
          <w:color w:val="EE2724"/>
        </w:rPr>
        <w:t xml:space="preserve"> </w:t>
      </w:r>
      <w:r>
        <w:rPr>
          <w:rFonts w:ascii="Arial;sans-serif" w:hAnsi="Arial;sans-serif"/>
          <w:b w:val="false"/>
          <w:color w:val="000000"/>
          <w:sz w:val="20"/>
        </w:rPr>
        <w:t>of income will be reclassified from accumulated other comprehensive loss to interest expense, net during the twelve months ending March 31, 2025.</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bidi w:val="0"/>
        <w:spacing w:lineRule="auto" w:line="288" w:before="180" w:after="283"/>
        <w:ind w:left="0" w:right="0" w:firstLine="720"/>
        <w:jc w:val="left"/>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w:t>
      </w:r>
      <w:r>
        <w:rPr>
          <w:color w:val="EE2724"/>
        </w:rPr>
        <w:t xml:space="preserve"> </w:t>
      </w:r>
      <w:r>
        <w:rPr>
          <w:rFonts w:ascii="Arial;sans-serif" w:hAnsi="Arial;sans-serif"/>
          <w:b w:val="false"/>
          <w:color w:val="000000"/>
          <w:sz w:val="20"/>
        </w:rPr>
        <w:t>that have the Euro as their functional currency. Amounts reported in accumulated other comprehensive loss are recognized as a component of our cumulative translation adjustment.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2024, we have one intercompany loan designated as a net investment hedge with a total notional amount of $315,002 that matures in May 2028.</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not apply hedge accounting for all other currency forward and option contracts. During the three and nine months ended March 31, 2024 and 2023, we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2024,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 </w:t>
      </w:r>
    </w:p>
    <w:tbl>
      <w:tblPr>
        <w:tblW w:w="10205" w:type="dxa"/>
        <w:jc w:val="left"/>
        <w:tblInd w:w="0" w:type="dxa"/>
        <w:tblLayout w:type="fixed"/>
        <w:tblCellMar>
          <w:top w:w="28" w:type="dxa"/>
          <w:left w:w="28" w:type="dxa"/>
          <w:bottom w:w="28" w:type="dxa"/>
          <w:right w:w="28" w:type="dxa"/>
        </w:tblCellMar>
      </w:tblPr>
      <w:tblGrid>
        <w:gridCol w:w="513"/>
        <w:gridCol w:w="435"/>
        <w:gridCol w:w="439"/>
        <w:gridCol w:w="109"/>
        <w:gridCol w:w="109"/>
        <w:gridCol w:w="109"/>
        <w:gridCol w:w="785"/>
        <w:gridCol w:w="785"/>
        <w:gridCol w:w="789"/>
        <w:gridCol w:w="109"/>
        <w:gridCol w:w="109"/>
        <w:gridCol w:w="109"/>
        <w:gridCol w:w="853"/>
        <w:gridCol w:w="853"/>
        <w:gridCol w:w="857"/>
        <w:gridCol w:w="109"/>
        <w:gridCol w:w="109"/>
        <w:gridCol w:w="109"/>
        <w:gridCol w:w="600"/>
        <w:gridCol w:w="600"/>
        <w:gridCol w:w="602"/>
        <w:gridCol w:w="109"/>
        <w:gridCol w:w="109"/>
        <w:gridCol w:w="109"/>
        <w:gridCol w:w="227"/>
        <w:gridCol w:w="227"/>
        <w:gridCol w:w="332"/>
      </w:tblGrid>
      <w:tr>
        <w:trPr/>
        <w:tc>
          <w:tcPr>
            <w:tcW w:w="5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2022 through 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Financial Instrument Presentation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March 31, 2024 and June 30, 2023. Our derivative asset and liability balances fluctuate with interest rate and currency exchange rate volatility. </w:t>
      </w:r>
    </w:p>
    <w:tbl>
      <w:tblPr>
        <w:tblW w:w="10463" w:type="dxa"/>
        <w:jc w:val="center"/>
        <w:tblInd w:w="0" w:type="dxa"/>
        <w:tblLayout w:type="fixed"/>
        <w:tblCellMar>
          <w:top w:w="28" w:type="dxa"/>
          <w:left w:w="28" w:type="dxa"/>
          <w:bottom w:w="28" w:type="dxa"/>
          <w:right w:w="28" w:type="dxa"/>
        </w:tblCellMar>
      </w:tblPr>
      <w:tblGrid>
        <w:gridCol w:w="678"/>
        <w:gridCol w:w="306"/>
        <w:gridCol w:w="307"/>
        <w:gridCol w:w="220"/>
        <w:gridCol w:w="205"/>
        <w:gridCol w:w="206"/>
        <w:gridCol w:w="109"/>
        <w:gridCol w:w="109"/>
        <w:gridCol w:w="109"/>
        <w:gridCol w:w="196"/>
        <w:gridCol w:w="646"/>
        <w:gridCol w:w="109"/>
        <w:gridCol w:w="109"/>
        <w:gridCol w:w="109"/>
        <w:gridCol w:w="109"/>
        <w:gridCol w:w="196"/>
        <w:gridCol w:w="626"/>
        <w:gridCol w:w="109"/>
        <w:gridCol w:w="109"/>
        <w:gridCol w:w="109"/>
        <w:gridCol w:w="109"/>
        <w:gridCol w:w="196"/>
        <w:gridCol w:w="646"/>
        <w:gridCol w:w="109"/>
        <w:gridCol w:w="109"/>
        <w:gridCol w:w="109"/>
        <w:gridCol w:w="109"/>
        <w:gridCol w:w="280"/>
        <w:gridCol w:w="205"/>
        <w:gridCol w:w="206"/>
        <w:gridCol w:w="109"/>
        <w:gridCol w:w="109"/>
        <w:gridCol w:w="109"/>
        <w:gridCol w:w="196"/>
        <w:gridCol w:w="571"/>
        <w:gridCol w:w="109"/>
        <w:gridCol w:w="109"/>
        <w:gridCol w:w="109"/>
        <w:gridCol w:w="109"/>
        <w:gridCol w:w="251"/>
        <w:gridCol w:w="539"/>
        <w:gridCol w:w="141"/>
        <w:gridCol w:w="109"/>
        <w:gridCol w:w="109"/>
        <w:gridCol w:w="109"/>
        <w:gridCol w:w="196"/>
        <w:gridCol w:w="57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463" w:type="dxa"/>
        <w:jc w:val="center"/>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280"/>
        <w:gridCol w:w="205"/>
        <w:gridCol w:w="206"/>
        <w:gridCol w:w="109"/>
        <w:gridCol w:w="109"/>
        <w:gridCol w:w="109"/>
        <w:gridCol w:w="196"/>
        <w:gridCol w:w="571"/>
        <w:gridCol w:w="109"/>
        <w:gridCol w:w="109"/>
        <w:gridCol w:w="109"/>
        <w:gridCol w:w="109"/>
        <w:gridCol w:w="211"/>
        <w:gridCol w:w="601"/>
        <w:gridCol w:w="119"/>
        <w:gridCol w:w="109"/>
        <w:gridCol w:w="109"/>
        <w:gridCol w:w="109"/>
        <w:gridCol w:w="196"/>
        <w:gridCol w:w="5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loss, net of tax, for the three and nine months ended March 31, 2024 and 2023:</w:t>
      </w:r>
    </w:p>
    <w:tbl>
      <w:tblPr>
        <w:tblW w:w="9442" w:type="dxa"/>
        <w:jc w:val="left"/>
        <w:tblInd w:w="0" w:type="dxa"/>
        <w:tblLayout w:type="fixed"/>
        <w:tblCellMar>
          <w:top w:w="28" w:type="dxa"/>
          <w:left w:w="28" w:type="dxa"/>
          <w:bottom w:w="28" w:type="dxa"/>
          <w:right w:w="28" w:type="dxa"/>
        </w:tblCellMar>
      </w:tblPr>
      <w:tblGrid>
        <w:gridCol w:w="1522"/>
        <w:gridCol w:w="1337"/>
        <w:gridCol w:w="1340"/>
        <w:gridCol w:w="211"/>
        <w:gridCol w:w="721"/>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three and nine months ended March 31, 2024 and 2023:</w:t>
      </w:r>
    </w:p>
    <w:tbl>
      <w:tblPr>
        <w:tblW w:w="10205" w:type="dxa"/>
        <w:jc w:val="left"/>
        <w:tblInd w:w="0" w:type="dxa"/>
        <w:tblLayout w:type="fixed"/>
        <w:tblCellMar>
          <w:top w:w="28" w:type="dxa"/>
          <w:left w:w="28" w:type="dxa"/>
          <w:bottom w:w="28" w:type="dxa"/>
          <w:right w:w="28" w:type="dxa"/>
        </w:tblCellMar>
      </w:tblPr>
      <w:tblGrid>
        <w:gridCol w:w="875"/>
        <w:gridCol w:w="646"/>
        <w:gridCol w:w="647"/>
        <w:gridCol w:w="230"/>
        <w:gridCol w:w="714"/>
        <w:gridCol w:w="118"/>
        <w:gridCol w:w="118"/>
        <w:gridCol w:w="118"/>
        <w:gridCol w:w="118"/>
        <w:gridCol w:w="230"/>
        <w:gridCol w:w="714"/>
        <w:gridCol w:w="118"/>
        <w:gridCol w:w="118"/>
        <w:gridCol w:w="118"/>
        <w:gridCol w:w="118"/>
        <w:gridCol w:w="230"/>
        <w:gridCol w:w="714"/>
        <w:gridCol w:w="118"/>
        <w:gridCol w:w="118"/>
        <w:gridCol w:w="118"/>
        <w:gridCol w:w="118"/>
        <w:gridCol w:w="230"/>
        <w:gridCol w:w="714"/>
        <w:gridCol w:w="118"/>
        <w:gridCol w:w="1105"/>
        <w:gridCol w:w="109"/>
        <w:gridCol w:w="473"/>
        <w:gridCol w:w="423"/>
        <w:gridCol w:w="617"/>
      </w:tblGrid>
      <w:tr>
        <w:trPr/>
        <w:tc>
          <w:tcPr>
            <w:tcW w:w="87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105"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622" w:type="dxa"/>
            <w:gridSpan w:val="4"/>
            <w:tcBorders/>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1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4"/>
            <w:tcBorders/>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(expense) income, net</w:t>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(loss) before income taxes</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three and nine months ended March 31, 2024 and 2023 for derivative instruments for which we did not elect hedge accounting.</w:t>
      </w:r>
    </w:p>
    <w:tbl>
      <w:tblPr>
        <w:tblW w:w="10205" w:type="dxa"/>
        <w:jc w:val="left"/>
        <w:tblInd w:w="0" w:type="dxa"/>
        <w:tblLayout w:type="fixed"/>
        <w:tblCellMar>
          <w:top w:w="28" w:type="dxa"/>
          <w:left w:w="28" w:type="dxa"/>
          <w:bottom w:w="28" w:type="dxa"/>
          <w:right w:w="28" w:type="dxa"/>
        </w:tblCellMar>
      </w:tblPr>
      <w:tblGrid>
        <w:gridCol w:w="569"/>
        <w:gridCol w:w="500"/>
        <w:gridCol w:w="503"/>
        <w:gridCol w:w="211"/>
        <w:gridCol w:w="616"/>
        <w:gridCol w:w="109"/>
        <w:gridCol w:w="109"/>
        <w:gridCol w:w="109"/>
        <w:gridCol w:w="109"/>
        <w:gridCol w:w="211"/>
        <w:gridCol w:w="685"/>
        <w:gridCol w:w="109"/>
        <w:gridCol w:w="109"/>
        <w:gridCol w:w="109"/>
        <w:gridCol w:w="109"/>
        <w:gridCol w:w="211"/>
        <w:gridCol w:w="616"/>
        <w:gridCol w:w="109"/>
        <w:gridCol w:w="109"/>
        <w:gridCol w:w="109"/>
        <w:gridCol w:w="109"/>
        <w:gridCol w:w="211"/>
        <w:gridCol w:w="616"/>
        <w:gridCol w:w="109"/>
        <w:gridCol w:w="1609"/>
        <w:gridCol w:w="109"/>
        <w:gridCol w:w="620"/>
        <w:gridCol w:w="620"/>
        <w:gridCol w:w="881"/>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Amount of Gain (Loss) Recognized in Net Income (Loss)</w:t>
            </w:r>
          </w:p>
        </w:tc>
        <w:tc>
          <w:tcPr>
            <w:tcW w:w="1609"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2230" w:type="dxa"/>
            <w:gridSpan w:val="4"/>
            <w:tcBorders/>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6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4"/>
            <w:tcBorders/>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(expense) income, net</w:t>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5. Accumulated Other Comprehensive Loss</w:t>
      </w:r>
    </w:p>
    <w:p>
      <w:pPr>
        <w:pStyle w:val="TextBody"/>
        <w:bidi w:val="0"/>
        <w:spacing w:lineRule="auto" w:line="288" w:before="220" w:after="283"/>
        <w:ind w:left="0" w:right="0" w:firstLine="720"/>
        <w:jc w:val="left"/>
        <w:rPr/>
      </w:pPr>
      <w:r>
        <w:rPr>
          <w:rFonts w:ascii="Arial;sans-serif" w:hAnsi="Arial;sans-serif"/>
          <w:b w:val="false"/>
          <w:color w:val="000000"/>
          <w:sz w:val="20"/>
        </w:rPr>
        <w:t>The following table presents a roll forward of amounts recognized in accumulated other comprehensive loss by component, net of tax of</w:t>
      </w:r>
      <w:r>
        <w:rPr>
          <w:color w:val="EE2724"/>
        </w:rPr>
        <w:t xml:space="preserve"> </w:t>
      </w:r>
      <w:r>
        <w:rPr>
          <w:rFonts w:ascii="Arial;sans-serif" w:hAnsi="Arial;sans-serif"/>
          <w:b w:val="false"/>
          <w:color w:val="000000"/>
          <w:sz w:val="20"/>
        </w:rPr>
        <w:t>$2,572 for the nine months ended March 31, 2024</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81"/>
        <w:gridCol w:w="978"/>
        <w:gridCol w:w="972"/>
        <w:gridCol w:w="282"/>
        <w:gridCol w:w="965"/>
        <w:gridCol w:w="145"/>
        <w:gridCol w:w="109"/>
        <w:gridCol w:w="109"/>
        <w:gridCol w:w="109"/>
        <w:gridCol w:w="109"/>
        <w:gridCol w:w="109"/>
        <w:gridCol w:w="348"/>
        <w:gridCol w:w="854"/>
        <w:gridCol w:w="179"/>
        <w:gridCol w:w="109"/>
        <w:gridCol w:w="109"/>
        <w:gridCol w:w="109"/>
        <w:gridCol w:w="323"/>
        <w:gridCol w:w="1183"/>
        <w:gridCol w:w="167"/>
        <w:gridCol w:w="109"/>
        <w:gridCol w:w="109"/>
        <w:gridCol w:w="109"/>
        <w:gridCol w:w="211"/>
        <w:gridCol w:w="757"/>
        <w:gridCol w:w="161"/>
      </w:tblGrid>
      <w:tr>
        <w:trPr/>
        <w:tc>
          <w:tcPr>
            <w:tcW w:w="148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Gains on cash flow hedges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Losses on pension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Other comprehensive income (loss) before reclassifications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current period other comprehensive loss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2024</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(51,438)</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(41,303)</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120" w:after="60"/>
        <w:ind w:left="0" w:right="0" w:hanging="270"/>
        <w:jc w:val="left"/>
        <w:rPr>
          <w:rFonts w:ascii="Arial;sans-serif" w:hAnsi="Arial;sans-serif"/>
          <w:b w:val="false"/>
          <w:color w:val="000000"/>
          <w:sz w:val="16"/>
        </w:rPr>
      </w:pPr>
      <w:r>
        <w:rPr>
          <w:rFonts w:ascii="Arial;sans-serif" w:hAnsi="Arial;sans-serif"/>
          <w:b w:val="false"/>
          <w:color w:val="000000"/>
          <w:sz w:val="16"/>
        </w:rPr>
        <w:t>(1) Gains on cash flow hedges include our interest rate swap and cross-currency swap contracts designated in cash flow hedging relationships.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As of March 31, 2024 and June 30, 2023, the translation adjustment is inclusive of both the realized and unrealized effects of our net investment hedges. Gains on currency forward and swap contracts designated as net investment hedges, net of tax, of $13,999 and $15,079 have been included in accumulated other comprehensive loss as of March 31, 2024 and June 30, 2023. Intercompany loan hedge gains, net of tax, of $38,184 and $32,516 have been included in accumulated other comprehensive loss as of March 31, 2024 and June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6. Goodwill</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March 31, 2024 and June 30, 2023 was as follows: </w:t>
      </w:r>
    </w:p>
    <w:tbl>
      <w:tblPr>
        <w:tblW w:w="10205" w:type="dxa"/>
        <w:jc w:val="left"/>
        <w:tblInd w:w="0" w:type="dxa"/>
        <w:tblLayout w:type="fixed"/>
        <w:tblCellMar>
          <w:top w:w="28" w:type="dxa"/>
          <w:left w:w="28" w:type="dxa"/>
          <w:bottom w:w="28" w:type="dxa"/>
          <w:right w:w="28" w:type="dxa"/>
        </w:tblCellMar>
      </w:tblPr>
      <w:tblGrid>
        <w:gridCol w:w="1107"/>
        <w:gridCol w:w="894"/>
        <w:gridCol w:w="89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1"/>
        <w:gridCol w:w="986"/>
        <w:gridCol w:w="129"/>
        <w:gridCol w:w="109"/>
        <w:gridCol w:w="109"/>
        <w:gridCol w:w="109"/>
        <w:gridCol w:w="211"/>
        <w:gridCol w:w="826"/>
        <w:gridCol w:w="157"/>
      </w:tblGrid>
      <w:tr>
        <w:trPr/>
        <w:tc>
          <w:tcPr>
            <w:tcW w:w="110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781,541 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779,263 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4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Related to goodwill held by subsidiaries whose functional currency is not the U.S. dollar.</w:t>
      </w:r>
    </w:p>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Other Balance Sheet Components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6879" w:type="dxa"/>
        <w:jc w:val="left"/>
        <w:tblInd w:w="0" w:type="dxa"/>
        <w:tblLayout w:type="fixed"/>
        <w:tblCellMar>
          <w:top w:w="28" w:type="dxa"/>
          <w:left w:w="28" w:type="dxa"/>
          <w:bottom w:w="28" w:type="dxa"/>
          <w:right w:w="28" w:type="dxa"/>
        </w:tblCellMar>
      </w:tblPr>
      <w:tblGrid>
        <w:gridCol w:w="1525"/>
        <w:gridCol w:w="1344"/>
        <w:gridCol w:w="1346"/>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and indirect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Advertising costs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 party manufacturing and digital content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payable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Shipping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costs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The increase in advertising accrued expenses is due in part to the timing of invoice receipts which has resulted in higher accruals at March 31, 2024, as compared to accounts payable at June 30, 2023.</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(2) The increase in interest payable as of March 31, 2024, is due to the interest on our 7.0% Senior Notes Due 2026 being payable semi-annually on June 15 and December 15 of each year. Refer to Note 8 for additional detail.</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(3) The decrease in restructuring costs included in accrued expenses as of March 31, 2024 is primarily due to severance payments made as a result of the cost reduction actions implemented during fiscal year 2023. Refer to Note 13 for additional details.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122" w:type="dxa"/>
        <w:jc w:val="left"/>
        <w:tblInd w:w="0" w:type="dxa"/>
        <w:tblLayout w:type="fixed"/>
        <w:tblCellMar>
          <w:top w:w="28" w:type="dxa"/>
          <w:left w:w="28" w:type="dxa"/>
          <w:bottom w:w="28" w:type="dxa"/>
          <w:right w:w="28" w:type="dxa"/>
        </w:tblCellMar>
      </w:tblPr>
      <w:tblGrid>
        <w:gridCol w:w="1315"/>
        <w:gridCol w:w="1155"/>
        <w:gridCol w:w="1159"/>
        <w:gridCol w:w="219"/>
        <w:gridCol w:w="748"/>
        <w:gridCol w:w="113"/>
        <w:gridCol w:w="109"/>
        <w:gridCol w:w="109"/>
        <w:gridCol w:w="109"/>
        <w:gridCol w:w="211"/>
        <w:gridCol w:w="72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derivative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6467" w:type="dxa"/>
        <w:jc w:val="center"/>
        <w:tblInd w:w="0" w:type="dxa"/>
        <w:tblLayout w:type="fixed"/>
        <w:tblCellMar>
          <w:top w:w="28" w:type="dxa"/>
          <w:left w:w="28" w:type="dxa"/>
          <w:bottom w:w="28" w:type="dxa"/>
          <w:right w:w="28" w:type="dxa"/>
        </w:tblCellMar>
      </w:tblPr>
      <w:tblGrid>
        <w:gridCol w:w="1440"/>
        <w:gridCol w:w="1265"/>
        <w:gridCol w:w="1269"/>
        <w:gridCol w:w="219"/>
        <w:gridCol w:w="748"/>
        <w:gridCol w:w="113"/>
        <w:gridCol w:w="109"/>
        <w:gridCol w:w="109"/>
        <w:gridCol w:w="109"/>
        <w:gridCol w:w="211"/>
        <w:gridCol w:w="7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160"/>
        <w:jc w:val="left"/>
        <w:rPr>
          <w:rFonts w:ascii="Arial;sans-serif" w:hAnsi="Arial;sans-serif"/>
          <w:b/>
          <w:color w:val="000000"/>
          <w:sz w:val="20"/>
        </w:rPr>
      </w:pPr>
      <w:r>
        <w:rPr>
          <w:rFonts w:ascii="Arial;sans-serif" w:hAnsi="Arial;sans-serif"/>
          <w:b/>
          <w:color w:val="000000"/>
          <w:sz w:val="20"/>
        </w:rPr>
        <w:t>8. Debt</w:t>
      </w:r>
    </w:p>
    <w:tbl>
      <w:tblPr>
        <w:tblW w:w="7704" w:type="dxa"/>
        <w:jc w:val="left"/>
        <w:tblInd w:w="0" w:type="dxa"/>
        <w:tblLayout w:type="fixed"/>
        <w:tblCellMar>
          <w:top w:w="28" w:type="dxa"/>
          <w:left w:w="28" w:type="dxa"/>
          <w:bottom w:w="28" w:type="dxa"/>
          <w:right w:w="28" w:type="dxa"/>
        </w:tblCellMar>
      </w:tblPr>
      <w:tblGrid>
        <w:gridCol w:w="1712"/>
        <w:gridCol w:w="1506"/>
        <w:gridCol w:w="1522"/>
        <w:gridCol w:w="211"/>
        <w:gridCol w:w="976"/>
        <w:gridCol w:w="109"/>
        <w:gridCol w:w="109"/>
        <w:gridCol w:w="109"/>
        <w:gridCol w:w="109"/>
        <w:gridCol w:w="211"/>
        <w:gridCol w:w="97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7.0% Senior Notes due 2026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discounts, net of debt premiums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1,627,243 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Balances as of March 31, 2024 and June 30, 2023 are inclusive of short-term debt issuance costs, debt premiums and discounts of $3,532 and $3,526, respectively.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March 31, 2024, we were in compliance with all covenants in our debt contracts, including those under our amended and restated senior secured credit agreement dated as of May 17, 2021 ("Restated Credit Agreement") and the indenture governing our 7.0% Senior Notes due 2026 ("2026 Notes").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bidi w:val="0"/>
        <w:spacing w:lineRule="auto" w:line="288" w:before="220" w:after="100"/>
        <w:ind w:left="0" w:right="0" w:firstLine="360"/>
        <w:jc w:val="left"/>
        <w:rPr>
          <w:rFonts w:ascii="Arial;sans-serif" w:hAnsi="Arial;sans-serif"/>
          <w:b w:val="false"/>
          <w:color w:val="000000"/>
          <w:sz w:val="20"/>
        </w:rPr>
      </w:pPr>
      <w:r>
        <w:rPr>
          <w:rFonts w:ascii="Arial;sans-serif" w:hAnsi="Arial;sans-serif"/>
          <w:b w:val="false"/>
          <w:color w:val="000000"/>
          <w:sz w:val="20"/>
        </w:rPr>
        <w:t>Our Restated Credit Agreement consists of the following:</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senior secured Term Loan B with a maturity date of May 17, 2028 (the “Term Loan B”), consisting of the following outstanding borrowings at March 31, 2024: </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$773,138 tranche that bears interest at Term SOFR plus the Term SOFR Adjustment as defined by our Restated Credit Agreement (with an Adjusted Term SOFR rate floor of 0.50%) plus 3.50%, and </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€291,750 (U.S. dollar equivalent of $315,002) tranche that currently bears interest at EURIBOR (with a EURIBOR floor of 0%) plus 3.50%; and </w:t>
      </w:r>
    </w:p>
    <w:p>
      <w:pPr>
        <w:pStyle w:val="TextBody"/>
        <w:bidi w:val="0"/>
        <w:spacing w:lineRule="auto" w:line="268" w:before="60" w:after="240"/>
        <w:ind w:left="0" w:right="0" w:hanging="360"/>
        <w:jc w:val="left"/>
        <w:rPr/>
      </w:pPr>
      <w:r>
        <w:rPr>
          <w:color w:val="000000"/>
        </w:rPr>
        <w:t>•</w:t>
      </w:r>
      <w:r>
        <w:rPr>
          <w:rFonts w:ascii="Arial;sans-serif" w:hAnsi="Arial;sans-serif"/>
          <w:b w:val="false"/>
          <w:color w:val="000000"/>
          <w:sz w:val="20"/>
        </w:rPr>
        <w:t>A $250,000 senior secured revolving credit facility with a maturity date of May 17, 2026 (the “Revolving Credit Facility”), with no outstanding borrowings for any periods presented. Borrowings under the Revolving Credit Facility bear interest at Term SOFR plus the Term SOFR Adjustment as defined by our Restated Credit Agreement (with an Adjusted Term SOFR rate floor of 0%) plus 2.50% to 3.00% depending on the Company’s First Lien Leverage Ratio, a net leverage calculation, as defined in the Restated Credit Agreement. We have no outstanding borrowings under our Revolving Credit Facility as of March 31, 2024.</w:t>
      </w:r>
    </w:p>
    <w:p>
      <w:pPr>
        <w:pStyle w:val="TextBody"/>
        <w:bidi w:val="0"/>
        <w:spacing w:lineRule="auto" w:line="268" w:before="60" w:after="240"/>
        <w:ind w:left="0" w:right="0" w:firstLine="720"/>
        <w:jc w:val="left"/>
        <w:rPr>
          <w:rFonts w:ascii="Arial;sans-serif" w:hAnsi="Arial;sans-serif"/>
          <w:b w:val="false"/>
          <w:color w:val="000000"/>
          <w:sz w:val="20"/>
        </w:rPr>
      </w:pPr>
      <w:r>
        <w:rPr>
          <w:rFonts w:ascii="Arial;sans-serif" w:hAnsi="Arial;sans-serif"/>
          <w:b w:val="false"/>
          <w:color w:val="000000"/>
          <w:sz w:val="20"/>
        </w:rPr>
        <w:t>The LIBOR sunset occurred on June 30, 2023, and under the terms of our Restated Credit Agreement, our benchmark rate transitioned to Term SOFR.</w:t>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 </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2024, the weighted-average interest rate on outstanding borrowings under the Restated Credit Agreement was 7.89%,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w:t>
      </w:r>
    </w:p>
    <w:p>
      <w:pPr>
        <w:pStyle w:val="TextBody"/>
        <w:bidi w:val="0"/>
        <w:spacing w:lineRule="auto" w:line="288" w:before="180" w:after="100"/>
        <w:jc w:val="left"/>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2024, we have $522,135 in aggregate principal outstanding of our 2026 Notes, which are unsecured. We can redeem some or all of the 2026 Notes at the redemption prices specified in the indenture that governs the 2026 Notes, plus accrued and unpaid interest to, but not including,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March 31, 2024, we purchased an aggregate principal amount of $26,165 for a purchase price of $24,471, as well as the related settlement of unpaid interest, and we recognized gains on the extinguishment of debt of $1,721.</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Other Debt</w:t>
      </w:r>
    </w:p>
    <w:p>
      <w:pPr>
        <w:pStyle w:val="TextBody"/>
        <w:bidi w:val="0"/>
        <w:spacing w:lineRule="auto" w:line="288" w:before="220" w:after="180"/>
        <w:ind w:left="0" w:right="0" w:firstLine="720"/>
        <w:jc w:val="left"/>
        <w:rPr/>
      </w:pPr>
      <w:r>
        <w:rPr>
          <w:rFonts w:ascii="Arial;sans-serif" w:hAnsi="Arial;sans-serif"/>
          <w:b w:val="false"/>
          <w:color w:val="000000"/>
          <w:sz w:val="20"/>
        </w:rPr>
        <w:t>Other debt consists primarily of term loans acquired through our various acquisitions or used to fund certain capital investments. As of March 31, 2024 and June 30, 2023, we had $4,762</w:t>
      </w:r>
      <w:r>
        <w:rPr>
          <w:color w:val="EE2724"/>
        </w:rPr>
        <w:t xml:space="preserve"> </w:t>
      </w:r>
      <w:r>
        <w:rPr>
          <w:rFonts w:ascii="Arial;sans-serif" w:hAnsi="Arial;sans-serif"/>
          <w:b w:val="false"/>
          <w:color w:val="000000"/>
          <w:sz w:val="20"/>
        </w:rPr>
        <w:t>and $7,076, respectively, outstanding for those obligations that are payable through September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00"/>
        <w:jc w:val="left"/>
        <w:rPr/>
      </w:pPr>
      <w:r>
        <w:rPr>
          <w:rFonts w:ascii="Arial;sans-serif" w:hAnsi="Arial;sans-serif"/>
          <w:b/>
          <w:color w:val="000000"/>
          <w:sz w:val="20"/>
        </w:rPr>
        <w:t>9. Income Taxes</w:t>
      </w:r>
      <w:r>
        <w:rPr>
          <w:color w:val="000000"/>
        </w:rPr>
        <w:t xml:space="preserve">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income tax expense was $10,610 and $35,527 for the three and nine months ended March 31, 2024, respectively, as compared to $8,475 and $143,969 for the three and nine months ended March 31, 2023, respectively. Tax expense increased for the three months as compared to the prior period primarily due to increased profits. Tax expense decreased for the nine months as compared to the prior period due to the full valuation allowance that was recorded in the second quarter of fiscal year 2023 on Swiss deferred tax assets of $116,694 primarily related to Swiss tax reform benefits recognized in fiscal year 2020 and tax loss carryforwards. This was partially offset by increased tax on increased profits. Excluding the effect of discrete tax adjustments, our estimated annual effective tax rate is higher for fiscal year 2024 than for fiscal year 2023 primarily due to forecasted pre-tax profits in fiscal year 2024 as compared to a pre-tax loss in fiscal year 2023. Our effective tax rate continues to be negatively impacted by losses in certain jurisdictions where we are unable to recognize a tax benefit in the current period. We continuously analyze our valuation allowance positions and the weight of objective and verifiable evidence of actual results against the more subjective evidence of anticipated future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Given our current earnings and anticipated future earnings, we believe there is a reasonable possibility that within the next 12 months, sufficient positive evidence may become available to allow us to reach a conclusion that a significant portion of our valuation allowance will no longer be needed. A release of the valuation allowance would result in the recognition of certain deferred tax assets and a decrease to income tax expense in the period the release is recorded. However, the timing and amount of the valuation allowance release, if any, are unknown as this is subject to change on the basis of the level of profitability that we are able to actually achieve in future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2024 we had unrecognized tax benefits of $16,374, including accrued interest and penalties of $2,087. We recognize interest and, if applicable, penalties related to unrecognized tax benefits in the provision for income taxes. If recognized, $7,267 of unrecognized tax benefits would reduce our tax expense. It is reasonably possible that a reduction in unrecognized tax benefits may occur within the next twelve months in the range of $1,300 to $1,400 related to the lapse of applicable statutes of limitations or settlement. We believe we have appropriately provided for all tax uncertainties.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conduct business in a number of tax jurisdictions and, as such, are required to file income tax returns in multiple jurisdictions globally. The years 2014 through 2023 remain open for examination by the U.S. Internal Revenue Service and the years 2015 through 2023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10. Noncontrolling Interests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Redeemable Noncontrolling Interests</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These noncontrolling interests span multiple businesses and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10205" w:type="dxa"/>
        <w:jc w:val="left"/>
        <w:tblInd w:w="0" w:type="dxa"/>
        <w:tblLayout w:type="fixed"/>
        <w:tblCellMar>
          <w:top w:w="28" w:type="dxa"/>
          <w:left w:w="28" w:type="dxa"/>
          <w:bottom w:w="28" w:type="dxa"/>
          <w:right w:w="28" w:type="dxa"/>
        </w:tblCellMar>
      </w:tblPr>
      <w:tblGrid>
        <w:gridCol w:w="2371"/>
        <w:gridCol w:w="1974"/>
        <w:gridCol w:w="1989"/>
        <w:gridCol w:w="417"/>
        <w:gridCol w:w="1426"/>
        <w:gridCol w:w="215"/>
        <w:gridCol w:w="109"/>
        <w:gridCol w:w="109"/>
        <w:gridCol w:w="109"/>
        <w:gridCol w:w="375"/>
        <w:gridCol w:w="832"/>
        <w:gridCol w:w="279"/>
      </w:tblGrid>
      <w:tr>
        <w:trPr/>
        <w:tc>
          <w:tcPr>
            <w:tcW w:w="237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recognized in retained earnings (1)</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recognized in net income attributable to noncontrolling interests (1)</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to noncontrolling interests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2024</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11. Segment Information</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2024, we have numerous operating segments under our management reporting structure which are reported in the following five reportable segments: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Vista - </w:t>
      </w:r>
      <w:r>
        <w:rPr>
          <w:rFonts w:ascii="Arial;sans-serif" w:hAnsi="Arial;sans-serif"/>
          <w:b w:val="false"/>
          <w:color w:val="000000"/>
          <w:sz w:val="20"/>
        </w:rPr>
        <w:t>Vista is the parent brand of multiple offerings including VistaPrint, VistaCreate, 99designs by Vista, Vista Corporate Solutions, and Depositphotos, which together represent a full-service design, digital, and print solution.</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druck.at, Printdeal, and WIRmachenDRUCK, a group of Upload &amp; Print businesses that serve graphic professionals throughout Europe, primarily in Austria, Belgium, Germany, the Netherlands, and Switzerland.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xml:space="preserve">- Includes the results of Easyflyer, Exaprint, Packstyle, Pixartprinting, and Tradeprint, a group of Upload &amp; Print businesses that serve graphic professionals throughout Europe, primarily in France, Italy, Spain, and the United Kingdom.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Includes the global operations of our National Pen business, which manufactures and markets custom writing instruments and promotional products, apparel and gifts.</w:t>
      </w:r>
    </w:p>
    <w:p>
      <w:pPr>
        <w:pStyle w:val="TextBody"/>
        <w:bidi w:val="0"/>
        <w:spacing w:lineRule="auto" w:line="288" w:before="220" w:after="60"/>
        <w:ind w:left="0" w:right="0" w:hanging="360"/>
        <w:jc w:val="left"/>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Includes two businesses grouped together based on materiality.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BuildASign is a provider of canvas-print wall décor, business signage and other large-format printed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Printi, a smaller business that we continue to manage at a relatively modest operating loss, is an online printing leader in Brazil.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value measurement of the PSUs and the accelerated expense profile of the awards is recognized within central and corporate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tbl>
      <w:tblPr>
        <w:tblW w:w="8678" w:type="dxa"/>
        <w:jc w:val="center"/>
        <w:tblInd w:w="0" w:type="dxa"/>
        <w:tblLayout w:type="fixed"/>
        <w:tblCellMar>
          <w:top w:w="28" w:type="dxa"/>
          <w:left w:w="28" w:type="dxa"/>
          <w:bottom w:w="28" w:type="dxa"/>
          <w:right w:w="28" w:type="dxa"/>
        </w:tblCellMar>
      </w:tblPr>
      <w:tblGrid>
        <w:gridCol w:w="921"/>
        <w:gridCol w:w="809"/>
        <w:gridCol w:w="8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56" w:before="0" w:after="60"/>
        <w:ind w:left="0" w:right="0" w:hanging="270"/>
        <w:jc w:val="left"/>
        <w:rPr>
          <w:rFonts w:ascii="Arial;sans-serif" w:hAnsi="Arial;sans-serif"/>
          <w:b w:val="false"/>
          <w:color w:val="000000"/>
          <w:sz w:val="16"/>
        </w:rPr>
      </w:pPr>
      <w:r>
        <w:rPr>
          <w:rFonts w:ascii="Arial;sans-serif" w:hAnsi="Arial;sans-serif"/>
          <w:b w:val="false"/>
          <w:color w:val="000000"/>
          <w:sz w:val="16"/>
        </w:rPr>
        <w:t>(1) Refer to the "Revenue by Geographic Region" tables below for detail of the inter-segment revenue within each respective segment.</w:t>
      </w:r>
    </w:p>
    <w:tbl>
      <w:tblPr>
        <w:tblW w:w="10205" w:type="dxa"/>
        <w:jc w:val="center"/>
        <w:tblInd w:w="0" w:type="dxa"/>
        <w:tblLayout w:type="fixed"/>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2024</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363,393 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794,533 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85,532 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780,588 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2024</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2,497,417 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2,459,245 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270"/>
        <w:jc w:val="left"/>
        <w:rPr/>
      </w:pPr>
      <w:r>
        <w:rPr/>
      </w:r>
    </w:p>
    <w:tbl>
      <w:tblPr>
        <w:tblW w:w="10205" w:type="dxa"/>
        <w:jc w:val="center"/>
        <w:tblInd w:w="0" w:type="dxa"/>
        <w:tblLayout w:type="fixed"/>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2023</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(1)</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2023</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(1)</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68" w:before="0" w:after="180"/>
        <w:ind w:left="0" w:right="0" w:hanging="270"/>
        <w:jc w:val="left"/>
        <w:rPr>
          <w:rFonts w:ascii="Arial;sans-serif" w:hAnsi="Arial;sans-serif"/>
          <w:b w:val="false"/>
          <w:color w:val="000000"/>
          <w:sz w:val="16"/>
        </w:rPr>
      </w:pPr>
      <w:r>
        <w:rPr>
          <w:rFonts w:ascii="Arial;sans-serif" w:hAnsi="Arial;sans-serif"/>
          <w:b w:val="false"/>
          <w:color w:val="000000"/>
          <w:sz w:val="16"/>
        </w:rPr>
        <w:t>(1) During fiscal year 2023, we identified an immaterial error in our previously disclosed revenue by geographic area for our Vista reportable segment for the three and nine months ended March 31, 2023, which understated revenue in North America and Europe, with an offsetting overstatement in the Other geographies. We have corrected the disclosed figures as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segment EBITDA by reportable segment, total income (loss) from operations and total income (loss) before income taxes:</w:t>
      </w:r>
    </w:p>
    <w:tbl>
      <w:tblPr>
        <w:tblW w:w="9367" w:type="dxa"/>
        <w:jc w:val="center"/>
        <w:tblInd w:w="0" w:type="dxa"/>
        <w:tblLayout w:type="fixed"/>
        <w:tblCellMar>
          <w:top w:w="28" w:type="dxa"/>
          <w:left w:w="28" w:type="dxa"/>
          <w:bottom w:w="28" w:type="dxa"/>
          <w:right w:w="28" w:type="dxa"/>
        </w:tblCellMar>
      </w:tblPr>
      <w:tblGrid>
        <w:gridCol w:w="1332"/>
        <w:gridCol w:w="1167"/>
        <w:gridCol w:w="1175"/>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09"/>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Certain impairments and other adjustments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440"/>
        <w:jc w:val="left"/>
        <w:rPr/>
      </w:pPr>
      <w:r>
        <w:rPr/>
      </w:r>
    </w:p>
    <w:tbl>
      <w:tblPr>
        <w:tblW w:w="8618" w:type="dxa"/>
        <w:jc w:val="left"/>
        <w:tblInd w:w="0" w:type="dxa"/>
        <w:tblLayout w:type="fixed"/>
        <w:tblCellMar>
          <w:top w:w="28" w:type="dxa"/>
          <w:left w:w="28" w:type="dxa"/>
          <w:bottom w:w="28" w:type="dxa"/>
          <w:right w:w="28" w:type="dxa"/>
        </w:tblCellMar>
      </w:tblPr>
      <w:tblGrid>
        <w:gridCol w:w="1086"/>
        <w:gridCol w:w="956"/>
        <w:gridCol w:w="95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tbl>
      <w:tblPr>
        <w:tblW w:w="9517" w:type="dxa"/>
        <w:jc w:val="center"/>
        <w:tblInd w:w="0" w:type="dxa"/>
        <w:tblLayout w:type="fixed"/>
        <w:tblCellMar>
          <w:top w:w="28" w:type="dxa"/>
          <w:left w:w="28" w:type="dxa"/>
          <w:bottom w:w="28" w:type="dxa"/>
          <w:right w:w="28" w:type="dxa"/>
        </w:tblCellMar>
      </w:tblPr>
      <w:tblGrid>
        <w:gridCol w:w="1488"/>
        <w:gridCol w:w="1306"/>
        <w:gridCol w:w="13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5"/>
        <w:gridCol w:w="1528"/>
        <w:gridCol w:w="15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539" w:type="dxa"/>
        <w:jc w:val="left"/>
        <w:tblInd w:w="0" w:type="dxa"/>
        <w:tblLayout w:type="fixed"/>
        <w:tblCellMar>
          <w:top w:w="28" w:type="dxa"/>
          <w:left w:w="28" w:type="dxa"/>
          <w:bottom w:w="28" w:type="dxa"/>
          <w:right w:w="28" w:type="dxa"/>
        </w:tblCellMar>
      </w:tblPr>
      <w:tblGrid>
        <w:gridCol w:w="679"/>
        <w:gridCol w:w="596"/>
        <w:gridCol w:w="600"/>
        <w:gridCol w:w="211"/>
        <w:gridCol w:w="826"/>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United States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Jamaica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Excludes goodwill of $779,263 and $781,541, intangible assets, net of $83,235 and $109,196, deferred tax assets of $9,435 and $12,740 as of March 31, 2024 and June 30, 2023, respectively, as well as marketable securities, non-current of $4,497 as of June 30, 2023.</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(2) The decrease in the United States long-lived assets is due to the reclassification of a tax receivable from non-current to current during the current fiscal year. </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(3) The decrease in Jamaica's long-lived assets is due to the planned sale of an owned customer service facility as we continue to optimize our real estate footprint with many of these team members operating under a remote-first model, which resulted in the classification of the related assets as held-for-sale as of March 31, 2024. The assets are now presented as part of prepaid expenses and other current assets in the consolidated balance sheet. Refer to Note 2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At March 31, 2024, we had unrecorded commitments under contract of $184,433, including inventory, third-party fulfillment and digital service purchase commitments of $85,846; third-party cloud services of $55,945; software of $14,243; advertising of $2,861; professional and consulting fees of $4,501; production and computer equipment purchases of $2,494; and other unrecorded purchase commitments of $18,543.</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220" w:after="180"/>
        <w:ind w:left="0" w:right="0" w:firstLine="720"/>
        <w:jc w:val="left"/>
        <w:rPr>
          <w:rFonts w:ascii="Arial;sans-serif" w:hAnsi="Arial;sans-serif"/>
          <w:b w:val="false"/>
          <w:color w:val="000000"/>
          <w:sz w:val="20"/>
        </w:rPr>
      </w:pPr>
      <w:r>
        <w:rPr>
          <w:rFonts w:ascii="Arial;sans-serif" w:hAnsi="Arial;sans-serif"/>
          <w:b w:val="false"/>
          <w:color w:val="000000"/>
          <w:sz w:val="20"/>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During the three and nine months ended March 31, 2024, we recognized restructuring expense of $128</w:t>
      </w:r>
      <w:r>
        <w:rPr>
          <w:color w:val="EE2724"/>
        </w:rPr>
        <w:t xml:space="preserve"> </w:t>
      </w:r>
      <w:r>
        <w:rPr>
          <w:rFonts w:ascii="Arial;sans-serif" w:hAnsi="Arial;sans-serif"/>
          <w:b w:val="false"/>
          <w:color w:val="000000"/>
          <w:sz w:val="20"/>
        </w:rPr>
        <w:t>and</w:t>
      </w:r>
      <w:r>
        <w:rPr>
          <w:color w:val="EE2724"/>
        </w:rPr>
        <w:t xml:space="preserve"> </w:t>
      </w:r>
      <w:r>
        <w:rPr>
          <w:rFonts w:ascii="Arial;sans-serif" w:hAnsi="Arial;sans-serif"/>
          <w:b w:val="false"/>
          <w:color w:val="000000"/>
          <w:sz w:val="20"/>
        </w:rPr>
        <w:t>$277, respectively. The restructuring charges recognized in the current period primarily include adjustments made to the previously estimated restructuring expense for actions taken in our Vista and National Pen reportable segments. We do not expect any additional material charges for these restructuring 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and nine months ended March 31, 2023, we recognized restructuring expense of $30,115 and $43,142, respectively. For the three and nine months ended March 31, 2023, we recognized restructuring charges in our Vista business of $20,406 and $29,128, and in our central and corporate costs of $9,075 and $9,330, respectively. These charges were related to actions taken during March 2023 that were intended to reduce costs and support expanded profitability, reduced leverage, and increased speed, focus and accountability.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also recognized restructuring charges in our National Pen business for the three and nine months ended March 31, 2023 in the amounts of $639 and $1,127, respectively, which included employee termination benefits for actions to exit the Japanese market and to migrate our European production operations from Ireland to the Czech Republic.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Additionally, we recognized restructuring costs of $3,556 for the nine months ended March 31, 2023 within our All Other Businesses reportable segment, which included losses related to the sale of our Chinese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restructuring activity during the nine months ended March 31, 2024.</w:t>
      </w:r>
    </w:p>
    <w:tbl>
      <w:tblPr>
        <w:tblW w:w="9291" w:type="dxa"/>
        <w:jc w:val="left"/>
        <w:tblInd w:w="0" w:type="dxa"/>
        <w:tblLayout w:type="fixed"/>
        <w:tblCellMar>
          <w:top w:w="28" w:type="dxa"/>
          <w:left w:w="28" w:type="dxa"/>
          <w:bottom w:w="28" w:type="dxa"/>
          <w:right w:w="28" w:type="dxa"/>
        </w:tblCellMar>
      </w:tblPr>
      <w:tblGrid>
        <w:gridCol w:w="922"/>
        <w:gridCol w:w="811"/>
        <w:gridCol w:w="817"/>
        <w:gridCol w:w="483"/>
        <w:gridCol w:w="1412"/>
        <w:gridCol w:w="249"/>
        <w:gridCol w:w="109"/>
        <w:gridCol w:w="109"/>
        <w:gridCol w:w="109"/>
        <w:gridCol w:w="517"/>
        <w:gridCol w:w="997"/>
        <w:gridCol w:w="270"/>
        <w:gridCol w:w="109"/>
        <w:gridCol w:w="109"/>
        <w:gridCol w:w="109"/>
        <w:gridCol w:w="463"/>
        <w:gridCol w:w="1356"/>
        <w:gridCol w:w="34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Severance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Accrued Restructuring Liability</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(7,397)</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2024</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14. Related Party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March 3, 2024, we repurchased 300,000 of our outstanding ordinary shares, par value €0.01 per share, from The Spruce House Partnership LLC (“Spruce House”) in a privately negotiated transaction at a price of $97.50 per share, representing a discount of $2.14 to the closing price of our ordinary shares on March 1, 2024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Zachary Sternberg, a Managing Member of Spruce House, serves as a member of Cimpress’ Board of Directors and Audit Committee. In light of the foregoing, the disinterested members of Cimpress’ Audit Committee reviewed the Transaction under our related person transaction policy and considered, among other things, Mr. Sternberg’s and Spruce House’s interest in the Transaction, the approximate dollar value of the Transaction, and the purpose and the potential benefits to Cimpress of entering into the Transaction. Based on these considerations, the disinterested members of the Audit Committee concluded that the Transaction was in our best interest. The Transaction was effected pursuant to the share repurchase program approved by Cimpress’ Board of Directors and announced on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Item 2.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80" w:after="283"/>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including liquidity, our expectations with respect to our leverage and capital allocation opportunities, future payment terms with suppliers, legal proceedings, our expectations with respect to our valuation allowance,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inflation; our inability to make the investments in our business that we plan to make or the failure of those investments to achieve the results we expect; our failure to execute on the transformation of the Vista business;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disruptions caused by political instability and war in Ukraine, Israel, or elsewhere;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and other factors described in our Annual Report on Form 10-K for the fiscal year ended June 30, 2023 and the documents that we periodically file with the SEC.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We have five reportable segments: Vista, PrintBrothers, The Print Group, National Pen, and All Other Businesses. For further details on our reportable segments, refer to Note 11 in our accompanying consolidated financial statements.</w:t>
      </w:r>
    </w:p>
    <w:p>
      <w:pPr>
        <w:pStyle w:val="TextBody"/>
        <w:bidi w:val="0"/>
        <w:spacing w:lineRule="auto" w:line="276" w:before="220" w:after="100"/>
        <w:jc w:val="left"/>
        <w:rPr>
          <w:rFonts w:ascii="Arial;sans-serif" w:hAnsi="Arial;sans-serif"/>
          <w:b/>
          <w:i/>
          <w:color w:val="000000"/>
          <w:sz w:val="20"/>
        </w:rPr>
      </w:pPr>
      <w:r>
        <w:rPr>
          <w:rFonts w:ascii="Arial;sans-serif" w:hAnsi="Arial;sans-serif"/>
          <w:b/>
          <w:i/>
          <w:color w:val="000000"/>
          <w:sz w:val="20"/>
        </w:rPr>
        <w:t>Financial Summary</w:t>
      </w:r>
    </w:p>
    <w:p>
      <w:pPr>
        <w:pStyle w:val="TextBody"/>
        <w:bidi w:val="0"/>
        <w:spacing w:lineRule="auto" w:line="288" w:before="220" w:after="240"/>
        <w:ind w:left="0" w:right="0" w:firstLine="720"/>
        <w:jc w:val="left"/>
        <w:rPr>
          <w:rFonts w:ascii="Arial;sans-serif" w:hAnsi="Arial;sans-serif"/>
          <w:b w:val="false"/>
          <w:color w:val="000000"/>
          <w:sz w:val="20"/>
        </w:rPr>
      </w:pPr>
      <w:r>
        <w:rPr>
          <w:rFonts w:ascii="Arial;sans-serif" w:hAnsi="Arial;sans-serif"/>
          <w:b w:val="false"/>
          <w:color w:val="000000"/>
          <w:sz w:val="20"/>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nine months ended March 31, 2024 as compared to the three and nine months ended March 31, 2023 follows:</w:t>
      </w:r>
    </w:p>
    <w:p>
      <w:pPr>
        <w:pStyle w:val="TextBody"/>
        <w:bidi w:val="0"/>
        <w:spacing w:lineRule="auto" w:line="288" w:before="220" w:after="240"/>
        <w:jc w:val="left"/>
        <w:rPr>
          <w:rFonts w:ascii="Arial;sans-serif" w:hAnsi="Arial;sans-serif"/>
          <w:b w:val="false"/>
          <w:color w:val="000000"/>
          <w:sz w:val="20"/>
        </w:rPr>
      </w:pPr>
      <w:r>
        <w:rPr>
          <w:rFonts w:ascii="Arial;sans-serif" w:hAnsi="Arial;sans-serif"/>
          <w:b w:val="false"/>
          <w:color w:val="000000"/>
          <w:sz w:val="20"/>
        </w:rPr>
        <w:t>Third Quarter Fiscal Year 2024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Revenue increased by 5% to $780.6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Operating income increased by $51.4 million to $39.2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Adjusted EBITDA (a non-GAAP financial measure) increased by $25.0 million to $94.2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Diluted net loss per share attributable to Cimpress plc decreased to $0.15 from $1.88 in the prior comparable period.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Year to Date Fiscal Year 2024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Revenue increased by 7% to $2,459.2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Organic constant-currency revenue growth (a non-GAAP financial measure) was 5%.</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Operating income increased by $177.6 million to $181.0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Adjusted EBITDA (a non-GAAP financial measure) increased by $123.4 million to $349.3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Diluted net income (loss) per share attributable to Cimpress plc increased to income of $2.16 from a loss of $8.19 in the prior fiscal year.</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Cash provided by operating activities increased by $157.2 million to $225.6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Adjusted free cash flow (a non-GAAP financial measure) increased by $155.6 million to $144.2 million.</w:t>
      </w:r>
    </w:p>
    <w:p>
      <w:pPr>
        <w:pStyle w:val="TextBody"/>
        <w:bidi w:val="0"/>
        <w:spacing w:lineRule="auto" w:line="288" w:before="220" w:after="283"/>
        <w:ind w:left="0" w:right="0" w:firstLine="720"/>
        <w:jc w:val="left"/>
        <w:rPr/>
      </w:pPr>
      <w:r>
        <w:rPr>
          <w:rFonts w:ascii="Arial;sans-serif" w:hAnsi="Arial;sans-serif"/>
          <w:b w:val="false"/>
          <w:color w:val="000000"/>
          <w:sz w:val="20"/>
        </w:rPr>
        <w:t>For the three and nine months ended March 31, 2024, the increase in reported revenue was primarily due to growth across our Vista, PrintBrothers and National Pen reportable segments. The earlier timing of the Easter holiday dampened revenue growth for the current-year periods, as this holiday was in the fourth fiscal quarter last year but at the end of the current fiscal quarter this year. Currency exchange fluctuations had a positive effect on revenue growth during the current-year periods. Revenue growth in our Vista business was driven by increases</w:t>
      </w:r>
      <w:r>
        <w:rPr>
          <w:color w:val="EE2724"/>
        </w:rPr>
        <w:t xml:space="preserve"> </w:t>
      </w:r>
      <w:r>
        <w:rPr>
          <w:rFonts w:ascii="Arial;sans-serif" w:hAnsi="Arial;sans-serif"/>
          <w:b w:val="false"/>
          <w:color w:val="000000"/>
          <w:sz w:val="20"/>
        </w:rPr>
        <w:t xml:space="preserve">to total customer count as well as revenue per customer. Vista revenue grew across all major markets, with the strongest physical product category growth rates coming from sales of signage and promotional products, apparel and gifts.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to operating income during the three and nine months ended March 31, 2024 was driven by higher gross profit that benefited from the revenue growth described above as well as gross margin expansion. Operating income also benefited from year-over-year operating expense efficiencies, and lower restructuring costs of $30.0 million and $42.9 million, respectively, as a result of cost reduction actions that were completed during the prior year.</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EBITDA increased during the three and nine months ended March 31, 2024, primarily driven by the operating income growth described above, which was partially offset by $4.2 million and $15.7 million of year-over-year net unfavorable currency impacts, respectively. Adjusted EBITDA excludes restructuring charges, share-based compensation expense, certain impairments, and gains or losses on the sale of assets, and includes the realized gains or losses on our currency derivatives intended to hedge adjusted EBITDA.</w:t>
      </w:r>
    </w:p>
    <w:p>
      <w:pPr>
        <w:pStyle w:val="TextBody"/>
        <w:bidi w:val="0"/>
        <w:spacing w:lineRule="auto" w:line="288" w:before="220" w:after="283"/>
        <w:ind w:left="0" w:right="0" w:firstLine="720"/>
        <w:jc w:val="left"/>
        <w:rPr/>
      </w:pPr>
      <w:r>
        <w:rPr>
          <w:rFonts w:ascii="Arial;sans-serif" w:hAnsi="Arial;sans-serif"/>
          <w:b w:val="false"/>
          <w:color w:val="000000"/>
          <w:sz w:val="20"/>
        </w:rPr>
        <w:t>Diluted net (loss) income per share attributable to Cimpress plc improved year over year for the three and nine months ended March 31, 2024, primarily due to the operating income increase described above. There was also $108.4 million lower income tax expense for the year-to-date period primarily due to the recognition of a full valuation allowance on Swiss deferred tax assets in the prior-year period. For the nine months ended March 31, 2024, these increases to income were partially offset by higher interest expense, net of $6.0 million, driven by an increased weighted-average interest rate. Net currency impacts on net income were negative</w:t>
      </w:r>
      <w:r>
        <w:rPr>
          <w:color w:val="EE2724"/>
        </w:rPr>
        <w:t xml:space="preserve"> </w:t>
      </w:r>
      <w:r>
        <w:rPr>
          <w:rFonts w:ascii="Arial;sans-serif" w:hAnsi="Arial;sans-serif"/>
          <w:b w:val="false"/>
          <w:color w:val="000000"/>
          <w:sz w:val="20"/>
        </w:rPr>
        <w:t>year over year, primarily due to unrealized currency losses caused by exchange rate volatility and lower realized gains on our derivative contracts.</w:t>
      </w:r>
    </w:p>
    <w:p>
      <w:pPr>
        <w:pStyle w:val="TextBody"/>
        <w:bidi w:val="0"/>
        <w:spacing w:lineRule="auto" w:line="288" w:before="220" w:after="283"/>
        <w:ind w:left="0" w:right="0" w:firstLine="720"/>
        <w:jc w:val="left"/>
        <w:rPr/>
      </w:pPr>
      <w:r>
        <w:rPr>
          <w:rFonts w:ascii="Arial;sans-serif" w:hAnsi="Arial;sans-serif"/>
          <w:b w:val="false"/>
          <w:color w:val="000000"/>
          <w:sz w:val="20"/>
          <w:shd w:fill="FFFFFF" w:val="clear"/>
        </w:rPr>
        <w:t>During the nine months ended March 31, 2024, cash from operations increased $157.2 million year over year due primarily to the increase in operating income as described above, as well as increased working capital inflows of $33.8 million, which were driven in part by the</w:t>
      </w:r>
      <w:r>
        <w:rPr>
          <w:color w:val="EE2724"/>
          <w:shd w:fill="FFFFFF" w:val="clear"/>
        </w:rPr>
        <w:t xml:space="preserve"> </w:t>
      </w:r>
      <w:r>
        <w:rPr>
          <w:rFonts w:ascii="Arial;sans-serif" w:hAnsi="Arial;sans-serif"/>
          <w:b w:val="false"/>
          <w:color w:val="000000"/>
          <w:sz w:val="20"/>
          <w:shd w:fill="FFFFFF" w:val="clear"/>
        </w:rPr>
        <w:t>non-recurrence of the prior year's higher inventory levels that were intended to mitigate supply chain issues. This favorable impact was partially offset by higher cash taxes of $15.8 million, due in part to increased prior-year assessments in one jurisdiction driven by profitability growth, and higher net cash interest payments of $16.6 million.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increased by $155.6 million for the nine months ended March 31, 2024, due to the operating cash flow increase described above, as well as $4.6 million higher proceeds from the sale of assets, primarily driven by the sale of our previously owned manufacturing facility in Japan. These increases were partially offset by $6.9 million of higher capitalized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10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Consolidated Revenue</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Total revenue and revenue growth by reportable segment for the three and nine months ended March 31, 2024 and 2023 are shown in the following table:</w:t>
      </w:r>
    </w:p>
    <w:tbl>
      <w:tblPr>
        <w:tblW w:w="10205" w:type="dxa"/>
        <w:jc w:val="left"/>
        <w:tblInd w:w="0" w:type="dxa"/>
        <w:tblLayout w:type="fixed"/>
        <w:tblCellMar>
          <w:top w:w="28" w:type="dxa"/>
          <w:left w:w="28" w:type="dxa"/>
          <w:bottom w:w="28" w:type="dxa"/>
          <w:right w:w="28" w:type="dxa"/>
        </w:tblCellMar>
      </w:tblPr>
      <w:tblGrid>
        <w:gridCol w:w="519"/>
        <w:gridCol w:w="407"/>
        <w:gridCol w:w="412"/>
        <w:gridCol w:w="211"/>
        <w:gridCol w:w="826"/>
        <w:gridCol w:w="109"/>
        <w:gridCol w:w="109"/>
        <w:gridCol w:w="109"/>
        <w:gridCol w:w="109"/>
        <w:gridCol w:w="211"/>
        <w:gridCol w:w="826"/>
        <w:gridCol w:w="109"/>
        <w:gridCol w:w="109"/>
        <w:gridCol w:w="109"/>
        <w:gridCol w:w="109"/>
        <w:gridCol w:w="205"/>
        <w:gridCol w:w="205"/>
        <w:gridCol w:w="206"/>
        <w:gridCol w:w="109"/>
        <w:gridCol w:w="109"/>
        <w:gridCol w:w="109"/>
        <w:gridCol w:w="325"/>
        <w:gridCol w:w="325"/>
        <w:gridCol w:w="329"/>
        <w:gridCol w:w="109"/>
        <w:gridCol w:w="109"/>
        <w:gridCol w:w="109"/>
        <w:gridCol w:w="262"/>
        <w:gridCol w:w="262"/>
        <w:gridCol w:w="267"/>
        <w:gridCol w:w="109"/>
        <w:gridCol w:w="109"/>
        <w:gridCol w:w="109"/>
        <w:gridCol w:w="359"/>
        <w:gridCol w:w="359"/>
        <w:gridCol w:w="360"/>
        <w:gridCol w:w="109"/>
        <w:gridCol w:w="109"/>
        <w:gridCol w:w="109"/>
        <w:gridCol w:w="488"/>
        <w:gridCol w:w="270"/>
        <w:gridCol w:w="391"/>
      </w:tblGrid>
      <w:tr>
        <w:trPr/>
        <w:tc>
          <w:tcPr>
            <w:tcW w:w="5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Revenue Growth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Excluding Acquisitions/Divestitures (2)</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tbl>
      <w:tblPr>
        <w:tblW w:w="10205" w:type="dxa"/>
        <w:jc w:val="left"/>
        <w:tblInd w:w="0" w:type="dxa"/>
        <w:tblLayout w:type="fixed"/>
        <w:tblCellMar>
          <w:top w:w="28" w:type="dxa"/>
          <w:left w:w="28" w:type="dxa"/>
          <w:bottom w:w="28" w:type="dxa"/>
          <w:right w:w="28" w:type="dxa"/>
        </w:tblCellMar>
      </w:tblPr>
      <w:tblGrid>
        <w:gridCol w:w="501"/>
        <w:gridCol w:w="388"/>
        <w:gridCol w:w="393"/>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Revenue Growth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Excluding Acquisitions/Divestitures (2)</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40" w:after="283"/>
        <w:ind w:left="0" w:right="0" w:hanging="270"/>
        <w:jc w:val="left"/>
        <w:rPr>
          <w:rFonts w:ascii="Arial;sans-serif" w:hAnsi="Arial;sans-serif"/>
          <w:b w:val="false"/>
          <w:color w:val="000000"/>
          <w:sz w:val="16"/>
        </w:rPr>
      </w:pPr>
      <w:r>
        <w:rPr>
          <w:rFonts w:ascii="Arial;sans-serif" w:hAnsi="Arial;sans-serif"/>
          <w:b w:val="false"/>
          <w:color w:val="000000"/>
          <w:sz w:val="16"/>
        </w:rPr>
        <w:t>(1) 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pStyle w:val="TextBody"/>
        <w:bidi w:val="0"/>
        <w:spacing w:lineRule="auto" w:line="288" w:before="40" w:after="283"/>
        <w:ind w:left="0" w:right="0" w:hanging="270"/>
        <w:jc w:val="left"/>
        <w:rPr>
          <w:rFonts w:ascii="Arial;sans-serif" w:hAnsi="Arial;sans-serif"/>
          <w:b w:val="false"/>
          <w:color w:val="000000"/>
          <w:sz w:val="16"/>
        </w:rPr>
      </w:pPr>
      <w:r>
        <w:rPr>
          <w:rFonts w:ascii="Arial;sans-serif" w:hAnsi="Arial;sans-serif"/>
          <w:b w:val="false"/>
          <w:color w:val="000000"/>
          <w:sz w:val="16"/>
        </w:rPr>
        <w:t>(2)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bidi w:val="0"/>
        <w:spacing w:lineRule="auto" w:line="288" w:before="40" w:after="100"/>
        <w:jc w:val="left"/>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Consolidated Cost of Revenue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8260" w:type="dxa"/>
        <w:jc w:val="center"/>
        <w:tblInd w:w="0" w:type="dxa"/>
        <w:tblLayout w:type="fixed"/>
        <w:tblCellMar>
          <w:top w:w="28" w:type="dxa"/>
          <w:left w:w="28" w:type="dxa"/>
          <w:bottom w:w="28" w:type="dxa"/>
          <w:right w:w="28" w:type="dxa"/>
        </w:tblCellMar>
      </w:tblPr>
      <w:tblGrid>
        <w:gridCol w:w="537"/>
        <w:gridCol w:w="473"/>
        <w:gridCol w:w="47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271"/>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2024, cost of revenue increased by $9.8 million and $38.8 million, respectively, year over year, partially driven by unfavorable changes in currency exchange rates of $3.1 million and $31.4 million, respectively, as well as higher production and shipping costs due to volume growth and product mix shifts in some of our businesses. These cost increases were partially offset by lower input costs as well as savings that resulted from the March 2023 cost reduction actions. For the year-to-date period, cost of revenue benefited $3.0 million from a favorable indirect tax ruling.</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Consolidated Operating Expenses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10205" w:type="dxa"/>
        <w:jc w:val="left"/>
        <w:tblInd w:w="0" w:type="dxa"/>
        <w:tblLayout w:type="fixed"/>
        <w:tblCellMar>
          <w:top w:w="28" w:type="dxa"/>
          <w:left w:w="28" w:type="dxa"/>
          <w:bottom w:w="28" w:type="dxa"/>
          <w:right w:w="28" w:type="dxa"/>
        </w:tblCellMar>
      </w:tblPr>
      <w:tblGrid>
        <w:gridCol w:w="753"/>
        <w:gridCol w:w="583"/>
        <w:gridCol w:w="586"/>
        <w:gridCol w:w="211"/>
        <w:gridCol w:w="826"/>
        <w:gridCol w:w="271"/>
        <w:gridCol w:w="109"/>
        <w:gridCol w:w="109"/>
        <w:gridCol w:w="109"/>
        <w:gridCol w:w="211"/>
        <w:gridCol w:w="826"/>
        <w:gridCol w:w="271"/>
        <w:gridCol w:w="109"/>
        <w:gridCol w:w="109"/>
        <w:gridCol w:w="109"/>
        <w:gridCol w:w="238"/>
        <w:gridCol w:w="181"/>
        <w:gridCol w:w="183"/>
        <w:gridCol w:w="109"/>
        <w:gridCol w:w="109"/>
        <w:gridCol w:w="109"/>
        <w:gridCol w:w="211"/>
        <w:gridCol w:w="826"/>
        <w:gridCol w:w="271"/>
        <w:gridCol w:w="109"/>
        <w:gridCol w:w="109"/>
        <w:gridCol w:w="109"/>
        <w:gridCol w:w="211"/>
        <w:gridCol w:w="826"/>
        <w:gridCol w:w="271"/>
        <w:gridCol w:w="109"/>
        <w:gridCol w:w="109"/>
        <w:gridCol w:w="109"/>
        <w:gridCol w:w="109"/>
        <w:gridCol w:w="109"/>
        <w:gridCol w:w="173"/>
        <w:gridCol w:w="173"/>
        <w:gridCol w:w="250"/>
      </w:tblGrid>
      <w:tr>
        <w:trPr/>
        <w:tc>
          <w:tcPr>
            <w:tcW w:w="7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6"/>
            <w:tcBorders/>
          </w:tcPr>
          <w:p>
            <w:pPr>
              <w:pStyle w:val="TableContents"/>
              <w:bidi w:val="0"/>
              <w:spacing w:before="0" w:after="283"/>
              <w:jc w:val="left"/>
              <w:rPr>
                <w:sz w:val="4"/>
                <w:szCs w:val="4"/>
              </w:rPr>
            </w:pPr>
            <w:r>
              <w:rPr>
                <w:sz w:val="4"/>
                <w:szCs w:val="4"/>
              </w:rPr>
            </w:r>
          </w:p>
        </w:tc>
      </w:tr>
      <w:tr>
        <w:trPr/>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595,622 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Restructuring expense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Refer to Note 13 in our accompanying consolidated financial statements for additional details relating to restructuring expense.</w:t>
      </w:r>
    </w:p>
    <w:p>
      <w:pPr>
        <w:pStyle w:val="TextBody"/>
        <w:bidi w:val="0"/>
        <w:spacing w:lineRule="auto" w:line="288" w:before="220" w:after="100"/>
        <w:ind w:left="0" w:right="0" w:hanging="270"/>
        <w:jc w:val="left"/>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expenses increased by $5.5 million and $7.6 million for the three and nine months ended March 31, 2024, respectively, as compared to the prior-year periods. The majority of the increases were driven by higher share-based compensation costs of $3.2 million and $5.8 million, respectively, due to a higher grant value and the impact from our 2024 PSU grants that have an accelerated expense profile as well as expense volatility from changes in the estimated attainment of the related performance condition. The expense increases were also impacted by higher amortization of capitalized software of $1.6 million and $5.5 million, respectively, as compared to the prior periods, driven by the higher capitalized asset base and fluctuations in currency exchange rates. Third-party technology costs also increased by $2.4 million and $4.2 million, respectively, year over year, driven in part by our businesses' further adoption of certain products offered through our mass customization platform, which has driven increased consumption of those services. These increases were partially offset by lower cash compensation costs of $1.2 million and $4.7 million, respectively, due primarily to cost savings resulting from the March 2023 restructuring actions that reduced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2024, marketing and selling expenses increased by $4.4 million and $2.3 million, respectively, primarily due to higher advertising spend of $4.4 million and $10.1 million, as compared to the prior-year periods. Share-based compensation costs increased $3.6 million and $4.7 million, respectively, due to a higher grant value year over year and the impact from our 2024 PSU grants as described above. Payment processing fees also increased $0.8 million and $4.0 million, as compared to the prior-year periods, due to increased order volumes. These cost increases are offset in part by lower cash compensation costs of $2.7 million and $9.0 million during the three and nine months ended March 31, 2024, primarily due to the cost reduction actions that were implemented in March 2023. There was also lower third-party consulting spend of $1.5 million and $4.1 million, as compared to the year-ago periods, mainly in our Vista business, and lower building costs driven by actions taken over the past year to further optimize our real estate footprint for many of our team members operating under a remote-first model.</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pStyle w:val="TextBody"/>
        <w:bidi w:val="0"/>
        <w:spacing w:lineRule="auto" w:line="288" w:before="120" w:after="283"/>
        <w:ind w:left="0" w:right="0" w:firstLine="720"/>
        <w:jc w:val="left"/>
        <w:rPr/>
      </w:pPr>
      <w:r>
        <w:rPr>
          <w:rFonts w:ascii="Arial;sans-serif" w:hAnsi="Arial;sans-serif"/>
          <w:b w:val="false"/>
          <w:color w:val="000000"/>
          <w:sz w:val="20"/>
        </w:rPr>
        <w:t>For the three months ended March 31, 2024, general and administrative expenses increased</w:t>
      </w:r>
      <w:r>
        <w:rPr>
          <w:color w:val="000000"/>
        </w:rPr>
        <w:t xml:space="preserve"> </w:t>
      </w:r>
      <w:r>
        <w:rPr>
          <w:rFonts w:ascii="Arial;sans-serif" w:hAnsi="Arial;sans-serif"/>
          <w:b w:val="false"/>
          <w:color w:val="000000"/>
          <w:sz w:val="20"/>
        </w:rPr>
        <w:t>$1.7 million</w:t>
      </w:r>
      <w:r>
        <w:rPr>
          <w:color w:val="000000"/>
        </w:rPr>
        <w:t xml:space="preserve"> </w:t>
      </w:r>
      <w:r>
        <w:rPr>
          <w:rFonts w:ascii="Arial;sans-serif" w:hAnsi="Arial;sans-serif"/>
          <w:b w:val="false"/>
          <w:color w:val="000000"/>
          <w:sz w:val="20"/>
        </w:rPr>
        <w:t>year over year, largely driven by $4.1 million of higher share-based compensation costs due to a higher grant value year over year and the impact from our 2024 PSU grants as described above. This increase was partially offset by a $1.1 million reduction to third-party consulting spend as well as lower cash compensation costs of $0.9 million, primarily due to the cost reduction actions that were implemented in March 2023.</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decreased by $5.1 million during the nine months ended March 31, 2024 as compared to the prior-year period. The year-to-date decrease was driven by a $4.2 million reduction to third-party consulting spend, $3.5 million of lower cash compensation largely driven by a reduction to long-term incentive compensation expense due to lower than previously estimated attainment levels in certain Cimpress businesses, and cost savings from the March 2023 cost reductions, which were partially offset by increased compensation costs from our annual merit cycle. Additionally, the cost decrease was impacted by nonrecurring expense of $2.4 million for the prior-year termination of one of our leased office locations, as well as the exit of our business in China during fiscal year 2023 that reduced our general and administrative expenses by $1.8 million versus the prior year. These decreases were partially offset by increases to share-based compensation costs of $8.5 million largely driven by the 2024 PSU grants as described above.</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Other Consolidated Results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Other (expense) income, net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(expense) income, net: </w:t>
      </w:r>
    </w:p>
    <w:tbl>
      <w:tblPr>
        <w:tblW w:w="10205" w:type="dxa"/>
        <w:jc w:val="center"/>
        <w:tblInd w:w="0" w:type="dxa"/>
        <w:tblLayout w:type="fixed"/>
        <w:tblCellMar>
          <w:top w:w="28" w:type="dxa"/>
          <w:left w:w="28" w:type="dxa"/>
          <w:bottom w:w="28" w:type="dxa"/>
          <w:right w:w="28" w:type="dxa"/>
        </w:tblCellMar>
      </w:tblPr>
      <w:tblGrid>
        <w:gridCol w:w="1852"/>
        <w:gridCol w:w="1563"/>
        <w:gridCol w:w="1566"/>
        <w:gridCol w:w="211"/>
        <w:gridCol w:w="680"/>
        <w:gridCol w:w="109"/>
        <w:gridCol w:w="109"/>
        <w:gridCol w:w="109"/>
        <w:gridCol w:w="109"/>
        <w:gridCol w:w="211"/>
        <w:gridCol w:w="680"/>
        <w:gridCol w:w="109"/>
        <w:gridCol w:w="109"/>
        <w:gridCol w:w="109"/>
        <w:gridCol w:w="109"/>
        <w:gridCol w:w="211"/>
        <w:gridCol w:w="616"/>
        <w:gridCol w:w="109"/>
        <w:gridCol w:w="109"/>
        <w:gridCol w:w="109"/>
        <w:gridCol w:w="109"/>
        <w:gridCol w:w="211"/>
        <w:gridCol w:w="721"/>
        <w:gridCol w:w="109"/>
        <w:gridCol w:w="109"/>
        <w:gridCol w:w="157"/>
      </w:tblGrid>
      <w:tr>
        <w:trPr/>
        <w:tc>
          <w:tcPr>
            <w:tcW w:w="185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6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6" w:type="dxa"/>
            <w:gridSpan w:val="2"/>
            <w:tcBorders/>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gains,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(losses) gains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decrease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experience currency-related net gains and losses due to currency exchange rate volatility on our non-functional currency intercompany relationships, which we may alter from time to time. Gains on the revaluation of non-functional currency debt and on a cross-currency swap contract designated as a cash flow hedge are included in our currency-related losses, net, offsetting the impact of certain non-functional currency intercompany relationships.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 xml:space="preserve">Interest expense, net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decreased $0.4 million during the three months ended March 31, 2024, primarily due to lower interest expense associated with our 2026 Notes driven by our previously disclosed purchase of a portion of those notes, as well as $1.3 million higher interest income earned on our cash and marketable securities. These interest expense, net reductions were partially offset by a year-over-year increase to our weighted average interest rate (net of interest rate swaps) on our senior secured Term Loan B.</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nine months ended March 31, 2024, interest expense, net increased $6.0 million as compared to the prior-year period, primarily due to a higher weighted-average interest rate (net of interest rate swaps), which was partially offset by lower interest expense associated with our 2026 Notes for the same reason described above and a $3.2 million increase to interest income earned on our cash and marketable securities.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Gain on extinguishment of debt</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March 31, 2024, we recognized gains on the extinguishment of debt of $1.7 million, resulting from the purchase of 2026 Notes' principal of $26.2 million. Refer to Note 8 in our accompanying consolidated financial statements for additional details.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Income tax expense</w:t>
      </w:r>
    </w:p>
    <w:tbl>
      <w:tblPr>
        <w:tblW w:w="7810" w:type="dxa"/>
        <w:jc w:val="center"/>
        <w:tblInd w:w="0" w:type="dxa"/>
        <w:tblLayout w:type="fixed"/>
        <w:tblCellMar>
          <w:top w:w="28" w:type="dxa"/>
          <w:left w:w="28" w:type="dxa"/>
          <w:bottom w:w="28" w:type="dxa"/>
          <w:right w:w="28" w:type="dxa"/>
        </w:tblCellMar>
      </w:tblPr>
      <w:tblGrid>
        <w:gridCol w:w="635"/>
        <w:gridCol w:w="559"/>
        <w:gridCol w:w="560"/>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826"/>
        <w:gridCol w:w="271"/>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195.4 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(20.5)</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(208.3)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Tax expense increased for the three months ended March 31, 2024 versus the prior comparable period due to increased profits as we reported pre-tax income for the three months ended March 31, 2024 and pre-tax losses in the comparable period. Tax expense decreased for the nine months ended March 31, 2024 versus the prior comparable period due to the full valuation allowance on Swiss deferred tax assets of $116.7 million recorded during the nine months ended March 31, 2023.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Given our current earnings and anticipated future earnings, we believe there is a reasonable possibility that within the next twelve months, sufficient positive evidence may become available to allow us to reach a conclusion that a significant portion of our valuation allowance will no longer be needed. A release of the valuation allowance would result in the recognition of certain deferred tax assets and a decrease to income tax expense in the period the release is recorded. However, the timing and amount of the valuation allowance release, if any, are unknown as this is subject to change on the basis of the level of profitability that we are able to actually achieve in future periods. Any future valuation allowance release will not have a cash tax impact.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Reportable Segment Results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plus restructuring related charges; less gain on purchase or sale of subsidiaries as well as the disposal of assets. The effects of currency exchange rate fluctuations impact segment EBITDA and we do not allocate to segment EBITDA any gains or losses that are realized by our currency hedging program.</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Vista</w:t>
      </w:r>
    </w:p>
    <w:tbl>
      <w:tblPr>
        <w:tblW w:w="10205" w:type="dxa"/>
        <w:jc w:val="left"/>
        <w:tblInd w:w="0" w:type="dxa"/>
        <w:tblLayout w:type="fixed"/>
        <w:tblCellMar>
          <w:top w:w="28" w:type="dxa"/>
          <w:left w:w="28" w:type="dxa"/>
          <w:bottom w:w="28" w:type="dxa"/>
          <w:right w:w="28" w:type="dxa"/>
        </w:tblCellMar>
      </w:tblPr>
      <w:tblGrid>
        <w:gridCol w:w="466"/>
        <w:gridCol w:w="410"/>
        <w:gridCol w:w="411"/>
        <w:gridCol w:w="211"/>
        <w:gridCol w:w="826"/>
        <w:gridCol w:w="271"/>
        <w:gridCol w:w="109"/>
        <w:gridCol w:w="109"/>
        <w:gridCol w:w="109"/>
        <w:gridCol w:w="211"/>
        <w:gridCol w:w="826"/>
        <w:gridCol w:w="271"/>
        <w:gridCol w:w="109"/>
        <w:gridCol w:w="109"/>
        <w:gridCol w:w="109"/>
        <w:gridCol w:w="210"/>
        <w:gridCol w:w="210"/>
        <w:gridCol w:w="212"/>
        <w:gridCol w:w="109"/>
        <w:gridCol w:w="109"/>
        <w:gridCol w:w="109"/>
        <w:gridCol w:w="211"/>
        <w:gridCol w:w="976"/>
        <w:gridCol w:w="271"/>
        <w:gridCol w:w="109"/>
        <w:gridCol w:w="109"/>
        <w:gridCol w:w="109"/>
        <w:gridCol w:w="211"/>
        <w:gridCol w:w="976"/>
        <w:gridCol w:w="271"/>
        <w:gridCol w:w="109"/>
        <w:gridCol w:w="109"/>
        <w:gridCol w:w="109"/>
        <w:gridCol w:w="109"/>
        <w:gridCol w:w="109"/>
        <w:gridCol w:w="210"/>
        <w:gridCol w:w="210"/>
        <w:gridCol w:w="212"/>
        <w:gridCol w:w="109"/>
        <w:gridCol w:w="16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1,299,694 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Vista's reported revenue growth for the three months ended March 31, 2024 was minimally affected by currency versus last year, while currency had a 1% favorable impact on the reported revenue growth during the nine months ended March 31, 2024. For these same periods, constant-currency revenue growth was 5% and 7%, respectively, and was driven by increases in total customer count as well as revenue per customer. Revenue was higher year over year across all major markets, with significant growth in sales of signage and promotional products, apparel and gifts. Vista continues to improve its customer experience, resulting in higher customer satisfaction and lower credit rates.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2024, segment EBITDA increased by $11.4 million and $103.1 million, respectively. Incremental gross profit was driven by the revenue growth described above, lower input costs, and efficiency gains as compared to the prior-year periods. Segment EBITDA growth was also driven by lower operating expenses, excluding the effect of restructuring costs which do not impact segment EBITDA, of $6.4 million and $26.6 million, respectively, for these same periods, primarily due to savings resulting from cost reduction actions implemented in March 2023. These operating expense savings were partially offset by inflationary cost increases, such as the annual merit cycle increases' effect on compensation costs. Advertising expenses were higher year over year for both periods presented and for the current quarter was higher as a percentage of revenue due to a slightly higher mix of spend in mid- and upper-funnel channels where there are additional opportunities to drive awareness. For the year-to-date period, advertising expenses as a percentage of revenue were lower year over year as efficiency gains more than offset the mix effect of higher mid- and upper-funnel spend.</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Changes in currency exchange rates had a positive impact on segment EBITDA of $0.1 million and $4.5 million, respectively, as compared to the prior-year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PrintBrothers</w:t>
      </w:r>
    </w:p>
    <w:tbl>
      <w:tblPr>
        <w:tblW w:w="10205" w:type="dxa"/>
        <w:jc w:val="left"/>
        <w:tblInd w:w="0" w:type="dxa"/>
        <w:tblLayout w:type="fixed"/>
        <w:tblCellMar>
          <w:top w:w="28" w:type="dxa"/>
          <w:left w:w="28" w:type="dxa"/>
          <w:bottom w:w="28" w:type="dxa"/>
          <w:right w:w="28" w:type="dxa"/>
        </w:tblCellMar>
      </w:tblPr>
      <w:tblGrid>
        <w:gridCol w:w="498"/>
        <w:gridCol w:w="439"/>
        <w:gridCol w:w="440"/>
        <w:gridCol w:w="211"/>
        <w:gridCol w:w="826"/>
        <w:gridCol w:w="271"/>
        <w:gridCol w:w="109"/>
        <w:gridCol w:w="109"/>
        <w:gridCol w:w="109"/>
        <w:gridCol w:w="211"/>
        <w:gridCol w:w="826"/>
        <w:gridCol w:w="271"/>
        <w:gridCol w:w="109"/>
        <w:gridCol w:w="109"/>
        <w:gridCol w:w="109"/>
        <w:gridCol w:w="245"/>
        <w:gridCol w:w="245"/>
        <w:gridCol w:w="247"/>
        <w:gridCol w:w="109"/>
        <w:gridCol w:w="109"/>
        <w:gridCol w:w="109"/>
        <w:gridCol w:w="211"/>
        <w:gridCol w:w="826"/>
        <w:gridCol w:w="271"/>
        <w:gridCol w:w="109"/>
        <w:gridCol w:w="109"/>
        <w:gridCol w:w="109"/>
        <w:gridCol w:w="211"/>
        <w:gridCol w:w="826"/>
        <w:gridCol w:w="271"/>
        <w:gridCol w:w="109"/>
        <w:gridCol w:w="109"/>
        <w:gridCol w:w="109"/>
        <w:gridCol w:w="109"/>
        <w:gridCol w:w="109"/>
        <w:gridCol w:w="245"/>
        <w:gridCol w:w="245"/>
        <w:gridCol w:w="247"/>
        <w:gridCol w:w="109"/>
        <w:gridCol w:w="16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PrintBrothers' reported revenue growth for the three and nine months ended March 31, 2024 was positively affected by currency impacts of 2% and 5%, respectively, with revenue increasing on a constant-currency basis by 6% in both periods. Constant-currency growth was driven primarily by continued order volume growth, partially offset by customers purchasing lower quantities in certain product categories.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PrintBrothers' segment EBITDA for the three and nine months ended March 31, 2024 grew year over year, driven by the constant-currency revenue growth described above, as well as gross margin expansion that benefited from lower input costs. Segment EBITDA also benefited from $1.5 million of government incentives during the nine months ended March 31, 2024. Currency exchange fluctuations positively impacted segment EBITDA year over year by $0.4 million and $3.4 million, respectively. The increase to PrintBrothers' segment EBITDA in the three and nine months ended March 31, 2024 was partially offset by $1.7 million of expense in our Printdeal business related to an unfavorable court ruling that is being appealed; we do not expect this matter to have a material impact on future periods. </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The Print Group</w:t>
      </w:r>
    </w:p>
    <w:tbl>
      <w:tblPr>
        <w:tblW w:w="10205" w:type="dxa"/>
        <w:jc w:val="center"/>
        <w:tblInd w:w="0" w:type="dxa"/>
        <w:tblLayout w:type="fixed"/>
        <w:tblCellMar>
          <w:top w:w="28" w:type="dxa"/>
          <w:left w:w="28" w:type="dxa"/>
          <w:bottom w:w="28" w:type="dxa"/>
          <w:right w:w="28" w:type="dxa"/>
        </w:tblCellMar>
      </w:tblPr>
      <w:tblGrid>
        <w:gridCol w:w="526"/>
        <w:gridCol w:w="464"/>
        <w:gridCol w:w="465"/>
        <w:gridCol w:w="211"/>
        <w:gridCol w:w="721"/>
        <w:gridCol w:w="271"/>
        <w:gridCol w:w="109"/>
        <w:gridCol w:w="109"/>
        <w:gridCol w:w="109"/>
        <w:gridCol w:w="211"/>
        <w:gridCol w:w="721"/>
        <w:gridCol w:w="271"/>
        <w:gridCol w:w="109"/>
        <w:gridCol w:w="109"/>
        <w:gridCol w:w="109"/>
        <w:gridCol w:w="267"/>
        <w:gridCol w:w="267"/>
        <w:gridCol w:w="269"/>
        <w:gridCol w:w="109"/>
        <w:gridCol w:w="109"/>
        <w:gridCol w:w="109"/>
        <w:gridCol w:w="211"/>
        <w:gridCol w:w="826"/>
        <w:gridCol w:w="271"/>
        <w:gridCol w:w="109"/>
        <w:gridCol w:w="109"/>
        <w:gridCol w:w="109"/>
        <w:gridCol w:w="211"/>
        <w:gridCol w:w="826"/>
        <w:gridCol w:w="271"/>
        <w:gridCol w:w="109"/>
        <w:gridCol w:w="109"/>
        <w:gridCol w:w="109"/>
        <w:gridCol w:w="109"/>
        <w:gridCol w:w="109"/>
        <w:gridCol w:w="267"/>
        <w:gridCol w:w="267"/>
        <w:gridCol w:w="269"/>
        <w:gridCol w:w="109"/>
        <w:gridCol w:w="160"/>
      </w:tblGrid>
      <w:tr>
        <w:trPr/>
        <w:tc>
          <w:tcPr>
            <w:tcW w:w="5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bookmarkStart w:id="0" w:name="i94878488ee084b4aa21c8cee41096a79_3-1-1-"/>
            <w:bookmarkEnd w:id="0"/>
            <w:r>
              <w:rPr>
                <w:rFonts w:ascii="Arial;sans-serif" w:hAnsi="Arial;sans-serif"/>
                <w:b w:val="false"/>
                <w:color w:val="000000"/>
                <w:sz w:val="18"/>
              </w:rPr>
              <w:t>18,190 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pPr>
      <w:r>
        <w:rPr>
          <w:rFonts w:ascii="Arial;sans-serif" w:hAnsi="Arial;sans-serif"/>
          <w:b w:val="false"/>
          <w:color w:val="000000"/>
          <w:sz w:val="20"/>
        </w:rPr>
        <w:t>The Print Group's reported revenue for the three and nine months ended March 31, 2024 was positively affected by currency impacts of 1% and 5%, respectively, with revenue increasing on a constant-currency basis by</w:t>
      </w:r>
      <w:r>
        <w:rPr>
          <w:color w:val="000000"/>
        </w:rPr>
        <w:t xml:space="preserve"> </w:t>
      </w:r>
      <w:r>
        <w:rPr>
          <w:rFonts w:ascii="Arial;sans-serif" w:hAnsi="Arial;sans-serif"/>
          <w:b w:val="false"/>
          <w:color w:val="000000"/>
          <w:sz w:val="20"/>
        </w:rPr>
        <w:t>2% during the current quarter and decreasing</w:t>
      </w:r>
      <w:r>
        <w:rPr>
          <w:color w:val="000000"/>
        </w:rPr>
        <w:t xml:space="preserve"> </w:t>
      </w:r>
      <w:r>
        <w:rPr>
          <w:rFonts w:ascii="Arial;sans-serif" w:hAnsi="Arial;sans-serif"/>
          <w:b w:val="false"/>
          <w:color w:val="000000"/>
          <w:sz w:val="20"/>
        </w:rPr>
        <w:t xml:space="preserve">1% on a year-to-date basis. This segment is continuing to see order growth, while revenue growth continues to be dampened by customers purchasing lower quantities in certain product categories and headwinds in the reseller channel.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The Print Group's segment EBITDA during the three and nine months ended March 31, 2024 as compared to the prior-year periods was largely driven by $3.2 million and $13.0 million of gross profit growth, respectively, as gross margins expanded materially, benefiting from a reduction in key input costs such as raw materials, energy and shipping. Segment EBITDA also benefited from a reduction in long-term incentive compensation expense of $1.7 million and $2.8 million for the three and nine months ended March 31, 2024, respectively, due to volatility in the estimated payouts. Currency exchange fluctuations positively impacted segment EBITDA year over year by $0.2 million and $2.2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National Pen</w:t>
      </w:r>
    </w:p>
    <w:tbl>
      <w:tblPr>
        <w:tblW w:w="10205" w:type="dxa"/>
        <w:jc w:val="center"/>
        <w:tblInd w:w="0" w:type="dxa"/>
        <w:tblLayout w:type="fixed"/>
        <w:tblCellMar>
          <w:top w:w="28" w:type="dxa"/>
          <w:left w:w="28" w:type="dxa"/>
          <w:bottom w:w="28" w:type="dxa"/>
          <w:right w:w="28" w:type="dxa"/>
        </w:tblCellMar>
      </w:tblPr>
      <w:tblGrid>
        <w:gridCol w:w="526"/>
        <w:gridCol w:w="463"/>
        <w:gridCol w:w="465"/>
        <w:gridCol w:w="211"/>
        <w:gridCol w:w="721"/>
        <w:gridCol w:w="271"/>
        <w:gridCol w:w="109"/>
        <w:gridCol w:w="109"/>
        <w:gridCol w:w="109"/>
        <w:gridCol w:w="211"/>
        <w:gridCol w:w="721"/>
        <w:gridCol w:w="271"/>
        <w:gridCol w:w="109"/>
        <w:gridCol w:w="109"/>
        <w:gridCol w:w="109"/>
        <w:gridCol w:w="272"/>
        <w:gridCol w:w="267"/>
        <w:gridCol w:w="268"/>
        <w:gridCol w:w="109"/>
        <w:gridCol w:w="109"/>
        <w:gridCol w:w="109"/>
        <w:gridCol w:w="211"/>
        <w:gridCol w:w="826"/>
        <w:gridCol w:w="271"/>
        <w:gridCol w:w="109"/>
        <w:gridCol w:w="109"/>
        <w:gridCol w:w="109"/>
        <w:gridCol w:w="211"/>
        <w:gridCol w:w="826"/>
        <w:gridCol w:w="271"/>
        <w:gridCol w:w="109"/>
        <w:gridCol w:w="109"/>
        <w:gridCol w:w="109"/>
        <w:gridCol w:w="109"/>
        <w:gridCol w:w="109"/>
        <w:gridCol w:w="267"/>
        <w:gridCol w:w="267"/>
        <w:gridCol w:w="268"/>
        <w:gridCol w:w="109"/>
        <w:gridCol w:w="158"/>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three months ended March 31, 2024, National Pen's revenue growth was minimally affected by currency versus last year, while currency positively impacted revenue by 2% for the nine months ended March 31, 2024, resulting in constant-currency revenue growth of 10% and 6%, respectively. National Pen continued to deliver strong growth within its e-commerce and telesales channels, as well as from fulfillment for other Cimpress businesses.</w:t>
      </w:r>
    </w:p>
    <w:p>
      <w:pPr>
        <w:pStyle w:val="TextBody"/>
        <w:bidi w:val="0"/>
        <w:spacing w:lineRule="auto" w:line="288" w:before="220" w:after="16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0" w:after="160"/>
        <w:ind w:left="0" w:right="0" w:firstLine="720"/>
        <w:jc w:val="left"/>
        <w:rPr/>
      </w:pPr>
      <w:r>
        <w:rPr>
          <w:rFonts w:ascii="Arial;sans-serif" w:hAnsi="Arial;sans-serif"/>
          <w:b w:val="false"/>
          <w:color w:val="000000"/>
          <w:sz w:val="20"/>
        </w:rPr>
        <w:t>The increase in National Pen's segment EBITDA for the three months ended March 31, 2024 was driven by the revenue growth described above; $2.7 million less advertising spend year over year, primarily in its direct mail channel; and $0.9 million of less long-term incentive compensation expense, primarily due to changes in the estimated payouts. Currency exchange fluctuations had an immaterial effect</w:t>
      </w:r>
      <w:r>
        <w:rPr>
          <w:color w:val="EE2724"/>
        </w:rPr>
        <w:t xml:space="preserve"> </w:t>
      </w:r>
      <w:r>
        <w:rPr>
          <w:rFonts w:ascii="Arial;sans-serif" w:hAnsi="Arial;sans-serif"/>
          <w:b w:val="false"/>
          <w:color w:val="000000"/>
          <w:sz w:val="20"/>
        </w:rPr>
        <w:t>on segment EBITDA during the current fiscal quarter.</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increase in National Pen's segment EBITDA for the nine months ended March 31, 2024 was driven by revenue growth described above as well as $1.7 million less long-term incentive compensation expense, primarily due to changes in the estimated payouts. These increases were partially offset by higher advertising spend of $4.6 million, primarily during the first half of the current fiscal year to support its e-commerce channel, as well as higher operating expenses year over year. Currency exchange fluctuations had a negative year-over-year impact of $1.4 million for the nine months ended March 31, 2024.</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All Other Businesses</w:t>
      </w:r>
    </w:p>
    <w:tbl>
      <w:tblPr>
        <w:tblW w:w="10205" w:type="dxa"/>
        <w:jc w:val="left"/>
        <w:tblInd w:w="0" w:type="dxa"/>
        <w:tblLayout w:type="fixed"/>
        <w:tblCellMar>
          <w:top w:w="28" w:type="dxa"/>
          <w:left w:w="28" w:type="dxa"/>
          <w:bottom w:w="28" w:type="dxa"/>
          <w:right w:w="28" w:type="dxa"/>
        </w:tblCellMar>
      </w:tblPr>
      <w:tblGrid>
        <w:gridCol w:w="533"/>
        <w:gridCol w:w="470"/>
        <w:gridCol w:w="471"/>
        <w:gridCol w:w="211"/>
        <w:gridCol w:w="721"/>
        <w:gridCol w:w="271"/>
        <w:gridCol w:w="109"/>
        <w:gridCol w:w="109"/>
        <w:gridCol w:w="109"/>
        <w:gridCol w:w="211"/>
        <w:gridCol w:w="721"/>
        <w:gridCol w:w="271"/>
        <w:gridCol w:w="109"/>
        <w:gridCol w:w="109"/>
        <w:gridCol w:w="109"/>
        <w:gridCol w:w="264"/>
        <w:gridCol w:w="264"/>
        <w:gridCol w:w="266"/>
        <w:gridCol w:w="109"/>
        <w:gridCol w:w="109"/>
        <w:gridCol w:w="109"/>
        <w:gridCol w:w="211"/>
        <w:gridCol w:w="826"/>
        <w:gridCol w:w="271"/>
        <w:gridCol w:w="109"/>
        <w:gridCol w:w="109"/>
        <w:gridCol w:w="109"/>
        <w:gridCol w:w="211"/>
        <w:gridCol w:w="826"/>
        <w:gridCol w:w="271"/>
        <w:gridCol w:w="109"/>
        <w:gridCol w:w="109"/>
        <w:gridCol w:w="109"/>
        <w:gridCol w:w="109"/>
        <w:gridCol w:w="109"/>
        <w:gridCol w:w="264"/>
        <w:gridCol w:w="264"/>
        <w:gridCol w:w="266"/>
        <w:gridCol w:w="109"/>
        <w:gridCol w:w="159"/>
      </w:tblGrid>
      <w:tr>
        <w:trPr/>
        <w:tc>
          <w:tcPr>
            <w:tcW w:w="5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This segment includes BuildASign and Printi, an early-stage business that we have managed at a relatively modest operating loss.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All Other Businesses' constant-currency revenue was relatively flat during the three and nine months ended March 31, 2024. BuildASign generates the majority of revenue in this segment, and revenue was flat year over year as this business delivered stronger growth in their signage products and from fulfillment for other Cimpress businesses, while real estate-related and home-decor products continued to experience revenue headwinds.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decrease in segment EBITDA for the three months ended March 31, 2024 was primarily due to the decline of profitability in our BuildASign business, partly due to flat revenue growth, less efficient advertising spend, and $1.0 million of increased long-term incentive compensation expense, primarily due to changes in the estimated payouts that benefited the prior-year period but did not recur this year. Partially offsetting the profitability decline, our Printi business reduced their operating losses as it continues to gain scale and deliver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nine months ended March 31, 2024 segment EBITDA increased year over year, partially driven by $2.4 million of reduced long-term incentive compensation expense caused by lower forecasted payouts for business-specific long-term incentive awards when compared to the year-ago period. Segment EBITDA also benefited from the fiscal year 2023 exit of our business in China, which drove $1.8 million of losses in the year-ago period, and reduced operating losses in our Printi business. </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Central and Corporate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and the functions of our CEO and CFO. These costs also include certain unallocated share-based compensation costs.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nine months ended March 31, 2024, central and corporate costs increased by $5.0 million and $4.4 million, as compared to the prior-year periods. The increases were largely driven by $8.7 million and $15.5 million of increased share-based compensation expense, respectively, due to a higher grant pool and the impact from our 2024 PSU grants that have an accelerated expense profile as well as expense volatility from changes in the estimated attainment of the related performance condition. This increase was partially offset by lower cash compensation expense of $0.9 million and $5.0 million due to savings from the March 2023 cost reductions, as well as lower third-party consulting spend of $0.9 million and $4.3 million, respectively, as compared to the prior-year periods.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Consolidated Statements of Cash Flows Data</w:t>
      </w:r>
    </w:p>
    <w:tbl>
      <w:tblPr>
        <w:tblW w:w="6633" w:type="dxa"/>
        <w:jc w:val="left"/>
        <w:tblInd w:w="0" w:type="dxa"/>
        <w:tblLayout w:type="fixed"/>
        <w:tblCellMar>
          <w:top w:w="28" w:type="dxa"/>
          <w:left w:w="28" w:type="dxa"/>
          <w:bottom w:w="28" w:type="dxa"/>
          <w:right w:w="28" w:type="dxa"/>
        </w:tblCellMar>
      </w:tblPr>
      <w:tblGrid>
        <w:gridCol w:w="1237"/>
        <w:gridCol w:w="1090"/>
        <w:gridCol w:w="1093"/>
        <w:gridCol w:w="211"/>
        <w:gridCol w:w="826"/>
        <w:gridCol w:w="109"/>
        <w:gridCol w:w="109"/>
        <w:gridCol w:w="109"/>
        <w:gridCol w:w="109"/>
        <w:gridCol w:w="211"/>
        <w:gridCol w:w="721"/>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cash flows during the nine months ended March 31, 2024 related primarily to the following items: </w:t>
      </w:r>
    </w:p>
    <w:p>
      <w:pPr>
        <w:pStyle w:val="TextBody"/>
        <w:bidi w:val="0"/>
        <w:spacing w:lineRule="auto" w:line="288" w:before="180" w:after="283"/>
        <w:jc w:val="left"/>
        <w:rPr/>
      </w:pPr>
      <w:r>
        <w:rPr>
          <w:rFonts w:ascii="Arial;sans-serif" w:hAnsi="Arial;sans-serif"/>
          <w:b w:val="false"/>
          <w:i/>
          <w:color w:val="000000"/>
          <w:sz w:val="20"/>
        </w:rPr>
        <w:t>Cash inflows:</w:t>
      </w:r>
      <w:r>
        <w:rPr>
          <w:color w:val="EE2724"/>
        </w:rPr>
        <w:t xml:space="preserve">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Net income of $59.6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Adjustments for non-cash items of $160.3 million primarily related to adjustments for depreciation and amortization of $116.1 million, share-based compensation costs of $48.5 million, and deferred taxes of $1.1 million partially offset by unrealized currency-related gains of $4.2 million, and the gain on extinguishment of debt of $1.7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Proceeds from the maturity of held-to-maturity securities of $36.7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Proceeds from the sale of assets of $6.4 million, which primarily included proceeds from the sale of our Japanese manufacturing facility following our prior year exit from the Japanese market</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Net working capital inflow of $5.7 million, primarily due to further reductions to inventory following the prior-year build up of safety stock to mitigate the risk of supply chain disruptions as well as timing impacts from favorable changes to accounts payable and accrued liabilities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Cash outflows: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Purchases of our ordinary shares for $100.7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Capital expenditures of $44.4 million, of which the majority related to the purchase of manufacturing and automation equipment for our production facilities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 xml:space="preserve">Internal and external costs of $43.4 million for software and website development that we have capitalized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Payments for the purchase of a portion of our 2026 Notes for $24.5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Payment of withholding taxes in connection with share awards of $14.1 million, primarily driven by the annual vesting of share grants during August 2023</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Repayments of debt, net of proceeds from borrowings, of $10.9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Payments for finance lease arrangements of $7.5 million</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March 31, 2024, we had $154.3 million of cash and cash equivalents, $6.5 million of marketable securities, and $1,615.0 million of debt, excluding debt issuance costs and debt premiums and discounts. During the nine months ended March 31, 2024, we financed our operations and strategic investments through internally generated cash flows from operations and cash on hand. We expect to finance our future operations through our cash, investments, operating cash flow, and borrowings under our debt arrangements.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historically used excess cash and cash equivalents for organic investments, share repurchases, acquisitions and equity investments, and debt reduction. During the three months ended March 31, 2024, we purchased and retired 1,085,574 of our ordinary shares for $100.7 million. In April 2024 we repurchased an additional 202,452 shares for $19.3 million. We evaluate share repurchases, as any other use of capital, relative to our view of the impact on our intrinsic value per share compared against other opportunities; therefore, any additional repurchases will be price dependent.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nine months ended March 31, 2024, we also allocated $24.5 million of capital toward the purchase of a portion of our 2026 Notes, and we will continue to consider using excess liquidity to repurchase our debt. We have significantly reduced our net leverage over the last year primarily through increased profitability driven by the combination of returns from past investments, the focusing of our growth investments, restrained growth of operating expenses, and the easing of inflationary pressure on our input costs. This increased profitability and resultant cash flow generation should provide the opportunity to continue to delever our balance sheet while also opportunistically allocating capital that enhances our intrinsic value per share. </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Supply Chain Financing Program. </w:t>
      </w:r>
      <w:r>
        <w:rPr>
          <w:rFonts w:ascii="Arial;sans-serif" w:hAnsi="Arial;sans-serif"/>
          <w:b w:val="false"/>
          <w:color w:val="000000"/>
          <w:sz w:val="20"/>
        </w:rPr>
        <w:t>As part of our ongoing efforts to manage our liquidity, we work with our suppliers to optimize our terms and conditions, which include the extension of payment terms. We facilitate a voluntary supply chain finance program through a financial intermediary to enable the extension of our payment terms with certain suppliers. We do not believe there is a substantial risk that our payment terms will be shortened in the near future. Refer to Note 2 of the accompanying consolidated financial statements for additional information.</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March 31, 2024, a portion of our cash and cash equivalents were held by our subsidiaries, and undistributed earnings of our subsidiaries that are considered to be indefinitely reinvested were $77.0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Contractual obligations at March 31, 2024 are as follows:</w:t>
      </w:r>
    </w:p>
    <w:tbl>
      <w:tblPr>
        <w:tblW w:w="10205" w:type="dxa"/>
        <w:jc w:val="center"/>
        <w:tblInd w:w="0" w:type="dxa"/>
        <w:tblLayout w:type="fixed"/>
        <w:tblCellMar>
          <w:top w:w="28" w:type="dxa"/>
          <w:left w:w="28" w:type="dxa"/>
          <w:bottom w:w="28" w:type="dxa"/>
          <w:right w:w="28" w:type="dxa"/>
        </w:tblCellMar>
      </w:tblPr>
      <w:tblGrid>
        <w:gridCol w:w="1115"/>
        <w:gridCol w:w="904"/>
        <w:gridCol w:w="90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55"/>
      </w:tblGrid>
      <w:tr>
        <w:trPr/>
        <w:tc>
          <w:tcPr>
            <w:tcW w:w="111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2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Notes and interest payments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(2) Senior secured credit facility and interest payments include the effects of interest rate swaps, whether they are expected to be payments or receipts of cash. </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$9.3 million as of March 31, 2024 have been excluded from the contractual obligations table above. See Note 9 in our accompanying consolidated financial statements for additional information on uncertain tax positions.</w:t>
      </w:r>
    </w:p>
    <w:p>
      <w:pPr>
        <w:pStyle w:val="TextBody"/>
        <w:bidi w:val="0"/>
        <w:spacing w:lineRule="auto" w:line="288" w:before="220" w:after="283"/>
        <w:ind w:left="0" w:right="0" w:firstLine="720"/>
        <w:jc w:val="left"/>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2028. The terms of certain lease agreements require security deposits in the form of bank guarantees and letters of credit, with $2.9 million in the aggregate outstanding as of March 31, 2024.</w:t>
      </w:r>
    </w:p>
    <w:p>
      <w:pPr>
        <w:pStyle w:val="TextBody"/>
        <w:bidi w:val="0"/>
        <w:spacing w:lineRule="auto" w:line="288" w:before="220" w:after="283"/>
        <w:ind w:left="0" w:right="0" w:firstLine="720"/>
        <w:jc w:val="left"/>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March 31, 2024, we had unrecorded commitments under contract of $184.4 million. Purchase commitments consisted of third-party fulfillment and digital services of $85.8 million; third-party cloud services of $55.9 million; software of $14.2 million; advertising of $2.9 million; commitments for professional and consulting fees of $4.5 million; production and computer equipment purchases of $2.5 million; and other commitments of $18.5 million.</w:t>
      </w:r>
    </w:p>
    <w:p>
      <w:pPr>
        <w:pStyle w:val="TextBody"/>
        <w:bidi w:val="0"/>
        <w:spacing w:lineRule="auto" w:line="288" w:before="220" w:after="283"/>
        <w:ind w:left="0" w:right="0" w:firstLine="720"/>
        <w:jc w:val="left"/>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As of March 31, 2024, we have borrowings under our Restated Credit Agreement of $1,088.1 million, consisting of the Term Loan B, which amortizes over the loan period, with a final maturity date of May 17, 2028. Our $250.0 million Revolving Credit Facility with a maturity date of May 17, 2026, under our Restated Credit Agreement, has $238.0 million unused as of March 31, 2024.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March 31, 2024 and assumes all Term SOFR-based revolving loan amounts outstanding will not be paid until maturity but that the term loan amortization payments will be made according to our defined schedule.</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2026 Notes and Interest Payments. </w:t>
      </w:r>
      <w:r>
        <w:rPr>
          <w:rFonts w:ascii="Arial;sans-serif" w:hAnsi="Arial;sans-serif"/>
          <w:b w:val="false"/>
          <w:color w:val="000000"/>
          <w:sz w:val="20"/>
        </w:rPr>
        <w:t>Our $522.1 million 2026 Notes bear interest at a rate of 7.0% per annum and mature on June 15, 2026. Interest on the notes is payable semi-annually on June 15 and December 15 of each year. During the nine months ended March 31, 2024, we purchased an aggregate principal amount of $26.2 million for a purchase price of $24.5 million, as well as the related settlement of unpaid interest, which resulted in the recognition of a gain on the extinguishment of debt of $1.7 million.</w:t>
      </w:r>
    </w:p>
    <w:p>
      <w:pPr>
        <w:pStyle w:val="TextBody"/>
        <w:bidi w:val="0"/>
        <w:spacing w:lineRule="auto" w:line="288" w:before="220" w:after="283"/>
        <w:ind w:left="0" w:right="0" w:firstLine="720"/>
        <w:jc w:val="left"/>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 xml:space="preserve">The Restated Credit Agreement and the indenture that governs our 2026 Notes contain covenants that restrict or limit certain activities and transactions by Cimpress and our subsidiaries. As of 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2024, we were in compliance with all covenants under our Restated Credit Agreement and the indenture governing our 2026 Notes. Refer to Note 8 in our accompanying consolidated financial statements for additional information.</w:t>
      </w:r>
    </w:p>
    <w:p>
      <w:pPr>
        <w:pStyle w:val="TextBody"/>
        <w:bidi w:val="0"/>
        <w:spacing w:lineRule="auto" w:line="288" w:before="220" w:after="283"/>
        <w:ind w:left="0" w:right="0" w:firstLine="720"/>
        <w:jc w:val="left"/>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March 31, 2024, we had $4.8 million outstanding for those obligations that have repayments due on various dates through September 2027.</w:t>
      </w:r>
    </w:p>
    <w:p>
      <w:pPr>
        <w:pStyle w:val="TextBody"/>
        <w:bidi w:val="0"/>
        <w:spacing w:lineRule="auto" w:line="288" w:before="220" w:after="283"/>
        <w:ind w:left="0" w:right="0" w:firstLine="720"/>
        <w:jc w:val="left"/>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facilities, machinery, and plant equipment under finance lease agreements that expire at various dates through 2037. The aggregate carrying value of the leased assets under finance leases included in property, plant and equipment, net in our consolidated balance sheet at March 31, 2024 is $27.8 million, net of accumulated depreciation of $31.7 million. The present value of lease installments not yet due included in other current liabilities and other liabilities in our consolidated balance sheet at March 31, 2024 amounts to $37.5 million.</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 xml:space="preserve">Additional Non-GAAP Financial Measures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free cash flow is the primary financial metric by which we set quarterly and annual budgets both for individual businesses and Cimpress-wide. During the current fiscal year, we revised our adjusted free cash flow 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operating income and adjusted EBITDA for the three and nine months ended March 31, 2024 and 2023:</w:t>
      </w:r>
    </w:p>
    <w:tbl>
      <w:tblPr>
        <w:tblW w:w="10205" w:type="dxa"/>
        <w:jc w:val="center"/>
        <w:tblInd w:w="0" w:type="dxa"/>
        <w:tblLayout w:type="fixed"/>
        <w:tblCellMar>
          <w:top w:w="28" w:type="dxa"/>
          <w:left w:w="28" w:type="dxa"/>
          <w:bottom w:w="28" w:type="dxa"/>
          <w:right w:w="28" w:type="dxa"/>
        </w:tblCellMar>
      </w:tblPr>
      <w:tblGrid>
        <w:gridCol w:w="1931"/>
        <w:gridCol w:w="1304"/>
        <w:gridCol w:w="1307"/>
        <w:gridCol w:w="211"/>
        <w:gridCol w:w="721"/>
        <w:gridCol w:w="109"/>
        <w:gridCol w:w="109"/>
        <w:gridCol w:w="109"/>
        <w:gridCol w:w="109"/>
        <w:gridCol w:w="211"/>
        <w:gridCol w:w="764"/>
        <w:gridCol w:w="109"/>
        <w:gridCol w:w="109"/>
        <w:gridCol w:w="109"/>
        <w:gridCol w:w="109"/>
        <w:gridCol w:w="211"/>
        <w:gridCol w:w="826"/>
        <w:gridCol w:w="109"/>
        <w:gridCol w:w="109"/>
        <w:gridCol w:w="109"/>
        <w:gridCol w:w="109"/>
        <w:gridCol w:w="211"/>
        <w:gridCol w:w="826"/>
        <w:gridCol w:w="109"/>
        <w:gridCol w:w="109"/>
        <w:gridCol w:w="156"/>
      </w:tblGrid>
      <w:tr>
        <w:trPr/>
        <w:tc>
          <w:tcPr>
            <w:tcW w:w="193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4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GAAP 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(losses) gains on currency derivatives not included in operating income (loss)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These realized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pStyle w:val="TextBody"/>
        <w:bidi w:val="0"/>
        <w:spacing w:before="60" w:after="283"/>
        <w:ind w:left="0" w:right="0" w:hanging="270"/>
        <w:jc w:val="left"/>
        <w:rPr/>
      </w:pPr>
      <w:r>
        <w:rPr/>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cash provided by operating activities and adjusted free cash flow for the nine months ended March 31, 2024 and 2023:</w:t>
      </w:r>
    </w:p>
    <w:tbl>
      <w:tblPr>
        <w:tblW w:w="8072" w:type="dxa"/>
        <w:jc w:val="left"/>
        <w:tblInd w:w="0" w:type="dxa"/>
        <w:tblLayout w:type="fixed"/>
        <w:tblCellMar>
          <w:top w:w="28" w:type="dxa"/>
          <w:left w:w="28" w:type="dxa"/>
          <w:bottom w:w="28" w:type="dxa"/>
          <w:right w:w="28" w:type="dxa"/>
        </w:tblCellMar>
      </w:tblPr>
      <w:tblGrid>
        <w:gridCol w:w="1729"/>
        <w:gridCol w:w="1525"/>
        <w:gridCol w:w="1530"/>
        <w:gridCol w:w="211"/>
        <w:gridCol w:w="826"/>
        <w:gridCol w:w="109"/>
        <w:gridCol w:w="109"/>
        <w:gridCol w:w="109"/>
        <w:gridCol w:w="109"/>
        <w:gridCol w:w="211"/>
        <w:gridCol w:w="796"/>
        <w:gridCol w:w="109"/>
        <w:gridCol w:w="109"/>
        <w:gridCol w:w="109"/>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free cash flow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During the first quarter of fiscal year 2024, we revised our adjusted free cash flow definition to include proceeds from the sale of assets. We have revised all periods presented to incorporate this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w:t>
      </w:r>
    </w:p>
    <w:p>
      <w:pPr>
        <w:pStyle w:val="TextBody"/>
        <w:bidi w:val="0"/>
        <w:spacing w:lineRule="auto" w:line="288" w:before="220" w:after="283"/>
        <w:ind w:left="0" w:right="0" w:firstLine="720"/>
        <w:jc w:val="left"/>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2024,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bidi w:val="0"/>
        <w:spacing w:lineRule="auto" w:line="288" w:before="220" w:after="283"/>
        <w:ind w:left="0" w:right="0" w:firstLine="720"/>
        <w:jc w:val="left"/>
        <w:rPr/>
      </w:pPr>
      <w:r>
        <w:rPr>
          <w:rFonts w:ascii="Arial;sans-serif" w:hAnsi="Arial;sans-serif"/>
          <w:b w:val="false"/>
          <w:color w:val="000000"/>
          <w:sz w:val="20"/>
        </w:rPr>
        <w:t>As of March 31, 2024, we had</w:t>
      </w:r>
      <w:r>
        <w:rPr>
          <w:color w:val="FF0000"/>
        </w:rPr>
        <w:t xml:space="preserve"> </w:t>
      </w:r>
      <w:r>
        <w:rPr>
          <w:rFonts w:ascii="Arial;sans-serif" w:hAnsi="Arial;sans-serif"/>
          <w:b w:val="false"/>
          <w:color w:val="000000"/>
          <w:sz w:val="20"/>
        </w:rPr>
        <w:t>$1,088.1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March 31, 2024, a hypothetical 100 basis point increase in rates, inclusive of the impact of our outstanding interest rate swaps that are accruing interest as of March 31, 2024, would result in a $8.7 million impact to interest expense over the next 12 months. This does not include any yield from cash and marketable securities.</w:t>
      </w:r>
    </w:p>
    <w:p>
      <w:pPr>
        <w:pStyle w:val="TextBody"/>
        <w:bidi w:val="0"/>
        <w:spacing w:lineRule="auto" w:line="288" w:before="220" w:after="283"/>
        <w:ind w:left="0" w:right="0" w:firstLine="720"/>
        <w:jc w:val="left"/>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Revenue and related expenses generated in currencies other than the 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 </w:t>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bidi w:val="0"/>
        <w:spacing w:lineRule="auto" w:line="288" w:before="220" w:after="240"/>
        <w:ind w:left="0" w:right="0" w:hanging="360"/>
        <w:jc w:val="left"/>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The balances are inclusive of the notional value of any cross-currency swaps designated as cash flow hedges. A hypothetical decrease in exchange rates of 10% against the functional currency of our subsidiaries would have resulted in a change of $0.9 million on our income before income taxes for the nine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00" w:after="2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evaluated the effectiveness of our disclosure controls and procedures as of March 31, 2024.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00"/>
        <w:jc w:val="left"/>
        <w:rPr>
          <w:rFonts w:ascii="Arial;sans-serif" w:hAnsi="Arial;sans-serif"/>
          <w:b w:val="false"/>
          <w:color w:val="000000"/>
          <w:sz w:val="20"/>
        </w:rPr>
      </w:pPr>
      <w:r>
        <w:rPr>
          <w:rFonts w:ascii="Arial;sans-serif" w:hAnsi="Arial;sans-serif"/>
          <w:b w:val="false"/>
          <w:color w:val="000000"/>
          <w:sz w:val="20"/>
        </w:rPr>
        <w:t>March 31, 2024, our chief executive officer and chief financial officer concluded that, as of such date, our disclosure controls and procedures were effective at the reasonable assurance level.</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00" w:after="40"/>
        <w:ind w:left="0" w:right="0" w:firstLine="720"/>
        <w:jc w:val="left"/>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March 31, 2024 that materially affected, or are reasonably likely to materially affect, our internal control over financial reporting.</w:t>
      </w:r>
    </w:p>
    <w:p>
      <w:pPr>
        <w:pStyle w:val="TextBody"/>
        <w:bidi w:val="0"/>
        <w:spacing w:before="100" w:after="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Item 2.        </w:t>
      </w:r>
      <w:r>
        <w:rPr>
          <w:rFonts w:ascii="Arial;sans-serif" w:hAnsi="Arial;sans-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On January 31, 2024, we announced that our Board had authorized us to repurchase up to $150.0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repurchase program, and we may suspend or discontinue our share repurchases at any time.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outlines the repurchase of our ordinary shares during the three months ended March 31, 2024 under the program described above: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3"/>
        <w:gridCol w:w="507"/>
        <w:gridCol w:w="511"/>
        <w:gridCol w:w="733"/>
        <w:gridCol w:w="403"/>
        <w:gridCol w:w="404"/>
        <w:gridCol w:w="109"/>
        <w:gridCol w:w="109"/>
        <w:gridCol w:w="109"/>
        <w:gridCol w:w="292"/>
        <w:gridCol w:w="854"/>
        <w:gridCol w:w="151"/>
        <w:gridCol w:w="109"/>
        <w:gridCol w:w="109"/>
        <w:gridCol w:w="109"/>
        <w:gridCol w:w="978"/>
        <w:gridCol w:w="655"/>
        <w:gridCol w:w="657"/>
        <w:gridCol w:w="109"/>
        <w:gridCol w:w="109"/>
        <w:gridCol w:w="109"/>
        <w:gridCol w:w="490"/>
        <w:gridCol w:w="1433"/>
        <w:gridCol w:w="253"/>
        <w:gridCol w:w="109"/>
        <w:gridCol w:w="161"/>
      </w:tblGrid>
      <w:tr>
        <w:trPr/>
        <w:tc>
          <w:tcPr>
            <w:tcW w:w="6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720"/>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 Price Paid Per Share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 as Part of a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Approximate Dollar Value of Shares that May Yet be Purchased Under the Program</w:t>
              <w:b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2024 through January 31, 2024</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2024 through February 29, 2024</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726,734 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726,734 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 2024 through March 31, 2024</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358,840 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358,840 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1,085,574 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1,085,574 </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Average price paid per share excludes an immaterial amount of broker commissions paid.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i/>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312"/>
        <w:gridCol w:w="274"/>
        <w:gridCol w:w="275"/>
        <w:gridCol w:w="109"/>
        <w:gridCol w:w="109"/>
        <w:gridCol w:w="109"/>
        <w:gridCol w:w="2635"/>
        <w:gridCol w:w="2635"/>
        <w:gridCol w:w="3747"/>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33124.htm">
              <w:r>
                <w:rPr>
                  <w:rStyle w:val="InternetLink"/>
                  <w:rFonts w:ascii="Arial;sans-serif" w:hAnsi="Arial;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Executive Officer</w:t>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33124.htm">
              <w:r>
                <w:rPr>
                  <w:rStyle w:val="InternetLink"/>
                  <w:rFonts w:ascii="Arial;sans-serif" w:hAnsi="Arial;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Financial Officer</w:t>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33124.htm">
              <w:r>
                <w:rPr>
                  <w:rStyle w:val="InternetLink"/>
                  <w:rFonts w:ascii="Arial;sans-serif" w:hAnsi="Arial;sans-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18 U.S.C. Section 1350, as adopted pursuant to Section 906 of the Sarbanes-Oxley Act of 2002, by Chief Executive Officer and Chief Financial Officer</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60" w:after="283"/>
        <w:jc w:val="left"/>
        <w:rPr/>
      </w:pPr>
      <w:r>
        <w:rPr>
          <w:rFonts w:ascii="Arial;sans-serif" w:hAnsi="Arial;sans-serif"/>
          <w:b w:val="false"/>
          <w:color w:val="000000"/>
          <w:sz w:val="20"/>
        </w:rPr>
        <w:t>May 2, 2024</w:t>
      </w:r>
      <w:r>
        <w:rPr>
          <w:color w:val="EE2724"/>
        </w:rPr>
        <w:t> </w:t>
      </w:r>
      <w:r>
        <w:rPr>
          <w:color w:val="000000"/>
        </w:rPr>
        <w:t>                        </w:t>
      </w:r>
      <w:r>
        <w:rPr>
          <w:rFonts w:ascii="Arial;sans-serif" w:hAnsi="Arial;sans-serif"/>
          <w:b w:val="false"/>
          <w:color w:val="000000"/>
          <w:sz w:val="20"/>
        </w:rPr>
        <w:t>Cimpress plc                                                    </w:t>
      </w:r>
    </w:p>
    <w:tbl>
      <w:tblPr>
        <w:tblW w:w="4435" w:type="dxa"/>
        <w:jc w:val="center"/>
        <w:tblInd w:w="0" w:type="dxa"/>
        <w:tblLayout w:type="fixed"/>
        <w:tblCellMar>
          <w:top w:w="28" w:type="dxa"/>
          <w:left w:w="28" w:type="dxa"/>
          <w:bottom w:w="28" w:type="dxa"/>
          <w:right w:w="28" w:type="dxa"/>
        </w:tblCellMar>
      </w:tblPr>
      <w:tblGrid>
        <w:gridCol w:w="124"/>
        <w:gridCol w:w="109"/>
        <w:gridCol w:w="109"/>
        <w:gridCol w:w="154"/>
        <w:gridCol w:w="154"/>
        <w:gridCol w:w="156"/>
        <w:gridCol w:w="1059"/>
        <w:gridCol w:w="1059"/>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47" w:before="0" w:after="120"/>
        <w:jc w:val="left"/>
        <w:rPr>
          <w:rFonts w:ascii="Arial;sans-serif" w:hAnsi="Arial;sans-serif"/>
          <w:b w:val="false"/>
          <w:color w:val="000000"/>
          <w:sz w:val="20"/>
        </w:rPr>
      </w:pPr>
      <w:r>
        <w:rPr>
          <w:rFonts w:ascii="Arial;sans-serif" w:hAnsi="Arial;sans-serif"/>
          <w:b w:val="false"/>
          <w:color w:val="000000"/>
          <w:sz w:val="20"/>
        </w:rPr>
        <w:t>Date: May 2, 2024</w:t>
      </w:r>
    </w:p>
    <w:p>
      <w:pPr>
        <w:pStyle w:val="TextBody"/>
        <w:bidi w:val="0"/>
        <w:spacing w:before="0" w:after="120"/>
        <w:jc w:val="left"/>
        <w:rPr/>
      </w:pPr>
      <w:r>
        <w:rPr/>
      </w:r>
    </w:p>
    <w:tbl>
      <w:tblPr>
        <w:tblW w:w="2306" w:type="dxa"/>
        <w:jc w:val="left"/>
        <w:tblInd w:w="0" w:type="dxa"/>
        <w:tblLayout w:type="fixed"/>
        <w:tblCellMar>
          <w:top w:w="28" w:type="dxa"/>
          <w:left w:w="28" w:type="dxa"/>
          <w:bottom w:w="28" w:type="dxa"/>
          <w:right w:w="28" w:type="dxa"/>
        </w:tblCellMar>
      </w:tblPr>
      <w:tblGrid>
        <w:gridCol w:w="701"/>
        <w:gridCol w:w="615"/>
        <w:gridCol w:w="618"/>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76" w:before="0" w:after="120"/>
        <w:ind w:left="0" w:right="0" w:firstLine="120"/>
        <w:jc w:val="left"/>
        <w:rPr>
          <w:rFonts w:ascii="Arial;sans-serif" w:hAnsi="Arial;sans-serif"/>
          <w:b w:val="false"/>
          <w:color w:val="000000"/>
          <w:sz w:val="20"/>
        </w:rPr>
      </w:pPr>
      <w:r>
        <w:rPr>
          <w:rFonts w:ascii="Arial;sans-serif" w:hAnsi="Arial;sans-serif"/>
          <w:b w:val="false"/>
          <w:color w:val="000000"/>
          <w:sz w:val="20"/>
        </w:rPr>
        <w:t>Date: May 2, 2024</w:t>
      </w:r>
    </w:p>
    <w:tbl>
      <w:tblPr>
        <w:tblW w:w="2262" w:type="dxa"/>
        <w:jc w:val="left"/>
        <w:tblInd w:w="0" w:type="dxa"/>
        <w:tblLayout w:type="fixed"/>
        <w:tblCellMar>
          <w:top w:w="28" w:type="dxa"/>
          <w:left w:w="28" w:type="dxa"/>
          <w:bottom w:w="28" w:type="dxa"/>
          <w:right w:w="28" w:type="dxa"/>
        </w:tblCellMar>
      </w:tblPr>
      <w:tblGrid>
        <w:gridCol w:w="683"/>
        <w:gridCol w:w="602"/>
        <w:gridCol w:w="605"/>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ind w:left="0" w:right="0" w:firstLine="2471"/>
        <w:jc w:val="center"/>
        <w:rPr/>
      </w:pPr>
      <w:r>
        <w:rPr/>
      </w:r>
    </w:p>
    <w:p>
      <w:pPr>
        <w:pStyle w:val="TextBody"/>
        <w:bidi w:val="0"/>
        <w:spacing w:lineRule="auto" w:line="247" w:before="0" w:after="120"/>
        <w:ind w:left="0" w:right="0" w:firstLine="8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Cimpress plc (the “Company”) for the quarter ended March 31, 2024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bidi w:val="0"/>
        <w:spacing w:before="0" w:after="120"/>
        <w:ind w:left="0" w:right="0" w:firstLine="120"/>
        <w:jc w:val="left"/>
        <w:rPr/>
      </w:pPr>
      <w:r>
        <w:rPr/>
      </w:r>
    </w:p>
    <w:tbl>
      <w:tblPr>
        <w:tblW w:w="4669"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09"/>
        <w:gridCol w:w="109"/>
        <w:gridCol w:w="109"/>
        <w:gridCol w:w="109"/>
        <w:gridCol w:w="109"/>
        <w:gridCol w:w="109"/>
        <w:gridCol w:w="573"/>
        <w:gridCol w:w="573"/>
        <w:gridCol w:w="818"/>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120"/>
        <w:ind w:left="0" w:right="0" w:firstLine="120"/>
        <w:jc w:val="left"/>
        <w:rPr/>
      </w:pPr>
      <w:r>
        <w:rPr/>
      </w:r>
    </w:p>
    <w:tbl>
      <w:tblPr>
        <w:tblW w:w="4624"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09"/>
        <w:gridCol w:w="109"/>
        <w:gridCol w:w="109"/>
        <w:gridCol w:w="109"/>
        <w:gridCol w:w="109"/>
        <w:gridCol w:w="109"/>
        <w:gridCol w:w="560"/>
        <w:gridCol w:w="560"/>
        <w:gridCol w:w="799"/>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ind w:left="0" w:right="0" w:firstLine="12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22742</Words>
  <Characters>127502</Characters>
  <CharactersWithSpaces>148569</CharactersWithSpaces>
  <Paragraphs>3729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