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p>
      <w:pPr>
        <w:pStyle w:val="TextBody"/>
        <w:bidi w:val="0"/>
        <w:spacing w:lineRule="auto" w:line="288" w:before="60" w:after="283"/>
        <w:jc w:val="center"/>
        <w:rPr>
          <w:rFonts w:ascii="Arial;sans-serif" w:hAnsi="Arial;sans-serif"/>
          <w:b/>
          <w:color w:val="000000"/>
          <w:sz w:val="32"/>
        </w:rPr>
      </w:pPr>
      <w:r>
        <w:rPr>
          <w:rFonts w:ascii="Arial;sans-serif" w:hAnsi="Arial;sans-serif"/>
          <w:b/>
          <w:color w:val="000000"/>
          <w:sz w:val="32"/>
        </w:rPr>
        <w:t>Form 10-Q</w:t>
      </w:r>
    </w:p>
    <w:tbl>
      <w:tblPr>
        <w:tblW w:w="9157" w:type="dxa"/>
        <w:jc w:val="center"/>
        <w:tblInd w:w="0" w:type="dxa"/>
        <w:tblLayout w:type="fixed"/>
        <w:tblCellMar>
          <w:top w:w="28" w:type="dxa"/>
          <w:left w:w="28" w:type="dxa"/>
          <w:bottom w:w="28" w:type="dxa"/>
          <w:right w:w="28" w:type="dxa"/>
        </w:tblCellMar>
      </w:tblPr>
      <w:tblGrid>
        <w:gridCol w:w="183"/>
        <w:gridCol w:w="161"/>
        <w:gridCol w:w="161"/>
        <w:gridCol w:w="1076"/>
        <w:gridCol w:w="1076"/>
        <w:gridCol w:w="1076"/>
        <w:gridCol w:w="836"/>
        <w:gridCol w:w="836"/>
        <w:gridCol w:w="836"/>
        <w:gridCol w:w="836"/>
        <w:gridCol w:w="836"/>
        <w:gridCol w:w="1244"/>
      </w:tblGrid>
      <w:tr>
        <w:trPr/>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r>
      <w:tr>
        <w:trPr/>
        <w:tc>
          <w:tcPr>
            <w:tcW w:w="37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(Mark One)</w:t>
            </w:r>
          </w:p>
        </w:tc>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QUARTERLY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quarterly period ended</w:t>
            </w:r>
          </w:p>
        </w:tc>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December 31, 2025</w:t>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or</w:t>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5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TRANSITION REPORT PURSUANT TO SECTION 13 OR 15(d) OF THE SECURITIES EXCHANGE ACT OF 1934</w:t>
            </w:r>
          </w:p>
        </w:tc>
      </w:tr>
      <w:tr>
        <w:trPr/>
        <w:tc>
          <w:tcPr>
            <w:tcW w:w="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For the transition period from               to               </w:t>
            </w:r>
          </w:p>
        </w:tc>
        <w:tc>
          <w:tcPr>
            <w:tcW w:w="2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Arial;sans-serif" w:hAnsi="Arial;sans-serif"/>
          <w:b/>
          <w:color w:val="000000"/>
          <w:sz w:val="17"/>
        </w:rPr>
      </w:pPr>
      <w:r>
        <w:rPr>
          <w:rFonts w:ascii="Arial;sans-serif" w:hAnsi="Arial;sans-serif"/>
          <w:b/>
          <w:color w:val="000000"/>
          <w:sz w:val="17"/>
        </w:rPr>
        <w:t xml:space="preserve">Commission file number 000-51539 </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Cimpress plc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w:t>
      </w:r>
    </w:p>
    <w:tbl>
      <w:tblPr>
        <w:tblW w:w="4510" w:type="dxa"/>
        <w:jc w:val="left"/>
        <w:tblInd w:w="0" w:type="dxa"/>
        <w:tblLayout w:type="fixed"/>
        <w:tblCellMar>
          <w:top w:w="28" w:type="dxa"/>
          <w:left w:w="28" w:type="dxa"/>
          <w:bottom w:w="28" w:type="dxa"/>
          <w:right w:w="28" w:type="dxa"/>
        </w:tblCellMar>
      </w:tblPr>
      <w:tblGrid>
        <w:gridCol w:w="471"/>
        <w:gridCol w:w="414"/>
        <w:gridCol w:w="414"/>
        <w:gridCol w:w="414"/>
        <w:gridCol w:w="414"/>
        <w:gridCol w:w="422"/>
        <w:gridCol w:w="109"/>
        <w:gridCol w:w="109"/>
        <w:gridCol w:w="109"/>
        <w:gridCol w:w="476"/>
        <w:gridCol w:w="476"/>
        <w:gridCol w:w="682"/>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Ireland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7"/>
              </w:rPr>
            </w:pPr>
            <w:r>
              <w:rPr>
                <w:rFonts w:ascii="Arial;sans-serif" w:hAnsi="Arial;sans-serif"/>
                <w:b/>
                <w:color w:val="000000"/>
                <w:sz w:val="17"/>
              </w:rPr>
              <w:t>98-0417483</w:t>
            </w:r>
          </w:p>
        </w:tc>
      </w:tr>
      <w:tr>
        <w:trPr/>
        <w:tc>
          <w:tcPr>
            <w:tcW w:w="25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40" w:before="0" w:after="0"/>
              <w:jc w:val="center"/>
              <w:rPr/>
            </w:pPr>
            <w:r>
              <w:rPr>
                <w:rFonts w:ascii="Arial;sans-serif" w:hAnsi="Arial;sans-serif"/>
                <w:b/>
                <w:color w:val="000000"/>
                <w:sz w:val="16"/>
              </w:rPr>
              <w:t>Identification No.)</w:t>
            </w:r>
            <w:r>
              <w:rPr>
                <w:color w:val="000000"/>
              </w:rPr>
              <w:t xml:space="preserve"> </w:t>
            </w:r>
          </w:p>
        </w:tc>
      </w:tr>
    </w:tbl>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First Floor Building 3, Finnabair Business and Technology Park A91 XR61,</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Dundalk, Co. Louth,</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Ireland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(Address of Principal Executive Offices)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 xml:space="preserve">Registrant’s telephone number, including area code: 353 42 938 8500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Securities Registered Pursuant to Section 12(b) of the Act:</w:t>
      </w:r>
    </w:p>
    <w:tbl>
      <w:tblPr>
        <w:tblW w:w="8857" w:type="dxa"/>
        <w:jc w:val="center"/>
        <w:tblInd w:w="0" w:type="dxa"/>
        <w:tblLayout w:type="fixed"/>
        <w:tblCellMar>
          <w:top w:w="28" w:type="dxa"/>
          <w:left w:w="28" w:type="dxa"/>
          <w:bottom w:w="28" w:type="dxa"/>
          <w:right w:w="28" w:type="dxa"/>
        </w:tblCellMar>
      </w:tblPr>
      <w:tblGrid>
        <w:gridCol w:w="1531"/>
        <w:gridCol w:w="1344"/>
        <w:gridCol w:w="1354"/>
        <w:gridCol w:w="109"/>
        <w:gridCol w:w="109"/>
        <w:gridCol w:w="109"/>
        <w:gridCol w:w="424"/>
        <w:gridCol w:w="424"/>
        <w:gridCol w:w="426"/>
        <w:gridCol w:w="109"/>
        <w:gridCol w:w="109"/>
        <w:gridCol w:w="109"/>
        <w:gridCol w:w="790"/>
        <w:gridCol w:w="790"/>
        <w:gridCol w:w="1120"/>
      </w:tblGrid>
      <w:tr>
        <w:trPr/>
        <w:tc>
          <w:tcPr>
            <w:tcW w:w="1531"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Exchange on Which Registered</w:t>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Ordinary Shares, nominal value of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CMPR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Global Select Market</w:t>
            </w:r>
          </w:p>
        </w:tc>
      </w:tr>
    </w:tbl>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w:t>
      </w:r>
    </w:p>
    <w:p>
      <w:pPr>
        <w:pStyle w:val="TextBody"/>
        <w:bidi w:val="0"/>
        <w:spacing w:before="0" w:after="0"/>
        <w:jc w:val="center"/>
        <w:rPr/>
      </w:pPr>
      <w:r>
        <w:rPr/>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pPr>
      <w:r>
        <w:rPr>
          <w:rFonts w:ascii="Arial;sans-serif" w:hAnsi="Arial;sans-serif"/>
          <w:b w:val="false"/>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17"/>
        </w:rPr>
        <w:t>No </w:t>
      </w:r>
      <w:r>
        <w:rPr>
          <w:rFonts w:ascii="Wingdings;sans-serif" w:hAnsi="Wingdings;sans-serif"/>
          <w:b w:val="false"/>
          <w:color w:val="000000"/>
          <w:sz w:val="17"/>
        </w:rPr>
        <w:t>o</w:t>
      </w:r>
    </w:p>
    <w:p>
      <w:pPr>
        <w:pStyle w:val="TextBody"/>
        <w:bidi w:val="0"/>
        <w:spacing w:lineRule="auto" w:line="288" w:before="80" w:after="283"/>
        <w:ind w:left="0" w:right="0" w:firstLine="720"/>
        <w:jc w:val="left"/>
        <w:rPr>
          <w:rFonts w:ascii="Arial;sans-serif" w:hAnsi="Arial;sans-serif"/>
          <w:b w:val="false"/>
          <w:color w:val="000000"/>
          <w:sz w:val="17"/>
        </w:rPr>
      </w:pPr>
      <w:r>
        <w:rPr>
          <w:rFonts w:ascii="Arial;sans-serif" w:hAnsi="Arial;sans-serif"/>
          <w:b w:val="false"/>
          <w:color w:val="000000"/>
          <w:sz w:val="17"/>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tbl>
      <w:tblPr>
        <w:tblW w:w="6548" w:type="dxa"/>
        <w:jc w:val="center"/>
        <w:tblInd w:w="0" w:type="dxa"/>
        <w:tblLayout w:type="fixed"/>
        <w:tblCellMar>
          <w:top w:w="28" w:type="dxa"/>
          <w:left w:w="28" w:type="dxa"/>
          <w:bottom w:w="28" w:type="dxa"/>
          <w:right w:w="28" w:type="dxa"/>
        </w:tblCellMar>
      </w:tblPr>
      <w:tblGrid>
        <w:gridCol w:w="629"/>
        <w:gridCol w:w="554"/>
        <w:gridCol w:w="556"/>
        <w:gridCol w:w="145"/>
        <w:gridCol w:w="145"/>
        <w:gridCol w:w="146"/>
        <w:gridCol w:w="684"/>
        <w:gridCol w:w="684"/>
        <w:gridCol w:w="687"/>
        <w:gridCol w:w="109"/>
        <w:gridCol w:w="109"/>
        <w:gridCol w:w="109"/>
        <w:gridCol w:w="539"/>
        <w:gridCol w:w="539"/>
        <w:gridCol w:w="541"/>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Large accelerated filer</w:t>
            </w:r>
          </w:p>
        </w:tc>
        <w:tc>
          <w:tcPr>
            <w:tcW w:w="436"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60"/>
        <w:ind w:left="0" w:right="0" w:firstLine="720"/>
        <w:jc w:val="left"/>
        <w:rPr/>
      </w:pPr>
      <w:r>
        <w:rPr>
          <w:rFonts w:ascii="Arial;sans-serif" w:hAnsi="Arial;sans-serif"/>
          <w:b w:val="false"/>
          <w:color w:val="000000"/>
          <w:sz w:val="17"/>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7"/>
        </w:rPr>
        <w:t>o</w:t>
      </w:r>
      <w:r>
        <w:rPr>
          <w:color w:val="000000"/>
        </w:rPr>
        <w:t> </w:t>
      </w:r>
    </w:p>
    <w:p>
      <w:pPr>
        <w:pStyle w:val="TextBody"/>
        <w:bidi w:val="0"/>
        <w:spacing w:lineRule="auto" w:line="288" w:before="20" w:after="60"/>
        <w:ind w:left="0" w:right="0" w:firstLine="720"/>
        <w:jc w:val="left"/>
        <w:rPr/>
      </w:pPr>
      <w:r>
        <w:rPr>
          <w:rFonts w:ascii="Arial;sans-serif" w:hAnsi="Arial;sans-serif"/>
          <w:b w:val="false"/>
          <w:color w:val="000000"/>
          <w:sz w:val="17"/>
        </w:rPr>
        <w:t>Indicate by check mark whether the registrant is a shell company (as defined in Exchange Act Rule 12b-2).  Yes </w:t>
      </w:r>
      <w:r>
        <w:rPr>
          <w:color w:val="000000"/>
        </w:rPr>
        <w:t>☐     </w:t>
      </w:r>
      <w:r>
        <w:rPr>
          <w:rFonts w:ascii="Arial;sans-serif" w:hAnsi="Arial;sans-serif"/>
          <w:b w:val="false"/>
          <w:color w:val="000000"/>
          <w:sz w:val="17"/>
        </w:rPr>
        <w:t>No </w:t>
      </w:r>
      <w:r>
        <w:rPr>
          <w:color w:val="000000"/>
        </w:rPr>
        <w:t xml:space="preserve">☑ </w:t>
      </w:r>
    </w:p>
    <w:p>
      <w:pPr>
        <w:pStyle w:val="TextBody"/>
        <w:bidi w:val="0"/>
        <w:spacing w:lineRule="auto" w:line="288" w:before="20" w:after="60"/>
        <w:ind w:left="0" w:right="0" w:firstLine="720"/>
        <w:jc w:val="left"/>
        <w:rPr/>
      </w:pPr>
      <w:r>
        <w:rPr>
          <w:rFonts w:ascii="Arial;sans-serif" w:hAnsi="Arial;sans-serif"/>
          <w:b w:val="false"/>
          <w:color w:val="000000"/>
          <w:sz w:val="17"/>
        </w:rPr>
        <w:t>As of January 26, 2026, there were</w:t>
      </w:r>
      <w:r>
        <w:rPr>
          <w:color w:val="FF0000"/>
        </w:rPr>
        <w:t xml:space="preserve"> </w:t>
      </w:r>
      <w:r>
        <w:rPr>
          <w:rFonts w:ascii="Arial;sans-serif" w:hAnsi="Arial;sans-serif"/>
          <w:b w:val="false"/>
          <w:color w:val="000000"/>
          <w:sz w:val="17"/>
        </w:rPr>
        <w:t xml:space="preserve">24,285,192 Cimpress plc ordinary shares outstanding. </w:t>
      </w:r>
    </w:p>
    <w:p>
      <w:pPr>
        <w:pStyle w:val="TextBody"/>
        <w:bidi w:val="0"/>
        <w:spacing w:before="20" w:after="6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2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Three and Six Months Ended December 31, 2025</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1776"/>
        <w:gridCol w:w="1564"/>
        <w:gridCol w:w="1564"/>
        <w:gridCol w:w="1564"/>
        <w:gridCol w:w="1564"/>
        <w:gridCol w:w="1568"/>
        <w:gridCol w:w="176"/>
        <w:gridCol w:w="176"/>
        <w:gridCol w:w="253"/>
      </w:tblGrid>
      <w:tr>
        <w:trPr/>
        <w:tc>
          <w:tcPr>
            <w:tcW w:w="1776"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136">
              <w:r>
                <w:rPr>
                  <w:rStyle w:val="InternetLink"/>
                  <w:rFonts w:ascii="Arial;sans-serif" w:hAnsi="Arial;sans-serif"/>
                  <w:b/>
                  <w:strike w:val="false"/>
                  <w:dstrike w:val="false"/>
                  <w:color w:val="000000"/>
                  <w:sz w:val="20"/>
                  <w:u w:val="none"/>
                  <w:effect w:val="none"/>
                </w:rPr>
                <w:t>PART I FINANCIAL INFORMATION</w:t>
              </w:r>
            </w:hyperlink>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10">
              <w:r>
                <w:rPr>
                  <w:rStyle w:val="InternetLink"/>
                  <w:rFonts w:ascii="Arial;sans-serif" w:hAnsi="Arial;sans-serif"/>
                  <w:b w:val="false"/>
                  <w:strike w:val="false"/>
                  <w:dstrike w:val="false"/>
                  <w:color w:val="000000"/>
                  <w:sz w:val="19"/>
                  <w:u w:val="none"/>
                  <w:effect w:val="none"/>
                </w:rPr>
                <w:t>Item 1. Financial Statements (unaudited)</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10">
              <w:r>
                <w:rPr>
                  <w:rStyle w:val="InternetLink"/>
                  <w:rFonts w:ascii="Arial;sans-serif" w:hAnsi="Arial;sans-serif"/>
                  <w:b w:val="false"/>
                  <w:strike w:val="false"/>
                  <w:dstrike w:val="false"/>
                  <w:color w:val="000000"/>
                  <w:sz w:val="19"/>
                  <w:u w:val="none"/>
                  <w:effect w:val="none"/>
                </w:rPr>
                <w:t>1</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13">
              <w:r>
                <w:rPr>
                  <w:rStyle w:val="InternetLink"/>
                  <w:rFonts w:ascii="Arial;sans-serif" w:hAnsi="Arial;sans-serif"/>
                  <w:b w:val="false"/>
                  <w:strike w:val="false"/>
                  <w:dstrike w:val="false"/>
                  <w:color w:val="000000"/>
                  <w:sz w:val="19"/>
                  <w:u w:val="none"/>
                  <w:effect w:val="none"/>
                </w:rPr>
                <w:t>Consolidated Balance Sheets as of</w:t>
              </w:r>
            </w:hyperlink>
            <w:r>
              <w:rPr>
                <w:rFonts w:ascii="Arial;sans-serif" w:hAnsi="Arial;sans-serif"/>
                <w:b w:val="false"/>
                <w:color w:val="000000"/>
                <w:sz w:val="19"/>
              </w:rPr>
              <w:t xml:space="preserve"> December 31, 2025 and June 30, 2025</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13">
              <w:r>
                <w:rPr>
                  <w:rStyle w:val="InternetLink"/>
                  <w:rFonts w:ascii="Arial;sans-serif" w:hAnsi="Arial;sans-serif"/>
                  <w:b w:val="false"/>
                  <w:strike w:val="false"/>
                  <w:dstrike w:val="false"/>
                  <w:color w:val="000000"/>
                  <w:sz w:val="19"/>
                  <w:u w:val="none"/>
                  <w:effect w:val="none"/>
                </w:rPr>
                <w:t>1</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19">
              <w:r>
                <w:rPr>
                  <w:rStyle w:val="InternetLink"/>
                  <w:rFonts w:ascii="Arial;sans-serif" w:hAnsi="Arial;sans-serif"/>
                  <w:b w:val="false"/>
                  <w:strike w:val="false"/>
                  <w:dstrike w:val="false"/>
                  <w:color w:val="000000"/>
                  <w:sz w:val="19"/>
                  <w:u w:val="none"/>
                  <w:effect w:val="none"/>
                </w:rPr>
                <w:t>Consolidated Statements of Operations for the</w:t>
              </w:r>
            </w:hyperlink>
            <w:r>
              <w:rPr>
                <w:rFonts w:ascii="Arial;sans-serif" w:hAnsi="Arial;sans-serif"/>
                <w:b w:val="false"/>
                <w:color w:val="000000"/>
                <w:sz w:val="19"/>
              </w:rPr>
              <w:t xml:space="preserve"> three and six months ended December 31, 2025 and 2024</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19">
              <w:r>
                <w:rPr>
                  <w:rStyle w:val="InternetLink"/>
                  <w:rFonts w:ascii="Arial;sans-serif" w:hAnsi="Arial;sans-serif"/>
                  <w:b w:val="false"/>
                  <w:strike w:val="false"/>
                  <w:dstrike w:val="false"/>
                  <w:color w:val="000000"/>
                  <w:sz w:val="19"/>
                  <w:u w:val="none"/>
                  <w:effect w:val="none"/>
                </w:rPr>
                <w:t>2</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22">
              <w:r>
                <w:rPr>
                  <w:rStyle w:val="InternetLink"/>
                  <w:rFonts w:ascii="Arial;sans-serif" w:hAnsi="Arial;sans-serif"/>
                  <w:b w:val="false"/>
                  <w:strike w:val="false"/>
                  <w:dstrike w:val="false"/>
                  <w:color w:val="000080"/>
                  <w:sz w:val="19"/>
                  <w:u w:val="single"/>
                  <w:effect w:val="none"/>
                </w:rPr>
                <w:t>Consolidated Statements of Comprehensive Income</w:t>
              </w:r>
            </w:hyperlink>
            <w:hyperlink w:anchor="ib9b8792561f04bed917bf5aef0eb1cb5_22">
              <w:r>
                <w:rPr>
                  <w:rStyle w:val="InternetLink"/>
                  <w:rFonts w:ascii="Arial;sans-serif" w:hAnsi="Arial;sans-serif"/>
                  <w:b w:val="false"/>
                  <w:strike w:val="false"/>
                  <w:dstrike w:val="false"/>
                  <w:color w:val="000080"/>
                  <w:sz w:val="19"/>
                  <w:u w:val="single"/>
                  <w:effect w:val="none"/>
                </w:rPr>
                <w:t xml:space="preserve"> for the</w:t>
              </w:r>
            </w:hyperlink>
            <w:r>
              <w:rPr>
                <w:rFonts w:ascii="Arial;sans-serif" w:hAnsi="Arial;sans-serif"/>
                <w:b w:val="false"/>
                <w:color w:val="000000"/>
                <w:sz w:val="19"/>
              </w:rPr>
              <w:t xml:space="preserve"> three and six months ended December 31, 2025 and 2024</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22">
              <w:r>
                <w:rPr>
                  <w:rStyle w:val="InternetLink"/>
                  <w:rFonts w:ascii="Arial;sans-serif" w:hAnsi="Arial;sans-serif"/>
                  <w:b w:val="false"/>
                  <w:strike w:val="false"/>
                  <w:dstrike w:val="false"/>
                  <w:color w:val="000000"/>
                  <w:sz w:val="19"/>
                  <w:u w:val="none"/>
                  <w:effect w:val="none"/>
                </w:rPr>
                <w:t>3</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25">
              <w:r>
                <w:rPr>
                  <w:rStyle w:val="InternetLink"/>
                  <w:rFonts w:ascii="Arial;sans-serif" w:hAnsi="Arial;sans-serif"/>
                  <w:b w:val="false"/>
                  <w:strike w:val="false"/>
                  <w:dstrike w:val="false"/>
                  <w:color w:val="000000"/>
                  <w:sz w:val="19"/>
                  <w:u w:val="none"/>
                  <w:effect w:val="none"/>
                </w:rPr>
                <w:t>Consolidated Statements of Shareholders' Deficit for the</w:t>
              </w:r>
            </w:hyperlink>
            <w:r>
              <w:rPr>
                <w:rFonts w:ascii="Arial;sans-serif" w:hAnsi="Arial;sans-serif"/>
                <w:b w:val="false"/>
                <w:color w:val="000000"/>
                <w:sz w:val="19"/>
              </w:rPr>
              <w:t xml:space="preserve"> three and six months ended December 31, 2025 and 2024</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25">
              <w:r>
                <w:rPr>
                  <w:rStyle w:val="InternetLink"/>
                  <w:rFonts w:ascii="Arial;sans-serif" w:hAnsi="Arial;sans-serif"/>
                  <w:b w:val="false"/>
                  <w:strike w:val="false"/>
                  <w:dstrike w:val="false"/>
                  <w:color w:val="000000"/>
                  <w:sz w:val="19"/>
                  <w:u w:val="none"/>
                  <w:effect w:val="none"/>
                </w:rPr>
                <w:t>4</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28">
              <w:r>
                <w:rPr>
                  <w:rStyle w:val="InternetLink"/>
                  <w:rFonts w:ascii="Arial;sans-serif" w:hAnsi="Arial;sans-serif"/>
                  <w:b w:val="false"/>
                  <w:strike w:val="false"/>
                  <w:dstrike w:val="false"/>
                  <w:color w:val="000000"/>
                  <w:sz w:val="19"/>
                  <w:u w:val="none"/>
                  <w:effect w:val="none"/>
                </w:rPr>
                <w:t>Consolidated Statements of Cash Flows for the</w:t>
              </w:r>
            </w:hyperlink>
            <w:r>
              <w:rPr>
                <w:rFonts w:ascii="Arial;sans-serif" w:hAnsi="Arial;sans-serif"/>
                <w:b w:val="false"/>
                <w:color w:val="000000"/>
                <w:sz w:val="19"/>
              </w:rPr>
              <w:t xml:space="preserve"> six months ended December 31, 2025 and 2024</w:t>
            </w:r>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28">
              <w:r>
                <w:rPr>
                  <w:rStyle w:val="InternetLink"/>
                  <w:rFonts w:ascii="Arial;sans-serif" w:hAnsi="Arial;sans-serif"/>
                  <w:b w:val="false"/>
                  <w:strike w:val="false"/>
                  <w:dstrike w:val="false"/>
                  <w:color w:val="000000"/>
                  <w:sz w:val="19"/>
                  <w:u w:val="none"/>
                  <w:effect w:val="none"/>
                </w:rPr>
                <w:t>6</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31">
              <w:r>
                <w:rPr>
                  <w:rStyle w:val="InternetLink"/>
                  <w:rFonts w:ascii="Arial;sans-serif" w:hAnsi="Arial;sans-serif"/>
                  <w:b w:val="false"/>
                  <w:strike w:val="false"/>
                  <w:dstrike w:val="false"/>
                  <w:color w:val="000000"/>
                  <w:sz w:val="19"/>
                  <w:u w:val="none"/>
                  <w:effect w:val="none"/>
                </w:rPr>
                <w:t>Notes to Consolidated Financial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31">
              <w:r>
                <w:rPr>
                  <w:rStyle w:val="InternetLink"/>
                  <w:rFonts w:ascii="Arial;sans-serif" w:hAnsi="Arial;sans-serif"/>
                  <w:b w:val="false"/>
                  <w:strike w:val="false"/>
                  <w:dstrike w:val="false"/>
                  <w:color w:val="000000"/>
                  <w:sz w:val="19"/>
                  <w:u w:val="none"/>
                  <w:effect w:val="none"/>
                </w:rPr>
                <w:t>8</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79">
              <w:r>
                <w:rPr>
                  <w:rStyle w:val="InternetLink"/>
                  <w:rFonts w:ascii="Arial;sans-serif" w:hAnsi="Arial;sans-serif"/>
                  <w:b w:val="false"/>
                  <w:strike w:val="false"/>
                  <w:dstrike w:val="false"/>
                  <w:color w:val="000000"/>
                  <w:sz w:val="19"/>
                  <w:u w:val="none"/>
                  <w:effect w:val="none"/>
                </w:rPr>
                <w:t>Item 2. Management's Discussion and Analysis of Financial Condition and Results of Operations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79">
              <w:r>
                <w:rPr>
                  <w:rStyle w:val="InternetLink"/>
                  <w:rFonts w:ascii="Arial;sans-serif" w:hAnsi="Arial;sans-serif"/>
                  <w:b w:val="false"/>
                  <w:strike w:val="false"/>
                  <w:dstrike w:val="false"/>
                  <w:color w:val="000000"/>
                  <w:sz w:val="19"/>
                  <w:u w:val="none"/>
                  <w:effect w:val="none"/>
                </w:rPr>
                <w:t>27</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82">
              <w:r>
                <w:rPr>
                  <w:rStyle w:val="InternetLink"/>
                  <w:rFonts w:ascii="Arial;sans-serif" w:hAnsi="Arial;sans-serif"/>
                  <w:b w:val="false"/>
                  <w:strike w:val="false"/>
                  <w:dstrike w:val="false"/>
                  <w:color w:val="000000"/>
                  <w:sz w:val="19"/>
                  <w:u w:val="none"/>
                  <w:effect w:val="none"/>
                </w:rPr>
                <w:t>Item 3. Quantitative and Qualitative Disclosures About Market Risk</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82">
              <w:r>
                <w:rPr>
                  <w:rStyle w:val="InternetLink"/>
                  <w:rFonts w:ascii="Arial;sans-serif" w:hAnsi="Arial;sans-serif"/>
                  <w:b w:val="false"/>
                  <w:strike w:val="false"/>
                  <w:dstrike w:val="false"/>
                  <w:color w:val="000000"/>
                  <w:sz w:val="19"/>
                  <w:u w:val="none"/>
                  <w:effect w:val="none"/>
                </w:rPr>
                <w:t>40</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85">
              <w:r>
                <w:rPr>
                  <w:rStyle w:val="InternetLink"/>
                  <w:rFonts w:ascii="Arial;sans-serif" w:hAnsi="Arial;sans-serif"/>
                  <w:b w:val="false"/>
                  <w:strike w:val="false"/>
                  <w:dstrike w:val="false"/>
                  <w:color w:val="000000"/>
                  <w:sz w:val="19"/>
                  <w:u w:val="none"/>
                  <w:effect w:val="none"/>
                </w:rPr>
                <w:t>Item 4. Controls and Procedures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85">
              <w:r>
                <w:rPr>
                  <w:rStyle w:val="InternetLink"/>
                  <w:rFonts w:ascii="Arial;sans-serif" w:hAnsi="Arial;sans-serif"/>
                  <w:b w:val="false"/>
                  <w:strike w:val="false"/>
                  <w:dstrike w:val="false"/>
                  <w:color w:val="000000"/>
                  <w:sz w:val="19"/>
                  <w:u w:val="none"/>
                  <w:effect w:val="none"/>
                </w:rPr>
                <w:t>41</w:t>
              </w:r>
            </w:hyperlink>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88">
              <w:r>
                <w:rPr>
                  <w:rStyle w:val="InternetLink"/>
                  <w:rFonts w:ascii="Arial;sans-serif" w:hAnsi="Arial;sans-serif"/>
                  <w:b/>
                  <w:strike w:val="false"/>
                  <w:dstrike w:val="false"/>
                  <w:color w:val="000000"/>
                  <w:sz w:val="19"/>
                  <w:u w:val="none"/>
                  <w:effect w:val="none"/>
                </w:rPr>
                <w:t>PART II OTHER INFORMATION</w:t>
              </w:r>
            </w:hyperlink>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91">
              <w:r>
                <w:rPr>
                  <w:rStyle w:val="InternetLink"/>
                  <w:rFonts w:ascii="Arial;sans-serif" w:hAnsi="Arial;sans-serif"/>
                  <w:b w:val="false"/>
                  <w:strike w:val="false"/>
                  <w:dstrike w:val="false"/>
                  <w:color w:val="000000"/>
                  <w:sz w:val="19"/>
                  <w:u w:val="none"/>
                  <w:effect w:val="none"/>
                </w:rPr>
                <w:t>Item 2. Unregistered Sales of Equity Securities and Use of Proceeds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91">
              <w:r>
                <w:rPr>
                  <w:rStyle w:val="InternetLink"/>
                  <w:rFonts w:ascii="Arial;sans-serif" w:hAnsi="Arial;sans-serif"/>
                  <w:b w:val="false"/>
                  <w:strike w:val="false"/>
                  <w:dstrike w:val="false"/>
                  <w:color w:val="000000"/>
                  <w:sz w:val="19"/>
                  <w:u w:val="none"/>
                  <w:effect w:val="none"/>
                </w:rPr>
                <w:t>42</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94">
              <w:r>
                <w:rPr>
                  <w:rStyle w:val="InternetLink"/>
                  <w:rFonts w:ascii="Arial;sans-serif" w:hAnsi="Arial;sans-serif"/>
                  <w:b w:val="false"/>
                  <w:strike w:val="false"/>
                  <w:dstrike w:val="false"/>
                  <w:color w:val="000000"/>
                  <w:sz w:val="19"/>
                  <w:u w:val="none"/>
                  <w:effect w:val="none"/>
                </w:rPr>
                <w:t>Item 6. Exhibits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94">
              <w:r>
                <w:rPr>
                  <w:rStyle w:val="InternetLink"/>
                  <w:rFonts w:ascii="Arial;sans-serif" w:hAnsi="Arial;sans-serif"/>
                  <w:b w:val="false"/>
                  <w:strike w:val="false"/>
                  <w:dstrike w:val="false"/>
                  <w:color w:val="000000"/>
                  <w:sz w:val="19"/>
                  <w:u w:val="none"/>
                  <w:effect w:val="none"/>
                </w:rPr>
                <w:t>42</w:t>
              </w:r>
            </w:hyperlink>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b9b8792561f04bed917bf5aef0eb1cb5_97">
              <w:r>
                <w:rPr>
                  <w:rStyle w:val="InternetLink"/>
                  <w:rFonts w:ascii="Arial;sans-serif" w:hAnsi="Arial;sans-serif"/>
                  <w:b w:val="false"/>
                  <w:strike w:val="false"/>
                  <w:dstrike w:val="false"/>
                  <w:color w:val="000000"/>
                  <w:sz w:val="19"/>
                  <w:u w:val="none"/>
                  <w:effect w:val="none"/>
                </w:rPr>
                <w:t>Signatures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9b8792561f04bed917bf5aef0eb1cb5_97">
              <w:r>
                <w:rPr>
                  <w:rStyle w:val="InternetLink"/>
                  <w:rFonts w:ascii="Arial;sans-serif" w:hAnsi="Arial;sans-serif"/>
                  <w:b w:val="false"/>
                  <w:strike w:val="false"/>
                  <w:dstrike w:val="false"/>
                  <w:color w:val="000000"/>
                  <w:sz w:val="19"/>
                  <w:u w:val="none"/>
                  <w:effect w:val="none"/>
                </w:rPr>
                <w:t>43</w:t>
              </w:r>
            </w:hyperlink>
          </w:p>
        </w:tc>
      </w:tr>
    </w:tbl>
    <w:p>
      <w:pPr>
        <w:pStyle w:val="TextBody"/>
        <w:bidi w:val="0"/>
        <w:spacing w:before="100" w:after="283"/>
        <w:jc w:val="center"/>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100" w:after="283"/>
        <w:jc w:val="center"/>
        <w:rPr>
          <w:rFonts w:ascii="Arial;sans-serif" w:hAnsi="Arial;sans-serif"/>
          <w:b/>
          <w:color w:val="000000"/>
          <w:sz w:val="24"/>
        </w:rPr>
      </w:pPr>
      <w:r>
        <w:rPr>
          <w:rFonts w:ascii="Arial;sans-serif" w:hAnsi="Arial;sans-serif"/>
          <w:b/>
          <w:color w:val="000000"/>
          <w:sz w:val="24"/>
        </w:rPr>
        <w:t>PART I. FINANCIAL INFORMATION</w:t>
      </w:r>
    </w:p>
    <w:p>
      <w:pPr>
        <w:pStyle w:val="TextBody"/>
        <w:bidi w:val="0"/>
        <w:spacing w:lineRule="auto" w:line="288" w:before="100" w:after="283"/>
        <w:jc w:val="left"/>
        <w:rPr/>
      </w:pPr>
      <w:r>
        <w:rPr>
          <w:rFonts w:ascii="Arial;sans-serif" w:hAnsi="Arial;sans-serif"/>
          <w:b/>
          <w:color w:val="000000"/>
          <w:sz w:val="20"/>
        </w:rPr>
        <w:t xml:space="preserve">Item 1. </w:t>
      </w:r>
      <w:r>
        <w:rPr>
          <w:rFonts w:ascii="Arial;sans-serif" w:hAnsi="Arial;sans-serif"/>
          <w:b/>
          <w:i/>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2913"/>
        <w:gridCol w:w="2187"/>
        <w:gridCol w:w="2140"/>
        <w:gridCol w:w="211"/>
        <w:gridCol w:w="976"/>
        <w:gridCol w:w="109"/>
        <w:gridCol w:w="109"/>
        <w:gridCol w:w="109"/>
        <w:gridCol w:w="109"/>
        <w:gridCol w:w="211"/>
        <w:gridCol w:w="976"/>
        <w:gridCol w:w="155"/>
      </w:tblGrid>
      <w:tr>
        <w:trPr/>
        <w:tc>
          <w:tcPr>
            <w:tcW w:w="2913"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1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w:t>
              <w:br/>
              <w:t>2025</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net of allowances of $7,737</w:t>
            </w:r>
            <w:r>
              <w:rPr>
                <w:color w:val="000000"/>
              </w:rPr>
              <w:t xml:space="preserve"> </w:t>
            </w:r>
            <w:r>
              <w:rPr>
                <w:rFonts w:ascii="Arial;sans-serif" w:hAnsi="Arial;sans-serif"/>
                <w:b w:val="false"/>
                <w:color w:val="000000"/>
                <w:sz w:val="18"/>
              </w:rPr>
              <w:t>and</w:t>
            </w:r>
            <w:r>
              <w:rPr>
                <w:color w:val="000000"/>
              </w:rPr>
              <w:t xml:space="preserve"> </w:t>
            </w:r>
            <w:r>
              <w:rPr>
                <w:rFonts w:ascii="Arial;sans-serif" w:hAnsi="Arial;sans-serif"/>
                <w:b w:val="false"/>
                <w:color w:val="000000"/>
                <w:sz w:val="18"/>
              </w:rPr>
              <w:t>$7,957,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502,606 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302,494 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83,951 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and website development costs,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1,968,144 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noncontrolling interests and shareholders’ deficit</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332,110 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current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758,662 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liabilities, non-current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2,531,590 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Commitments and contingencies (Note 12)</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noncontrolling interests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deficit:</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Ordinary shares, nominal value €0.01 per share, 100,000,000 shares authorized; 42,381,431 and 42,448,572 shares issued, respectively; 24,410,184 and 24,477,325 shares outstanding,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Treasury shares, at cost, 17,971,247 shares for both periods presented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(1,363,550)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592,315 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225,117 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loss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 attributable to Cimpress plc</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(530,729)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(583,490)</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Noncontrolling interests (Note 10)</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deficit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(530,028)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(582,503)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noncontrolling interests and shareholders’ deficit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2,094,367 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1,968,144 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607"/>
        <w:gridCol w:w="1101"/>
        <w:gridCol w:w="1117"/>
        <w:gridCol w:w="217"/>
        <w:gridCol w:w="1006"/>
        <w:gridCol w:w="112"/>
        <w:gridCol w:w="112"/>
        <w:gridCol w:w="112"/>
        <w:gridCol w:w="112"/>
        <w:gridCol w:w="221"/>
        <w:gridCol w:w="864"/>
        <w:gridCol w:w="112"/>
        <w:gridCol w:w="109"/>
        <w:gridCol w:w="109"/>
        <w:gridCol w:w="109"/>
        <w:gridCol w:w="211"/>
        <w:gridCol w:w="976"/>
        <w:gridCol w:w="109"/>
        <w:gridCol w:w="109"/>
        <w:gridCol w:w="109"/>
        <w:gridCol w:w="109"/>
        <w:gridCol w:w="211"/>
        <w:gridCol w:w="976"/>
        <w:gridCol w:w="109"/>
        <w:gridCol w:w="109"/>
        <w:gridCol w:w="157"/>
      </w:tblGrid>
      <w:tr>
        <w:trPr/>
        <w:tc>
          <w:tcPr>
            <w:tcW w:w="1607"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8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December 31, </w:t>
            </w:r>
          </w:p>
        </w:tc>
        <w:tc>
          <w:tcPr>
            <w:tcW w:w="266" w:type="dxa"/>
            <w:gridSpan w:val="2"/>
            <w:tcBorders/>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1,042,202 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939,159 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 (1)</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554,484 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489,256 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 (1)</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89,077 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 (1)</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246,161 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 (1)</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60,196 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 acquired intangible assets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expense</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88,096 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80,949 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62,827 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82,766 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Net (income) loss attributable to noncontrolling interests</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Cimpress plc</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49,344 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61,057 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net income per share attributable to Cimpress plc</w:t>
            </w:r>
          </w:p>
        </w:tc>
        <w:tc>
          <w:tcPr>
            <w:tcW w:w="2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net income per share attributable to Cimpress plc</w:t>
            </w:r>
          </w:p>
        </w:tc>
        <w:tc>
          <w:tcPr>
            <w:tcW w:w="2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1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basic</w:t>
            </w:r>
          </w:p>
        </w:tc>
        <w:tc>
          <w:tcPr>
            <w:tcW w:w="12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24,570,134 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24,965,612 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24,572,294 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25,066,729 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shares outstanding — diluted</w:t>
            </w:r>
          </w:p>
        </w:tc>
        <w:tc>
          <w:tcPr>
            <w:tcW w:w="122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25,299,521 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25,906,151 </w:t>
            </w:r>
          </w:p>
        </w:tc>
        <w:tc>
          <w:tcPr>
            <w:tcW w:w="11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25,175,631 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26,145,452 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____________________________________________</w:t>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(1) Share-based compensation expense is allocated as follows:</w:t>
      </w:r>
    </w:p>
    <w:tbl>
      <w:tblPr>
        <w:tblW w:w="9497" w:type="dxa"/>
        <w:jc w:val="center"/>
        <w:tblInd w:w="0" w:type="dxa"/>
        <w:tblLayout w:type="fixed"/>
        <w:tblCellMar>
          <w:top w:w="28" w:type="dxa"/>
          <w:left w:w="28" w:type="dxa"/>
          <w:bottom w:w="28" w:type="dxa"/>
          <w:right w:w="28" w:type="dxa"/>
        </w:tblCellMar>
      </w:tblPr>
      <w:tblGrid>
        <w:gridCol w:w="1193"/>
        <w:gridCol w:w="1048"/>
        <w:gridCol w:w="1058"/>
        <w:gridCol w:w="323"/>
        <w:gridCol w:w="714"/>
        <w:gridCol w:w="167"/>
        <w:gridCol w:w="167"/>
        <w:gridCol w:w="167"/>
        <w:gridCol w:w="167"/>
        <w:gridCol w:w="323"/>
        <w:gridCol w:w="714"/>
        <w:gridCol w:w="167"/>
        <w:gridCol w:w="109"/>
        <w:gridCol w:w="109"/>
        <w:gridCol w:w="109"/>
        <w:gridCol w:w="300"/>
        <w:gridCol w:w="662"/>
        <w:gridCol w:w="155"/>
        <w:gridCol w:w="155"/>
        <w:gridCol w:w="155"/>
        <w:gridCol w:w="155"/>
        <w:gridCol w:w="300"/>
        <w:gridCol w:w="662"/>
        <w:gridCol w:w="155"/>
        <w:gridCol w:w="109"/>
        <w:gridCol w:w="154"/>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Technology and development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Marketing and selling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COMPREHENSIVE INCOME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0205" w:type="dxa"/>
        <w:jc w:val="center"/>
        <w:tblInd w:w="0" w:type="dxa"/>
        <w:tblLayout w:type="fixed"/>
        <w:tblCellMar>
          <w:top w:w="28" w:type="dxa"/>
          <w:left w:w="28" w:type="dxa"/>
          <w:bottom w:w="28" w:type="dxa"/>
          <w:right w:w="28" w:type="dxa"/>
        </w:tblCellMar>
      </w:tblPr>
      <w:tblGrid>
        <w:gridCol w:w="1631"/>
        <w:gridCol w:w="1408"/>
        <w:gridCol w:w="1428"/>
        <w:gridCol w:w="229"/>
        <w:gridCol w:w="783"/>
        <w:gridCol w:w="118"/>
        <w:gridCol w:w="118"/>
        <w:gridCol w:w="118"/>
        <w:gridCol w:w="118"/>
        <w:gridCol w:w="229"/>
        <w:gridCol w:w="783"/>
        <w:gridCol w:w="118"/>
        <w:gridCol w:w="109"/>
        <w:gridCol w:w="109"/>
        <w:gridCol w:w="109"/>
        <w:gridCol w:w="221"/>
        <w:gridCol w:w="757"/>
        <w:gridCol w:w="114"/>
        <w:gridCol w:w="114"/>
        <w:gridCol w:w="114"/>
        <w:gridCol w:w="114"/>
        <w:gridCol w:w="221"/>
        <w:gridCol w:w="757"/>
        <w:gridCol w:w="114"/>
        <w:gridCol w:w="109"/>
        <w:gridCol w:w="162"/>
      </w:tblGrid>
      <w:tr>
        <w:trPr/>
        <w:tc>
          <w:tcPr>
            <w:tcW w:w="1631"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December 31, </w:t>
            </w:r>
          </w:p>
        </w:tc>
        <w:tc>
          <w:tcPr>
            <w:tcW w:w="271" w:type="dxa"/>
            <w:gridSpan w:val="2"/>
            <w:tcBorders/>
          </w:tcPr>
          <w:p>
            <w:pPr>
              <w:pStyle w:val="TableContents"/>
              <w:bidi w:val="0"/>
              <w:spacing w:before="0" w:after="283"/>
              <w:jc w:val="left"/>
              <w:rPr>
                <w:sz w:val="4"/>
                <w:szCs w:val="4"/>
              </w:rPr>
            </w:pPr>
            <w:r>
              <w:rPr>
                <w:sz w:val="4"/>
                <w:szCs w:val="4"/>
              </w:rPr>
            </w:r>
          </w:p>
        </w:tc>
      </w:tr>
      <w:tr>
        <w:trPr/>
        <w:tc>
          <w:tcPr>
            <w:tcW w:w="4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net of tax:</w:t>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gains (losses), net of hedges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(21,893)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unrealized gains (losses) on derivative instruments designated and qualifying as cash flow hedges</w:t>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 for derivative instruments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57,626 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33,433 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Comprehensive (income) loss attributable to noncontrolling interests</w:t>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comprehensive income attributable to Cimpress plc</w:t>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47,255 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58,211 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32,910 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00" w:after="283"/>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60" w:after="6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SHAREHOLDERS' DEFICIT</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tbl>
      <w:tblPr>
        <w:tblW w:w="12425"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09"/>
        <w:gridCol w:w="109"/>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43,051 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(30,364)</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(8,115)</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2024</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43,232 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573,192 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(32,160)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(570,989)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(21,300)</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2024</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42,789 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576,881 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(45,962)</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(554,468)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center"/>
        <w:rPr/>
      </w:pPr>
      <w:r>
        <w:rPr/>
      </w:r>
    </w:p>
    <w:tbl>
      <w:tblPr>
        <w:tblW w:w="12425" w:type="dxa"/>
        <w:jc w:val="center"/>
        <w:tblInd w:w="0" w:type="dxa"/>
        <w:tblLayout w:type="fixed"/>
        <w:tblCellMar>
          <w:top w:w="28" w:type="dxa"/>
          <w:left w:w="28" w:type="dxa"/>
          <w:bottom w:w="28" w:type="dxa"/>
          <w:right w:w="28" w:type="dxa"/>
        </w:tblCellMar>
      </w:tblPr>
      <w:tblGrid>
        <w:gridCol w:w="690"/>
        <w:gridCol w:w="225"/>
        <w:gridCol w:w="226"/>
        <w:gridCol w:w="323"/>
        <w:gridCol w:w="323"/>
        <w:gridCol w:w="201"/>
        <w:gridCol w:w="109"/>
        <w:gridCol w:w="109"/>
        <w:gridCol w:w="109"/>
        <w:gridCol w:w="196"/>
        <w:gridCol w:w="421"/>
        <w:gridCol w:w="109"/>
        <w:gridCol w:w="109"/>
        <w:gridCol w:w="109"/>
        <w:gridCol w:w="109"/>
        <w:gridCol w:w="109"/>
        <w:gridCol w:w="109"/>
        <w:gridCol w:w="109"/>
        <w:gridCol w:w="109"/>
        <w:gridCol w:w="339"/>
        <w:gridCol w:w="322"/>
        <w:gridCol w:w="201"/>
        <w:gridCol w:w="109"/>
        <w:gridCol w:w="109"/>
        <w:gridCol w:w="109"/>
        <w:gridCol w:w="196"/>
        <w:gridCol w:w="886"/>
        <w:gridCol w:w="109"/>
        <w:gridCol w:w="109"/>
        <w:gridCol w:w="109"/>
        <w:gridCol w:w="109"/>
        <w:gridCol w:w="196"/>
        <w:gridCol w:w="736"/>
        <w:gridCol w:w="109"/>
        <w:gridCol w:w="109"/>
        <w:gridCol w:w="109"/>
        <w:gridCol w:w="109"/>
        <w:gridCol w:w="196"/>
        <w:gridCol w:w="736"/>
        <w:gridCol w:w="109"/>
        <w:gridCol w:w="109"/>
        <w:gridCol w:w="109"/>
        <w:gridCol w:w="109"/>
        <w:gridCol w:w="222"/>
        <w:gridCol w:w="749"/>
        <w:gridCol w:w="125"/>
        <w:gridCol w:w="109"/>
        <w:gridCol w:w="109"/>
        <w:gridCol w:w="109"/>
        <w:gridCol w:w="196"/>
        <w:gridCol w:w="751"/>
        <w:gridCol w:w="109"/>
        <w:gridCol w:w="109"/>
        <w:gridCol w:w="109"/>
        <w:gridCol w:w="109"/>
        <w:gridCol w:w="109"/>
        <w:gridCol w:w="109"/>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Ordinary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Treasury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Shares</w:t>
              <w:br/>
              <w:t>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Number</w:t>
              <w:br/>
              <w:t>of</w:t>
              <w:br/>
              <w:t>Shares Issued</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Accumulated Other</w:t>
              <w:br/>
              <w:t>Comprehensive</w:t>
              <w:b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br/>
              <w:t>Shareholders’</w:t>
              <w:br/>
              <w:t>Deficit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June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42,449 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592,315 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(37,969)</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loss on derivative instruments designated and qualifying as cash flow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September 30,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42,639 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(38,925)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(571,256)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 of ordinary shares due to share option exercises,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 and cancellation of ordinary shares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(370)</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awards vested, net of shares withheld for taxes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attributable to Cimpress plc</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Redeemable noncontrolling interest accretion to redemption value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unrealized gain on derivative instruments designated and qualifying as cash flow hedges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currency translation, net of hedges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Balance at December 31,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(17,971)</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(1,363,550)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608,023 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(36,739)</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(530,729)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46"/>
        <w:gridCol w:w="2138"/>
        <w:gridCol w:w="2145"/>
        <w:gridCol w:w="215"/>
        <w:gridCol w:w="844"/>
        <w:gridCol w:w="111"/>
        <w:gridCol w:w="111"/>
        <w:gridCol w:w="111"/>
        <w:gridCol w:w="111"/>
        <w:gridCol w:w="215"/>
        <w:gridCol w:w="844"/>
        <w:gridCol w:w="111"/>
        <w:gridCol w:w="109"/>
        <w:gridCol w:w="109"/>
        <w:gridCol w:w="109"/>
        <w:gridCol w:w="109"/>
        <w:gridCol w:w="109"/>
        <w:gridCol w:w="158"/>
      </w:tblGrid>
      <w:tr>
        <w:trPr/>
        <w:tc>
          <w:tcPr>
            <w:tcW w:w="254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21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tcMar>
              <w:top w:w="0" w:type="dxa"/>
              <w:left w:w="0" w:type="dxa"/>
              <w:bottom w:w="0" w:type="dxa"/>
              <w:right w:w="0" w:type="dxa"/>
            </w:tcMar>
            <w:vAlign w:val="center"/>
          </w:tcPr>
          <w:p>
            <w:pPr>
              <w:pStyle w:val="TableContents"/>
              <w:bidi w:val="0"/>
              <w:spacing w:before="180" w:after="283"/>
              <w:jc w:val="center"/>
              <w:rPr/>
            </w:pPr>
            <w:r>
              <w:rPr/>
            </w:r>
          </w:p>
        </w:tc>
        <w:tc>
          <w:tcPr>
            <w:tcW w:w="2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6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73,236 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taxes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on early extinguishment of debt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Unrealized gain on derivatives not designated as hedging instruments included in net income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monetary assets and liabilities denominated in non-functional currency</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non-cash items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operating assets and liabilities, net of effects of businesses acquired:</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Inventory</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(22,830)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expenses and other liabilities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33,776 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Business acquisitions, net of cash acquired</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(10,401)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maturity of held-to-maturity investments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the settlement of derivatives designated as hedging instruments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(93,551)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issuance of 7.375% Senior Notes due 2032</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early redemption or purchase of 7.0% Senior Notes due 2026</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(522,135)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Proceeds from borrowings of debt </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41,191 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(49,156)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debt issuance costs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finance lease obligations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(22,633)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issuance of ordinary shares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ordinary shares</w:t>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(28,186)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(52,987)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of withholding taxes in connection with equity awards</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(10,332)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(71,621)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(94,076)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w:t>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cash equivalents</w:t>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24,056 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20,654 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period</w:t>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233,982 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203,775 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end of period</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258,038 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224,429 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See accompanying notes. </w:t>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w:t>
      </w:r>
    </w:p>
    <w:p>
      <w:pPr>
        <w:pStyle w:val="TextBody"/>
        <w:bidi w:val="0"/>
        <w:spacing w:before="0" w:after="0"/>
        <w:jc w:val="center"/>
        <w:rPr/>
      </w:pPr>
      <w:r>
        <w:rPr/>
      </w:r>
    </w:p>
    <w:tbl>
      <w:tblPr>
        <w:tblW w:w="8992" w:type="dxa"/>
        <w:jc w:val="center"/>
        <w:tblInd w:w="0" w:type="dxa"/>
        <w:tblLayout w:type="fixed"/>
        <w:tblCellMar>
          <w:top w:w="28" w:type="dxa"/>
          <w:left w:w="28" w:type="dxa"/>
          <w:bottom w:w="28" w:type="dxa"/>
          <w:right w:w="28" w:type="dxa"/>
        </w:tblCellMar>
      </w:tblPr>
      <w:tblGrid>
        <w:gridCol w:w="2028"/>
        <w:gridCol w:w="1782"/>
        <w:gridCol w:w="1785"/>
        <w:gridCol w:w="236"/>
        <w:gridCol w:w="808"/>
        <w:gridCol w:w="122"/>
        <w:gridCol w:w="122"/>
        <w:gridCol w:w="122"/>
        <w:gridCol w:w="122"/>
        <w:gridCol w:w="236"/>
        <w:gridCol w:w="808"/>
        <w:gridCol w:w="122"/>
        <w:gridCol w:w="109"/>
        <w:gridCol w:w="109"/>
        <w:gridCol w:w="109"/>
        <w:gridCol w:w="109"/>
        <w:gridCol w:w="109"/>
        <w:gridCol w:w="154"/>
      </w:tblGrid>
      <w:tr>
        <w:trPr/>
        <w:tc>
          <w:tcPr>
            <w:tcW w:w="2028"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Six Months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disclosures of cash flow information</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interest</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received for interest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paid for income taxes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21,636 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11,386 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Non-cash investing and financing activities</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acquired under finance leases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property, plant and equipment</w:t>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accrued related to capitalized software development costs</w:t>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CIMPRESS PLC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 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1. Description of the Business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pPr>
      <w:r>
        <w:rPr>
          <w:rFonts w:ascii="Arial;sans-serif" w:hAnsi="Arial;sans-serif"/>
          <w:b/>
          <w:color w:val="000000"/>
          <w:sz w:val="20"/>
        </w:rPr>
        <w:t>2.</w:t>
      </w:r>
      <w:r>
        <w:rPr>
          <w:color w:val="000000"/>
        </w:rPr>
        <w:t xml:space="preserve"> </w:t>
      </w:r>
      <w:r>
        <w:rPr>
          <w:rFonts w:ascii="Arial;sans-serif" w:hAnsi="Arial;sans-serif"/>
          <w:b/>
          <w:color w:val="000000"/>
          <w:sz w:val="20"/>
        </w:rPr>
        <w:t>Summary of Significant Accounting Policies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financial statements include the accounts of Cimpress plc, its wholly owned subsidiaries, and entities in which we maintain a controlling financial interest. Intercompany balances and transactions have been eliminated. Investments in entities in which we cannot exercise significant influence, and for which the related equity securities do not have a readily determinable fair value, are included in other assets on the consolidated balance sheets; otherwise the investments are recognized by applying equity method accounting. Our equity method investments are included in other assets on the consolidated balance sheets.</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U.S. generally accepted accounting principles (“GAAP”) requires management to make estimates and assumptions that affect the amounts reported in the consolidated financial statements and accompanying notes. We believe our most significant estimates are associated with the ongoing evaluation of the recoverability of our long-lived assets and goodwill, estimated useful lives of assets, share-based compensation, and income taxes and related valuation allowances, among others. By their nature, estimates are subject to an inherent degree of uncertainty. Actual results could differ from those estimates.</w:t>
      </w:r>
    </w:p>
    <w:p>
      <w:pPr>
        <w:pStyle w:val="TextBody"/>
        <w:bidi w:val="0"/>
        <w:spacing w:before="0" w:after="0"/>
        <w:jc w:val="left"/>
        <w:rPr/>
      </w:pPr>
      <w:r>
        <w:rPr/>
      </w:r>
    </w:p>
    <w:p>
      <w:pPr>
        <w:pStyle w:val="TextBody"/>
        <w:bidi w:val="0"/>
        <w:spacing w:lineRule="auto" w:line="288" w:before="0" w:after="100"/>
        <w:jc w:val="left"/>
        <w:rPr>
          <w:rFonts w:ascii="Arial;sans-serif" w:hAnsi="Arial;sans-serif"/>
          <w:b/>
          <w:color w:val="000000"/>
          <w:sz w:val="20"/>
        </w:rPr>
      </w:pPr>
      <w:r>
        <w:rPr>
          <w:rFonts w:ascii="Arial;sans-serif" w:hAnsi="Arial;sans-serif"/>
          <w:b/>
          <w:color w:val="000000"/>
          <w:sz w:val="20"/>
        </w:rPr>
        <w:t>Ordinary Shares</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six months ended December 31, 2025, we repurchased 414,711 of our ordinary shares on the open market for $28,186. The repurchased shares were immediately cancelled after repurchase and therefore have been classified as authorized and unissued shares as of December 31, 2025.</w:t>
      </w:r>
    </w:p>
    <w:p>
      <w:pPr>
        <w:pStyle w:val="TextBody"/>
        <w:bidi w:val="0"/>
        <w:spacing w:lineRule="auto" w:line="288" w:before="200" w:after="100"/>
        <w:jc w:val="left"/>
        <w:rPr>
          <w:rFonts w:ascii="Arial;sans-serif" w:hAnsi="Arial;sans-serif"/>
          <w:b/>
          <w:color w:val="000000"/>
          <w:sz w:val="20"/>
        </w:rPr>
      </w:pPr>
      <w:r>
        <w:rPr>
          <w:rFonts w:ascii="Arial;sans-serif" w:hAnsi="Arial;sans-serif"/>
          <w:b/>
          <w:color w:val="000000"/>
          <w:sz w:val="20"/>
        </w:rPr>
        <w:t>Subsidiary Equity Option Awards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During the second quarter of fiscal 2025, we granted subsidiary-level option awards, which provide the founders of one of our businesses with the option to purchase a 5.25% minority equity interest in each of the principal businesses that are included in our PrintBrothers reportable segment. No material expense was recognized for any period presented.</w:t>
      </w:r>
    </w:p>
    <w:p>
      <w:pPr>
        <w:pStyle w:val="TextBody"/>
        <w:bidi w:val="0"/>
        <w:spacing w:lineRule="auto" w:line="288" w:before="100" w:after="200"/>
        <w:jc w:val="left"/>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the components of other income, net.</w:t>
      </w:r>
    </w:p>
    <w:tbl>
      <w:tblPr>
        <w:tblW w:w="10205" w:type="dxa"/>
        <w:jc w:val="center"/>
        <w:tblInd w:w="0" w:type="dxa"/>
        <w:tblLayout w:type="fixed"/>
        <w:tblCellMar>
          <w:top w:w="28" w:type="dxa"/>
          <w:left w:w="28" w:type="dxa"/>
          <w:bottom w:w="28" w:type="dxa"/>
          <w:right w:w="28" w:type="dxa"/>
        </w:tblCellMar>
      </w:tblPr>
      <w:tblGrid>
        <w:gridCol w:w="1814"/>
        <w:gridCol w:w="1562"/>
        <w:gridCol w:w="1571"/>
        <w:gridCol w:w="216"/>
        <w:gridCol w:w="631"/>
        <w:gridCol w:w="111"/>
        <w:gridCol w:w="111"/>
        <w:gridCol w:w="111"/>
        <w:gridCol w:w="111"/>
        <w:gridCol w:w="216"/>
        <w:gridCol w:w="739"/>
        <w:gridCol w:w="111"/>
        <w:gridCol w:w="109"/>
        <w:gridCol w:w="109"/>
        <w:gridCol w:w="109"/>
        <w:gridCol w:w="211"/>
        <w:gridCol w:w="616"/>
        <w:gridCol w:w="109"/>
        <w:gridCol w:w="109"/>
        <w:gridCol w:w="109"/>
        <w:gridCol w:w="109"/>
        <w:gridCol w:w="211"/>
        <w:gridCol w:w="721"/>
        <w:gridCol w:w="109"/>
        <w:gridCol w:w="109"/>
        <w:gridCol w:w="161"/>
      </w:tblGrid>
      <w:tr>
        <w:trPr/>
        <w:tc>
          <w:tcPr>
            <w:tcW w:w="1814"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70" w:type="dxa"/>
            <w:gridSpan w:val="2"/>
            <w:tcBorders/>
          </w:tcPr>
          <w:p>
            <w:pPr>
              <w:pStyle w:val="TableContents"/>
              <w:bidi w:val="0"/>
              <w:spacing w:before="0" w:after="283"/>
              <w:jc w:val="left"/>
              <w:rPr>
                <w:sz w:val="4"/>
                <w:szCs w:val="4"/>
              </w:rPr>
            </w:pPr>
            <w:r>
              <w:rPr>
                <w:sz w:val="4"/>
                <w:szCs w:val="4"/>
              </w:rPr>
            </w:r>
          </w:p>
        </w:tc>
      </w:tr>
      <w:tr>
        <w:trPr/>
        <w:tc>
          <w:tcPr>
            <w:tcW w:w="4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derivatives not designated as hedging instruments (1)</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Currency-related (losses) gains, net (2)</w:t>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gains</w:t>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 xml:space="preserve">(1) Includes realized and unrealized gains and losses on derivative currency forward and option contracts not designated as hedging instruments. For contracts not designated as hedging instruments, we realized losses of $4,546 and $7,238 for the three and six months ended December 31, 2025, respectively, and gains of $2,981 and $749 for the three and six months ended December 31,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Refer to Note 4 for additional details relating to our derivative contracts.</w:t>
      </w:r>
    </w:p>
    <w:p>
      <w:pPr>
        <w:pStyle w:val="TextBody"/>
        <w:bidi w:val="0"/>
        <w:spacing w:lineRule="auto" w:line="288" w:before="100" w:after="283"/>
        <w:ind w:left="0" w:right="0" w:hanging="270"/>
        <w:jc w:val="left"/>
        <w:rPr>
          <w:rFonts w:ascii="Arial;sans-serif" w:hAnsi="Arial;sans-serif"/>
          <w:b w:val="false"/>
          <w:color w:val="000000"/>
          <w:sz w:val="16"/>
        </w:rPr>
      </w:pPr>
      <w:r>
        <w:rPr>
          <w:rFonts w:ascii="Arial;sans-serif" w:hAnsi="Arial;sans-serif"/>
          <w:b w:val="false"/>
          <w:color w:val="000000"/>
          <w:sz w:val="16"/>
        </w:rPr>
        <w:t>(2) Currency-related (losses) gains, net primarily relates to significant non-functional currency intercompany financing relationships that we may change at times and are subject to currency exchange rate volatility.</w:t>
      </w:r>
    </w:p>
    <w:p>
      <w:pPr>
        <w:pStyle w:val="TextBody"/>
        <w:bidi w:val="0"/>
        <w:spacing w:lineRule="auto" w:line="288" w:before="100" w:after="200"/>
        <w:ind w:left="0" w:right="0" w:hanging="270"/>
        <w:jc w:val="left"/>
        <w:rPr>
          <w:rFonts w:ascii="Arial;sans-serif" w:hAnsi="Arial;sans-serif"/>
          <w:b/>
          <w:color w:val="000000"/>
          <w:sz w:val="20"/>
        </w:rPr>
      </w:pPr>
      <w:r>
        <w:rPr>
          <w:rFonts w:ascii="Arial;sans-serif" w:hAnsi="Arial;sans-serif"/>
          <w:b/>
          <w:color w:val="000000"/>
          <w:sz w:val="20"/>
        </w:rPr>
        <w:t>Net Income Per Share Attributable to Cimpress plc</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Basic net income per share attributable to Cimpress plc is computed by dividing net income attributable to Cimpress plc by the weighted-average number of ordinary shares outstanding for the respective period. Diluted net income per share attributable to Cimpress plc gives effect to all potentially dilutive securities, including share options, restricted share units (“RSUs”), performance share units ("PSUs"), and warrants, if the effect of the securities is dilutive using the treasury stock method. Awards with performance or market conditions are included using the treasury stock method only if the conditions would have been met as of the end of the reporting period and their effect is dilutive.</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the reconciliation of the weighted-average number of ordinary shares.</w:t>
      </w:r>
    </w:p>
    <w:tbl>
      <w:tblPr>
        <w:tblW w:w="10205" w:type="dxa"/>
        <w:jc w:val="left"/>
        <w:tblInd w:w="0" w:type="dxa"/>
        <w:tblLayout w:type="fixed"/>
        <w:tblCellMar>
          <w:top w:w="28" w:type="dxa"/>
          <w:left w:w="28" w:type="dxa"/>
          <w:bottom w:w="28" w:type="dxa"/>
          <w:right w:w="28" w:type="dxa"/>
        </w:tblCellMar>
      </w:tblPr>
      <w:tblGrid>
        <w:gridCol w:w="1375"/>
        <w:gridCol w:w="1207"/>
        <w:gridCol w:w="1210"/>
        <w:gridCol w:w="684"/>
        <w:gridCol w:w="397"/>
        <w:gridCol w:w="152"/>
        <w:gridCol w:w="152"/>
        <w:gridCol w:w="152"/>
        <w:gridCol w:w="152"/>
        <w:gridCol w:w="684"/>
        <w:gridCol w:w="397"/>
        <w:gridCol w:w="152"/>
        <w:gridCol w:w="109"/>
        <w:gridCol w:w="109"/>
        <w:gridCol w:w="109"/>
        <w:gridCol w:w="684"/>
        <w:gridCol w:w="397"/>
        <w:gridCol w:w="147"/>
        <w:gridCol w:w="147"/>
        <w:gridCol w:w="147"/>
        <w:gridCol w:w="147"/>
        <w:gridCol w:w="684"/>
        <w:gridCol w:w="397"/>
        <w:gridCol w:w="147"/>
        <w:gridCol w:w="109"/>
        <w:gridCol w:w="158"/>
      </w:tblGrid>
      <w:tr>
        <w:trPr/>
        <w:tc>
          <w:tcPr>
            <w:tcW w:w="1375"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7" w:type="dxa"/>
            <w:gridSpan w:val="2"/>
            <w:tcBorders/>
          </w:tcPr>
          <w:p>
            <w:pPr>
              <w:pStyle w:val="TableContents"/>
              <w:bidi w:val="0"/>
              <w:spacing w:before="0" w:after="283"/>
              <w:jc w:val="left"/>
              <w:rPr>
                <w:sz w:val="4"/>
                <w:szCs w:val="4"/>
              </w:rPr>
            </w:pPr>
            <w:r>
              <w:rPr>
                <w:sz w:val="4"/>
                <w:szCs w:val="4"/>
              </w:rPr>
            </w:r>
          </w:p>
        </w:tc>
      </w:tr>
      <w:tr>
        <w:trPr/>
        <w:tc>
          <w:tcPr>
            <w:tcW w:w="37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Weighted-average shares outstanding, basic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24,570,134 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24,965,612 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24,572,294 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25,066,729 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issuable upon exercise/vesting of outstanding share options/PSUs/RSUs/warrants (1)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729,387 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940,539 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603,337 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1,078,723 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Shares used in computing diluted net income per share attributable to Cimpress plc</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25,299,521 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25,906,151 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25,175,631 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26,145,452 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anti-dilutive shares excluded from diluted net income per share attributable to Cimpress plc (1)</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627,747 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299,877 </w:t>
            </w:r>
          </w:p>
        </w:tc>
        <w:tc>
          <w:tcPr>
            <w:tcW w:w="15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1,291,495 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153,799 </w:t>
            </w:r>
          </w:p>
        </w:tc>
        <w:tc>
          <w:tcPr>
            <w:tcW w:w="1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On May 1, 2020, we entered into a financing arrangement which included 7-year warrants to purchase 1,055,377 of our ordinary shares with a strike price of $60 that have a potentially dilutive impact on our weighted-average shares outstanding. For the three months ended December 31, 2025 and 2024, as well as the six months ended December 31, 2024, the average market price of our ordinary shares was higher than the strike price of the warrants; therefore, the warrants are considered dilutive in the amounts of 121,970, 248,156 and 294,657, respectively. The weighted-average anti-dilutive effect of the warrants for the six months ended December 31, 2025 was 527,689, due to the average share price being below the strike price during the period.</w:t>
      </w:r>
    </w:p>
    <w:p>
      <w:pPr>
        <w:pStyle w:val="TextBody"/>
        <w:bidi w:val="0"/>
        <w:spacing w:before="0" w:after="0"/>
        <w:jc w:val="left"/>
        <w:rPr/>
      </w:pPr>
      <w:r>
        <w:rPr/>
      </w:r>
    </w:p>
    <w:p>
      <w:pPr>
        <w:pStyle w:val="TextBody"/>
        <w:bidi w:val="0"/>
        <w:spacing w:lineRule="auto" w:line="288" w:before="0" w:after="200"/>
        <w:jc w:val="left"/>
        <w:rPr>
          <w:rFonts w:ascii="Arial;sans-serif" w:hAnsi="Arial;sans-serif"/>
          <w:b/>
          <w:color w:val="000000"/>
          <w:sz w:val="20"/>
        </w:rPr>
      </w:pPr>
      <w:r>
        <w:rPr>
          <w:rFonts w:ascii="Arial;sans-serif" w:hAnsi="Arial;sans-serif"/>
          <w:b/>
          <w:color w:val="000000"/>
          <w:sz w:val="20"/>
        </w:rPr>
        <w:t>Recently Issued or Adopted Accounting Pronouncements</w:t>
      </w:r>
    </w:p>
    <w:p>
      <w:pPr>
        <w:pStyle w:val="TextBody"/>
        <w:bidi w:val="0"/>
        <w:spacing w:lineRule="auto" w:line="288" w:before="0" w:after="200"/>
        <w:jc w:val="left"/>
        <w:rPr>
          <w:rFonts w:ascii="Arial;sans-serif" w:hAnsi="Arial;sans-serif"/>
          <w:b w:val="false"/>
          <w:i/>
          <w:color w:val="000000"/>
          <w:sz w:val="20"/>
        </w:rPr>
      </w:pPr>
      <w:r>
        <w:rPr>
          <w:rFonts w:ascii="Arial;sans-serif" w:hAnsi="Arial;sans-serif"/>
          <w:b w:val="false"/>
          <w:i/>
          <w:color w:val="000000"/>
          <w:sz w:val="20"/>
        </w:rPr>
        <w:t xml:space="preserve">Accounting Standards to be Adopted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November 2025, the Financial Accounting Standards Board ("FASB") issued Accounting Standards Update No. 2025-09 "Derivatives and Hedging (Topic 815): Hedge Accounting Improvements" (ASU 2025-09), which more closely aligns hedge accounting with the economics of an entity’s risk management activities. The standard will be effective starting with our annual report for the fiscal year ending June 30, 2028, as well as each interim period within that fiscal year. Early adoption is permitted, but we do not intend to early adopt this standard. We do not expect the adoption of this standard to have a material impact on our consolidated financial statements.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September 2025, the FASB issued Accounting Standards Update No. 2025-06 "Intangibles - Goodwill and Other - Internal-Use Software (Subtopic 350-40): Targeted Improvements to the Accounting for Internal-Use Software" (ASU 2025-06), which modernizes the accounting guidance for internal-use software costs and requires capitalization of software costs to begin when (1) management has authorized and committed to funding the software project and (2) it is probable that the project will be completed and the software will be used to perform the function intended. The standard will be effective starting with our annual report for the fiscal year ending June 30, 2029, as well as each interim period within that fiscal year. Early adoption is permitted, but we do not intend to early adopt this standard. We do not expect the adoption of this standard to have a material impact on our consolidated financial statements.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November 2024, the FASB issued Accounting Standards Update No. 2024-03 "Income Statement (Subtopic 220-40): Disaggregation of Income Statement Expenses" (ASU 2024-03), which requires disaggregated disclosure of income statement expenses into specified categories. The expanded disclosure requirements will be effective starting with our annual report for the fiscal year ending June 30, 2028, as well as each interim period thereafter. Early adoption is permitted, but we do not intend to early adopt this standard.</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December 2023, the FASB issued Accounting Standards Update No. 2023-09 "Income Taxes (Topic 740): Improvements to Income Tax Disclosures" (ASU 2023-09), which provides authoritative guidance about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310"/>
                <wp:effectExtent l="0" t="0" r="0" b="0"/>
                <wp:wrapNone/>
                <wp:docPr id="11" name="Frame1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expanded annual disclosure requirements for the income tax rate reconciliation and income taxes paid by jurisdiction. The expanded disclosure requirements will be effective starting with our annual report for the fiscal year ending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3. Fair Value Measurements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use a three-level valuation hierarchy for measuring fair value and include detailed financial statement disclosures about fair value measurements. The valuation hierarchy is based upon the transparency of inputs to the valuation of an asset or liability as of the measurement date. The three levels are defined as follows: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1:</w:t>
      </w:r>
      <w:r>
        <w:rPr>
          <w:color w:val="000000"/>
        </w:rPr>
        <w:t xml:space="preserve"> </w:t>
      </w:r>
      <w:r>
        <w:rPr>
          <w:rFonts w:ascii="Arial;sans-serif" w:hAnsi="Arial;sans-serif"/>
          <w:b w:val="false"/>
          <w:color w:val="000000"/>
          <w:sz w:val="20"/>
        </w:rPr>
        <w:t>Inputs to the valuation methodology are quoted prices (unadjusted) for identical assets or liabilities in active markets.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2:</w:t>
      </w:r>
      <w:r>
        <w:rPr>
          <w:color w:val="000000"/>
        </w:rPr>
        <w:t xml:space="preserve"> </w:t>
      </w:r>
      <w:r>
        <w:rPr>
          <w:rFonts w:ascii="Arial;sans-serif" w:hAnsi="Arial;sans-serif"/>
          <w:b w:val="false"/>
          <w:color w:val="000000"/>
          <w:sz w:val="20"/>
        </w:rPr>
        <w:t>Inputs to the valuation methodology include quoted prices for similar assets and liabilities in active markets, quoted prices for identical or similar assets in markets that are not active and inputs that are observable for the asset or liability, either directly or indirectly, for substantially the full term of the financial instrument.</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Level 3:</w:t>
      </w:r>
      <w:r>
        <w:rPr>
          <w:color w:val="000000"/>
        </w:rPr>
        <w:t xml:space="preserve"> </w:t>
      </w:r>
      <w:r>
        <w:rPr>
          <w:rFonts w:ascii="Arial;sans-serif" w:hAnsi="Arial;sans-serif"/>
          <w:b w:val="false"/>
          <w:color w:val="000000"/>
          <w:sz w:val="20"/>
        </w:rPr>
        <w:t>Inputs to the valuation methodology are unobservable and significant to the fair value measurement.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 financial instrument’s categorization within the valuation hierarchy is based upon the lowest level of input that is significant to the fair value measurement. The following tables summarize our assets and liabilities that are measured at fair value on a recurring basis and are categorized using the fair value hierarchy.</w:t>
      </w:r>
    </w:p>
    <w:tbl>
      <w:tblPr>
        <w:tblW w:w="8638" w:type="dxa"/>
        <w:jc w:val="left"/>
        <w:tblInd w:w="0" w:type="dxa"/>
        <w:tblLayout w:type="fixed"/>
        <w:tblCellMar>
          <w:top w:w="28" w:type="dxa"/>
          <w:left w:w="28" w:type="dxa"/>
          <w:bottom w:w="28" w:type="dxa"/>
          <w:right w:w="28" w:type="dxa"/>
        </w:tblCellMar>
      </w:tblPr>
      <w:tblGrid>
        <w:gridCol w:w="1104"/>
        <w:gridCol w:w="972"/>
        <w:gridCol w:w="984"/>
        <w:gridCol w:w="211"/>
        <w:gridCol w:w="796"/>
        <w:gridCol w:w="109"/>
        <w:gridCol w:w="109"/>
        <w:gridCol w:w="109"/>
        <w:gridCol w:w="109"/>
        <w:gridCol w:w="344"/>
        <w:gridCol w:w="663"/>
        <w:gridCol w:w="178"/>
        <w:gridCol w:w="109"/>
        <w:gridCol w:w="109"/>
        <w:gridCol w:w="109"/>
        <w:gridCol w:w="241"/>
        <w:gridCol w:w="910"/>
        <w:gridCol w:w="124"/>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7,838 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8,964 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(30,574)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(20,978)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(56,366)</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38" w:type="dxa"/>
        <w:jc w:val="left"/>
        <w:tblInd w:w="0" w:type="dxa"/>
        <w:tblLayout w:type="fixed"/>
        <w:tblCellMar>
          <w:top w:w="28" w:type="dxa"/>
          <w:left w:w="28" w:type="dxa"/>
          <w:bottom w:w="28" w:type="dxa"/>
          <w:right w:w="28" w:type="dxa"/>
        </w:tblCellMar>
      </w:tblPr>
      <w:tblGrid>
        <w:gridCol w:w="1104"/>
        <w:gridCol w:w="972"/>
        <w:gridCol w:w="984"/>
        <w:gridCol w:w="211"/>
        <w:gridCol w:w="796"/>
        <w:gridCol w:w="109"/>
        <w:gridCol w:w="109"/>
        <w:gridCol w:w="109"/>
        <w:gridCol w:w="109"/>
        <w:gridCol w:w="344"/>
        <w:gridCol w:w="663"/>
        <w:gridCol w:w="178"/>
        <w:gridCol w:w="109"/>
        <w:gridCol w:w="109"/>
        <w:gridCol w:w="109"/>
        <w:gridCol w:w="241"/>
        <w:gridCol w:w="910"/>
        <w:gridCol w:w="124"/>
        <w:gridCol w:w="109"/>
        <w:gridCol w:w="109"/>
        <w:gridCol w:w="109"/>
        <w:gridCol w:w="279"/>
        <w:gridCol w:w="537"/>
        <w:gridCol w:w="205"/>
      </w:tblGrid>
      <w:tr>
        <w:trPr/>
        <w:tc>
          <w:tcPr>
            <w:tcW w:w="11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57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Quoted Prices in</w:t>
              <w:br/>
              <w:t>Active</w:t>
              <w:br/>
              <w:t>Markets for</w:t>
              <w:br/>
              <w:t>Identical 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 Other</w:t>
              <w:br/>
              <w:t>Observable 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Significant</w:t>
              <w:br/>
              <w:t>Unobservable</w:t>
              <w:br/>
              <w:t>Inputs</w:t>
              <w:br/>
              <w:t>(Level 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 contracts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recorded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 contracts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(31,982)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(32,529)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option contracts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(5,801)</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recorded at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(70,312)</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six months ended December 31, 2025 and year ended June 30, 2025, there were no significant transfers in or out of Level 1, Level 2, and Level 3 classifications.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310"/>
                <wp:effectExtent l="0" t="0" r="0" b="0"/>
                <wp:wrapNone/>
                <wp:docPr id="12" name="Frame1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valuations of the derivatives intended to mitigate our interest rate and currency risks are determined using widely accepted valuation techniques, including discounted cash flow analysis on the expected cash flows of each instrument. This analysis utilizes observable market-based inputs, including interest rate curves, interest rate volatility, or spot and forward exchange rates, and reflects the contractual terms of these instruments, including the period to maturity. In the fair value measurements, we incorporate credit valuation adjustments to appropriately reflect both our own nonperformance risk and the respective counterparties' nonperformance risk, and in doing so, we have considered the impact of netting and any applicable credit enhancements.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Although we have determined that the majority of the inputs used to value our derivatives fall within Level 2 of the fair value hierarchy, the credit valuation adjustments associated with our derivatives utilize Level 3 inputs, such as estimates of current credit spreads, to appropriately reflect both our own nonperformance risk and the respective counterparties' nonperformance risk in the fair value measurement. However, as of December 31, 2025, we have assessed the impact of the credit valuation adjustments and determined that it is not significant to the overall valuation of our derivatives and, as a result, that our derivative valuations in their entirety are classified in Level 2 in the fair value hierarchy.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December 31, 2025 and June 30, 2025, the carrying amounts of our cash and cash equivalents, accounts receivable, accounts payable, and other current liabilities approximated their estimated fair values. As of December 31, 2025 and June 30, 2025, the carrying value of our debt, excluding debt issuance costs and debt premiums and discounts, was $1,607,907 and $1,604,513, respectively, and the fair value was $1,621,354 and $1,582,599, respectively. Our debt at December 31, 2025 includes variable-rate debt instruments indexed to Term SOFR that reset periodically, as well as fixed-rate debt instruments. The estimated fair value of our debt was determined using available market information based on recent trades or activity of debt instruments with substantially similar risks, terms and maturities, which fall within Level 2 under the fair value hierarchy.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estimated fair value of assets and liabilities disclosed above may not be representative of actual values that could have been or will be realized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4. Derivative Financial Instruments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We use derivative financial instruments, such as interest rate swap contracts, cross-currency swap contracts, and currency forward and option contracts, to manage interest rate and foreign currency exposures. Derivatives are recorded in the consolidated balance sheets at fair value. If a derivative is designated as a cash flow hedge or net investment hedge, then the change in the fair value of the derivative is recorded in accumulated other comprehensive loss and subsequently reclassified into earnings in the period the hedged forecasted transaction affects earnings. We previously had designated an intercompany loan as a net investment hedge, and any unrealized currency gains and losses on the loan are recorded in accumulated other comprehensive loss. Additionally, any ineffectiveness associated with an effective and designated hedge is recognized within accumulated other comprehensive loss. The change in the fair value of derivatives not designated as hedges is recognized directly in earnings as a component of other income, net.</w:t>
      </w:r>
    </w:p>
    <w:p>
      <w:pPr>
        <w:pStyle w:val="TextBody"/>
        <w:bidi w:val="0"/>
        <w:spacing w:lineRule="auto" w:line="288" w:before="200" w:after="200"/>
        <w:jc w:val="both"/>
        <w:rPr>
          <w:rFonts w:ascii="Arial;sans-serif" w:hAnsi="Arial;sans-serif"/>
          <w:b/>
          <w:color w:val="000000"/>
          <w:sz w:val="20"/>
        </w:rPr>
      </w:pPr>
      <w:r>
        <w:rPr>
          <w:rFonts w:ascii="Arial;sans-serif" w:hAnsi="Arial;sans-serif"/>
          <w:b/>
          <w:color w:val="000000"/>
          <w:sz w:val="20"/>
        </w:rPr>
        <w:t>Hedges of Interest Rate Risk</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enter into interest rate swap contracts to manage variability in the amount of our known or expected cash payments related to a portion of our debt. Our objective in using interest rate swaps is to add stability to interest expense and manage our exposure to interest rate movements. We designate our interest rate swaps as cash flow hedges. Interest rate swaps designated as cash flow hedges involve the receipt of variable amounts from a counterparty in exchange for us making fixed-rate payments over the life of the contract agreements without exchange of the underlying notional amount. Realized gains or losses from interest rate swaps are recorded in earnings as a component of interest expense, net. Amounts reported in accumulated other comprehensive loss related to interest rate swap contracts will be reclassified to interest expense, net as interest payments are accrued or made on our variable-rate debt.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December 31, 2025, we estimate that $3,393 of income will be reclassified from accumulated other comprehensive loss to interest expense, net during the twelve months ending December 31, 2026. As of December 31, 2025, we had six effective outstanding interest rate swap contracts that were indexed to Term or Daily SOFR. Our interest rate swap contracts have varying start and maturity dates through April 2028.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310"/>
                <wp:effectExtent l="0" t="0" r="0" b="0"/>
                <wp:wrapNone/>
                <wp:docPr id="13" name="Frame1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left"/>
        <w:rPr/>
      </w:pPr>
      <w:r>
        <w:rPr/>
      </w:r>
    </w:p>
    <w:tbl>
      <w:tblPr>
        <w:tblW w:w="6595" w:type="dxa"/>
        <w:jc w:val="center"/>
        <w:tblInd w:w="0" w:type="dxa"/>
        <w:tblLayout w:type="fixed"/>
        <w:tblCellMar>
          <w:top w:w="28" w:type="dxa"/>
          <w:left w:w="28" w:type="dxa"/>
          <w:bottom w:w="28" w:type="dxa"/>
          <w:right w:w="28" w:type="dxa"/>
        </w:tblCellMar>
      </w:tblPr>
      <w:tblGrid>
        <w:gridCol w:w="1690"/>
        <w:gridCol w:w="1485"/>
        <w:gridCol w:w="1489"/>
        <w:gridCol w:w="109"/>
        <w:gridCol w:w="109"/>
        <w:gridCol w:w="109"/>
        <w:gridCol w:w="284"/>
        <w:gridCol w:w="1113"/>
        <w:gridCol w:w="207"/>
      </w:tblGrid>
      <w:tr>
        <w:trPr/>
        <w:tc>
          <w:tcPr>
            <w:tcW w:w="1690"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Interest rate swap contracts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Amounts</w:t>
            </w:r>
          </w:p>
        </w:tc>
      </w:tr>
      <w:tr>
        <w:trPr/>
        <w:tc>
          <w:tcPr>
            <w:tcW w:w="4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Contracts accruing interest as of December 31, 2025 (1)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250,000 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Contracts with a future start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180,000 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430,000 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Based on contracts outstanding as of December 31, 2025, the notional value of our contracted interest rate swaps accruing interest will fluctuate between $250,000 and $380,000 through April 2028 based on layered start dates and maturities.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 xml:space="preserve">Hedges of Currency Risk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Cross-Currency Swap Contracts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execute cross-currency swap contracts designated as net investment hedges. Cross-currency swaps involve an initial receipt of the notional amount in the hedged currency in exchange for our reporting currency based on a contracted exchange rate. Subsequently, we receive fixed rate payments in our reporting currency in exchange for fixed rate payments in the hedged currency over the life of the contract. At maturity, the final exchange involves the receipt of our reporting currency in exchange for the notional amount in the hedged currency.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Cross-currency swap contracts designated as net investment hedges are executed to mitigate our currency exposure of net investments in subsidiaries that have reporting currencies other than the U.S. dollar. As of December 31, 2025, we had one outstanding cross-currency swap contract designated as a net investment hedge with a total notional amount of $254,547, maturing during September 2028. We entered into the cross-currency swap contract to hedge the risk of changes in the U.S. dollar equivalent value of a portion of our net investment in a consolidated subsidiary that has the Euro as its functional currency. Amounts reported in accumulated other comprehensive loss are recognized as a component of our cumulative translation adjustment.</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Currency Hedges</w:t>
      </w:r>
    </w:p>
    <w:p>
      <w:pPr>
        <w:pStyle w:val="TextBody"/>
        <w:bidi w:val="0"/>
        <w:spacing w:lineRule="auto" w:line="288" w:before="100" w:after="100"/>
        <w:ind w:left="0" w:right="0" w:firstLine="720"/>
        <w:jc w:val="left"/>
        <w:rPr/>
      </w:pPr>
      <w:r>
        <w:rPr>
          <w:rFonts w:ascii="Arial;sans-serif" w:hAnsi="Arial;sans-serif"/>
          <w:b w:val="false"/>
          <w:color w:val="000000"/>
          <w:sz w:val="20"/>
        </w:rPr>
        <w:t>We execute currency forward and option contracts in order to mitigate our exposure to fluctuations in various currencies against our reporting currency, the U.S. dollar. These contracts or intercompany loans may be designated as hedges to mitigate the risk of changes in the U.S. dollar equivalent value of a portion of our net investment in consolidated subsidiaries</w:t>
      </w:r>
      <w:r>
        <w:rPr>
          <w:color w:val="EE2724"/>
        </w:rPr>
        <w:t xml:space="preserve"> </w:t>
      </w:r>
      <w:r>
        <w:rPr>
          <w:rFonts w:ascii="Arial;sans-serif" w:hAnsi="Arial;sans-serif"/>
          <w:b w:val="false"/>
          <w:color w:val="000000"/>
          <w:sz w:val="20"/>
        </w:rPr>
        <w:t>that have the Euro as their functional currency. As of December 31, 2025, we had one currency forward contract designated as a net investment hedge with a notional amount of $30,319, maturing during December 2027. The impact of net investment hedges is recognized in accumulated other comprehensive loss as a component of translation adjustments, net of hedges, and would only be reclassified to earnings if the hedged subsidiaries were no longer consolidated entities.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have elected to not apply hedge accounting for all other currency forward and option contracts. During the three and six months ended December 31, 2025 and 2024, we experienced volatility within other income, net, in our consolidated statements of operations from unrealized gains and losses on the mark-to-market of outstanding currency forward and option contracts. We expect this volatility to continue in future periods for contracts for which we do not apply hedge accounting. Additionally, since our hedging objectives may be targeted at non-GAAP financial metrics that exclude non-cash items such as depreciation and amortization, we may experience volatility in our GAAP results as a result of our currency hedging program.</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 most cases, we enter into these currency derivative contracts, for which we do not apply hedge accounting, in order to address the risk for certain currencies where we have a net exposure to adjusted EBITDA, a non-GAAP financial metric. Adjusted EBITDA exposures are our focus for the majority of our mark-to-market currency forward and option contracts because a similar metric is referenced within the debt covenants of our amended and restated senior secured credit agreement (refer to Note 8 for additional information about this agreement). Our most significant net currency exposures by volume are the Euro and the British Pound (GBP). Our adjusted EBITDA hedging approach results in addressing nearly all of our forecasted Euro and GBP net exposures for the upcoming twelve months, with a declining hedged percentage out to twenty-four months. For certain other currencies with a smaller net impact, we hedge nearly all of our forecasted net exposures for the upcoming six months, with a declining hedge percentage out to fifteen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310"/>
                <wp:effectExtent l="0" t="0" r="0" b="0"/>
                <wp:wrapNone/>
                <wp:docPr id="14" name="Frame1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December 31, 2025, we had the following outstanding currency derivative contracts that were not designated for hedge accounting and were primarily used to hedge fluctuations in the U.S. dollar value of forecasted transactions or balances denominated in the Australian Dollar, Canadian Dollar, Czech Koruna, Danish Krone, Euro, GBP, Indian Rupee, Mexican Peso, New Zealand Dollar, Norwegian Krone, Philippine Peso, Swiss Franc and Swedish Krona: </w:t>
      </w:r>
    </w:p>
    <w:tbl>
      <w:tblPr>
        <w:tblW w:w="10205" w:type="dxa"/>
        <w:jc w:val="left"/>
        <w:tblInd w:w="0" w:type="dxa"/>
        <w:tblLayout w:type="fixed"/>
        <w:tblCellMar>
          <w:top w:w="28" w:type="dxa"/>
          <w:left w:w="28" w:type="dxa"/>
          <w:bottom w:w="28" w:type="dxa"/>
          <w:right w:w="28" w:type="dxa"/>
        </w:tblCellMar>
      </w:tblPr>
      <w:tblGrid>
        <w:gridCol w:w="495"/>
        <w:gridCol w:w="409"/>
        <w:gridCol w:w="412"/>
        <w:gridCol w:w="109"/>
        <w:gridCol w:w="109"/>
        <w:gridCol w:w="109"/>
        <w:gridCol w:w="854"/>
        <w:gridCol w:w="824"/>
        <w:gridCol w:w="819"/>
        <w:gridCol w:w="109"/>
        <w:gridCol w:w="109"/>
        <w:gridCol w:w="109"/>
        <w:gridCol w:w="885"/>
        <w:gridCol w:w="868"/>
        <w:gridCol w:w="851"/>
        <w:gridCol w:w="109"/>
        <w:gridCol w:w="109"/>
        <w:gridCol w:w="109"/>
        <w:gridCol w:w="564"/>
        <w:gridCol w:w="564"/>
        <w:gridCol w:w="566"/>
        <w:gridCol w:w="109"/>
        <w:gridCol w:w="109"/>
        <w:gridCol w:w="109"/>
        <w:gridCol w:w="227"/>
        <w:gridCol w:w="227"/>
        <w:gridCol w:w="332"/>
      </w:tblGrid>
      <w:tr>
        <w:trPr/>
        <w:tc>
          <w:tcPr>
            <w:tcW w:w="49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Notional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Effective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Number of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Index</w:t>
            </w:r>
          </w:p>
        </w:tc>
      </w:tr>
      <w:tr>
        <w:trPr/>
        <w:tc>
          <w:tcPr>
            <w:tcW w:w="13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$821,230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March 2024 through 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 dates through December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Various</w:t>
            </w:r>
          </w:p>
        </w:tc>
      </w:tr>
    </w:tbl>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Financial Instrument Presentation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table below presents the fair value of our derivative financial instruments as well as their classification on the balance sheet as of December 31, 2025 and June 30, 2025. Our derivative asset and liability balances fluctuate with interest rate and currency exchange rate volatility. </w:t>
      </w:r>
    </w:p>
    <w:tbl>
      <w:tblPr>
        <w:tblW w:w="10463" w:type="dxa"/>
        <w:jc w:val="left"/>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556"/>
        <w:gridCol w:w="109"/>
        <w:gridCol w:w="109"/>
        <w:gridCol w:w="109"/>
        <w:gridCol w:w="109"/>
        <w:gridCol w:w="246"/>
        <w:gridCol w:w="547"/>
        <w:gridCol w:w="138"/>
        <w:gridCol w:w="109"/>
        <w:gridCol w:w="109"/>
        <w:gridCol w:w="109"/>
        <w:gridCol w:w="196"/>
        <w:gridCol w:w="556"/>
        <w:gridCol w:w="109"/>
        <w:gridCol w:w="109"/>
        <w:gridCol w:w="109"/>
        <w:gridCol w:w="109"/>
        <w:gridCol w:w="280"/>
        <w:gridCol w:w="205"/>
        <w:gridCol w:w="206"/>
        <w:gridCol w:w="109"/>
        <w:gridCol w:w="109"/>
        <w:gridCol w:w="109"/>
        <w:gridCol w:w="196"/>
        <w:gridCol w:w="661"/>
        <w:gridCol w:w="109"/>
        <w:gridCol w:w="109"/>
        <w:gridCol w:w="109"/>
        <w:gridCol w:w="109"/>
        <w:gridCol w:w="211"/>
        <w:gridCol w:w="601"/>
        <w:gridCol w:w="119"/>
        <w:gridCol w:w="109"/>
        <w:gridCol w:w="109"/>
        <w:gridCol w:w="109"/>
        <w:gridCol w:w="196"/>
        <w:gridCol w:w="66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net investment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(30,574)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310"/>
                <wp:effectExtent l="0" t="0" r="0" b="0"/>
                <wp:wrapNone/>
                <wp:docPr id="15" name="Frame1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463" w:type="dxa"/>
        <w:jc w:val="left"/>
        <w:tblInd w:w="0" w:type="dxa"/>
        <w:tblLayout w:type="fixed"/>
        <w:tblCellMar>
          <w:top w:w="28" w:type="dxa"/>
          <w:left w:w="28" w:type="dxa"/>
          <w:bottom w:w="28" w:type="dxa"/>
          <w:right w:w="28" w:type="dxa"/>
        </w:tblCellMar>
      </w:tblPr>
      <w:tblGrid>
        <w:gridCol w:w="726"/>
        <w:gridCol w:w="282"/>
        <w:gridCol w:w="283"/>
        <w:gridCol w:w="220"/>
        <w:gridCol w:w="205"/>
        <w:gridCol w:w="206"/>
        <w:gridCol w:w="109"/>
        <w:gridCol w:w="109"/>
        <w:gridCol w:w="109"/>
        <w:gridCol w:w="196"/>
        <w:gridCol w:w="556"/>
        <w:gridCol w:w="109"/>
        <w:gridCol w:w="109"/>
        <w:gridCol w:w="109"/>
        <w:gridCol w:w="109"/>
        <w:gridCol w:w="246"/>
        <w:gridCol w:w="547"/>
        <w:gridCol w:w="138"/>
        <w:gridCol w:w="109"/>
        <w:gridCol w:w="109"/>
        <w:gridCol w:w="109"/>
        <w:gridCol w:w="196"/>
        <w:gridCol w:w="556"/>
        <w:gridCol w:w="109"/>
        <w:gridCol w:w="109"/>
        <w:gridCol w:w="109"/>
        <w:gridCol w:w="109"/>
        <w:gridCol w:w="280"/>
        <w:gridCol w:w="205"/>
        <w:gridCol w:w="206"/>
        <w:gridCol w:w="109"/>
        <w:gridCol w:w="109"/>
        <w:gridCol w:w="109"/>
        <w:gridCol w:w="196"/>
        <w:gridCol w:w="661"/>
        <w:gridCol w:w="109"/>
        <w:gridCol w:w="109"/>
        <w:gridCol w:w="109"/>
        <w:gridCol w:w="109"/>
        <w:gridCol w:w="211"/>
        <w:gridCol w:w="601"/>
        <w:gridCol w:w="119"/>
        <w:gridCol w:w="109"/>
        <w:gridCol w:w="109"/>
        <w:gridCol w:w="109"/>
        <w:gridCol w:w="196"/>
        <w:gridCol w:w="661"/>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Derivatives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Liability Derivatives</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Balance Sheet line item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recognized liabilities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 offset in Consolidated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designated as hedging instruments</w:t>
            </w:r>
          </w:p>
        </w:tc>
        <w:tc>
          <w:tcPr>
            <w:tcW w:w="6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cash flow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swaps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in net investment hedging relationships</w:t>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Cross-currency swap</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Derivatives not designated as hedging instruments</w:t>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forward contracts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Currency option contracts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assets /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current liabilities /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derivatives not designated as hedging instruments</w:t>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effect of our derivative financial instruments designated as hedging instruments and their classification within comprehensive loss, net of tax, for the three and six months ended December 31, 2025 and 2024:</w:t>
      </w:r>
    </w:p>
    <w:tbl>
      <w:tblPr>
        <w:tblW w:w="9430" w:type="dxa"/>
        <w:jc w:val="left"/>
        <w:tblInd w:w="0" w:type="dxa"/>
        <w:tblLayout w:type="fixed"/>
        <w:tblCellMar>
          <w:top w:w="28" w:type="dxa"/>
          <w:left w:w="28" w:type="dxa"/>
          <w:bottom w:w="28" w:type="dxa"/>
          <w:right w:w="28" w:type="dxa"/>
        </w:tblCellMar>
      </w:tblPr>
      <w:tblGrid>
        <w:gridCol w:w="1522"/>
        <w:gridCol w:w="1337"/>
        <w:gridCol w:w="1340"/>
        <w:gridCol w:w="227"/>
        <w:gridCol w:w="664"/>
        <w:gridCol w:w="117"/>
        <w:gridCol w:w="117"/>
        <w:gridCol w:w="117"/>
        <w:gridCol w:w="117"/>
        <w:gridCol w:w="227"/>
        <w:gridCol w:w="664"/>
        <w:gridCol w:w="117"/>
        <w:gridCol w:w="109"/>
        <w:gridCol w:w="109"/>
        <w:gridCol w:w="109"/>
        <w:gridCol w:w="211"/>
        <w:gridCol w:w="616"/>
        <w:gridCol w:w="109"/>
        <w:gridCol w:w="109"/>
        <w:gridCol w:w="109"/>
        <w:gridCol w:w="109"/>
        <w:gridCol w:w="211"/>
        <w:gridCol w:w="691"/>
        <w:gridCol w:w="109"/>
        <w:gridCol w:w="109"/>
        <w:gridCol w:w="154"/>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net investment hedging relationships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Cross-currency swaps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Intercompany loan</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forward contracts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9,957 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310"/>
                <wp:effectExtent l="0" t="0" r="0" b="0"/>
                <wp:wrapNone/>
                <wp:docPr id="16" name="Frame1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reclassifications out of accumulated other comprehensive loss for the three and six months ended December 31, 2025 and 2024:</w:t>
      </w:r>
    </w:p>
    <w:tbl>
      <w:tblPr>
        <w:tblW w:w="10205" w:type="dxa"/>
        <w:jc w:val="left"/>
        <w:tblInd w:w="0" w:type="dxa"/>
        <w:tblLayout w:type="fixed"/>
        <w:tblCellMar>
          <w:top w:w="28" w:type="dxa"/>
          <w:left w:w="28" w:type="dxa"/>
          <w:bottom w:w="28" w:type="dxa"/>
          <w:right w:w="28" w:type="dxa"/>
        </w:tblCellMar>
      </w:tblPr>
      <w:tblGrid>
        <w:gridCol w:w="825"/>
        <w:gridCol w:w="724"/>
        <w:gridCol w:w="726"/>
        <w:gridCol w:w="251"/>
        <w:gridCol w:w="610"/>
        <w:gridCol w:w="129"/>
        <w:gridCol w:w="129"/>
        <w:gridCol w:w="129"/>
        <w:gridCol w:w="129"/>
        <w:gridCol w:w="251"/>
        <w:gridCol w:w="555"/>
        <w:gridCol w:w="129"/>
        <w:gridCol w:w="129"/>
        <w:gridCol w:w="129"/>
        <w:gridCol w:w="129"/>
        <w:gridCol w:w="251"/>
        <w:gridCol w:w="789"/>
        <w:gridCol w:w="129"/>
        <w:gridCol w:w="129"/>
        <w:gridCol w:w="129"/>
        <w:gridCol w:w="129"/>
        <w:gridCol w:w="251"/>
        <w:gridCol w:w="555"/>
        <w:gridCol w:w="129"/>
        <w:gridCol w:w="1189"/>
        <w:gridCol w:w="109"/>
        <w:gridCol w:w="416"/>
        <w:gridCol w:w="416"/>
        <w:gridCol w:w="610"/>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Net (Gain) Loss Reclassified from Accumulated Other Comprehensive Loss into Income</w:t>
            </w:r>
          </w:p>
        </w:tc>
        <w:tc>
          <w:tcPr>
            <w:tcW w:w="1189"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1551" w:type="dxa"/>
            <w:gridSpan w:val="4"/>
            <w:tcBorders/>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18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4"/>
            <w:tcBorders/>
          </w:tcPr>
          <w:p>
            <w:pPr>
              <w:pStyle w:val="TableContents"/>
              <w:bidi w:val="0"/>
              <w:spacing w:before="0" w:after="283"/>
              <w:jc w:val="left"/>
              <w:rPr>
                <w:sz w:val="4"/>
                <w:szCs w:val="4"/>
              </w:rPr>
            </w:pPr>
            <w:r>
              <w:rPr>
                <w:sz w:val="4"/>
                <w:szCs w:val="4"/>
              </w:rPr>
            </w:r>
          </w:p>
        </w:tc>
      </w:tr>
      <w:tr>
        <w:trPr/>
        <w:tc>
          <w:tcPr>
            <w:tcW w:w="2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Derivatives in cash flow hedging relationships</w:t>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swaps</w:t>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Interest expense, net</w:t>
            </w:r>
          </w:p>
        </w:tc>
      </w:tr>
      <w:tr>
        <w:trPr/>
        <w:tc>
          <w:tcPr>
            <w:tcW w:w="2275"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before income tax</w:t>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(804)</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(1,686)</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before income taxes</w:t>
            </w:r>
          </w:p>
        </w:tc>
      </w:tr>
      <w:tr>
        <w:trPr/>
        <w:tc>
          <w:tcPr>
            <w:tcW w:w="2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w:t>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Income tax expense</w:t>
            </w:r>
          </w:p>
        </w:tc>
      </w:tr>
      <w:tr>
        <w:trPr/>
        <w:tc>
          <w:tcPr>
            <w:tcW w:w="2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adjustment to fair value recorded within the consolidated statements of operations for the three and six months ended December 31, 2025 and 2024 for derivative instruments for which we did not elect hedge accounting:</w:t>
      </w:r>
    </w:p>
    <w:tbl>
      <w:tblPr>
        <w:tblW w:w="9909" w:type="dxa"/>
        <w:jc w:val="left"/>
        <w:tblInd w:w="0" w:type="dxa"/>
        <w:tblLayout w:type="fixed"/>
        <w:tblCellMar>
          <w:top w:w="28" w:type="dxa"/>
          <w:left w:w="28" w:type="dxa"/>
          <w:bottom w:w="28" w:type="dxa"/>
          <w:right w:w="28" w:type="dxa"/>
        </w:tblCellMar>
      </w:tblPr>
      <w:tblGrid>
        <w:gridCol w:w="597"/>
        <w:gridCol w:w="525"/>
        <w:gridCol w:w="528"/>
        <w:gridCol w:w="217"/>
        <w:gridCol w:w="633"/>
        <w:gridCol w:w="112"/>
        <w:gridCol w:w="112"/>
        <w:gridCol w:w="112"/>
        <w:gridCol w:w="112"/>
        <w:gridCol w:w="217"/>
        <w:gridCol w:w="741"/>
        <w:gridCol w:w="112"/>
        <w:gridCol w:w="109"/>
        <w:gridCol w:w="109"/>
        <w:gridCol w:w="109"/>
        <w:gridCol w:w="211"/>
        <w:gridCol w:w="616"/>
        <w:gridCol w:w="109"/>
        <w:gridCol w:w="109"/>
        <w:gridCol w:w="109"/>
        <w:gridCol w:w="109"/>
        <w:gridCol w:w="211"/>
        <w:gridCol w:w="721"/>
        <w:gridCol w:w="109"/>
        <w:gridCol w:w="1696"/>
        <w:gridCol w:w="109"/>
        <w:gridCol w:w="426"/>
        <w:gridCol w:w="426"/>
        <w:gridCol w:w="603"/>
      </w:tblGrid>
      <w:tr>
        <w:trPr/>
        <w:tc>
          <w:tcPr>
            <w:tcW w:w="5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Amount of Gain (Loss) Recognized in Net Income</w:t>
            </w:r>
          </w:p>
        </w:tc>
        <w:tc>
          <w:tcPr>
            <w:tcW w:w="1696" w:type="dxa"/>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Affected line item in the </w:t>
              <w:br/>
              <w:t>Statement of Operations</w:t>
            </w:r>
          </w:p>
        </w:tc>
        <w:tc>
          <w:tcPr>
            <w:tcW w:w="1564" w:type="dxa"/>
            <w:gridSpan w:val="4"/>
            <w:tcBorders/>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69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4"/>
            <w:tcBorders/>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 contracts</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income, net</w:t>
            </w:r>
          </w:p>
        </w:tc>
      </w:tr>
      <w:tr>
        <w:trPr/>
        <w:tc>
          <w:tcPr>
            <w:tcW w:w="1650"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33,632 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5. Accumulated Other Comprehensive Loss</w:t>
      </w:r>
    </w:p>
    <w:p>
      <w:pPr>
        <w:pStyle w:val="TextBody"/>
        <w:bidi w:val="0"/>
        <w:spacing w:lineRule="auto" w:line="288" w:before="100" w:after="100"/>
        <w:ind w:left="0" w:right="0" w:firstLine="720"/>
        <w:jc w:val="left"/>
        <w:rPr/>
      </w:pPr>
      <w:r>
        <w:rPr>
          <w:rFonts w:ascii="Arial;sans-serif" w:hAnsi="Arial;sans-serif"/>
          <w:b w:val="false"/>
          <w:color w:val="000000"/>
          <w:sz w:val="20"/>
        </w:rPr>
        <w:t>The following table presents a roll forward of amounts recognized in accumulated other comprehensive loss by component, net of tax of</w:t>
      </w:r>
      <w:r>
        <w:rPr>
          <w:color w:val="EE2724"/>
        </w:rPr>
        <w:t xml:space="preserve"> </w:t>
      </w:r>
      <w:r>
        <w:rPr>
          <w:rFonts w:ascii="Arial;sans-serif" w:hAnsi="Arial;sans-serif"/>
          <w:b w:val="false"/>
          <w:color w:val="000000"/>
          <w:sz w:val="20"/>
        </w:rPr>
        <w:t>$666, for the six months ended December 31, 2025</w:t>
      </w:r>
      <w:r>
        <w:rPr>
          <w:rFonts w:ascii="Times New Roman;serif" w:hAnsi="Times New Roman;serif"/>
          <w:b w:val="false"/>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419"/>
        <w:gridCol w:w="924"/>
        <w:gridCol w:w="919"/>
        <w:gridCol w:w="290"/>
        <w:gridCol w:w="849"/>
        <w:gridCol w:w="150"/>
        <w:gridCol w:w="109"/>
        <w:gridCol w:w="109"/>
        <w:gridCol w:w="109"/>
        <w:gridCol w:w="109"/>
        <w:gridCol w:w="109"/>
        <w:gridCol w:w="352"/>
        <w:gridCol w:w="1116"/>
        <w:gridCol w:w="182"/>
        <w:gridCol w:w="109"/>
        <w:gridCol w:w="109"/>
        <w:gridCol w:w="109"/>
        <w:gridCol w:w="324"/>
        <w:gridCol w:w="1185"/>
        <w:gridCol w:w="167"/>
        <w:gridCol w:w="109"/>
        <w:gridCol w:w="109"/>
        <w:gridCol w:w="109"/>
        <w:gridCol w:w="211"/>
        <w:gridCol w:w="757"/>
        <w:gridCol w:w="161"/>
      </w:tblGrid>
      <w:tr>
        <w:trPr/>
        <w:tc>
          <w:tcPr>
            <w:tcW w:w="141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Gains (losses) on cash flow </w:t>
              <w:br/>
              <w:t>hedges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Gains (losses) on pension benefit obligation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Translation adjustments, net of hedges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(40,073)</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(37,969)</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Other comprehensive loss before reclassifications </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accumulated other comprehensive loss to net income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current period other comprehensive loss</w:t>
            </w:r>
          </w:p>
        </w:tc>
        <w:tc>
          <w:tcPr>
            <w:tcW w:w="11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3,076 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(1,165)</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(38,650)</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(36,739)</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Gains on cash flow hedges include our interest rate swap contracts designated in cash flow hedging relationships.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As of December 31, 2025 and June 30, 2025, the translation adjustment is inclusive of both the realized and unrealized effects of our net investment hedges. Losses on currency forward and cross-currency swap contracts designated as net investment hedges, net of tax, of $7,642 and $9,406 have been included in accumulated other comprehensive loss as of December 31, 2025 and June 30, 2025, respectively. Intercompany loan hedge gains, net of tax, which is associated with a previously settled loan of $42,159 have been included in accumulated other comprehensive loss for both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310"/>
                <wp:effectExtent l="0" t="0" r="0" b="0"/>
                <wp:wrapNone/>
                <wp:docPr id="17" name="Frame1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6. Goodwill</w:t>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carrying amount of goodwill by reportable segment as of December 31, 2025 and June 30, 2025 was as follows: </w:t>
      </w:r>
    </w:p>
    <w:tbl>
      <w:tblPr>
        <w:tblW w:w="10205" w:type="dxa"/>
        <w:jc w:val="left"/>
        <w:tblInd w:w="0" w:type="dxa"/>
        <w:tblLayout w:type="fixed"/>
        <w:tblCellMar>
          <w:top w:w="28" w:type="dxa"/>
          <w:left w:w="28" w:type="dxa"/>
          <w:bottom w:w="28" w:type="dxa"/>
          <w:right w:w="28" w:type="dxa"/>
        </w:tblCellMar>
      </w:tblPr>
      <w:tblGrid>
        <w:gridCol w:w="1147"/>
        <w:gridCol w:w="877"/>
        <w:gridCol w:w="88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50"/>
        <w:gridCol w:w="982"/>
        <w:gridCol w:w="129"/>
        <w:gridCol w:w="109"/>
        <w:gridCol w:w="109"/>
        <w:gridCol w:w="109"/>
        <w:gridCol w:w="211"/>
        <w:gridCol w:w="826"/>
        <w:gridCol w:w="156"/>
      </w:tblGrid>
      <w:tr>
        <w:trPr/>
        <w:tc>
          <w:tcPr>
            <w:tcW w:w="114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 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304,806 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826,156 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Adjustments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Effect of currency translation adjustments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164,469 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194,921 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826,655 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hanging="1440"/>
        <w:jc w:val="left"/>
        <w:rPr>
          <w:rFonts w:ascii="Times New Roman;serif" w:hAnsi="Times New Roman;serif"/>
          <w:b w:val="false"/>
          <w:color w:val="000000"/>
          <w:sz w:val="12"/>
        </w:rPr>
      </w:pPr>
      <w:r>
        <w:rPr>
          <w:rFonts w:ascii="Times New Roman;serif" w:hAnsi="Times New Roman;serif"/>
          <w:b w:val="false"/>
          <w:color w:val="000000"/>
          <w:sz w:val="12"/>
        </w:rPr>
        <w:t>________________________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In the second quarter of fiscal year 2026, we acquired 100% of the outstanding equity of an immaterial business that is included in our PrintBrothers reportable segment in exchange for $10,401 of cash consideration, net of cash acquired, which resulted in the recognition of goodwill of $38. The purchase price allocation and pro forma results were not material and therefore not presented herein.</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In the second quarter of fiscal year 2026, we adjusted the goodwill value of an immaterial business that is included in our PrintBrothers reportable segment, which resulted in the reduction of goodwill of $671.</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Related to goodwill held by subsidiaries whose functional currency is not the U.S.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7. Other Balance Sheet Components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Accrued expenses included the following: </w:t>
      </w:r>
    </w:p>
    <w:tbl>
      <w:tblPr>
        <w:tblW w:w="7351" w:type="dxa"/>
        <w:jc w:val="left"/>
        <w:tblInd w:w="0" w:type="dxa"/>
        <w:tblLayout w:type="fixed"/>
        <w:tblCellMar>
          <w:top w:w="28" w:type="dxa"/>
          <w:left w:w="28" w:type="dxa"/>
          <w:bottom w:w="28" w:type="dxa"/>
          <w:right w:w="28" w:type="dxa"/>
        </w:tblCellMar>
      </w:tblPr>
      <w:tblGrid>
        <w:gridCol w:w="1629"/>
        <w:gridCol w:w="1434"/>
        <w:gridCol w:w="1436"/>
        <w:gridCol w:w="245"/>
        <w:gridCol w:w="962"/>
        <w:gridCol w:w="127"/>
        <w:gridCol w:w="109"/>
        <w:gridCol w:w="109"/>
        <w:gridCol w:w="109"/>
        <w:gridCol w:w="211"/>
        <w:gridCol w:w="82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costs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92,579 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and indirect taxes (1)</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77,810 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Advertising costs (1)</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42,869 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Third-party manufacturing and digital content costs (1)</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Shipping costs (1)</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16,849 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compensation incentives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payable</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Sales returns</w:t>
            </w:r>
            <w:r>
              <w:rPr>
                <w:color w:val="EE2724"/>
              </w:rPr>
              <w:t xml:space="preserve"> </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costs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67,529 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accrued expenses</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353,338 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100"/>
        <w:jc w:val="left"/>
        <w:rPr>
          <w:rFonts w:ascii="Arial;sans-serif" w:hAnsi="Arial;sans-serif"/>
          <w:b w:val="false"/>
          <w:color w:val="000000"/>
          <w:sz w:val="16"/>
        </w:rPr>
      </w:pPr>
      <w:r>
        <w:rPr>
          <w:rFonts w:ascii="Arial;sans-serif" w:hAnsi="Arial;sans-serif"/>
          <w:b w:val="false"/>
          <w:color w:val="000000"/>
          <w:sz w:val="16"/>
        </w:rPr>
        <w:t>(1) The increase in income and indirect taxes, advertising costs, third party manufacturing and digital content costs, and shipping costs is due to increased sales volumes during our holiday peak season in the second quarter of our fiscal year.</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Other current liabilities included the following:</w:t>
      </w:r>
    </w:p>
    <w:tbl>
      <w:tblPr>
        <w:tblW w:w="6991" w:type="dxa"/>
        <w:jc w:val="left"/>
        <w:tblInd w:w="0" w:type="dxa"/>
        <w:tblLayout w:type="fixed"/>
        <w:tblCellMar>
          <w:top w:w="28" w:type="dxa"/>
          <w:left w:w="28" w:type="dxa"/>
          <w:bottom w:w="28" w:type="dxa"/>
          <w:right w:w="28" w:type="dxa"/>
        </w:tblCellMar>
      </w:tblPr>
      <w:tblGrid>
        <w:gridCol w:w="1535"/>
        <w:gridCol w:w="1352"/>
        <w:gridCol w:w="1357"/>
        <w:gridCol w:w="270"/>
        <w:gridCol w:w="925"/>
        <w:gridCol w:w="139"/>
        <w:gridCol w:w="109"/>
        <w:gridCol w:w="109"/>
        <w:gridCol w:w="109"/>
        <w:gridCol w:w="211"/>
        <w:gridCol w:w="721"/>
        <w:gridCol w:w="154"/>
      </w:tblGrid>
      <w:tr>
        <w:trPr/>
        <w:tc>
          <w:tcPr>
            <w:tcW w:w="153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Short-term derivative liabilities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18,898 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Mandatorily redeemable noncontrolling interest (1)</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finance lease obligations</w:t>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current liabilities</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30,960 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In the second quarter of fiscal year 2026, the mandatory redemption date for minority equity interests in three of our businesses within the PrintBrothers reportable segment was reached, resulting in the purchase of their outstanding equity interests for $10,724.</w:t>
      </w:r>
    </w:p>
    <w:p>
      <w:pPr>
        <w:pStyle w:val="TextBody"/>
        <w:bidi w:val="0"/>
        <w:spacing w:before="100" w:after="10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310"/>
                <wp:effectExtent l="0" t="0" r="0" b="0"/>
                <wp:wrapNone/>
                <wp:docPr id="18" name="Frame1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270"/>
        <w:jc w:val="left"/>
        <w:rPr>
          <w:rFonts w:ascii="Arial;sans-serif" w:hAnsi="Arial;sans-serif"/>
          <w:b w:val="false"/>
          <w:color w:val="000000"/>
          <w:sz w:val="20"/>
        </w:rPr>
      </w:pPr>
      <w:r>
        <w:rPr>
          <w:rFonts w:ascii="Arial;sans-serif" w:hAnsi="Arial;sans-serif"/>
          <w:b w:val="false"/>
          <w:color w:val="000000"/>
          <w:sz w:val="20"/>
        </w:rPr>
        <w:t>Other liabilities included the following:</w:t>
      </w:r>
    </w:p>
    <w:tbl>
      <w:tblPr>
        <w:tblW w:w="5897" w:type="dxa"/>
        <w:jc w:val="left"/>
        <w:tblInd w:w="0" w:type="dxa"/>
        <w:tblLayout w:type="fixed"/>
        <w:tblCellMar>
          <w:top w:w="28" w:type="dxa"/>
          <w:left w:w="28" w:type="dxa"/>
          <w:bottom w:w="28" w:type="dxa"/>
          <w:right w:w="28" w:type="dxa"/>
        </w:tblCellMar>
      </w:tblPr>
      <w:tblGrid>
        <w:gridCol w:w="1103"/>
        <w:gridCol w:w="970"/>
        <w:gridCol w:w="972"/>
        <w:gridCol w:w="245"/>
        <w:gridCol w:w="962"/>
        <w:gridCol w:w="127"/>
        <w:gridCol w:w="109"/>
        <w:gridCol w:w="109"/>
        <w:gridCol w:w="109"/>
        <w:gridCol w:w="211"/>
        <w:gridCol w:w="82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derivative liabilities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39,464 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finance lease obligations</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33,105 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compensation incentives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16,858 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liabilities</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100,375 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8. Debt</w:t>
      </w:r>
    </w:p>
    <w:tbl>
      <w:tblPr>
        <w:tblW w:w="7742" w:type="dxa"/>
        <w:jc w:val="left"/>
        <w:tblInd w:w="0" w:type="dxa"/>
        <w:tblLayout w:type="fixed"/>
        <w:tblCellMar>
          <w:top w:w="28" w:type="dxa"/>
          <w:left w:w="28" w:type="dxa"/>
          <w:bottom w:w="28" w:type="dxa"/>
          <w:right w:w="28" w:type="dxa"/>
        </w:tblCellMar>
      </w:tblPr>
      <w:tblGrid>
        <w:gridCol w:w="1716"/>
        <w:gridCol w:w="1508"/>
        <w:gridCol w:w="1515"/>
        <w:gridCol w:w="217"/>
        <w:gridCol w:w="1006"/>
        <w:gridCol w:w="112"/>
        <w:gridCol w:w="109"/>
        <w:gridCol w:w="109"/>
        <w:gridCol w:w="109"/>
        <w:gridCol w:w="211"/>
        <w:gridCol w:w="97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7.375% Senior Notes due 2032</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1,067,413 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1,072,818 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(1)</w:t>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 and discounts, net of debt premiums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(16,802)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outstanding, net</w:t>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1,591,105 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short-term debt (2)</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1,577,583 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1,576,178 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increase in other debt is primarily related to debt acquired as part of an acquisition that was completed during the second quarter of fiscal year 2026 within our PrintBrothers reportable segment.</w:t>
      </w:r>
    </w:p>
    <w:p>
      <w:pPr>
        <w:pStyle w:val="TextBody"/>
        <w:bidi w:val="0"/>
        <w:spacing w:lineRule="auto" w:line="288" w:before="100" w:after="220"/>
        <w:ind w:left="0" w:right="0" w:hanging="270"/>
        <w:jc w:val="left"/>
        <w:rPr>
          <w:rFonts w:ascii="Arial;sans-serif" w:hAnsi="Arial;sans-serif"/>
          <w:b w:val="false"/>
          <w:color w:val="000000"/>
          <w:sz w:val="16"/>
        </w:rPr>
      </w:pPr>
      <w:r>
        <w:rPr>
          <w:rFonts w:ascii="Arial;sans-serif" w:hAnsi="Arial;sans-serif"/>
          <w:b w:val="false"/>
          <w:color w:val="000000"/>
          <w:sz w:val="16"/>
        </w:rPr>
        <w:t>(2) Balances as of December 31, 2025 and June 30, 2025 are inclusive of short-term debt issuance costs, debt premiums and discounts of $4,895 for both periods presented.</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various debt arrangements described below contain customary representations, warranties, and events of default. As of December 31, 2025, we were in compliance with all covenants in those debt contracts, including our amended and restated senior secured credit agreement dated as of May 17, 2021 (as further amended from time to time, the "Restated Credit Agreement") and the indenture governing our 7.375% senior unsecured notes due September 15, 2032 ("2032 Notes").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Senior Secured Credit Facility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On December 16, 2024, we entered into a Restated Credit Agreement which consists of the following as of December 31, 2025:</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 $1,067,413 USD Tranche that bears interest at Term SOFR (with a Term SOFR rate floor of 0.50%) plus 2.50%, which amortizes over the loan period, with a final maturity date of May 17, 2028, and</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a $250,000 senior secured revolving credit facility with a maturity date of September 26, 2029 (the “Revolving Credit Facility”), with no outstanding borrowings for any periods presented.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Borrowings under the Revolving Credit Facility bear interest at Term SOFR (with a Term SOFR rate floor of 0%) plus 2.25% to 3.00% depending on the Company’s First Lien Leverage Ratio, a net leverage calculation, as defined in the Restated Credit Agreement.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Restated Credit Agreement contains covenants that restrict or limit certain activities and transactions by Cimpress and our subsidiaries, including, but not limited to, the incurrence of additional indebtedness and liens; certain fundamental organizational changes; asset sales; certain intercompany activities; and certain investments and restricted payments, including purchases of Cimpress plc’s ordinary shares and payment of dividends. In addition, if any loans made under the Revolving Credit Facility are outstanding on the last day of any fiscal quarter, then we are subject to a financial maintenance covenant that the First Lien Leverage Ratio calculated as of the last day of such quarter does not exceed 3.25 to 1.00.</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December 31, 2025, the weighted-average interest rate on outstanding borrowings under the Restated Credit Agreement was 5.90%, inclusive of interest rate swap rates. We are also required to pay a commitment fee for our Revolving Credit Facility on unused balances of 0.30% to 0.45% depending on our First Lien Leverage Ratio. We have pledged the assets and/or share capital of a number of our subsidiaries as collateral under our Restated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310"/>
                <wp:effectExtent l="0" t="0" r="0" b="0"/>
                <wp:wrapNone/>
                <wp:docPr id="19" name="Frame1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Senior Notes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have issued $525,000 in 2032 Notes, which are unsecured. We can redeem some or all of the 2032 Notes at the redemption prices specified in the indenture that governs the 2032 Notes, plus accrued and unpaid interest to, but not including, the redemption date. As of December 31, 2025, we have not redeemed any of the 2032 Notes.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Debt</w:t>
      </w:r>
    </w:p>
    <w:p>
      <w:pPr>
        <w:pStyle w:val="TextBody"/>
        <w:bidi w:val="0"/>
        <w:spacing w:lineRule="auto" w:line="288" w:before="100" w:after="100"/>
        <w:ind w:left="0" w:right="0" w:firstLine="720"/>
        <w:jc w:val="left"/>
        <w:rPr/>
      </w:pPr>
      <w:r>
        <w:rPr>
          <w:rFonts w:ascii="Arial;sans-serif" w:hAnsi="Arial;sans-serif"/>
          <w:b w:val="false"/>
          <w:color w:val="000000"/>
          <w:sz w:val="20"/>
        </w:rPr>
        <w:t>Other debt primarily consists of term loans acquired through acquisitions or used to fund certain capital investments. As of December 31, 2025 and June 30, 2025, we had $15,494</w:t>
      </w:r>
      <w:r>
        <w:rPr>
          <w:color w:val="000000"/>
        </w:rPr>
        <w:t xml:space="preserve"> </w:t>
      </w:r>
      <w:r>
        <w:rPr>
          <w:rFonts w:ascii="Arial;sans-serif" w:hAnsi="Arial;sans-serif"/>
          <w:b w:val="false"/>
          <w:color w:val="000000"/>
          <w:sz w:val="20"/>
        </w:rPr>
        <w:t>and $6,695, respectively, outstanding for those obligations that are payable through September 2037.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pPr>
      <w:r>
        <w:rPr>
          <w:rFonts w:ascii="Arial;sans-serif" w:hAnsi="Arial;sans-serif"/>
          <w:b/>
          <w:color w:val="000000"/>
          <w:sz w:val="20"/>
        </w:rPr>
        <w:t>9. Income Taxes</w:t>
      </w:r>
      <w:r>
        <w:rPr>
          <w:color w:val="000000"/>
        </w:rPr>
        <w:t xml:space="preserve"> </w:t>
      </w:r>
    </w:p>
    <w:p>
      <w:pPr>
        <w:pStyle w:val="TextBody"/>
        <w:bidi w:val="0"/>
        <w:spacing w:lineRule="auto" w:line="288" w:before="100" w:after="100"/>
        <w:ind w:left="0" w:right="0" w:firstLine="720"/>
        <w:jc w:val="left"/>
        <w:rPr/>
      </w:pPr>
      <w:r>
        <w:rPr>
          <w:rFonts w:ascii="Arial;sans-serif" w:hAnsi="Arial;sans-serif"/>
          <w:b w:val="false"/>
          <w:color w:val="000000"/>
          <w:sz w:val="20"/>
        </w:rPr>
        <w:t xml:space="preserve">Our income tax expense was $13,337 and $31,175 for the three and six months ended December 31, 2025, respectively, as compared to $21,151 and $30,146 for the three and six months ended December 31, 2024, respectively. Income tax expense for the three months ended December 31, 2025 decreased versus the prior comparative period primarily due to decreased income before income taxes. In addition, we recorded a tax benefit of $3,126 during the three months ended December 31, 2025 for the release of a valuation allowance in Australia. Income tax expense for the six months ended December 31, 2025 was in line with the prior comparative period. </w:t>
      </w:r>
      <w:r>
        <w:rPr>
          <w:rFonts w:ascii="Arial;sans-serif" w:hAnsi="Arial;sans-serif"/>
          <w:b w:val="false"/>
          <w:color w:val="000000"/>
          <w:sz w:val="20"/>
          <w:shd w:fill="FFFFFF" w:val="clear"/>
        </w:rPr>
        <w:t>O</w:t>
      </w:r>
      <w:r>
        <w:rPr>
          <w:rFonts w:ascii="Arial;sans-serif" w:hAnsi="Arial;sans-serif"/>
          <w:b w:val="false"/>
          <w:color w:val="000000"/>
          <w:sz w:val="20"/>
        </w:rPr>
        <w:t>ur effective tax rate continues to be negatively impacted by losses in certain jurisdictions where we are unable to recognize a tax benefit in the current period. These losses with no tax benefit were excluded in calculating income tax expense for the three and six months ended December 31, 2025 and 2024, in accordance with GAAP. We continuously analyze our valuation allowance positions and the weight of objective and verifiable evidence of actual results against the more subjective evidence of anticipated future income.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December 31, 2025, we had unrecognized tax benefits of $12,672, including accrued interest and penalties of $20. We recognize interest and, if applicable, penalties related to unrecognized tax benefits in the provision for income taxes. If recognized, $248 of unrecognized tax benefits would reduce our tax expense. It is reasonably possible that a reduction in unrecognized tax benefits may occur within the next twelve months in the range of $300 to $400 related to the lapse of applicable statutes of limitations or settlement. We believe we have appropriately provided for all tax uncertainties.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conduct business in a number of tax jurisdictions and, as such, are required to file income tax returns in multiple jurisdictions globally. The years 2014 through 2025 remain open for examination by the U.S. Internal Revenue Service and the years 2015 through 2025 remain open for examination in the various states and non-U.S. tax jurisdictions in which we file tax returns. We believe that our income tax reserves are adequately maintained taking into consideration both the technical merits of our tax return positions and ongoing developments in our income tax audits. However, the final determination of our tax return positions, if audited, is uncertain, and there is a possibility that final resolution of these matters could have a material impact on our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10. Noncontrolling Interests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Redeemable Noncontrolling Interests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some of our subsidiaries, we own a controlling equity stake, and a third party or key members of the business management team own a minority portion of the equity. These noncontrolling interests span multiple businesses and reportable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310"/>
                <wp:effectExtent l="0" t="0" r="0" b="0"/>
                <wp:wrapNone/>
                <wp:docPr id="20" name="Frame2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changes in our noncontrolling interests:</w:t>
      </w:r>
    </w:p>
    <w:tbl>
      <w:tblPr>
        <w:tblW w:w="9535" w:type="dxa"/>
        <w:jc w:val="left"/>
        <w:tblInd w:w="0" w:type="dxa"/>
        <w:tblLayout w:type="fixed"/>
        <w:tblCellMar>
          <w:top w:w="28" w:type="dxa"/>
          <w:left w:w="28" w:type="dxa"/>
          <w:bottom w:w="28" w:type="dxa"/>
          <w:right w:w="28" w:type="dxa"/>
        </w:tblCellMar>
      </w:tblPr>
      <w:tblGrid>
        <w:gridCol w:w="1877"/>
        <w:gridCol w:w="1650"/>
        <w:gridCol w:w="1663"/>
        <w:gridCol w:w="486"/>
        <w:gridCol w:w="1662"/>
        <w:gridCol w:w="251"/>
        <w:gridCol w:w="109"/>
        <w:gridCol w:w="109"/>
        <w:gridCol w:w="109"/>
        <w:gridCol w:w="410"/>
        <w:gridCol w:w="908"/>
        <w:gridCol w:w="301"/>
      </w:tblGrid>
      <w:tr>
        <w:trPr/>
        <w:tc>
          <w:tcPr>
            <w:tcW w:w="1877"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w:t>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as of June 30, 2025</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to redemption value recognized in retained earnings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attributable to noncontrolling interests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of noncontrolling interest (1)</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r>
      <w:tr>
        <w:trPr/>
        <w:tc>
          <w:tcPr>
            <w:tcW w:w="5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6,057 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In the second quarter of fiscal year 2026, the minority equity interest holders for one of our smaller businesses within the PrintBrothers reportable segment exercised their put option, which resulted in our purchase of the remaining noncontrolling interests for $11,909.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11. Segment Information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operating segments are based upon the manner in which our operations are managed and the availability of separate financial information reported internally to the Chief Executive Officer, who is our Chief Operating Decision Maker (“CODM”), for purposes of making decisions about how to allocate resources and assess performance.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December 31, 2025, we have numerous operating segments under our management reporting structure which are reported in the following five reportable segments: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 xml:space="preserve">Vista </w:t>
      </w:r>
      <w:r>
        <w:rPr>
          <w:rFonts w:ascii="Arial;sans-serif" w:hAnsi="Arial;sans-serif"/>
          <w:b w:val="false"/>
          <w:color w:val="000000"/>
          <w:sz w:val="20"/>
        </w:rPr>
        <w:t>- Consists of the operations of our VistaPrint branded websites in North America, Western Europe, Australia, New Zealand, India, and Singapore. This business also includes our 99designs by Vista business, which provides graphic design services, VistaCreate for do-it-yourself (DIY) design, our Vista x Wix partnership for small business websites, and our Vista Corporate Solutions business, which serves medium-sized businesses and large corporations.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PrintBrothers</w:t>
      </w:r>
      <w:r>
        <w:rPr>
          <w:color w:val="000000"/>
        </w:rPr>
        <w:t xml:space="preserve"> </w:t>
      </w:r>
      <w:r>
        <w:rPr>
          <w:rFonts w:ascii="Arial;sans-serif" w:hAnsi="Arial;sans-serif"/>
          <w:b w:val="false"/>
          <w:color w:val="000000"/>
          <w:sz w:val="20"/>
        </w:rPr>
        <w:t xml:space="preserve">- Includes the results of druck.at, Printdeal, and WIRmachenDRUCK, a group of Upload &amp; Print businesses that serve graphic professionals throughout Europe, primarily in Austria, Belgium, Germany, the Netherlands, and Switzerland.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 xml:space="preserve">The Print Group </w:t>
      </w:r>
      <w:r>
        <w:rPr>
          <w:rFonts w:ascii="Arial;sans-serif" w:hAnsi="Arial;sans-serif"/>
          <w:b w:val="false"/>
          <w:color w:val="000000"/>
          <w:sz w:val="20"/>
        </w:rPr>
        <w:t>- Includes the results of Easyflyer, Exaprint, Packstyle, Pixartprinting, and Tradeprint, a group of Upload &amp; Print businesses that serve graphic professionals throughout Europe, primarily in France, Italy, Spain, and the United Kingdom. Pixartprinting's U.S. facility went live in March 2025, fulfilling orders for third-party customers and other Cimpress businesses.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National Pen</w:t>
      </w:r>
      <w:r>
        <w:rPr>
          <w:color w:val="000000"/>
        </w:rPr>
        <w:t xml:space="preserve"> </w:t>
      </w:r>
      <w:r>
        <w:rPr>
          <w:rFonts w:ascii="Arial;sans-serif" w:hAnsi="Arial;sans-serif"/>
          <w:b w:val="false"/>
          <w:color w:val="000000"/>
          <w:sz w:val="20"/>
        </w:rPr>
        <w:t>- Serves small businesses across geographies including North America, Europe, and Australia. The pens.com branded business sells through their ecommerce site and is supported by digital marketing methods as well as direct mail and telesales. National Pen focuses on customized writing instruments and promotional products, apparel, and gifts for small- and medium-sized businesses.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 xml:space="preserve">All Other Businesses </w:t>
      </w:r>
      <w:r>
        <w:rPr>
          <w:rFonts w:ascii="Arial;sans-serif" w:hAnsi="Arial;sans-serif"/>
          <w:b w:val="false"/>
          <w:color w:val="000000"/>
          <w:sz w:val="20"/>
        </w:rPr>
        <w:t>- Includes two businesses grouped together based on materiality.</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BuildASign is a provider of canvas-print wall décor, business signage and other large-format printed products.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Printi, a smaller business that is an online printing leader in Brazil.</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first quarter of fiscal year 2026, we made updates to our previously implemented methodology for inter-segment transactions, which is used for purposes of measuring and reporting our segment financial performance. These transactions occur when one Cimpress business chooses to buy from or sell to another Cimpress business. Under the updated methodology, a merchant business (the buyer) is cross charged the variable cost of fulfillment that includes labor, materials and shipping costs, but excludes the overhead allocation that was previously included. A fulfiller business (the seller) receives inter-segment revenue that includes the variable cost of fulfillment plus a markup, as well as the shipping costs. The fulfiller profit is included in the fulfiller’s segment results, but eliminated from consolidated reporting through an inter-segment EBITDA elimination. The updated approach allows our merchant businesses to access the ultimate Cimpress variable cost of fulfillment for a given product and therefore that ultimate Cimpress variable cost can be used to determine pricing, advertising spend, and other operational decisions. We made this change to simplify the inputs required for our businesses to transact with each other, and also to set the right incentives to drive increased use of our internal production capabilities.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21" name="Frame2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recast our historical segment results for all periods presented to ensure comparability with the updated methodology. These changes in methodology have no impact on our consolidated financial results.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During the first quarter of fiscal year 2026, we updated our internal organizational structure which included the transfer of two teams from our Vista reportable segment into our central functions. The change is intended to drive efficiencies through those functions. We have updated our segment presentation for all periods presented to reflect these changes.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Central and corporate costs consist primarily of the team of software engineers that is building our mass customization platform; shared service organizations such as global procurement; technology services such as hosting and security; administrative costs of our Cimpress India offices where numerous Cimpress businesses have dedicated business-specific team members; and corporate functions including our tax, treasury, internal audit, legal, sustainability, real estate, corporate communications, consolidated reporting and compliance, investor relations, and the functions of our CEO and CFO. These costs also include certain unallocated share-based compensation costs.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expense value of our PSU awards is based on fair value and is required to be expensed on an accelerated basis. In order to ensure comparability in measuring our businesses' results, we allocate the straight-line portion of the fixed grant value to our businesses. Any expense in excess of this amount as a result of the fair value measurement of the PSUs and the accelerated expense profile of the awards is recognized within central and corporate costs.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definition of segment EBITDA is GAAP operating income excluding certain items, such as depreciation and amortization,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We include insurance proceeds that are not recognized within operating income. We do not allocate non-operating income, including realized gains and losses on currency hedges, to our segment results.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balance sheet information is not presented to the CODM on an allocated basis, and therefore we do not present asset information by segment. We do present other segment information to the CODM, which includes purchases of property, plant and equipment and capitalization of software and website development costs, and therefore include that information in the tables below.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Revenue by segment is based on the business-specific websites or sales channel through which the customer’s order was transacted. The following tables set forth revenue by reportable segment, as well as disaggregation of revenue by major geographic region and reportable segment.</w:t>
      </w:r>
    </w:p>
    <w:tbl>
      <w:tblPr>
        <w:tblW w:w="8828" w:type="dxa"/>
        <w:jc w:val="center"/>
        <w:tblInd w:w="0" w:type="dxa"/>
        <w:tblLayout w:type="fixed"/>
        <w:tblCellMar>
          <w:top w:w="28" w:type="dxa"/>
          <w:left w:w="28" w:type="dxa"/>
          <w:bottom w:w="28" w:type="dxa"/>
          <w:right w:w="28" w:type="dxa"/>
        </w:tblCellMar>
      </w:tblPr>
      <w:tblGrid>
        <w:gridCol w:w="921"/>
        <w:gridCol w:w="809"/>
        <w:gridCol w:w="820"/>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54"/>
      </w:tblGrid>
      <w:tr>
        <w:trPr/>
        <w:tc>
          <w:tcPr>
            <w:tcW w:w="92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segment revenue</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963,148 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 (2)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consolidated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(1) The prior-period segment results have been adjusted to ensure comparability with the updated methodology used for inter-segment transactions. Refer to the discussion above for further details. </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Refer to the "Revenue by Geographic Region" tables below for detail of the inter-segment revenue within each respective segment.</w:t>
      </w:r>
    </w:p>
    <w:p>
      <w:pPr>
        <w:pStyle w:val="TextBody"/>
        <w:bidi w:val="0"/>
        <w:spacing w:before="0" w:after="0"/>
        <w:ind w:left="0" w:right="0" w:hanging="27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310"/>
                <wp:effectExtent l="0" t="0" r="0" b="0"/>
                <wp:wrapNone/>
                <wp:docPr id="22" name="Frame2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61"/>
        <w:gridCol w:w="469"/>
        <w:gridCol w:w="47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56"/>
      </w:tblGrid>
      <w:tr>
        <w:trPr/>
        <w:tc>
          <w:tcPr>
            <w:tcW w:w="6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December 31, 2025</w:t>
            </w:r>
          </w:p>
        </w:tc>
      </w:tr>
      <w:tr>
        <w:trPr/>
        <w:tc>
          <w:tcPr>
            <w:tcW w:w="1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547,684 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1,085,971 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138,691 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1,042,202 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30"/>
        <w:gridCol w:w="432"/>
        <w:gridCol w:w="43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6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December 31, 2025</w:t>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866,186 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961,295 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Inter-segment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1,987,252 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inter-segment elimination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983,829 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187,327 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230,726 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106,224 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1,905,479 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30"/>
        <w:gridCol w:w="547"/>
        <w:gridCol w:w="551"/>
        <w:gridCol w:w="211"/>
        <w:gridCol w:w="826"/>
        <w:gridCol w:w="109"/>
        <w:gridCol w:w="109"/>
        <w:gridCol w:w="109"/>
        <w:gridCol w:w="109"/>
        <w:gridCol w:w="211"/>
        <w:gridCol w:w="826"/>
        <w:gridCol w:w="109"/>
        <w:gridCol w:w="109"/>
        <w:gridCol w:w="109"/>
        <w:gridCol w:w="109"/>
        <w:gridCol w:w="216"/>
        <w:gridCol w:w="741"/>
        <w:gridCol w:w="111"/>
        <w:gridCol w:w="109"/>
        <w:gridCol w:w="109"/>
        <w:gridCol w:w="109"/>
        <w:gridCol w:w="211"/>
        <w:gridCol w:w="826"/>
        <w:gridCol w:w="109"/>
        <w:gridCol w:w="109"/>
        <w:gridCol w:w="109"/>
        <w:gridCol w:w="109"/>
        <w:gridCol w:w="211"/>
        <w:gridCol w:w="721"/>
        <w:gridCol w:w="109"/>
        <w:gridCol w:w="109"/>
        <w:gridCol w:w="109"/>
        <w:gridCol w:w="109"/>
        <w:gridCol w:w="211"/>
        <w:gridCol w:w="826"/>
        <w:gridCol w:w="158"/>
      </w:tblGrid>
      <w:tr>
        <w:trPr/>
        <w:tc>
          <w:tcPr>
            <w:tcW w:w="730"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December 31, 2024</w:t>
            </w:r>
          </w:p>
        </w:tc>
      </w:tr>
      <w:tr>
        <w:trPr/>
        <w:tc>
          <w:tcPr>
            <w:tcW w:w="18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430,754 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92,012 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471,029 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Inter-segment (1)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98,962 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963,148 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inter-segment elimination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497,023 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173,437 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92,012 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939,159 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631"/>
        <w:gridCol w:w="432"/>
        <w:gridCol w:w="43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6"/>
      </w:tblGrid>
      <w:tr>
        <w:trPr/>
        <w:tc>
          <w:tcPr>
            <w:tcW w:w="6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December 31, 2024</w:t>
            </w:r>
          </w:p>
        </w:tc>
      </w:tr>
      <w:tr>
        <w:trPr/>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by Geographic Region: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North America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835,584 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Europe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838,968 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Inter-segment (1)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Total segment revenue (1)</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1,788,180 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inter-segment elimination (1)</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external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925,614 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210,448 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1,744,128 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(1) The prior-period segment results have been adjusted to ensure comparability with the updated methodology used for inter-segment transactions. Refer to the discussion above for further details.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310"/>
                <wp:effectExtent l="0" t="0" r="0" b="0"/>
                <wp:wrapNone/>
                <wp:docPr id="23" name="Frame2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tables include segment revenue and significant segment expenses by reportable segment, as well as our reported measure of segment profit or loss, EBITDA, by reportable segment for the three and six months ended December 31, 2025 and 2024. Total segment EBITDA shown in the tables below is prior to inter-segment eliminations. Refer to the subsequent table for a reconciliation of total segment EBITDA to income from operations and income (loss) before income taxes.</w:t>
      </w:r>
    </w:p>
    <w:tbl>
      <w:tblPr>
        <w:tblW w:w="9978" w:type="dxa"/>
        <w:jc w:val="left"/>
        <w:tblInd w:w="0" w:type="dxa"/>
        <w:tblLayout w:type="fixed"/>
        <w:tblCellMar>
          <w:top w:w="28" w:type="dxa"/>
          <w:left w:w="28" w:type="dxa"/>
          <w:bottom w:w="28" w:type="dxa"/>
          <w:right w:w="28" w:type="dxa"/>
        </w:tblCellMar>
      </w:tblPr>
      <w:tblGrid>
        <w:gridCol w:w="1087"/>
        <w:gridCol w:w="955"/>
        <w:gridCol w:w="9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December 31, 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segment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10083" w:type="dxa"/>
        <w:jc w:val="left"/>
        <w:tblInd w:w="0" w:type="dxa"/>
        <w:tblLayout w:type="fixed"/>
        <w:tblCellMar>
          <w:top w:w="28" w:type="dxa"/>
          <w:left w:w="28" w:type="dxa"/>
          <w:bottom w:w="28" w:type="dxa"/>
          <w:right w:w="28" w:type="dxa"/>
        </w:tblCellMar>
      </w:tblPr>
      <w:tblGrid>
        <w:gridCol w:w="1087"/>
        <w:gridCol w:w="955"/>
        <w:gridCol w:w="95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December 31, 2025</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segment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Cost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549,477 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55,074 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310"/>
                <wp:effectExtent l="0" t="0" r="0" b="0"/>
                <wp:wrapNone/>
                <wp:docPr id="24" name="Frame2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left"/>
        <w:rPr/>
      </w:pPr>
      <w:r>
        <w:rPr/>
      </w:r>
    </w:p>
    <w:tbl>
      <w:tblPr>
        <w:tblW w:w="10083" w:type="dxa"/>
        <w:jc w:val="left"/>
        <w:tblInd w:w="0" w:type="dxa"/>
        <w:tblLayout w:type="fixed"/>
        <w:tblCellMar>
          <w:top w:w="28" w:type="dxa"/>
          <w:left w:w="28" w:type="dxa"/>
          <w:bottom w:w="28" w:type="dxa"/>
          <w:right w:w="28" w:type="dxa"/>
        </w:tblCellMar>
      </w:tblPr>
      <w:tblGrid>
        <w:gridCol w:w="1085"/>
        <w:gridCol w:w="955"/>
        <w:gridCol w:w="96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December 31, 2024</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Cost of revenue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Segment 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December 31, 2024</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Vista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PrintBrothers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 Print Group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National Pen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All Other</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revenue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Cost of revenue (1)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8"/>
              </w:rPr>
              <w:t>Segment gross profit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514,748 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Less: Advertising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Other operating expenses (2)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60,794 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Add: Other segment items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Segment EBITDA (4)</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00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and the transfer of two functions between our Vista reportable segment and central and corporate costs. Refer to the discussion above for further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For each reportable segment, other operating expenses consists primarily of marketing and selling expense (excluding advertising expenses), technology and development expense and general and administrative expense.</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(3) Other segment items primarily are items excluded from our definition of segment EBITDA, which includes expense recognized for contingent earn-out related charges including the changes in fair value of contingent consideration and compensation expense related to cash-based earn-out mechanisms dependent upon continued employment, share-based compensation related to investment consideration, certain impairment expense, and restructuring charges. </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(4) Total segment EBITDA was $188,443 and $329,527 for the three and six months ended December 31, 2025, respectively, as compared to $166,626 and $288,314 for the three and six months ended December 31, 2024, respectively. In addition to the adjustments described above as part of other segment items, total segment EBITDA excludes the impact of central and corporate costs which is not considered a reportable segment, as well as the elimination of inter-segment transactions which are included in the reconciliation to income before income taxes as outlined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310"/>
                <wp:effectExtent l="0" t="0" r="0" b="0"/>
                <wp:wrapNone/>
                <wp:docPr id="25" name="Frame2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includes segment EBITDA by reportable segment, total income from operations and total income before income taxes:</w:t>
      </w:r>
    </w:p>
    <w:tbl>
      <w:tblPr>
        <w:tblW w:w="9503" w:type="dxa"/>
        <w:jc w:val="left"/>
        <w:tblInd w:w="0" w:type="dxa"/>
        <w:tblLayout w:type="fixed"/>
        <w:tblCellMar>
          <w:top w:w="28" w:type="dxa"/>
          <w:left w:w="28" w:type="dxa"/>
          <w:bottom w:w="28" w:type="dxa"/>
          <w:right w:w="28" w:type="dxa"/>
        </w:tblCellMar>
      </w:tblPr>
      <w:tblGrid>
        <w:gridCol w:w="1331"/>
        <w:gridCol w:w="1169"/>
        <w:gridCol w:w="117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segment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329,527 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 (2)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 (3)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Certain impairments and other adjustments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Refer to the discussion above for further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Includes the elimination of inter-segment profit that relates to cross-Cimpress transactions in which the merchant business is cross charged the variable cost of fulfillment and the fulfiller business receives a markup on the cost to fulfill the related orders. These inter-segment profits are eliminated at a consolidated level. Refer to the discussion above regarding our updated methodology for inter-segment transactions for additional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(3) Depreciation and amortization includes costs within our central and corporate costs of $5,658 and $11,443 for the three and six months ended December 31, 2025, respectively, as compared to $5,912 and $11,832 for the three and six months ended December 31, 2024, respectively. </w:t>
      </w:r>
    </w:p>
    <w:tbl>
      <w:tblPr>
        <w:tblW w:w="9517" w:type="dxa"/>
        <w:jc w:val="center"/>
        <w:tblInd w:w="0" w:type="dxa"/>
        <w:tblLayout w:type="fixed"/>
        <w:tblCellMar>
          <w:top w:w="28" w:type="dxa"/>
          <w:left w:w="28" w:type="dxa"/>
          <w:bottom w:w="28" w:type="dxa"/>
          <w:right w:w="28" w:type="dxa"/>
        </w:tblCellMar>
      </w:tblPr>
      <w:tblGrid>
        <w:gridCol w:w="1488"/>
        <w:gridCol w:w="1306"/>
        <w:gridCol w:w="131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purchases of property, plant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26,418 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increase is related to investments in new manufacturing capabilities to support our North American market.</w:t>
      </w:r>
    </w:p>
    <w:tbl>
      <w:tblPr>
        <w:tblW w:w="10205" w:type="dxa"/>
        <w:jc w:val="left"/>
        <w:tblInd w:w="0" w:type="dxa"/>
        <w:tblLayout w:type="fixed"/>
        <w:tblCellMar>
          <w:top w:w="28" w:type="dxa"/>
          <w:left w:w="28" w:type="dxa"/>
          <w:bottom w:w="28" w:type="dxa"/>
          <w:right w:w="28" w:type="dxa"/>
        </w:tblCellMar>
      </w:tblPr>
      <w:tblGrid>
        <w:gridCol w:w="1735"/>
        <w:gridCol w:w="1528"/>
        <w:gridCol w:w="153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56"/>
      </w:tblGrid>
      <w:tr>
        <w:trPr/>
        <w:tc>
          <w:tcPr>
            <w:tcW w:w="1735"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PrintBrothers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 Print Group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National Pen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Businesses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Central and corporate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capitalization of software and website development costs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310"/>
                <wp:effectExtent l="0" t="0" r="0" b="0"/>
                <wp:wrapNone/>
                <wp:docPr id="26" name="Frame2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long-lived assets by geographic area:</w:t>
      </w:r>
    </w:p>
    <w:tbl>
      <w:tblPr>
        <w:tblW w:w="4727" w:type="dxa"/>
        <w:jc w:val="left"/>
        <w:tblInd w:w="0" w:type="dxa"/>
        <w:tblLayout w:type="fixed"/>
        <w:tblCellMar>
          <w:top w:w="28" w:type="dxa"/>
          <w:left w:w="28" w:type="dxa"/>
          <w:bottom w:w="28" w:type="dxa"/>
          <w:right w:w="28" w:type="dxa"/>
        </w:tblCellMar>
      </w:tblPr>
      <w:tblGrid>
        <w:gridCol w:w="679"/>
        <w:gridCol w:w="596"/>
        <w:gridCol w:w="600"/>
        <w:gridCol w:w="245"/>
        <w:gridCol w:w="962"/>
        <w:gridCol w:w="127"/>
        <w:gridCol w:w="109"/>
        <w:gridCol w:w="109"/>
        <w:gridCol w:w="109"/>
        <w:gridCol w:w="211"/>
        <w:gridCol w:w="82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EE2724"/>
              </w:rPr>
            </w:pPr>
            <w:r>
              <w:rPr>
                <w:color w:val="EE2724"/>
              </w:rPr>
              <w:t> </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June 30, 2025</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Long-lived assets (1):</w:t>
            </w:r>
          </w:p>
        </w:tc>
        <w:tc>
          <w:tcPr>
            <w:tcW w:w="1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EE2724"/>
              </w:rPr>
            </w:pPr>
            <w:r>
              <w:rPr>
                <w:color w:val="EE2724"/>
              </w:rPr>
              <w:t> </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United States</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68,045 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Switzerland</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76,027 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Netherlands</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78,115 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Canada</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Mexico (2)</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52,967 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Italy</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45,832 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Germany</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Tunisia</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Austria</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France</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Australia</w:t>
            </w:r>
          </w:p>
        </w:tc>
        <w:tc>
          <w:tcPr>
            <w:tcW w:w="12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2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593,165 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Excludes goodwill of $826,655 and $826,156, intangible assets, net of $54,783 and $58,348, and deferred tax assets of $56,944 and $61,086 as of December 31, 2025 and June 30, 2025, respectively.</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The increase is related to investments in new manufacturing capabilities to support our North American market.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00"/>
        <w:jc w:val="left"/>
        <w:rPr>
          <w:rFonts w:ascii="Arial;sans-serif" w:hAnsi="Arial;sans-serif"/>
          <w:b/>
          <w:color w:val="000000"/>
          <w:sz w:val="20"/>
        </w:rPr>
      </w:pPr>
      <w:r>
        <w:rPr>
          <w:rFonts w:ascii="Arial;sans-serif" w:hAnsi="Arial;sans-serif"/>
          <w:b/>
          <w:color w:val="000000"/>
          <w:sz w:val="20"/>
        </w:rPr>
        <w:t>12. Commitments and Contingencies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 xml:space="preserve">Supply Chain Finance Program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facilitate a voluntary supply chain finance program through a financial intermediary, which provides certain suppliers the option to be paid by the financial intermediary earlier than the due date of the applicable invoice. The decision to sell receivables due from us is at the sole discretion of both the suppliers and the financial institution. Our responsibility is limited to making payment on the terms originally negotiated with each supplier, regardless of whether a supplier participates in the program. We are not a party to the agreements between the participating financial institution and the suppliers in connection with the program, we do not receive financial incentives from the suppliers or the financial institution, nor do we reimburse suppliers for any costs they incur for participating in the program. There are no assets pledged as security or other forms of guarantees provided for the committed payment to the financial institution.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All unpaid obligations to our supply chain finance provider are included in accounts payable in the consolidated balance sheets, and payments we make under the program are reflected as a reduction to net cash provided by operating activities in the consolidated statements of cash flows. The outstanding obligations with our supply chain finance provider that are included in accounts payable in our consolidated balance sheets as of December 31, 2025 and June 30, 2025 were $63,771 and $64,854, respectively.</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Purchase Obligations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At December 31, 2025, we had unrecorded commitments under contract of $368,708, including third-party cloud services of $227,057; inventory, third-party fulfillment and digital service purchase commitments of $78,812; software of $29,781; insurance costs of $11,552; production-related temporary labor of $5,885; professional and consulting fees of $5,522; production and computer equipment purchases of $4,853; advertising of $2,619; and other unrecorded purchase commitments of $2,627.</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Legal Proceedings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are not currently party to any legal proceedings we believe to be material. Although we cannot predict with certainty the results of litigation and claims to which we may be subject from time to time, we do not expect the resolution of any of our current matters to have a material adverse impact on our consolidated results of operations, cash flows or financial position. For all legal matters, at each reporting period, we evaluate whether or not a potential loss amount or a potential range of loss is probable and reasonably estimable under the provisions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310"/>
                <wp:effectExtent l="0" t="0" r="0" b="0"/>
                <wp:wrapNone/>
                <wp:docPr id="27" name="Frame2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authoritative guidance that addresses accounting for contingencies. We expense the costs relating to our legal proceedings as those costs are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310"/>
                <wp:effectExtent l="0" t="0" r="0" b="0"/>
                <wp:wrapNone/>
                <wp:docPr id="28" name="Frame2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00"/>
        <w:jc w:val="left"/>
        <w:rPr/>
      </w:pPr>
      <w:r>
        <w:rPr>
          <w:rFonts w:ascii="Arial;sans-serif" w:hAnsi="Arial;sans-serif"/>
          <w:b/>
          <w:color w:val="000000"/>
          <w:sz w:val="20"/>
        </w:rPr>
        <w:t xml:space="preserve">Item 2. </w:t>
      </w:r>
      <w:r>
        <w:rPr>
          <w:rFonts w:ascii="Arial;sans-serif" w:hAnsi="Arial;sans-serif"/>
          <w:b/>
          <w:i/>
          <w:color w:val="000000"/>
          <w:sz w:val="20"/>
        </w:rPr>
        <w:t>Management’s Discussion and Analysis of Financial Condition and Results of Operations</w:t>
      </w:r>
    </w:p>
    <w:p>
      <w:pPr>
        <w:pStyle w:val="TextBody"/>
        <w:bidi w:val="0"/>
        <w:spacing w:lineRule="auto" w:line="288" w:before="180" w:after="283"/>
        <w:ind w:left="0" w:right="0" w:firstLine="720"/>
        <w:jc w:val="left"/>
        <w:rPr>
          <w:rFonts w:ascii="Arial;sans-serif" w:hAnsi="Arial;sans-serif"/>
          <w:b w:val="false"/>
          <w:i/>
          <w:color w:val="000000"/>
          <w:sz w:val="20"/>
        </w:rPr>
      </w:pPr>
      <w:r>
        <w:rPr>
          <w:rFonts w:ascii="Arial;sans-serif" w:hAnsi="Arial;sans-serif"/>
          <w:b w:val="false"/>
          <w:i/>
          <w:color w:val="000000"/>
          <w:sz w:val="20"/>
        </w:rPr>
        <w:t>This Report contains forward-looking statements that involve risks and uncertainties. The statements contained in this Report that are not purely historical are forward-looking statements within the meaning of Section 27A of the Securities Act of 1933 and Section 21E of the Securities Exchange Act of 1934, including but not limited to our statements about the anticipated growth and development of our businesses and financial results, the impact of interest rate and currency fluctuations, the impact of U.S. tariffs (including potential changes in related trade policies and potential mitigation actions and related estimates, cost impacts, pricing changes and changes in customer demand), sources of liquidity to fund future operations, future payment terms with suppliers, the timing of adoption of certain accounting standards, legal proceedings, our ability to prevail in our appeal of an adverse land duty tax assessment, indefinitely reinvested earnings, unrecognized tax benefits, our effective tax rate, and sufficiency of our tax reserves. Without limiting the foregoing, the words “may,” “should,” “could,” “expect,” “plan,” “intend,” “anticipate,” “believe,” “estimate,” “predict,” "assume," “designed,” “potential,” "possible," “continue,” “target,” “seek,” "likely," "will" and similar expressions are intended to identify forward-looking statements. All forward-looking statements included in this Report are based on information available to us up to, and including, the date of this document, and we disclaim any obligation to update any such forward-looking statements. Our actual results could differ materially from those anticipated in these forward-looking statements as a result of various important factors, including but not limited to flaws in the assumptions and judgments upon which our forecasts and estimates are based; the development, duration, and severity of supply chain constraints and fluctuating inflation; our inability to make investments in our businesses and allocate our capital as planned or the failure of those investments and allocations to achieve the results we expect; costs and disruptions caused by acquisitions and minority investments; the failure of businesses we acquire or invest in to perform as expected; loss of key personnel or our inability to recruit talented personnel; our failure to develop and deploy our mass customization platform or the failure of the mass customization platform to drive the performance, efficiencies, and competitive advantage we expect; unanticipated changes in our markets, customers, or businesses; disruptions caused by geopolitical events or political instability and war in Ukraine, Israel, the Middle East, or elsewhere; changes in governmental policies, laws, and regulations that affect our businesses, or in their enforcement or interpretation, including related to import tariffs; our failure to manage the growth and complexity of our business; our failure to maintain compliance with the covenants in our debt documents or to pay our debts when due; competitive pressures; general economic conditions; and other factors described in Item 1A (Risk Factors) of our Annual Report on Form 10-K for the 2025 fiscal year, this Quarterly Report on Form 10-Q and subsequent documents we periodically file with the SEC.</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Executive Overview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Cimpress is a strategically focused collection of businesses that specialize in print mass customization, through which we deliver large volumes of individually small-sized customized orders of printed materials and promotional products. Our products and services include a broad range of marketing materials, business cards, signage, promotional products, logo apparel, packaging, books and magazines, wall decor, photo merchandise, invitations and announcements, design and digital marketing services, and other categories. Mass customization is a core element of the business model of each Cimpress business and is a competitive strategy which seeks to produce goods and services to meet individual customer needs with near mass production efficiency.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December 31, 2025, we have numerous operating segments under our management reporting structure that are reported in the following five reportable segments: Vista, PrintBrothers, The Print Group, National Pen, and All Other Businesses. For purposes of measuring and reporting our segment financial performance, we made updates to our previously implemented methodology for inter-segment transactions during the first quarter of fiscal 2026. These transactions occur when one Cimpress business buys from or sells to another Cimpress business. Under the updated methodology, a merchant business (the buyer) is cross charged the variable cost of fulfillment that includes labor, materials and shipping costs, which excludes the previously included overhead allocation. We also updated our internal organizational structure, which included the transfer of two teams from our Vista reportable segment into our central functions. We have recast the prior periods presented for segment revenue and segment EBITDA for both changes to ensure comparability with the current fiscal year. These changes have no impact on our consolidated financial results. Refer to Note 11 in our accompanying consolidated financial statements for additional information relating to our reportable segments and our segment financial measures.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U.S. Tariffs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U.S. tariff environment continues to be fluid. Cimpress businesses operate in the U.S., and we have fulfillment operations for U.S. customers in multiple locations in the U.S., Canada and Mexico. Cimpress has multiple exemptions and exclusions from paying tariffs on many of the products we fulfill for U.S. customers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310"/>
                <wp:effectExtent l="0" t="0" r="0" b="0"/>
                <wp:wrapNone/>
                <wp:docPr id="29" name="Frame2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Canada and Mexico. The primary impact of tariffs on Cimpress continues to be for promotional products that we source from China and several other countries. After the elimination of the de minimis exemption for shipments under $800 per day to individual U.S. customers in May 2025 for Chinese-sourced goods and August 2025 for goods from other countries, we increased our pricing on impacted products. To date, we have been able to minimize most, but not all, of the impact of the new tariffs through supply chain optimization and pricing changes.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are monitoring the status of tariffs, and we will remain nimble in our sourcing and pricing responses. Most of the computed value of the products we produce in Canada and Mexico for U.S. customers remains covered by exemptions due to their compliance with the US-Mexico-Canada (USMCA) trade agreement and the International Emergency Economic Powers Act (IEEPA) carve out for informational materials. Furthermore, we continue to believe that our scale-based advantages and the assets of our manufacturing, supply chain and procurement, and flexible technology infrastructure have become even clearer through this turbulence. We remain confident that we can manage this effectively, even as facts and circumstances remain subject to change.</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Financial Summary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primary financial metric by which we set quarterly and annual budgets both for individual businesses and Cimpress wide is our adjusted free cash flow before net cash interest payments; however, in evaluating the financial condition and operating performance of our business, management considers a number of metrics including revenue growth, constant-currency revenue growth, organic constant-currency revenue growth (which excludes the impact of acquisitions/divestitures), operating income, net income, adjusted EBITDA, cash flow from operations, and adjusted free cash flow. Reconciliations of our non-GAAP financial measures are included within the "Consolidated Results of Operations" and "Additional Non-GAAP Financial Measures" sections of Management's Discussion and Analysis. A summary of these key financial metrics for the three and six months ended December 31, 2025 as compared to the three and six months ended December 31, 2024 follows:</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Second Quarter Fiscal Year 2026</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Revenue increased by 11% to $1,042.2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Organic constant-currency revenue growth (a non-GAAP financial measure) was 4%.</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Operating income increased by $7.1 million to $88.1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decreased by $12.1 million to $49.5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EBITDA (a non-GAAP financial measure) increased by $6.6 million to $138.8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Diluted net income per share attributable to Cimpress plc decreased by $0.41 to $1.95.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Year to Date Fiscal Year 2026</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Revenue increased by 9% to $1,905.5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Organic constant-currency revenue growth (a non-GAAP financial measure) was 4%.</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Operating income increased by $16.8 million to $137.1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increased by $6.8 million to $56.0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EBITDA (a non-GAAP financial measure) increased by $17.5 million to $237.6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Diluted net income per share attributable to Cimpress plc increased by $0.40 to $2.26.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Cash provided by operating activities increased by $8.8 million to $189.7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Adjusted free cash flow (a non-GAAP financial measure) decreased by $1.3 million to $106.6 million.</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six months ended December 31, 2025, the increases in reported consolidated revenue were driven by external revenue growth across all of our reportable segments, as well as currency benefits and the addition of revenue from a recently acquired business in our PrintBrothers reportable segment. The largest contributor of the organic constant currency revenue growth came from our Vista business and was driven by growth across all major markets. Revenue growth continued to be strong across our assortment of elevated products, including double-digit growth in promotional products, apparel and gifts (PPAG) and packaging and labels.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increases to operating income of $7.1 million and $16.8 million during the three and six months ended December 31, 2025, respectively, were primarily driven by incremental gross profit due to revenue growth discussed above. Gross profit growth was dampened by the combination of increases in start-up costs associated with new manufacturing operations in North America, as well as the negative net effect from U.S. tariffs in our National Pen business. Across many of our businesses we continue to drive year-over-year operating expense efficiencies.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310"/>
                <wp:effectExtent l="0" t="0" r="0" b="0"/>
                <wp:wrapNone/>
                <wp:docPr id="30" name="Frame3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efficiencies, including from reductions in the second half of the prior fiscal year, helped offset the overall increase in operating expenses as compared to the prior year periods, in part due to higher cash compensation costs driven by the timing of our annual merit cycle. The increases to operating income were negatively impacted by the hurricane that hit Jamaica in October 2025, a portion of which may be recoverable through insurance in future periods.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$12.1 million net income decrease for the three months ended December 31, 2025 and $6.8 million increase for the six months ended December 31, 2025, as compared to the prior year periods, both were partly impacted by volatility from lower unrealized hedging gains, as well as the impact of the operating income increases described above, and lower interest expenses.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increased by $6.6 million and $17.5 million during the three and six months ended December 31, 2025, respectively, for similar reasons as the increase in operating income as described above, as well as $4.1 million and $7.0 million in year-over-year currency benefits, respectively. Adjusted EBITDA benefitted $1.3 million in both periods from a tuck-in acquisition within the PrintBrothers segment, which was partially offset by approximately $2 million of impact from the hurricane that hit Jamaica in late October 2025.</w:t>
      </w:r>
    </w:p>
    <w:p>
      <w:pPr>
        <w:pStyle w:val="TextBody"/>
        <w:bidi w:val="0"/>
        <w:spacing w:lineRule="auto" w:line="288" w:before="100" w:after="100"/>
        <w:ind w:left="0" w:right="0" w:firstLine="720"/>
        <w:jc w:val="left"/>
        <w:rPr/>
      </w:pPr>
      <w:r>
        <w:rPr>
          <w:rFonts w:ascii="Arial;sans-serif" w:hAnsi="Arial;sans-serif"/>
          <w:b w:val="false"/>
          <w:color w:val="000000"/>
          <w:sz w:val="20"/>
          <w:shd w:fill="FFFFFF" w:val="clear"/>
        </w:rPr>
        <w:t xml:space="preserve">During the </w:t>
      </w:r>
      <w:r>
        <w:rPr>
          <w:rFonts w:ascii="Arial;sans-serif" w:hAnsi="Arial;sans-serif"/>
          <w:b w:val="false"/>
          <w:color w:val="000000"/>
          <w:sz w:val="20"/>
        </w:rPr>
        <w:t>six months ended December 31, 2025</w:t>
      </w:r>
      <w:r>
        <w:rPr>
          <w:rFonts w:ascii="Arial;sans-serif" w:hAnsi="Arial;sans-serif"/>
          <w:b w:val="false"/>
          <w:color w:val="000000"/>
          <w:sz w:val="20"/>
          <w:shd w:fill="FFFFFF" w:val="clear"/>
        </w:rPr>
        <w:t xml:space="preserve">, cash from operations </w:t>
      </w:r>
      <w:r>
        <w:rPr>
          <w:rFonts w:ascii="Arial;sans-serif" w:hAnsi="Arial;sans-serif"/>
          <w:b w:val="false"/>
          <w:color w:val="000000"/>
          <w:sz w:val="20"/>
        </w:rPr>
        <w:t>increased</w:t>
      </w:r>
      <w:r>
        <w:rPr>
          <w:color w:val="000000"/>
          <w:shd w:fill="FFFFFF" w:val="clear"/>
        </w:rPr>
        <w:t xml:space="preserve"> </w:t>
      </w:r>
      <w:r>
        <w:rPr>
          <w:rFonts w:ascii="Arial;sans-serif" w:hAnsi="Arial;sans-serif"/>
          <w:b w:val="false"/>
          <w:color w:val="000000"/>
          <w:sz w:val="20"/>
          <w:shd w:fill="FFFFFF" w:val="clear"/>
        </w:rPr>
        <w:t xml:space="preserve">$8.8 million year over year, primarily driven by the higher net income as described above, offset in part by less favorable changes in net working capital year over year of </w:t>
      </w:r>
      <w:r>
        <w:rPr>
          <w:rFonts w:ascii="Arial;sans-serif" w:hAnsi="Arial;sans-serif"/>
          <w:b w:val="false"/>
          <w:color w:val="000000"/>
          <w:sz w:val="20"/>
        </w:rPr>
        <w:t>$12.6 million, primarily due to timing items, as well as higher cash taxes</w:t>
      </w:r>
      <w:r>
        <w:rPr>
          <w:rFonts w:ascii="Arial;sans-serif" w:hAnsi="Arial;sans-serif"/>
          <w:b w:val="false"/>
          <w:color w:val="000000"/>
          <w:sz w:val="20"/>
          <w:shd w:fill="FFFFFF" w:val="clear"/>
        </w:rPr>
        <w: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decreased by $1.3 million for the six months ended December 31, 2025, due to an $8.1 million increase in capitalized expenditures mainly from planned investments in new production equipment and facility expansion and a $2.1 million increase in capitalized software and website development costs, primarily driven by investments in our mass customization platform and related technology enhancements. These increased investments were partially offset by the increase in cash from operations as described above.</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Consolidated Results of Operations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Consolidated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Our businesses generate revenue primarily from the sale and shipment of customized products. We also generate revenue, to a much lesser extent (and primarily in our Vista business), from digital services, graphic design services, website design and hosting, and social media marketing services, as well as a small percentage of revenue from order referral fees and other third-party offerings. For additional discussion relating to segment revenue results, refer to the "Reportable Segment Results" section included below.</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Total revenue and revenue growth by reportable segment for the three and six months ended December 31, 2025 and 2024 are shown in the following tables. The revenue by reportable segment includes inter-segment transactions, which is when one Cimpress business chooses to buy from or sell to another Cimpress business that is part of a different reportable segment. These transactions are eliminated in the inter-segment elimination line in the tables below.</w:t>
      </w:r>
    </w:p>
    <w:tbl>
      <w:tblPr>
        <w:tblW w:w="10205" w:type="dxa"/>
        <w:jc w:val="left"/>
        <w:tblInd w:w="0" w:type="dxa"/>
        <w:tblLayout w:type="fixed"/>
        <w:tblCellMar>
          <w:top w:w="28" w:type="dxa"/>
          <w:left w:w="28" w:type="dxa"/>
          <w:bottom w:w="28" w:type="dxa"/>
          <w:right w:w="28" w:type="dxa"/>
        </w:tblCellMar>
      </w:tblPr>
      <w:tblGrid>
        <w:gridCol w:w="509"/>
        <w:gridCol w:w="399"/>
        <w:gridCol w:w="403"/>
        <w:gridCol w:w="211"/>
        <w:gridCol w:w="976"/>
        <w:gridCol w:w="109"/>
        <w:gridCol w:w="109"/>
        <w:gridCol w:w="109"/>
        <w:gridCol w:w="109"/>
        <w:gridCol w:w="211"/>
        <w:gridCol w:w="826"/>
        <w:gridCol w:w="109"/>
        <w:gridCol w:w="109"/>
        <w:gridCol w:w="109"/>
        <w:gridCol w:w="109"/>
        <w:gridCol w:w="205"/>
        <w:gridCol w:w="205"/>
        <w:gridCol w:w="206"/>
        <w:gridCol w:w="109"/>
        <w:gridCol w:w="109"/>
        <w:gridCol w:w="109"/>
        <w:gridCol w:w="319"/>
        <w:gridCol w:w="319"/>
        <w:gridCol w:w="323"/>
        <w:gridCol w:w="109"/>
        <w:gridCol w:w="109"/>
        <w:gridCol w:w="109"/>
        <w:gridCol w:w="257"/>
        <w:gridCol w:w="257"/>
        <w:gridCol w:w="261"/>
        <w:gridCol w:w="109"/>
        <w:gridCol w:w="109"/>
        <w:gridCol w:w="109"/>
        <w:gridCol w:w="346"/>
        <w:gridCol w:w="346"/>
        <w:gridCol w:w="347"/>
        <w:gridCol w:w="109"/>
        <w:gridCol w:w="109"/>
        <w:gridCol w:w="109"/>
        <w:gridCol w:w="480"/>
        <w:gridCol w:w="255"/>
        <w:gridCol w:w="364"/>
      </w:tblGrid>
      <w:tr>
        <w:trPr/>
        <w:tc>
          <w:tcPr>
            <w:tcW w:w="5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Revenue Growth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Excluding Acquisitions/Divestitures (3)</w:t>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r>
      <w:tr>
        <w:trPr/>
        <w:tc>
          <w:tcPr>
            <w:tcW w:w="1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1,042,202 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939,159 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310"/>
                <wp:effectExtent l="0" t="0" r="0" b="0"/>
                <wp:wrapNone/>
                <wp:docPr id="31" name="Frame3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500"/>
        <w:gridCol w:w="389"/>
        <w:gridCol w:w="393"/>
        <w:gridCol w:w="211"/>
        <w:gridCol w:w="976"/>
        <w:gridCol w:w="109"/>
        <w:gridCol w:w="109"/>
        <w:gridCol w:w="109"/>
        <w:gridCol w:w="109"/>
        <w:gridCol w:w="211"/>
        <w:gridCol w:w="976"/>
        <w:gridCol w:w="109"/>
        <w:gridCol w:w="109"/>
        <w:gridCol w:w="109"/>
        <w:gridCol w:w="109"/>
        <w:gridCol w:w="205"/>
        <w:gridCol w:w="205"/>
        <w:gridCol w:w="206"/>
        <w:gridCol w:w="109"/>
        <w:gridCol w:w="109"/>
        <w:gridCol w:w="109"/>
        <w:gridCol w:w="312"/>
        <w:gridCol w:w="312"/>
        <w:gridCol w:w="316"/>
        <w:gridCol w:w="109"/>
        <w:gridCol w:w="109"/>
        <w:gridCol w:w="109"/>
        <w:gridCol w:w="251"/>
        <w:gridCol w:w="251"/>
        <w:gridCol w:w="255"/>
        <w:gridCol w:w="109"/>
        <w:gridCol w:w="109"/>
        <w:gridCol w:w="109"/>
        <w:gridCol w:w="332"/>
        <w:gridCol w:w="332"/>
        <w:gridCol w:w="333"/>
        <w:gridCol w:w="109"/>
        <w:gridCol w:w="109"/>
        <w:gridCol w:w="109"/>
        <w:gridCol w:w="471"/>
        <w:gridCol w:w="240"/>
        <w:gridCol w:w="348"/>
      </w:tblGrid>
      <w:tr>
        <w:trPr/>
        <w:tc>
          <w:tcPr>
            <w:tcW w:w="5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Currency</w:t>
              <w:br/>
              <w:t>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Constant-</w:t>
              <w:b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Impact of Acquisitions/Divestitures: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Constant- Currency Revenue Growth </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t>
              <w:b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Revenue Growth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(Favorable)/Unfavorable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Excluding Acquisitions/Divestitures (3)</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Vista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PrintBrothers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Print Group</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National Pen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 Other Businesses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(44,052)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1,905,479 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w:t>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prior-period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(2) Constant-currency revenue growth, a non-GAAP financial measure, represents the change in total revenue between current and prior-year periods at constant-currency exchange rates by translating all non-U.S. dollar denominated revenue generated in the current period using the prior year period’s average exchange rate for each currency to the U.S. dollar. Our reportable segments-related growth is inclusive of inter-segment revenues, which are eliminated in our consolidated results.</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Constant-currency revenue growth excluding acquisitions/divestitures, a non-GAAP financial measure, excludes revenue results for businesses in the period in which there is no comparable year-over-year revenue. Our reportable segments-related growth is inclusive of inter-segment revenues, which are eliminated in our consolidated results.</w:t>
      </w:r>
    </w:p>
    <w:p>
      <w:pPr>
        <w:pStyle w:val="TextBody"/>
        <w:bidi w:val="0"/>
        <w:spacing w:lineRule="auto" w:line="288" w:before="100" w:after="100"/>
        <w:jc w:val="left"/>
        <w:rPr>
          <w:rFonts w:ascii="Arial;sans-serif" w:hAnsi="Arial;sans-serif"/>
          <w:b w:val="false"/>
          <w:color w:val="000000"/>
          <w:sz w:val="16"/>
        </w:rPr>
      </w:pPr>
      <w:r>
        <w:rPr>
          <w:rFonts w:ascii="Arial;sans-serif" w:hAnsi="Arial;sans-serif"/>
          <w:b w:val="false"/>
          <w:color w:val="000000"/>
          <w:sz w:val="16"/>
        </w:rPr>
        <w:t xml:space="preserve">We have provided these non-GAAP financial measures because we believe they provide meaningful information regarding our results on a consistent and comparable basis for the periods presented. Management uses these non-GAAP financial measures, in addition to GAAP financial measures, to evaluate our operating results. These non-GAAP financial measures should be considered supplemental to, and not a substitute for, our reported financial results prepared in accordance with GAAP. </w:t>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six months ended December 31, 2025, the reported revenue growth of $103.0 million and $161.4 million, respectively, was primarily driven by revenue growth in our Vista and PrintBrothers reportable segments. Revenue was positively impacted by $44.6 million and $67.8 million, respectively, from currency exchange rate fluctuations as compared to the prior-year periods. Excluding the effect of changes in currency exchange rates and inter-segment revenue, the largest increases in revenue were from our Vista business with increases of $21.2 million and $41.0 million, respectively, for the three and six months ended December 31, 2025. Vista revenue was higher year over year across all major markets, with the most significant growth in the PPAG and packaging and labels product categories. Our PrintBrothers reportable segment also contributed $24.6 million and $35.7 million, respectively, of increased revenue for the three and six months ended December 31, 2025, excluding the effect of changes in currency exchange rates and inter-segment revenue, partly driven by $17.9 million from the addition of revenue from a recently acquired business, as well as new customer and order volume growth.</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additional discussion relating to segment revenue results, refer to the "Reportable Segment Results" section included below.</w:t>
      </w:r>
    </w:p>
    <w:p>
      <w:pPr>
        <w:pStyle w:val="TextBody"/>
        <w:bidi w:val="0"/>
        <w:spacing w:lineRule="auto" w:line="288" w:before="200" w:after="200"/>
        <w:ind w:left="0" w:right="0" w:hanging="270"/>
        <w:jc w:val="left"/>
        <w:rPr>
          <w:rFonts w:ascii="Arial;sans-serif" w:hAnsi="Arial;sans-serif"/>
          <w:b/>
          <w:i/>
          <w:color w:val="000000"/>
          <w:sz w:val="20"/>
        </w:rPr>
      </w:pPr>
      <w:r>
        <w:rPr>
          <w:rFonts w:ascii="Arial;sans-serif" w:hAnsi="Arial;sans-serif"/>
          <w:b/>
          <w:i/>
          <w:color w:val="000000"/>
          <w:sz w:val="20"/>
        </w:rPr>
        <w:t>Consolidated Cost of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Cost of revenue includes materials used by our businesses to manufacture their products, payroll and related expenses for production and design services personnel, depreciation of assets used in the production process and in support of digital marketing service offerings, shipping, handling and processing costs, third-party production and design costs, costs of free products, and other related costs of products our businesses sell.</w:t>
      </w:r>
    </w:p>
    <w:tbl>
      <w:tblPr>
        <w:tblW w:w="8110" w:type="dxa"/>
        <w:jc w:val="center"/>
        <w:tblInd w:w="0" w:type="dxa"/>
        <w:tblLayout w:type="fixed"/>
        <w:tblCellMar>
          <w:top w:w="28" w:type="dxa"/>
          <w:left w:w="28" w:type="dxa"/>
          <w:bottom w:w="28" w:type="dxa"/>
          <w:right w:w="28" w:type="dxa"/>
        </w:tblCellMar>
      </w:tblPr>
      <w:tblGrid>
        <w:gridCol w:w="537"/>
        <w:gridCol w:w="473"/>
        <w:gridCol w:w="474"/>
        <w:gridCol w:w="211"/>
        <w:gridCol w:w="826"/>
        <w:gridCol w:w="271"/>
        <w:gridCol w:w="109"/>
        <w:gridCol w:w="109"/>
        <w:gridCol w:w="109"/>
        <w:gridCol w:w="211"/>
        <w:gridCol w:w="826"/>
        <w:gridCol w:w="271"/>
        <w:gridCol w:w="109"/>
        <w:gridCol w:w="109"/>
        <w:gridCol w:w="109"/>
        <w:gridCol w:w="211"/>
        <w:gridCol w:w="976"/>
        <w:gridCol w:w="271"/>
        <w:gridCol w:w="109"/>
        <w:gridCol w:w="109"/>
        <w:gridCol w:w="109"/>
        <w:gridCol w:w="211"/>
        <w:gridCol w:w="826"/>
        <w:gridCol w:w="271"/>
        <w:gridCol w:w="109"/>
        <w:gridCol w:w="154"/>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554,484 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489,256 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1,014,960 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911,992 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53.3 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52.3 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six months ended December 31, 2025, year-over-year cost of revenue increased by $65.2 million and $103.0 million, respectively, driven by higher internal manufacturing costs of $26.4 million and $38.4 million, respectively, and higher shipping costs of $9.2 million and $14.2 million, respectively, primarily driven by volume-related increases. Internal manufacturing costs were also impacted by start-up costs for new manufacturing facilities in North America of $1.5 million and $1.6 million, respectively. The increase in cost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310"/>
                <wp:effectExtent l="0" t="0" r="0" b="0"/>
                <wp:wrapNone/>
                <wp:docPr id="32" name="Frame3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revenue was also influenced by higher third-party fulfillment costs of $19.1 million and $33.3 million, due in part to product mix shifts toward faster-growing product categories that leverage our third-party fulfillment network. The cost of revenue increase was impacted by tariff-related cost increases in the U.S., which have largely been offset by price increases, as well as the impact of currency exchange rate fluctuations of $25.8 million and $39.8 million, respectively.</w:t>
      </w:r>
    </w:p>
    <w:p>
      <w:pPr>
        <w:pStyle w:val="TextBody"/>
        <w:bidi w:val="0"/>
        <w:spacing w:lineRule="auto" w:line="288" w:before="200" w:after="200"/>
        <w:ind w:left="0" w:right="0" w:hanging="270"/>
        <w:jc w:val="left"/>
        <w:rPr>
          <w:rFonts w:ascii="Arial;sans-serif" w:hAnsi="Arial;sans-serif"/>
          <w:b/>
          <w:i/>
          <w:color w:val="000000"/>
          <w:sz w:val="20"/>
        </w:rPr>
      </w:pPr>
      <w:r>
        <w:rPr>
          <w:rFonts w:ascii="Arial;sans-serif" w:hAnsi="Arial;sans-serif"/>
          <w:b/>
          <w:i/>
          <w:color w:val="000000"/>
          <w:sz w:val="20"/>
        </w:rPr>
        <w:t>Consolidated Operating Expenses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summarizes our comparative operating expenses for the following periods:</w:t>
      </w:r>
    </w:p>
    <w:tbl>
      <w:tblPr>
        <w:tblW w:w="10205" w:type="dxa"/>
        <w:jc w:val="left"/>
        <w:tblInd w:w="0" w:type="dxa"/>
        <w:tblLayout w:type="fixed"/>
        <w:tblCellMar>
          <w:top w:w="28" w:type="dxa"/>
          <w:left w:w="28" w:type="dxa"/>
          <w:bottom w:w="28" w:type="dxa"/>
          <w:right w:w="28" w:type="dxa"/>
        </w:tblCellMar>
      </w:tblPr>
      <w:tblGrid>
        <w:gridCol w:w="761"/>
        <w:gridCol w:w="591"/>
        <w:gridCol w:w="594"/>
        <w:gridCol w:w="211"/>
        <w:gridCol w:w="826"/>
        <w:gridCol w:w="271"/>
        <w:gridCol w:w="109"/>
        <w:gridCol w:w="109"/>
        <w:gridCol w:w="109"/>
        <w:gridCol w:w="211"/>
        <w:gridCol w:w="826"/>
        <w:gridCol w:w="271"/>
        <w:gridCol w:w="109"/>
        <w:gridCol w:w="109"/>
        <w:gridCol w:w="109"/>
        <w:gridCol w:w="195"/>
        <w:gridCol w:w="183"/>
        <w:gridCol w:w="185"/>
        <w:gridCol w:w="109"/>
        <w:gridCol w:w="109"/>
        <w:gridCol w:w="109"/>
        <w:gridCol w:w="211"/>
        <w:gridCol w:w="826"/>
        <w:gridCol w:w="271"/>
        <w:gridCol w:w="109"/>
        <w:gridCol w:w="109"/>
        <w:gridCol w:w="109"/>
        <w:gridCol w:w="211"/>
        <w:gridCol w:w="826"/>
        <w:gridCol w:w="271"/>
        <w:gridCol w:w="109"/>
        <w:gridCol w:w="109"/>
        <w:gridCol w:w="109"/>
        <w:gridCol w:w="109"/>
        <w:gridCol w:w="109"/>
        <w:gridCol w:w="186"/>
        <w:gridCol w:w="175"/>
        <w:gridCol w:w="250"/>
      </w:tblGrid>
      <w:tr>
        <w:trPr/>
        <w:tc>
          <w:tcPr>
            <w:tcW w:w="76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6"/>
            <w:tcBorders/>
          </w:tcPr>
          <w:p>
            <w:pPr>
              <w:pStyle w:val="TableContents"/>
              <w:bidi w:val="0"/>
              <w:spacing w:before="0" w:after="283"/>
              <w:jc w:val="left"/>
              <w:rPr>
                <w:sz w:val="4"/>
                <w:szCs w:val="4"/>
              </w:rPr>
            </w:pPr>
            <w:r>
              <w:rPr>
                <w:sz w:val="4"/>
                <w:szCs w:val="4"/>
              </w:rPr>
            </w:r>
          </w:p>
        </w:tc>
      </w:tr>
      <w:tr>
        <w:trPr/>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Technology and development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173,963 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164,739 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Marketing and selling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246,161 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456,559 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427,708 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General and administrative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56,936 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114,192 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108,868 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Amortization of acquired intangible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10,271 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Restructuring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512%</w:t>
            </w:r>
          </w:p>
        </w:tc>
      </w:tr>
      <w:tr>
        <w:trPr/>
        <w:tc>
          <w:tcPr>
            <w:tcW w:w="1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r>
        <w:trPr/>
        <w:tc>
          <w:tcPr>
            <w:tcW w:w="1946"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270"/>
        <w:jc w:val="left"/>
        <w:rPr>
          <w:rFonts w:ascii="Arial;sans-serif" w:hAnsi="Arial;sans-serif"/>
          <w:b w:val="false"/>
          <w:i/>
          <w:color w:val="000000"/>
          <w:sz w:val="20"/>
        </w:rPr>
      </w:pPr>
      <w:r>
        <w:rPr>
          <w:rFonts w:ascii="Arial;sans-serif" w:hAnsi="Arial;sans-serif"/>
          <w:b w:val="false"/>
          <w:i/>
          <w:color w:val="000000"/>
          <w:sz w:val="20"/>
        </w:rPr>
        <w:t>Technology and development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Technology and development expense primarily consists of payroll and related expenses for employees engaged in software and manufacturing engineering, information technology operations, and content development, as well as amortization of capitalized software and website development costs, including hosting of our websites, asset depreciation, patent amortization, and other technology infrastructure-related costs. Depreciation expense for information technology equipment that directly supports the delivery of our digital marketing services products is included in cost of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six months ended December 31, 2025, year-over-year technology and development expense increased by $6.2 million and $9.2 million, respectively, primarily driven by an increase in cash compensation costs of $4.1 million and $4.5 million, respectively, from our annual merit cycle. The increase was also impacted by higher third-party technology costs of $2.1 million and $5.2 million, respectively, most of which related to further adoption of certain products offered through our mass customization platform, as well as increased business volume, which has collectively increased consumption of those services and related infrastructure costs.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Marketing and selling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Marketing and selling expense primarily consists of advertising and promotional costs; payroll and related expenses for our employees engaged in marketing, sales, customer support, and public relations activities; direct-mail advertising costs; and third-party payment processing fees. Our Vista, National Pen, and BuildASign businesses have higher marketing and selling costs as a percentage of revenue as compared to our PrintBrothers and The Print Group businesses due to differences in the customers that they serve.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six months ended December 31, 2025, year-over-year marketing and selling expenses increased by $22.3 million and $28.9 million, respectively, partly due to higher advertising spend of $12.8 million and $14.6 million, respectively, as compared to the prior-year periods, largely due to volume-driven increases, as well as targeted advertising investments in certain businesses. Advertising expense as a percentage of revenue was lower year-over-year for both periods presented. In addition, marketing and selling expense increases reflected higher cash compensation costs of $7.2 million and $11.2 million, respectively, from our annual merit cycle, as well as targeted hiring in our Vista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310"/>
                <wp:effectExtent l="0" t="0" r="0" b="0"/>
                <wp:wrapNone/>
                <wp:docPr id="33" name="Frame3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General and administrative expense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primarily consists of transaction costs, including third-party professional fees, insurance, and payroll and related expenses of employees involved in executive management, finance, legal, strategy, human resources, and procurement.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six months ended December 31, 2025, year-over-year general and administrative expenses increased by $3.3 million and $5.3 million, respectively, driven by an increase in cash compensation costs of $3.2 million and $5.9 million, respectively, primarily influenced by the timing of our annual merit cycle. In addition, for the six months ended December 31, 2025, the increase was also impacted by $1.9 million of expense associated with a sales tax reserve. These increases were partially offset by lower long-term incentive cash compensation costs of $1.6 million and $2.9 million, respectively, due to changes in the estimated payout for certain businesses. There was also a year-over-year benefit from the non-recurrence of a $2.9 million charge recognized in the three and six months ended December 31, 2024 for a land duty tax that we continue to contest in Australia related to our 2019 redomiciliation to Ireland.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Other Consolidated Results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Other income, net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Other income, net generally consists of gains and losses from currency exchange rate fluctuations on transactions or balances denominated in currencies other than the functional currency of our subsidiaries, as well as the realized and unrealized gains and losses on some of our derivative instruments. In evaluating our currency hedging programs and ability to qualify for hedge accounting in light of our legal entity cash flows, we consider the benefits of hedge accounting relative to the additional economic cost of trade execution and administrative burden. Based on this analysis, we execute certain currency derivative contracts that do not qualify for hedge accounting.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components of other income, net: </w:t>
      </w:r>
    </w:p>
    <w:tbl>
      <w:tblPr>
        <w:tblW w:w="10205" w:type="dxa"/>
        <w:jc w:val="center"/>
        <w:tblInd w:w="0" w:type="dxa"/>
        <w:tblLayout w:type="fixed"/>
        <w:tblCellMar>
          <w:top w:w="28" w:type="dxa"/>
          <w:left w:w="28" w:type="dxa"/>
          <w:bottom w:w="28" w:type="dxa"/>
          <w:right w:w="28" w:type="dxa"/>
        </w:tblCellMar>
      </w:tblPr>
      <w:tblGrid>
        <w:gridCol w:w="1792"/>
        <w:gridCol w:w="1573"/>
        <w:gridCol w:w="1577"/>
        <w:gridCol w:w="216"/>
        <w:gridCol w:w="632"/>
        <w:gridCol w:w="111"/>
        <w:gridCol w:w="111"/>
        <w:gridCol w:w="111"/>
        <w:gridCol w:w="111"/>
        <w:gridCol w:w="216"/>
        <w:gridCol w:w="740"/>
        <w:gridCol w:w="111"/>
        <w:gridCol w:w="109"/>
        <w:gridCol w:w="109"/>
        <w:gridCol w:w="109"/>
        <w:gridCol w:w="211"/>
        <w:gridCol w:w="616"/>
        <w:gridCol w:w="109"/>
        <w:gridCol w:w="109"/>
        <w:gridCol w:w="109"/>
        <w:gridCol w:w="109"/>
        <w:gridCol w:w="211"/>
        <w:gridCol w:w="721"/>
        <w:gridCol w:w="109"/>
        <w:gridCol w:w="109"/>
        <w:gridCol w:w="164"/>
      </w:tblGrid>
      <w:tr>
        <w:trPr/>
        <w:tc>
          <w:tcPr>
            <w:tcW w:w="1792"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73" w:type="dxa"/>
            <w:gridSpan w:val="2"/>
            <w:tcBorders/>
          </w:tcPr>
          <w:p>
            <w:pPr>
              <w:pStyle w:val="TableContents"/>
              <w:bidi w:val="0"/>
              <w:spacing w:before="0" w:after="283"/>
              <w:jc w:val="left"/>
              <w:rPr>
                <w:sz w:val="4"/>
                <w:szCs w:val="4"/>
              </w:rPr>
            </w:pPr>
            <w:r>
              <w:rPr>
                <w:sz w:val="4"/>
                <w:szCs w:val="4"/>
              </w:rPr>
            </w:r>
          </w:p>
        </w:tc>
      </w:tr>
      <w:tr>
        <w:trP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Gains on derivatives not designated as hedging instruments</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Currency-related (losses) gains, net</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gains</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net</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the three and six months ended December 31, 2025, the year-over-year changes in other income, net were primarily due to the currency exchange rate volatility impacting our derivatives that are not designated as hedging instruments, of which our Euro and GBP contracts are the most significant exposures that we economically hedge. We expect volatility to continue in future periods, as we do not apply hedge accounting for most of our derivative currency contracts.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experience currency-related net gains and losses due to currency exchange rate volatility on our non-functional currency intercompany relationships, which we may alter from time to time.</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Interest expense, net</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Interest expense, net primarily consists of interest on outstanding debt balances, amortization of debt issuance costs, debt discounts, interest related to finance lease obligations, accretion adjustments related to our mandatorily redeemable noncontrolling interests, and realized gains (losses) on effective interest rate swap contracts and certain cross-currency swap contracts.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six months ended December 31, 2025, the year-over-year interest expense, net decreased $2.2 million and $5.5 million, respectively, primarily due to a lower weighted average interest rate (net of interest rate swaps) on our senior secured Term Loan B partly from our repricing action in December 2024 that reduced the credit spread on our outstanding debt.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310"/>
                <wp:effectExtent l="0" t="0" r="0" b="0"/>
                <wp:wrapNone/>
                <wp:docPr id="34" name="Frame3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Income tax expense</w:t>
      </w:r>
    </w:p>
    <w:tbl>
      <w:tblPr>
        <w:tblW w:w="7810" w:type="dxa"/>
        <w:jc w:val="center"/>
        <w:tblInd w:w="0" w:type="dxa"/>
        <w:tblLayout w:type="fixed"/>
        <w:tblCellMar>
          <w:top w:w="28" w:type="dxa"/>
          <w:left w:w="28" w:type="dxa"/>
          <w:bottom w:w="28" w:type="dxa"/>
          <w:right w:w="28" w:type="dxa"/>
        </w:tblCellMar>
      </w:tblPr>
      <w:tblGrid>
        <w:gridCol w:w="635"/>
        <w:gridCol w:w="559"/>
        <w:gridCol w:w="560"/>
        <w:gridCol w:w="211"/>
        <w:gridCol w:w="721"/>
        <w:gridCol w:w="271"/>
        <w:gridCol w:w="109"/>
        <w:gridCol w:w="109"/>
        <w:gridCol w:w="109"/>
        <w:gridCol w:w="211"/>
        <w:gridCol w:w="721"/>
        <w:gridCol w:w="271"/>
        <w:gridCol w:w="109"/>
        <w:gridCol w:w="109"/>
        <w:gridCol w:w="109"/>
        <w:gridCol w:w="211"/>
        <w:gridCol w:w="721"/>
        <w:gridCol w:w="271"/>
        <w:gridCol w:w="109"/>
        <w:gridCol w:w="109"/>
        <w:gridCol w:w="109"/>
        <w:gridCol w:w="211"/>
        <w:gridCol w:w="721"/>
        <w:gridCol w:w="271"/>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3" w:type="dxa"/>
            <w:gridSpan w:val="2"/>
            <w:tcBorders/>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Effective tax rate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21.2 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25.6 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35.8 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38.0 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Income tax expense for the three months ended December 31, 2025 decreased versus the prior year primarily due to decreased income before income taxes. In addition, we recorded a tax benefit of $3.1 million during the three months ended December 31, 2025 for the release of a valuation allowance in Australia. Income tax expense for the six months ended December 31, 2025 was in line with the prior comparative period.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We believe that our income tax reserves are adequately maintained by taking into consideration both the technical merits of our tax return positions and ongoing developments in our income tax audits. However, the final determination of our tax return positions, if audited, is uncertain, and therefore there is a possibility that final resolution of these matters could have a material impact on our results of operations or cash flows. Refer to Note 9 in our accompanying consolidated financial statements for additional details.</w:t>
      </w:r>
    </w:p>
    <w:p>
      <w:pPr>
        <w:pStyle w:val="TextBody"/>
        <w:bidi w:val="0"/>
        <w:spacing w:lineRule="auto" w:line="288" w:before="200" w:after="200"/>
        <w:jc w:val="left"/>
        <w:rPr>
          <w:rFonts w:ascii="Arial;sans-serif" w:hAnsi="Arial;sans-serif"/>
          <w:b/>
          <w:color w:val="000000"/>
          <w:sz w:val="20"/>
          <w:shd w:fill="FFFFFF" w:val="clear"/>
        </w:rPr>
      </w:pPr>
      <w:r>
        <w:rPr>
          <w:rFonts w:ascii="Arial;sans-serif" w:hAnsi="Arial;sans-serif"/>
          <w:b/>
          <w:color w:val="000000"/>
          <w:sz w:val="20"/>
          <w:shd w:fill="FFFFFF" w:val="clear"/>
        </w:rPr>
        <w:t>Reportable Segment Results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segment financial performance is measured based on segment EBITDA, which is defined as operating income plus depreciation and amortization; plus proceeds from insurance not already included in operating income; plus share-based compensation expense related to investment consideration; plus earn-out related charges; plus certain impairments and other adjustments; plus restructuring-related charges; less gain or loss on the purchase or sale of subsidiaries as well as the disposal of assets. The effects of currency exchange rate fluctuations impact segment EBITDA and we do not allocate to segment EBITDA any gains or losses that are realized by our currency hedging program.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purposes of measuring and reporting our segment financial performance, we made updates to our previously implemented methodology for inter-segment transactions during the first quarter of fiscal 2026. These transactions are when one Cimpress business chooses to buy from or sell to another Cimpress business in another reportable segment. We also updated our internal organizational structure, which included the transfer of two teams from our Vista reportable segment into our central functions. We have recast the prior periods presented for segment revenue and segment EBITDA for both changes to ensure comparability with the current fiscal year. These changes have no impact on our consolidated financial results. Refer to Note 11 in our accompanying consolidated financial statements for additional details.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Vista</w:t>
      </w:r>
    </w:p>
    <w:tbl>
      <w:tblPr>
        <w:tblW w:w="10205" w:type="dxa"/>
        <w:jc w:val="left"/>
        <w:tblInd w:w="0" w:type="dxa"/>
        <w:tblLayout w:type="fixed"/>
        <w:tblCellMar>
          <w:top w:w="28" w:type="dxa"/>
          <w:left w:w="28" w:type="dxa"/>
          <w:bottom w:w="28" w:type="dxa"/>
          <w:right w:w="28" w:type="dxa"/>
        </w:tblCellMar>
      </w:tblPr>
      <w:tblGrid>
        <w:gridCol w:w="504"/>
        <w:gridCol w:w="444"/>
        <w:gridCol w:w="445"/>
        <w:gridCol w:w="211"/>
        <w:gridCol w:w="826"/>
        <w:gridCol w:w="271"/>
        <w:gridCol w:w="109"/>
        <w:gridCol w:w="109"/>
        <w:gridCol w:w="109"/>
        <w:gridCol w:w="211"/>
        <w:gridCol w:w="826"/>
        <w:gridCol w:w="271"/>
        <w:gridCol w:w="109"/>
        <w:gridCol w:w="109"/>
        <w:gridCol w:w="109"/>
        <w:gridCol w:w="243"/>
        <w:gridCol w:w="243"/>
        <w:gridCol w:w="244"/>
        <w:gridCol w:w="109"/>
        <w:gridCol w:w="109"/>
        <w:gridCol w:w="109"/>
        <w:gridCol w:w="211"/>
        <w:gridCol w:w="826"/>
        <w:gridCol w:w="271"/>
        <w:gridCol w:w="109"/>
        <w:gridCol w:w="109"/>
        <w:gridCol w:w="109"/>
        <w:gridCol w:w="211"/>
        <w:gridCol w:w="826"/>
        <w:gridCol w:w="271"/>
        <w:gridCol w:w="109"/>
        <w:gridCol w:w="109"/>
        <w:gridCol w:w="109"/>
        <w:gridCol w:w="109"/>
        <w:gridCol w:w="109"/>
        <w:gridCol w:w="243"/>
        <w:gridCol w:w="243"/>
        <w:gridCol w:w="244"/>
        <w:gridCol w:w="109"/>
        <w:gridCol w:w="158"/>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0" w:type="dxa"/>
            <w:gridSpan w:val="3"/>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532,827 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497,742 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987,736 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927,318 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prior-year segment results have been adjusted to ensure comparability with the updated methodology used for inter-segment transactions and organizational changes that transferred two teams to our central functions. Refer to Note 11 of the accompanying consolidated financial statements for additional details.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Vista's reported revenue growth for the three and six months ended December 31, 2025 was 7% for both periods, and was positively affected by currency exchange rate fluctuations of 2%, resulting in constant-currency revenue growth of 5% for both periods presented. Revenue growth for the three and six months ended December 31, 2025 was stronger for elevated products including promotional products, apparel and gifts and packaging and labels. Partially offsetting growth in elevated products was a 1% decline in business card and stationery products in each period. Geographically, all regions drove revenue growth, with faster growth in North America during the second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310"/>
                <wp:effectExtent l="0" t="0" r="0" b="0"/>
                <wp:wrapNone/>
                <wp:docPr id="35" name="Frame3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Vista's segment EBITDA for the three and six months ended December 31, 2025, increased by $9.8 million and $18.6 million, respectively, primarily due to gross profit growth of $19.3 million and $34.7 million, respectively, which was driven by the revenue growth described above. Partially offsetting the increase in gross profit was a $7.3 million and $8.7 million increase in advertising spend, respectively, that was primarily related to increases in performance advertising spend. In addition, operating expenses increased by $1.1 million and $5.7 million, respectively, driven by compensation increases from our annual merit cycle and costs associated with improved customer self-service features to improve customer care efficiency. Segment EBITDA growth was partially offset by approximately $2 million of impact from the hurricane that hit Jamaica in late October 2025, a portion of which may be recoverable through insurance in future periods. For the three and six months ended December 31, 2025, fluctuations in currency exchange rates benefited segment EBITDA year-over-year by $3.3 million and $4.2 million, respectively.</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PrintBrothers</w:t>
      </w:r>
    </w:p>
    <w:tbl>
      <w:tblPr>
        <w:tblW w:w="10205" w:type="dxa"/>
        <w:jc w:val="left"/>
        <w:tblInd w:w="0" w:type="dxa"/>
        <w:tblLayout w:type="fixed"/>
        <w:tblCellMar>
          <w:top w:w="28" w:type="dxa"/>
          <w:left w:w="28" w:type="dxa"/>
          <w:bottom w:w="28" w:type="dxa"/>
          <w:right w:w="28" w:type="dxa"/>
        </w:tblCellMar>
      </w:tblPr>
      <w:tblGrid>
        <w:gridCol w:w="498"/>
        <w:gridCol w:w="439"/>
        <w:gridCol w:w="440"/>
        <w:gridCol w:w="211"/>
        <w:gridCol w:w="826"/>
        <w:gridCol w:w="271"/>
        <w:gridCol w:w="109"/>
        <w:gridCol w:w="109"/>
        <w:gridCol w:w="109"/>
        <w:gridCol w:w="211"/>
        <w:gridCol w:w="826"/>
        <w:gridCol w:w="271"/>
        <w:gridCol w:w="109"/>
        <w:gridCol w:w="109"/>
        <w:gridCol w:w="109"/>
        <w:gridCol w:w="245"/>
        <w:gridCol w:w="245"/>
        <w:gridCol w:w="247"/>
        <w:gridCol w:w="109"/>
        <w:gridCol w:w="109"/>
        <w:gridCol w:w="109"/>
        <w:gridCol w:w="211"/>
        <w:gridCol w:w="826"/>
        <w:gridCol w:w="271"/>
        <w:gridCol w:w="109"/>
        <w:gridCol w:w="109"/>
        <w:gridCol w:w="109"/>
        <w:gridCol w:w="211"/>
        <w:gridCol w:w="826"/>
        <w:gridCol w:w="271"/>
        <w:gridCol w:w="109"/>
        <w:gridCol w:w="109"/>
        <w:gridCol w:w="109"/>
        <w:gridCol w:w="109"/>
        <w:gridCol w:w="109"/>
        <w:gridCol w:w="245"/>
        <w:gridCol w:w="245"/>
        <w:gridCol w:w="247"/>
        <w:gridCol w:w="109"/>
        <w:gridCol w:w="16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219,903 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174,516 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404,614 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334,940 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43,567 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 year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200" w:after="200"/>
        <w:ind w:left="0" w:right="0" w:hanging="27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PrintBrothers' reported revenue growth for the three and six months ended December 31, 2025 was positively affected by currency exchange rate fluctuations of 10% and 9%, respectively, resulting in organic constant currency revenue growth, excluding the impact of a tuck-in acquisition, of 6% and 7%, respectively. Organic constant-currency revenue growth was driven primarily by customer and order volume growth across the businesses. The growth in customer and order volume was offset in part by a continuing shift to lower overall order values in certain product categories.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PrintBrothers' segment EBITDA for the three and six months ended December 31, 2025 increased $4.9 million and $10.5 million, respectively, primarily due to the revenue growth described above, as well as positive year-over-year impacts from currency exchange fluctuations of $2.3 million and $3.9 million, respectively. Additionally, the acquisition within the PrintBrothers' segment contributed $1.3 million of segment EBITDA. This was partially offset by increases in advertising spend of $0.6 million and $1.2 million, which as a percentage of external revenue was flat year over year, as well as increases in operating expenses of $3.9 million and $6.0 million, which were mostly driven by technology investments and compensation increases from our annual merit cycle.</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The Print Group</w:t>
      </w:r>
    </w:p>
    <w:tbl>
      <w:tblPr>
        <w:tblW w:w="10205" w:type="dxa"/>
        <w:jc w:val="left"/>
        <w:tblInd w:w="0" w:type="dxa"/>
        <w:tblLayout w:type="fixed"/>
        <w:tblCellMar>
          <w:top w:w="28" w:type="dxa"/>
          <w:left w:w="28" w:type="dxa"/>
          <w:bottom w:w="28" w:type="dxa"/>
          <w:right w:w="28" w:type="dxa"/>
        </w:tblCellMar>
      </w:tblPr>
      <w:tblGrid>
        <w:gridCol w:w="512"/>
        <w:gridCol w:w="451"/>
        <w:gridCol w:w="453"/>
        <w:gridCol w:w="211"/>
        <w:gridCol w:w="826"/>
        <w:gridCol w:w="271"/>
        <w:gridCol w:w="109"/>
        <w:gridCol w:w="109"/>
        <w:gridCol w:w="109"/>
        <w:gridCol w:w="211"/>
        <w:gridCol w:w="721"/>
        <w:gridCol w:w="271"/>
        <w:gridCol w:w="109"/>
        <w:gridCol w:w="109"/>
        <w:gridCol w:w="109"/>
        <w:gridCol w:w="256"/>
        <w:gridCol w:w="256"/>
        <w:gridCol w:w="258"/>
        <w:gridCol w:w="109"/>
        <w:gridCol w:w="109"/>
        <w:gridCol w:w="109"/>
        <w:gridCol w:w="211"/>
        <w:gridCol w:w="826"/>
        <w:gridCol w:w="271"/>
        <w:gridCol w:w="109"/>
        <w:gridCol w:w="109"/>
        <w:gridCol w:w="109"/>
        <w:gridCol w:w="211"/>
        <w:gridCol w:w="826"/>
        <w:gridCol w:w="271"/>
        <w:gridCol w:w="109"/>
        <w:gridCol w:w="109"/>
        <w:gridCol w:w="109"/>
        <w:gridCol w:w="109"/>
        <w:gridCol w:w="109"/>
        <w:gridCol w:w="256"/>
        <w:gridCol w:w="256"/>
        <w:gridCol w:w="258"/>
        <w:gridCol w:w="109"/>
        <w:gridCol w:w="160"/>
      </w:tblGrid>
      <w:tr>
        <w:trPr/>
        <w:tc>
          <w:tcPr>
            <w:tcW w:w="512"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115,150 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98,962 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211,860 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183,164 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16%</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 year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Print Group's reported revenue growth for the three and six months ended December 31, 2025 was positively affected by currency exchange rate fluctuations of 9% and 8%, resulting in constant-currency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310"/>
                <wp:effectExtent l="0" t="0" r="0" b="0"/>
                <wp:wrapNone/>
                <wp:docPr id="36" name="Frame3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growth of 7% and 8%, and was primarily driven by increased fulfillment for other Cimpress businesses. External revenue growth was relatively flat year over year in both periods, as we continue to experience a shift to lower overall order values in certain product categories. </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Print Group's segment EBITDA increased $4.2 million and $4.8 million during the three and six months ended December 31, 2025 as compared to the prior-year periods, due in part to positive year-over-year impacts from currency exchange fluctuations of $1.8 million and $2.9 million, respectively. Excluding the effect of currency, segment EBITDA was positively impacted by an increase in gross profit in both periods, driven by the revenue growth described above and improved cost efficiency. For the six months ended December 31, 2025, these increases were partially offset by a $2.2 million increase in variable long-term incentive compensation expense, driven by changes in estimated payouts. </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National Pen</w:t>
      </w:r>
    </w:p>
    <w:tbl>
      <w:tblPr>
        <w:tblW w:w="10205" w:type="dxa"/>
        <w:jc w:val="left"/>
        <w:tblInd w:w="0" w:type="dxa"/>
        <w:tblLayout w:type="fixed"/>
        <w:tblCellMar>
          <w:top w:w="28" w:type="dxa"/>
          <w:left w:w="28" w:type="dxa"/>
          <w:bottom w:w="28" w:type="dxa"/>
          <w:right w:w="28" w:type="dxa"/>
        </w:tblCellMar>
      </w:tblPr>
      <w:tblGrid>
        <w:gridCol w:w="498"/>
        <w:gridCol w:w="439"/>
        <w:gridCol w:w="440"/>
        <w:gridCol w:w="211"/>
        <w:gridCol w:w="826"/>
        <w:gridCol w:w="271"/>
        <w:gridCol w:w="109"/>
        <w:gridCol w:w="109"/>
        <w:gridCol w:w="109"/>
        <w:gridCol w:w="211"/>
        <w:gridCol w:w="826"/>
        <w:gridCol w:w="271"/>
        <w:gridCol w:w="109"/>
        <w:gridCol w:w="109"/>
        <w:gridCol w:w="109"/>
        <w:gridCol w:w="245"/>
        <w:gridCol w:w="245"/>
        <w:gridCol w:w="247"/>
        <w:gridCol w:w="109"/>
        <w:gridCol w:w="109"/>
        <w:gridCol w:w="109"/>
        <w:gridCol w:w="211"/>
        <w:gridCol w:w="826"/>
        <w:gridCol w:w="271"/>
        <w:gridCol w:w="109"/>
        <w:gridCol w:w="109"/>
        <w:gridCol w:w="109"/>
        <w:gridCol w:w="211"/>
        <w:gridCol w:w="826"/>
        <w:gridCol w:w="271"/>
        <w:gridCol w:w="109"/>
        <w:gridCol w:w="109"/>
        <w:gridCol w:w="109"/>
        <w:gridCol w:w="109"/>
        <w:gridCol w:w="109"/>
        <w:gridCol w:w="245"/>
        <w:gridCol w:w="245"/>
        <w:gridCol w:w="247"/>
        <w:gridCol w:w="109"/>
        <w:gridCol w:w="160"/>
      </w:tblGrid>
      <w:tr>
        <w:trPr/>
        <w:tc>
          <w:tcPr>
            <w:tcW w:w="49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7" w:type="dxa"/>
            <w:gridSpan w:val="3"/>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Reported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150,914 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254,123 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225,085 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25,569 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 year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200" w:after="200"/>
        <w:jc w:val="left"/>
        <w:rPr/>
      </w:pPr>
      <w:r>
        <w:rPr>
          <w:rFonts w:ascii="Arial;sans-serif" w:hAnsi="Arial;sans-serif"/>
          <w:b w:val="false"/>
          <w:i/>
          <w:color w:val="000000"/>
          <w:sz w:val="20"/>
        </w:rPr>
        <w:t>Segment</w:t>
      </w:r>
      <w:r>
        <w:rPr>
          <w:color w:val="000000"/>
        </w:rPr>
        <w:t xml:space="preserve"> </w:t>
      </w:r>
      <w:r>
        <w:rPr>
          <w:rFonts w:ascii="Arial;sans-serif" w:hAnsi="Arial;sans-serif"/>
          <w:b w:val="false"/>
          <w:i/>
          <w:color w:val="000000"/>
          <w:sz w:val="20"/>
        </w:rPr>
        <w:t>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National Pen's reported revenue growth for the three and six months ended December 31, 2025, was positively impacted by currency exchange rate fluctuations of 5% and 4%, respectively, resulting in constant-currency revenue growth of 10% and 9% as compared to the prior year periods. National Pen revenue growth was driven by increases in fulfillment for other Cimpress businesses, as well as growth in external revenue, mostly from tariff-related pricing increases and growth within their telesales and e-commerce channels.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National Pen's segment EBITDA increased $2.2 million and $4.4 million for the three and six months ended December 31, 2025, and for both periods benefitted from positive fluctuations in currency exchange rates of $2.2 million. The segment EBITDA growth was also supported by an increase in gross profit, due to the revenue growth described above, as well as lower variable long-term incentive compensation expense of $1.1 million and $2.5 million, respectively, driven by changes in their estimated payouts. Partially offsetting these items were increases in advertising spend of $2.3 million and $1.2 million, respectively.</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All Other Businesses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This segment includes BuildASign and Printi, a smaller business that is an online printing leader in Brazil.</w:t>
      </w:r>
    </w:p>
    <w:tbl>
      <w:tblPr>
        <w:tblW w:w="10205" w:type="dxa"/>
        <w:jc w:val="left"/>
        <w:tblInd w:w="0" w:type="dxa"/>
        <w:tblLayout w:type="fixed"/>
        <w:tblCellMar>
          <w:top w:w="28" w:type="dxa"/>
          <w:left w:w="28" w:type="dxa"/>
          <w:bottom w:w="28" w:type="dxa"/>
          <w:right w:w="28" w:type="dxa"/>
        </w:tblCellMar>
      </w:tblPr>
      <w:tblGrid>
        <w:gridCol w:w="533"/>
        <w:gridCol w:w="470"/>
        <w:gridCol w:w="471"/>
        <w:gridCol w:w="211"/>
        <w:gridCol w:w="721"/>
        <w:gridCol w:w="271"/>
        <w:gridCol w:w="109"/>
        <w:gridCol w:w="109"/>
        <w:gridCol w:w="109"/>
        <w:gridCol w:w="211"/>
        <w:gridCol w:w="721"/>
        <w:gridCol w:w="271"/>
        <w:gridCol w:w="109"/>
        <w:gridCol w:w="109"/>
        <w:gridCol w:w="109"/>
        <w:gridCol w:w="264"/>
        <w:gridCol w:w="264"/>
        <w:gridCol w:w="266"/>
        <w:gridCol w:w="109"/>
        <w:gridCol w:w="109"/>
        <w:gridCol w:w="109"/>
        <w:gridCol w:w="211"/>
        <w:gridCol w:w="826"/>
        <w:gridCol w:w="271"/>
        <w:gridCol w:w="109"/>
        <w:gridCol w:w="109"/>
        <w:gridCol w:w="109"/>
        <w:gridCol w:w="211"/>
        <w:gridCol w:w="826"/>
        <w:gridCol w:w="271"/>
        <w:gridCol w:w="109"/>
        <w:gridCol w:w="109"/>
        <w:gridCol w:w="109"/>
        <w:gridCol w:w="109"/>
        <w:gridCol w:w="109"/>
        <w:gridCol w:w="264"/>
        <w:gridCol w:w="264"/>
        <w:gridCol w:w="266"/>
        <w:gridCol w:w="109"/>
        <w:gridCol w:w="159"/>
      </w:tblGrid>
      <w:tr>
        <w:trPr/>
        <w:tc>
          <w:tcPr>
            <w:tcW w:w="533"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i/>
                <w:color w:val="000000"/>
                <w:sz w:val="18"/>
              </w:rPr>
            </w:pPr>
            <w:r>
              <w:rPr>
                <w:rFonts w:ascii="Arial;sans-serif" w:hAnsi="Arial;sans-serif"/>
                <w:b w:val="false"/>
                <w:i/>
                <w:color w:val="000000"/>
                <w:sz w:val="18"/>
              </w:rPr>
              <w:t>In thousands</w:t>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 vs. 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Reported Revenue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67,177 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60,433 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128,919 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117,673 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Segment EBITDA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27%</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 of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_____________________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 prior year segment results have been adjusted to ensure comparability with the updated methodology used for inter-segment transactions. Refer to Note 11 of the accompanying consolidated financial statements for additional details.</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Revenue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All Other Businesses' revenue growth for the three and six months ended December 31, 2025 was positively impacted by currency exchange rate fluctuations of 1% in both periods, resulting in constant-currency revenue growth of 10% and 9%, respectively. BuildASign, the largest business in this segment, delivered strong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310"/>
                <wp:effectExtent l="0" t="0" r="0" b="0"/>
                <wp:wrapNone/>
                <wp:docPr id="37" name="Frame3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growth from fulfillment for other Cimpress businesses as well as growth in the packaging product category, and modest growth within home decor and signage products. Our Printi business delivered improved constant-currency revenue growth versus the prior year.</w:t>
      </w:r>
    </w:p>
    <w:p>
      <w:pPr>
        <w:pStyle w:val="TextBody"/>
        <w:bidi w:val="0"/>
        <w:spacing w:lineRule="auto" w:line="288" w:before="200" w:after="200"/>
        <w:jc w:val="left"/>
        <w:rPr>
          <w:rFonts w:ascii="Arial;sans-serif" w:hAnsi="Arial;sans-serif"/>
          <w:b w:val="false"/>
          <w:i/>
          <w:color w:val="000000"/>
          <w:sz w:val="20"/>
        </w:rPr>
      </w:pPr>
      <w:r>
        <w:rPr>
          <w:rFonts w:ascii="Arial;sans-serif" w:hAnsi="Arial;sans-serif"/>
          <w:b w:val="false"/>
          <w:i/>
          <w:color w:val="000000"/>
          <w:sz w:val="20"/>
        </w:rPr>
        <w:t>Segment Profitability</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For the three and six months ended December 31, 2025, year-over-year segment EBITDA increased $0.7 million and $2.9 million, respectively, largely driven by the cross-Cimpress revenue growth described above. For the six months ended December 31, 2025, the increase versus the prior year was also impacted by lower variable long-term incentive compensation expense of $1.8 million, driven by changes in estimated payouts.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Central and Corporate Costs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Central and corporate costs primarily consist of the team of software engineers that is building our mass customization platform; shared service organizations such as global procurement; technology services such as security; administrative costs of our Cimpress India offices where numerous Cimpress businesses have dedicated business-specific team members; and our corporate functions, including tax, treasury, internal audit, legal, sustainability, real estate, corporate communications, consolidated reporting and compliance, investor relations, and the functions of our CEO and CFO. These costs also include certain unallocated share-based compensation costs. </w:t>
      </w:r>
    </w:p>
    <w:p>
      <w:pPr>
        <w:pStyle w:val="TextBody"/>
        <w:bidi w:val="0"/>
        <w:spacing w:lineRule="auto" w:line="288" w:before="200" w:after="2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During the three and six months ended December 31, 2025, year-over-year central and corporate costs increased by $5.5 million and $5.3 million, respectively, primarily due to higher unallocated share-based compensation expense of $2.7 million and $1.0 million, respectively, driven by fluctuations in the attainment associated with the performance conditions of prior-year performance share units. Central and corporate costs also included higher third-party technology costs as a result of continued adoption and usage of mass customization platform products that are developed by our central technology teams. These items were partially offset by the non-recurrence of a $2.9 million charge recognized in the three and six months ended December 31, 2024 for a land duty tax that we continue to contest in Australia related to our 2019 redomiciliation to Ireland. </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Liquidity and Capital Resources</w:t>
      </w:r>
    </w:p>
    <w:p>
      <w:pPr>
        <w:pStyle w:val="TextBody"/>
        <w:bidi w:val="0"/>
        <w:spacing w:lineRule="auto" w:line="288" w:before="200" w:after="200"/>
        <w:jc w:val="left"/>
        <w:rPr>
          <w:rFonts w:ascii="Arial;sans-serif" w:hAnsi="Arial;sans-serif"/>
          <w:b/>
          <w:i/>
          <w:color w:val="000000"/>
          <w:sz w:val="20"/>
        </w:rPr>
      </w:pPr>
      <w:r>
        <w:rPr>
          <w:rFonts w:ascii="Arial;sans-serif" w:hAnsi="Arial;sans-serif"/>
          <w:b/>
          <w:i/>
          <w:color w:val="000000"/>
          <w:sz w:val="20"/>
        </w:rPr>
        <w:t>Consolidated Statements of Cash Flows Data</w:t>
      </w:r>
    </w:p>
    <w:tbl>
      <w:tblPr>
        <w:tblW w:w="6738" w:type="dxa"/>
        <w:jc w:val="left"/>
        <w:tblInd w:w="0" w:type="dxa"/>
        <w:tblLayout w:type="fixed"/>
        <w:tblCellMar>
          <w:top w:w="28" w:type="dxa"/>
          <w:left w:w="28" w:type="dxa"/>
          <w:bottom w:w="28" w:type="dxa"/>
          <w:right w:w="28" w:type="dxa"/>
        </w:tblCellMar>
      </w:tblPr>
      <w:tblGrid>
        <w:gridCol w:w="1237"/>
        <w:gridCol w:w="1090"/>
        <w:gridCol w:w="1093"/>
        <w:gridCol w:w="211"/>
        <w:gridCol w:w="826"/>
        <w:gridCol w:w="109"/>
        <w:gridCol w:w="109"/>
        <w:gridCol w:w="109"/>
        <w:gridCol w:w="109"/>
        <w:gridCol w:w="211"/>
        <w:gridCol w:w="826"/>
        <w:gridCol w:w="109"/>
        <w:gridCol w:w="109"/>
        <w:gridCol w:w="109"/>
        <w:gridCol w:w="109"/>
        <w:gridCol w:w="109"/>
        <w:gridCol w:w="109"/>
        <w:gridCol w:w="154"/>
      </w:tblGrid>
      <w:tr>
        <w:trPr/>
        <w:tc>
          <w:tcPr>
            <w:tcW w:w="123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i/>
                <w:color w:val="000000"/>
                <w:sz w:val="18"/>
              </w:rPr>
              <w:t>In thousands</w:t>
            </w: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cash flows during the six months ended December 31, 2025 related primarily to the following items: </w:t>
      </w:r>
    </w:p>
    <w:p>
      <w:pPr>
        <w:pStyle w:val="TextBody"/>
        <w:bidi w:val="0"/>
        <w:spacing w:lineRule="auto" w:line="288" w:before="100" w:after="100"/>
        <w:jc w:val="left"/>
        <w:rPr>
          <w:rFonts w:ascii="Arial;sans-serif" w:hAnsi="Arial;sans-serif"/>
          <w:b w:val="false"/>
          <w:i/>
          <w:color w:val="000000"/>
          <w:sz w:val="20"/>
        </w:rPr>
      </w:pPr>
      <w:r>
        <w:rPr>
          <w:rFonts w:ascii="Arial;sans-serif" w:hAnsi="Arial;sans-serif"/>
          <w:b w:val="false"/>
          <w:i/>
          <w:color w:val="000000"/>
          <w:sz w:val="20"/>
        </w:rPr>
        <w:t xml:space="preserve">Cash inflows: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income of $56.0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Adjustments for non-cash items of $100.5 million primarily related to adjustments for depreciation and amortization of $73.2 million, share-based compensation costs of $31.6 million and deferred taxes of $3.6 million, offset in part by unrealized currency-related gains of $11.7 million.</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working capital inflows of $33.2 million, primarily due to typical fluctuations from seasonal trends that resulted in increases in accounts payable and accrued expenses and other liabilities.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Proceeds from the sale of assets of $1.7 million, primarily related to the planned sale of a production facility within our National Pen business.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Proceeds from the exercise of options of $1.3 million.</w:t>
      </w:r>
    </w:p>
    <w:p>
      <w:pPr>
        <w:pStyle w:val="TextBody"/>
        <w:bidi w:val="0"/>
        <w:spacing w:lineRule="auto" w:line="288" w:before="100" w:after="100"/>
        <w:jc w:val="left"/>
        <w:rPr>
          <w:rFonts w:ascii="Arial;sans-serif" w:hAnsi="Arial;sans-serif"/>
          <w:b w:val="false"/>
          <w:i/>
          <w:color w:val="000000"/>
          <w:sz w:val="20"/>
        </w:rPr>
      </w:pPr>
      <w:r>
        <w:rPr>
          <w:rFonts w:ascii="Arial;sans-serif" w:hAnsi="Arial;sans-serif"/>
          <w:b w:val="false"/>
          <w:i/>
          <w:color w:val="000000"/>
          <w:sz w:val="20"/>
        </w:rPr>
        <w:t>Cash outflows: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Capital expenditures of $51.5 million, of which the majority is related to the purchase of manufacturing and automation equipment and expansion of our production facilities.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 xml:space="preserve">Internal and external costs of $33.3 million for software and website development that we have capitalized. </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Purchases of our ordinary shares for $28.2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310"/>
                <wp:effectExtent l="0" t="0" r="0" b="0"/>
                <wp:wrapNone/>
                <wp:docPr id="38" name="Frame3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Purchase of noncontrolling interests for $22.6 million, which related to minority equity interests in our PrintBrothers reportable segment for which the equity holders exercised a put option or a forced redemption date was reached that resulted in our purchase of their outstanding shares. Refer to Notes 7 and 10 in the accompanying consolidated financial statements for additional details.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Business acquisitions, net of cash acquired of $10.4 million, which related to an immaterial acquisition in our PrintBrothers reportable segment.</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Payment of withholding taxes in connection with share awards of $10.3 million, primarily driven by the vesting of restricted and performance share unit grants.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Net repayments of debt of $7.1 million, primarily including our Term Loan B amortization payments.</w:t>
      </w:r>
    </w:p>
    <w:p>
      <w:pPr>
        <w:pStyle w:val="TextBody"/>
        <w:bidi w:val="0"/>
        <w:spacing w:lineRule="auto" w:line="288" w:before="100" w:after="100"/>
        <w:ind w:left="0" w:right="0" w:hanging="360"/>
        <w:jc w:val="left"/>
        <w:rPr/>
      </w:pPr>
      <w:r>
        <w:rPr>
          <w:color w:val="000000"/>
        </w:rPr>
        <w:t>•</w:t>
      </w:r>
      <w:r>
        <w:rPr>
          <w:rFonts w:ascii="Arial;sans-serif" w:hAnsi="Arial;sans-serif"/>
          <w:b w:val="false"/>
          <w:color w:val="000000"/>
          <w:sz w:val="20"/>
        </w:rPr>
        <w:t>Payments for finance lease arrangements of $4.6 million.</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Additional Liquidity and Capital Resources Information. </w:t>
      </w:r>
      <w:r>
        <w:rPr>
          <w:rFonts w:ascii="Arial;sans-serif" w:hAnsi="Arial;sans-serif"/>
          <w:b w:val="false"/>
          <w:color w:val="000000"/>
          <w:sz w:val="20"/>
        </w:rPr>
        <w:t>At December 31, 2025, we had $258.0 million of cash and cash equivalents and $1,607.9 million of debt, excluding debt issuance costs and debt premiums and discounts. During the six months ended December 31, 2025, we financed our operations and strategic investments through internally generated cash flows from operations and cash on hand. We expect to finance our future operations through our cash, operating cash flow, and borrowings under our debt arrangements.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We have historically used excess cash and cash equivalents for organic investments, share repurchases, acquisitions and equity investments, and debt reduction. During the six months ended December 31, 2025, we purchased and retired 414,711 of our ordinary shares for $28.2 million. We evaluate share repurchases, as any other use of capital, relative to our view of the impact on our intrinsic value per share compared against other opportunities. </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Supply Chain Financing Program. </w:t>
      </w:r>
      <w:r>
        <w:rPr>
          <w:rFonts w:ascii="Arial;sans-serif" w:hAnsi="Arial;sans-serif"/>
          <w:b w:val="false"/>
          <w:color w:val="000000"/>
          <w:sz w:val="20"/>
        </w:rPr>
        <w:t>As part of our ongoing efforts to manage our liquidity, we work with our suppliers to optimize our terms and conditions, which includes the extension of payment terms. We facilitate a voluntary supply chain finance program through a financial intermediary to allow our suppliers to receive funds earlier than our contractual payment date. We do not believe there is a substantial risk that our payment terms will be shortened in the near future. Refer to Note 12 of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Indefinitely Reinvested Earnings. </w:t>
      </w:r>
      <w:r>
        <w:rPr>
          <w:rFonts w:ascii="Arial;sans-serif" w:hAnsi="Arial;sans-serif"/>
          <w:b w:val="false"/>
          <w:color w:val="000000"/>
          <w:sz w:val="20"/>
        </w:rPr>
        <w:t>As of December 31, 2025, a portion of our cash and cash equivalents were held by our subsidiaries, and undistributed earnings of our subsidiaries that are considered to be indefinitely reinvested were $102.3 million. We do not intend to repatriate these funds as the cash and cash equivalent balances are generally used and available, without legal restrictions, to fund ordinary business operations and investments of the respective subsidiaries. If there is a change in the future, the repatriation of undistributed earnings from certain subsidiaries, in the form of dividends or otherwise, could have tax consequences that could result in material cash outflows.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Contractual Obligations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Contractual obligations at December 31, 2025 are as follows:</w:t>
      </w:r>
    </w:p>
    <w:tbl>
      <w:tblPr>
        <w:tblW w:w="10205" w:type="dxa"/>
        <w:jc w:val="left"/>
        <w:tblInd w:w="0" w:type="dxa"/>
        <w:tblLayout w:type="fixed"/>
        <w:tblCellMar>
          <w:top w:w="28" w:type="dxa"/>
          <w:left w:w="28" w:type="dxa"/>
          <w:bottom w:w="28" w:type="dxa"/>
          <w:right w:w="28" w:type="dxa"/>
        </w:tblCellMar>
      </w:tblPr>
      <w:tblGrid>
        <w:gridCol w:w="1080"/>
        <w:gridCol w:w="869"/>
        <w:gridCol w:w="871"/>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56"/>
      </w:tblGrid>
      <w:tr>
        <w:trPr/>
        <w:tc>
          <w:tcPr>
            <w:tcW w:w="108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 </w:t>
            </w:r>
          </w:p>
        </w:tc>
        <w:tc>
          <w:tcPr>
            <w:tcW w:w="73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Payments Due by Period</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Less</w:t>
              <w:br/>
              <w:t>than 1</w:t>
              <w:br/>
              <w:t>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1-3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3-5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More</w:t>
              <w:br/>
              <w:t>than 5</w:t>
              <w:br/>
              <w:t>years</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leases, net of subleases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credit facility and interest payments (2)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1,215,788 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1,142,165 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2032 Notes and interest payments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602,438 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Finance leases, net of subleases (1)</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(3)</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2,585,382 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1,400,687 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269,481 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665,625 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Operating and finance lease payments above include only amounts which are fixed under lease agreements. Our leases may also incur variable expenses which are not reflected in the contractual obligations above.</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 xml:space="preserve">(2) Interest payments are based on the interest rate as of December 31, 2025 and assume all Term SOFR-based revolving loan amounts outstanding will not be paid until maturity but that the term loan amortization payments will be made according to our defined schedule. Senior secured credit facility and interest payments include the effects of interest rate swaps, whether they are expected to be payments or receipts of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310"/>
                <wp:effectExtent l="0" t="0" r="0" b="0"/>
                <wp:wrapNone/>
                <wp:docPr id="39" name="Frame39"/>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(3) We may be required to make cash outlays related to our uncertain tax positions. However, due to the uncertainty of the timing of future cash flows associated with our uncertain tax positions, we are unable to make reasonably reliable estimates of the period of cash settlement, if any, with the respective taxing authorities. Accordingly, uncertain tax positions of $0.3 million as of December 31, 2025 have been excluded from the contractual obligations table above. See Note 9 in our accompanying consolidated financial statements for additional information on uncertain tax positions.</w:t>
      </w:r>
    </w:p>
    <w:p>
      <w:pPr>
        <w:pStyle w:val="TextBody"/>
        <w:bidi w:val="0"/>
        <w:spacing w:lineRule="auto" w:line="288" w:before="200" w:after="100"/>
        <w:ind w:left="0" w:right="0" w:firstLine="720"/>
        <w:jc w:val="left"/>
        <w:rPr/>
      </w:pPr>
      <w:r>
        <w:rPr>
          <w:rFonts w:ascii="Arial;sans-serif" w:hAnsi="Arial;sans-serif"/>
          <w:b w:val="false"/>
          <w:i/>
          <w:color w:val="000000"/>
          <w:sz w:val="20"/>
        </w:rPr>
        <w:t>Operating Leases</w:t>
      </w:r>
      <w:r>
        <w:rPr>
          <w:rFonts w:ascii="Arial;sans-serif" w:hAnsi="Arial;sans-serif"/>
          <w:b w:val="false"/>
          <w:color w:val="000000"/>
          <w:sz w:val="20"/>
        </w:rPr>
        <w:t>. We rent manufacturing facilities and office space under operating leases expiring on various dates through 2037. The terms of certain lease agreements require security deposits in the form of bank guarantees and letters of credit, with $4.5 million in the aggregate outstanding as of December 31, 2025.</w:t>
      </w:r>
    </w:p>
    <w:p>
      <w:pPr>
        <w:pStyle w:val="TextBody"/>
        <w:bidi w:val="0"/>
        <w:spacing w:lineRule="auto" w:line="288" w:before="100" w:after="100"/>
        <w:ind w:left="0" w:right="0" w:firstLine="720"/>
        <w:jc w:val="left"/>
        <w:rPr/>
      </w:pPr>
      <w:r>
        <w:rPr>
          <w:rFonts w:ascii="Arial;sans-serif" w:hAnsi="Arial;sans-serif"/>
          <w:b w:val="false"/>
          <w:i/>
          <w:color w:val="000000"/>
          <w:sz w:val="20"/>
        </w:rPr>
        <w:t>Purchase Commitments.</w:t>
      </w:r>
      <w:r>
        <w:rPr>
          <w:color w:val="000000"/>
        </w:rPr>
        <w:t> </w:t>
      </w:r>
      <w:r>
        <w:rPr>
          <w:rFonts w:ascii="Arial;sans-serif" w:hAnsi="Arial;sans-serif"/>
          <w:b w:val="false"/>
          <w:color w:val="000000"/>
          <w:sz w:val="20"/>
        </w:rPr>
        <w:t>At December 31, 2025, we had unrecorded commitments under contract of $368.7 million. Purchase commitments consisted of third-party cloud services of $227.1 million; third-party fulfillment and digital services of $78.8 million; software of $29.8 million; insurance costs of $11.6 million; production-related temporary labor of $5.9 million; professional and consulting fees of $5.5 million; production and computer equipment purchases of $4.9 million; advertising of $2.6 million; and other commitments of $2.6 million.</w:t>
      </w:r>
    </w:p>
    <w:p>
      <w:pPr>
        <w:pStyle w:val="TextBody"/>
        <w:bidi w:val="0"/>
        <w:spacing w:lineRule="auto" w:line="288" w:before="100" w:after="100"/>
        <w:ind w:left="0" w:right="0" w:firstLine="720"/>
        <w:jc w:val="left"/>
        <w:rPr/>
      </w:pPr>
      <w:r>
        <w:rPr>
          <w:rFonts w:ascii="Arial;sans-serif" w:hAnsi="Arial;sans-serif"/>
          <w:b w:val="false"/>
          <w:i/>
          <w:color w:val="000000"/>
          <w:sz w:val="20"/>
        </w:rPr>
        <w:t>Senior Secured Credit Facility and Interest Payments.</w:t>
      </w:r>
      <w:r>
        <w:rPr>
          <w:color w:val="000000"/>
        </w:rPr>
        <w:t xml:space="preserve"> </w:t>
      </w:r>
      <w:r>
        <w:rPr>
          <w:rFonts w:ascii="Arial;sans-serif" w:hAnsi="Arial;sans-serif"/>
          <w:b w:val="false"/>
          <w:color w:val="000000"/>
          <w:sz w:val="20"/>
        </w:rPr>
        <w:t xml:space="preserve">On September 26, 2024, we entered into an amendment to our Restated Credit Agreement to extend the maturity date of our senior secured revolving credit facility to September 26, 2029 and reduced the minimum credit spread on borrowing and the minimum commitment fee on unused balances, depending on our First Lien Leverage Ratio. Our $250.0 million senior secured revolving credit facility has $232.4 million unused as of December 31, 2025. There are no drawn amounts on the Revolving Credit Facility, but our outstanding letters of credit reduce our unused balance. Our unused balance can be drawn at any time so long as we are in compliance with our debt covenants, and if any loans made under the Revolving Credit Facility are outstanding on the last day of any fiscal quarter, then we are subject to a financial maintenance covenant that the First Lien Leverage Ratio (as defined in the Restated Credit Agreement) calculated as of the last day of such quarter shall not exceed 3.25 to 1.00. Any amounts drawn under the Revolving Credit Facility will be due on September 26, 2029. Interest payable included in the above table is based on the interest rate as of December 31, 2025 and assumes all Term SOFR-based revolving loan amounts outstanding will not be paid until maturity but that the term loan amortization payments will be made according to our defined schedule. As of December 31, 2025, we have borrowings under our Restated Credit Agreement of $1,067.4 million, consisting of the Term Loan B, which amortizes over the loan period, with a final maturity date of May 17, 2028. </w:t>
      </w:r>
    </w:p>
    <w:p>
      <w:pPr>
        <w:pStyle w:val="TextBody"/>
        <w:bidi w:val="0"/>
        <w:spacing w:lineRule="auto" w:line="288" w:before="100" w:after="100"/>
        <w:ind w:left="0" w:right="0" w:firstLine="720"/>
        <w:jc w:val="left"/>
        <w:rPr/>
      </w:pPr>
      <w:r>
        <w:rPr>
          <w:rFonts w:ascii="Arial;sans-serif" w:hAnsi="Arial;sans-serif"/>
          <w:b w:val="false"/>
          <w:i/>
          <w:color w:val="000000"/>
          <w:sz w:val="20"/>
        </w:rPr>
        <w:t xml:space="preserve">2032 Senior Notes and Interest Payments. </w:t>
      </w:r>
      <w:r>
        <w:rPr>
          <w:rFonts w:ascii="Arial;sans-serif" w:hAnsi="Arial;sans-serif"/>
          <w:b w:val="false"/>
          <w:color w:val="000000"/>
          <w:sz w:val="20"/>
        </w:rPr>
        <w:t>On September 26, 2024, we completed a private placement of $525.0 million in aggregate principal amount of senior unsecured notes due 2032 (the "2032 Notes"). We used the net proceeds from the 2032 Notes, together with cash on hand, to redeem all of the outstanding 2026 Notes, and pay associated accrued interest and all related financing fees. Our $525.0 million 2032 Notes bear interest at a rate of 7.375% per annum and mature on September 15, 2032. Interest on the 2032 Notes is payable semi-annually on March 15 and September 15 of each year. Refer to Note 8 in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Debt Covenants.</w:t>
      </w:r>
      <w:r>
        <w:rPr>
          <w:color w:val="000000"/>
        </w:rPr>
        <w:t xml:space="preserve"> </w:t>
      </w:r>
      <w:r>
        <w:rPr>
          <w:rFonts w:ascii="Arial;sans-serif" w:hAnsi="Arial;sans-serif"/>
          <w:b w:val="false"/>
          <w:color w:val="000000"/>
          <w:sz w:val="20"/>
        </w:rPr>
        <w:t>The Restated Credit Agreement and the indenture that governs our 2032 Notes contain covenants that restrict or limit certain activities and transactions by Cimpress and our subsidiaries. As of December 31, 2025, we were in compliance with all covenants under our Restated Credit Agreement and the indenture governing our 2032 Notes. Refer to Note 8 in the accompanying consolidated financial statements for additional information.</w:t>
      </w:r>
    </w:p>
    <w:p>
      <w:pPr>
        <w:pStyle w:val="TextBody"/>
        <w:bidi w:val="0"/>
        <w:spacing w:lineRule="auto" w:line="288" w:before="100" w:after="100"/>
        <w:ind w:left="0" w:right="0" w:firstLine="720"/>
        <w:jc w:val="left"/>
        <w:rPr/>
      </w:pPr>
      <w:r>
        <w:rPr>
          <w:rFonts w:ascii="Arial;sans-serif" w:hAnsi="Arial;sans-serif"/>
          <w:b w:val="false"/>
          <w:i/>
          <w:color w:val="000000"/>
          <w:sz w:val="20"/>
        </w:rPr>
        <w:t>Other Debt.</w:t>
      </w:r>
      <w:r>
        <w:rPr>
          <w:color w:val="000000"/>
        </w:rPr>
        <w:t xml:space="preserve"> </w:t>
      </w:r>
      <w:r>
        <w:rPr>
          <w:rFonts w:ascii="Arial;sans-serif" w:hAnsi="Arial;sans-serif"/>
          <w:b w:val="false"/>
          <w:color w:val="000000"/>
          <w:sz w:val="20"/>
        </w:rPr>
        <w:t>In addition, we have other debt which consists primarily of term loans acquired through our various acquisitions or used to fund certain capital investments. As of December 31, 2025, we had $15.5 million outstanding for those obligations that have repayments due on various dates through September 2037.</w:t>
      </w:r>
    </w:p>
    <w:p>
      <w:pPr>
        <w:pStyle w:val="TextBody"/>
        <w:bidi w:val="0"/>
        <w:spacing w:lineRule="auto" w:line="288" w:before="100" w:after="100"/>
        <w:ind w:left="0" w:right="0" w:firstLine="720"/>
        <w:jc w:val="left"/>
        <w:rPr/>
      </w:pPr>
      <w:r>
        <w:rPr>
          <w:rFonts w:ascii="Arial;sans-serif" w:hAnsi="Arial;sans-serif"/>
          <w:b w:val="false"/>
          <w:i/>
          <w:color w:val="000000"/>
          <w:sz w:val="20"/>
        </w:rPr>
        <w:t>Finance Leases.</w:t>
      </w:r>
      <w:r>
        <w:rPr>
          <w:color w:val="000000"/>
        </w:rPr>
        <w:t xml:space="preserve"> </w:t>
      </w:r>
      <w:r>
        <w:rPr>
          <w:rFonts w:ascii="Arial;sans-serif" w:hAnsi="Arial;sans-serif"/>
          <w:b w:val="false"/>
          <w:color w:val="000000"/>
          <w:sz w:val="20"/>
        </w:rPr>
        <w:t>We lease certain facilities, machinery, and plant equipment under finance lease agreements that expire at various dates through 2037. The aggregate carrying value of the leased assets under finance leases included in property, plant and equipment, net in our consolidated balance sheet at December 31, 2025 is $40.4 million, net of accumulated depreciation of $37.8 million. The present value of lease installments not yet due included in other current liabilities and other liabilities in our consolidated balance sheet at December 31, 2025 amounts to $42.9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310"/>
                <wp:effectExtent l="0" t="0" r="0" b="0"/>
                <wp:wrapNone/>
                <wp:docPr id="40" name="Frame40"/>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Additional Non-GAAP Financial Measures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Constant-currency revenue growth and constant-currency revenue growth excluding acquisitions/divestitures (which we refer to above as organic constant-currency revenue growth), in each case as defined and presented in the consolidated results of operations section above (with reconciliations to GAAP revenue growth), as well as adjusted EBITDA and adjusted free cash flow presented below, are supplemental measures of our performance that are not required by, or presented in accordance with, GAAP. We do not, nor do we suggest that investors should, consider such non-GAAP financial measures in isolation from, or as a substitute for, financial information prepared in accordance with GAAP.</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is defined as net income plus income tax expense plus (gain) loss on early extinguishment of debt plus interest expense, net plus other expense (income), net plus depreciation and amortization plus share-based compensation expense plus earn-out related charges plus certain impairments plus restructuring-related charges less the gain or loss on purchase or sale of subsidiaries as well as the disposal of assets. In addition, adjusted EBITDA includes the impact of certain items that are recognized in other income, net which includes realized gains or losses on currency derivatives that are intended to hedge our adjusted EBITDA exposure to foreign currencies for which we do not apply hedge accounting, as well as proceeds from insurance recoveries.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EBITDA is the primary profitability metric by which we measure our consolidated financial performance and is provided to enhance investors' understanding of our current operating results from the underlying and ongoing business for the same reasons it is used by management. For example, for acquisitions, we believe excluding the costs related to the purchase of a business (such as amortization of acquired intangible assets, contingent consideration, or impairment of goodwill) provides further insight into the performance of the underlying acquired business in addition to that provided by our GAAP net income.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Adjusted free cash flow is the primary financial metric by which we set quarterly and annual budgets both for individual businesses and Cimpress-wide. Adjusted free cash flow is defined as net cash provided by (used in) operating activities less purchases of property, plant and equipment, purchases of intangible assets not related to acquisitions, and capitalization of software and website development costs that are included in net cash used in investing activities; plus the proceeds from sale of assets, payment of contingent consideration in excess of acquisition-date fair value, and gains on proceeds from insurance that are not included in net cash provided by operating activities, if any. We use this cash flow metric because we believe that this methodology can provide useful supplemental information to help investors better understand our ability to generate cash flow after considering certain investments required to maintain or grow our business, as well as eliminate the impact of certain cash flow items presented as operating cash flows that we do not believe reflect the cash flow generated by the underlying business.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adjusted free cash flow measure has limitations as it may omit certain components of the overall cash flow statement and does not represent the residual cash flow available for discretionary expenditures. For example, adjusted free cash flow does not incorporate our cash payments to reduce the principal portion of our debt or cash payments for business acquisitions. Additionally, the mix of property, plant and equipment purchases that we choose to finance may change over time. We believe it is important to view our adjusted free cash flow measure only as a complement to our entire consolidated statement of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310"/>
                <wp:effectExtent l="0" t="0" r="0" b="0"/>
                <wp:wrapNone/>
                <wp:docPr id="41" name="Frame41"/>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income (loss) and adjusted EBITDA for the three and six months ended December 31, 2025 and 2024:</w:t>
      </w:r>
    </w:p>
    <w:tbl>
      <w:tblPr>
        <w:tblW w:w="10205" w:type="dxa"/>
        <w:jc w:val="center"/>
        <w:tblInd w:w="0" w:type="dxa"/>
        <w:tblLayout w:type="fixed"/>
        <w:tblCellMar>
          <w:top w:w="28" w:type="dxa"/>
          <w:left w:w="28" w:type="dxa"/>
          <w:bottom w:w="28" w:type="dxa"/>
          <w:right w:w="28" w:type="dxa"/>
        </w:tblCellMar>
      </w:tblPr>
      <w:tblGrid>
        <w:gridCol w:w="1639"/>
        <w:gridCol w:w="1366"/>
        <w:gridCol w:w="1370"/>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56"/>
      </w:tblGrid>
      <w:tr>
        <w:trPr/>
        <w:tc>
          <w:tcPr>
            <w:tcW w:w="1639"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Three Months Ended December 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265" w:type="dxa"/>
            <w:gridSpan w:val="2"/>
            <w:tcBorders/>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Exclude expense (benefit) impact of:</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on early extinguishment of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Certain impairments and other adjustments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Restructuring-related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Include certain items that are a part of other income,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Realized (losses) gains on currency derivatives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237,558 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220,025 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44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100" w:after="100"/>
        <w:ind w:left="0" w:right="0" w:hanging="270"/>
        <w:jc w:val="left"/>
        <w:rPr>
          <w:rFonts w:ascii="Arial;sans-serif" w:hAnsi="Arial;sans-serif"/>
          <w:b w:val="false"/>
          <w:color w:val="000000"/>
          <w:sz w:val="16"/>
        </w:rPr>
      </w:pPr>
      <w:r>
        <w:rPr>
          <w:rFonts w:ascii="Arial;sans-serif" w:hAnsi="Arial;sans-serif"/>
          <w:b w:val="false"/>
          <w:color w:val="000000"/>
          <w:sz w:val="16"/>
        </w:rPr>
        <w:t>(1) These realized (losses) gains include only the impacts of certain currency derivative contracts that are intended to hedge our adjusted EBITDA exposure to foreign currencies for which we do not apply hedge accounting. Refer to Note 4 in our accompanying consolidated financial statements for further information.</w:t>
      </w:r>
    </w:p>
    <w:p>
      <w:pPr>
        <w:pStyle w:val="TextBody"/>
        <w:bidi w:val="0"/>
        <w:spacing w:lineRule="auto" w:line="288" w:before="200" w:after="100"/>
        <w:ind w:left="0" w:right="0" w:firstLine="720"/>
        <w:jc w:val="left"/>
        <w:rPr>
          <w:rFonts w:ascii="Arial;sans-serif" w:hAnsi="Arial;sans-serif"/>
          <w:b w:val="false"/>
          <w:color w:val="000000"/>
          <w:sz w:val="20"/>
        </w:rPr>
      </w:pPr>
      <w:r>
        <w:rPr>
          <w:rFonts w:ascii="Arial;sans-serif" w:hAnsi="Arial;sans-serif"/>
          <w:b w:val="false"/>
          <w:color w:val="000000"/>
          <w:sz w:val="20"/>
        </w:rPr>
        <w:t>The table below sets forth net cash provided by operating activities and adjusted free cash flow for the six months ended December 31, 2025 and 2024:</w:t>
      </w:r>
    </w:p>
    <w:tbl>
      <w:tblPr>
        <w:tblW w:w="8102" w:type="dxa"/>
        <w:jc w:val="left"/>
        <w:tblInd w:w="0" w:type="dxa"/>
        <w:tblLayout w:type="fixed"/>
        <w:tblCellMar>
          <w:top w:w="28" w:type="dxa"/>
          <w:left w:w="28" w:type="dxa"/>
          <w:bottom w:w="28" w:type="dxa"/>
          <w:right w:w="28" w:type="dxa"/>
        </w:tblCellMar>
      </w:tblPr>
      <w:tblGrid>
        <w:gridCol w:w="1729"/>
        <w:gridCol w:w="1525"/>
        <w:gridCol w:w="1530"/>
        <w:gridCol w:w="211"/>
        <w:gridCol w:w="826"/>
        <w:gridCol w:w="109"/>
        <w:gridCol w:w="109"/>
        <w:gridCol w:w="109"/>
        <w:gridCol w:w="109"/>
        <w:gridCol w:w="211"/>
        <w:gridCol w:w="826"/>
        <w:gridCol w:w="109"/>
        <w:gridCol w:w="109"/>
        <w:gridCol w:w="109"/>
        <w:gridCol w:w="109"/>
        <w:gridCol w:w="109"/>
        <w:gridCol w:w="109"/>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In thousands</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 xml:space="preserve">Six Months Ended December 31,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property, plant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Capitalization of software and website development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the sale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Adjusted 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pPr>
      <w:r>
        <w:rPr>
          <w:rFonts w:ascii="Arial;sans-serif" w:hAnsi="Arial;sans-serif"/>
          <w:b/>
          <w:color w:val="000000"/>
          <w:sz w:val="20"/>
        </w:rPr>
        <w:t xml:space="preserve">Item 3. </w:t>
      </w:r>
      <w:r>
        <w:rPr>
          <w:rFonts w:ascii="Arial;sans-serif" w:hAnsi="Arial;sans-serif"/>
          <w:b/>
          <w:i/>
          <w:color w:val="000000"/>
          <w:sz w:val="20"/>
        </w:rPr>
        <w:t>Quantitative and Qualitative Disclosures About Market Risk</w:t>
      </w:r>
    </w:p>
    <w:p>
      <w:pPr>
        <w:pStyle w:val="TextBody"/>
        <w:bidi w:val="0"/>
        <w:spacing w:lineRule="auto" w:line="288" w:before="100" w:after="100"/>
        <w:ind w:left="0" w:right="0" w:firstLine="720"/>
        <w:jc w:val="left"/>
        <w:rPr/>
      </w:pPr>
      <w:r>
        <w:rPr>
          <w:rFonts w:ascii="Arial;sans-serif" w:hAnsi="Arial;sans-serif"/>
          <w:b w:val="false"/>
          <w:i/>
          <w:color w:val="000000"/>
          <w:sz w:val="20"/>
        </w:rPr>
        <w:t>Interest Rate Risk.</w:t>
      </w:r>
      <w:r>
        <w:rPr>
          <w:color w:val="000000"/>
        </w:rPr>
        <w:t> </w:t>
      </w:r>
      <w:r>
        <w:rPr>
          <w:rFonts w:ascii="Arial;sans-serif" w:hAnsi="Arial;sans-serif"/>
          <w:b w:val="false"/>
          <w:color w:val="000000"/>
          <w:sz w:val="20"/>
        </w:rPr>
        <w:t xml:space="preserve">Our exposure to interest rate risk relates primarily to our cash, cash equivalents, and debt. </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As of December 31, 2025, our cash and cash equivalents consisted of standard depository accounts, which are held for working capital purposes, money market funds, and marketable securities with an original maturity of less than 90 days. We do not believe we have a material exposure to interest rate fluctuations related to our cash and cash equivalents.</w:t>
      </w:r>
    </w:p>
    <w:p>
      <w:pPr>
        <w:pStyle w:val="TextBody"/>
        <w:bidi w:val="0"/>
        <w:spacing w:lineRule="auto" w:line="288" w:before="100" w:after="100"/>
        <w:ind w:left="0" w:right="0" w:firstLine="720"/>
        <w:jc w:val="left"/>
        <w:rPr/>
      </w:pPr>
      <w:r>
        <w:rPr>
          <w:rFonts w:ascii="Arial;sans-serif" w:hAnsi="Arial;sans-serif"/>
          <w:b w:val="false"/>
          <w:color w:val="000000"/>
          <w:sz w:val="20"/>
        </w:rPr>
        <w:t>As of December 31, 2025, we had</w:t>
      </w:r>
      <w:r>
        <w:rPr>
          <w:color w:val="FF0000"/>
        </w:rPr>
        <w:t xml:space="preserve"> </w:t>
      </w:r>
      <w:r>
        <w:rPr>
          <w:rFonts w:ascii="Arial;sans-serif" w:hAnsi="Arial;sans-serif"/>
          <w:b w:val="false"/>
          <w:color w:val="000000"/>
          <w:sz w:val="20"/>
        </w:rPr>
        <w:t>$1,067.4 million of variable-rate debt. As a result, we have exposure to market risk for changes in interest rates related to these obligations. In order to mitigate our exposure to interest rate changes related to our variable-rate debt, we execute interest rate swap contracts to fix the interest rate on a portion of our outstanding or forecasted long-term debt with varying maturities. As of December 31, 2025, a hypothetical 100 basis point increase in rates, inclusive of the impact of our outstanding interest rate swaps that are accruing interest as of December 31, 2025, would result in a $7.7 million increase to interest expense over the next 12 months. This does not include any yield from cash and marketable securities.</w:t>
      </w:r>
    </w:p>
    <w:p>
      <w:pPr>
        <w:pStyle w:val="TextBody"/>
        <w:bidi w:val="0"/>
        <w:spacing w:lineRule="auto" w:line="288" w:before="100" w:after="100"/>
        <w:ind w:left="0" w:right="0" w:firstLine="720"/>
        <w:jc w:val="left"/>
        <w:rPr/>
      </w:pPr>
      <w:r>
        <w:rPr>
          <w:rFonts w:ascii="Arial;sans-serif" w:hAnsi="Arial;sans-serif"/>
          <w:b w:val="false"/>
          <w:i/>
          <w:color w:val="000000"/>
          <w:sz w:val="20"/>
        </w:rPr>
        <w:t>Currency Exchange Rate Risk.</w:t>
      </w:r>
      <w:r>
        <w:rPr>
          <w:color w:val="000000"/>
        </w:rPr>
        <w:t> </w:t>
      </w:r>
      <w:r>
        <w:rPr>
          <w:rFonts w:ascii="Arial;sans-serif" w:hAnsi="Arial;sans-serif"/>
          <w:b w:val="false"/>
          <w:color w:val="000000"/>
          <w:sz w:val="20"/>
        </w:rPr>
        <w:t xml:space="preserve">We conduct business in multiple currencies through our worldwide operations but report our financial results in U.S. dollars. We manage these currency risks through normal operating activities and, when deemed appropriate, through the use of derivative financial instruments. We have policies governing the use of derivative instruments and do not enter into financial instruments for trading or speculative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310"/>
                <wp:effectExtent l="0" t="0" r="0" b="0"/>
                <wp:wrapNone/>
                <wp:docPr id="42" name="Frame4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purposes. The use of derivatives is intended to reduce, but does not entirely eliminate, the impact of adverse currency exchange rate movements. A summary of our currency risk is as follows:</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Translation of our non-U.S. dollar revenues and expenses:</w:t>
      </w:r>
      <w:r>
        <w:rPr>
          <w:color w:val="000000"/>
        </w:rPr>
        <w:t xml:space="preserve"> </w:t>
      </w:r>
      <w:r>
        <w:rPr>
          <w:rFonts w:ascii="Arial;sans-serif" w:hAnsi="Arial;sans-serif"/>
          <w:b w:val="false"/>
          <w:color w:val="000000"/>
          <w:sz w:val="20"/>
        </w:rPr>
        <w:t>Revenue and related expenses generated in currencies other than the U.S. dollar could result in higher or lower net income (loss) when, upon consolidation, those transactions are translated to U.S. dollars. When the value or timing of revenue and expenses in a given currency are materially different, we may be exposed to significant impacts on our net income and non-GAAP financial metrics, such as adjusted EBITDA.</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Our currency hedging objectives are targeted at reducing volatility in our forecasted U.S. dollar-equivalent adjusted EBITDA in order to maintain stability on our incurrence-based debt covenants. Since adjusted EBITDA excludes non-cash items such as depreciation and amortization that are included in net (loss) income, we may experience increased, not decreased, volatility in our GAAP results due to our hedging approach. Our most significant net currency exposures by volume are in the Euro and GBP.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addition, we elect to execute currency derivatives contracts that do not qualify for hedge accounting. As a result, we may experience volatility in our consolidated statements of operations due to (i) the impact of unrealized gains and losses reported in other income, net, on the mark-to-market of outstanding contracts and (ii) realized gains and losses recognized in other income, net, whereas the offsetting economic gains and losses are reported in the line item of the underlying activity, for example, revenue.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Translation of our non-U.S. dollar assets and liabilities</w:t>
      </w:r>
      <w:r>
        <w:rPr>
          <w:rFonts w:ascii="Arial;sans-serif" w:hAnsi="Arial;sans-serif"/>
          <w:b w:val="false"/>
          <w:color w:val="000000"/>
          <w:sz w:val="20"/>
        </w:rPr>
        <w:t xml:space="preserve">: Each of our subsidiaries translates its assets and liabilities to U.S. dollars at current rates of exchange in effect at the balance sheet date. The resulting gains and losses from translation are included as a component of accumulated other comprehensive loss on the consolidated balance sheet. Fluctuations in exchange rates can materially impact the carrying value of our assets and liabilities. We have currency exposure arising from our net investments in foreign operations. We enter into currency derivatives to mitigate the impact of currency rate changes on certain net investments. </w:t>
      </w:r>
    </w:p>
    <w:p>
      <w:pPr>
        <w:pStyle w:val="TextBody"/>
        <w:bidi w:val="0"/>
        <w:spacing w:lineRule="auto" w:line="288" w:before="100" w:after="100"/>
        <w:ind w:left="0" w:right="0" w:hanging="360"/>
        <w:jc w:val="left"/>
        <w:rPr/>
      </w:pPr>
      <w:r>
        <w:rPr>
          <w:color w:val="000000"/>
        </w:rPr>
        <w:t>•</w:t>
      </w:r>
      <w:r>
        <w:rPr>
          <w:rFonts w:ascii="Arial;sans-serif" w:hAnsi="Arial;sans-serif"/>
          <w:b w:val="false"/>
          <w:i/>
          <w:color w:val="000000"/>
          <w:sz w:val="20"/>
        </w:rPr>
        <w:t>Remeasurement of monetary assets and liabilities:</w:t>
      </w:r>
      <w:r>
        <w:rPr>
          <w:color w:val="000000"/>
        </w:rPr>
        <w:t xml:space="preserve"> </w:t>
      </w:r>
      <w:r>
        <w:rPr>
          <w:rFonts w:ascii="Arial;sans-serif" w:hAnsi="Arial;sans-serif"/>
          <w:b w:val="false"/>
          <w:color w:val="000000"/>
          <w:sz w:val="20"/>
        </w:rPr>
        <w:t xml:space="preserve">Transaction gains and losses generated from remeasurement of monetary assets and liabilities denominated in currencies other than the functional currency of a subsidiary are included in other income, net, on the consolidated statements of operations. Certain of our subsidiaries hold intercompany loans denominated in a currency other than their functional currency. Due to the significance of these balances, the revaluation of intercompany loans can have a material impact on other income, net. We expect these impacts may be volatile in the future, although our largest intercompany loans do not have a U.S. dollar cash impact for the consolidated group because they are either: 1) U.S. dollar loans or 2) are non-U.S. dollar loans that we hedge with cross-currency swap and forward contracts. A hypothetical 10% change in currency exchange rates was applied to total net monetary assets denominated in currencies other than the functional currencies at the balance sheet dates to compute the impact these changes would have had on our income before income taxes in the near term. A hypothetical decrease in exchange rates of 10% against the functional currency of our subsidiaries would have resulted in a change of $21.7 million and $46.8 million on our income (loss) before income taxes for the three and six months ended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pPr>
      <w:r>
        <w:rPr>
          <w:rFonts w:ascii="Arial;sans-serif" w:hAnsi="Arial;sans-serif"/>
          <w:b/>
          <w:color w:val="000000"/>
          <w:sz w:val="20"/>
        </w:rPr>
        <w:t xml:space="preserve">Item 4. </w:t>
      </w:r>
      <w:r>
        <w:rPr>
          <w:rFonts w:ascii="Arial;sans-serif" w:hAnsi="Arial;sans-serif"/>
          <w:b/>
          <w:i/>
          <w:color w:val="000000"/>
          <w:sz w:val="20"/>
        </w:rPr>
        <w:t>Controls and Procedures</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Disclosure Controls and Procedures</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 with the participation of our chief executive officer and chief financial officer, evaluated the effectiveness of our disclosure controls and procedures as of December 31, 2025. The term “disclosure controls and procedures,” as defined in Rules 13a-15(e) and 15d-15(e) under the Securities Exchange Act of 1934,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310"/>
                <wp:effectExtent l="0" t="0" r="0" b="0"/>
                <wp:wrapNone/>
                <wp:docPr id="43" name="Frame43"/>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December 31, 2025, our chief executive officer and chief financial officer concluded that, as of such date, our disclosure controls and procedures were effective at the reasonable assurance level.</w:t>
      </w:r>
    </w:p>
    <w:p>
      <w:pPr>
        <w:pStyle w:val="TextBody"/>
        <w:bidi w:val="0"/>
        <w:spacing w:lineRule="auto" w:line="288" w:before="200" w:after="200"/>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There were no significant changes in our internal control over financial reporting (as defined in Rules 13a-15(f) and 15d-15(f) under the Exchange Act) during the three months ended December 31, 2025 that materially affected, or are reasonably likely to materially affect, our internal control over financial reporting.</w:t>
      </w:r>
    </w:p>
    <w:p>
      <w:pPr>
        <w:pStyle w:val="TextBody"/>
        <w:bidi w:val="0"/>
        <w:spacing w:before="100" w:after="4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center"/>
        <w:rPr>
          <w:rFonts w:ascii="Arial;sans-serif" w:hAnsi="Arial;sans-serif"/>
          <w:b/>
          <w:color w:val="000000"/>
          <w:sz w:val="24"/>
        </w:rPr>
      </w:pPr>
      <w:r>
        <w:rPr>
          <w:rFonts w:ascii="Arial;sans-serif" w:hAnsi="Arial;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pPr>
      <w:r>
        <w:rPr>
          <w:rFonts w:ascii="Arial;sans-serif" w:hAnsi="Arial;sans-serif"/>
          <w:b/>
          <w:color w:val="000000"/>
          <w:sz w:val="20"/>
        </w:rPr>
        <w:t>Item 2.        </w:t>
      </w:r>
      <w:r>
        <w:rPr>
          <w:rFonts w:ascii="Arial;sans-serif" w:hAnsi="Arial;sans-serif"/>
          <w:b/>
          <w:i/>
          <w:color w:val="000000"/>
          <w:sz w:val="20"/>
        </w:rPr>
        <w:t>Unregistered Sales of Equity Securities and Use of Proceeds</w:t>
      </w:r>
    </w:p>
    <w:p>
      <w:pPr>
        <w:pStyle w:val="TextBody"/>
        <w:bidi w:val="0"/>
        <w:spacing w:lineRule="auto" w:line="288" w:before="100" w:after="100"/>
        <w:jc w:val="left"/>
        <w:rPr>
          <w:color w:val="000000"/>
        </w:rPr>
      </w:pPr>
      <w:r>
        <w:rPr>
          <w:color w:val="000000"/>
        </w:rPr>
        <w:t>    </w:t>
      </w:r>
      <w:r>
        <w:rPr>
          <w:rFonts w:ascii="Arial;sans-serif" w:hAnsi="Arial;sans-serif"/>
          <w:b w:val="false"/>
          <w:color w:val="000000"/>
          <w:sz w:val="20"/>
        </w:rPr>
        <w:t>On May 29, 2024, we announced that our Board had authorized the repurchase of up to an additional $200.0 million aggregate purchase price (excluding any fees, commissions, or other expenses of such purchases) of Cimpress' issued and outstanding ordinary shares on the open market, through privately negotiated transactions, or in one or more self tender offers. The Board did not set an expiration date for this repurchase program, and we may suspend or discontinue our share repurchases at any time.</w:t>
      </w:r>
    </w:p>
    <w:p>
      <w:pPr>
        <w:pStyle w:val="TextBody"/>
        <w:bidi w:val="0"/>
        <w:spacing w:lineRule="auto" w:line="288" w:before="100" w:after="1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outlines the repurchase of our ordinary shares during the three months ended December 31, 2025 under the program described above:</w:t>
      </w:r>
    </w:p>
    <w:tbl>
      <w:tblPr>
        <w:tblW w:w="10205" w:type="dxa"/>
        <w:jc w:val="left"/>
        <w:tblInd w:w="0" w:type="dxa"/>
        <w:tblLayout w:type="fixed"/>
        <w:tblCellMar>
          <w:top w:w="28" w:type="dxa"/>
          <w:left w:w="28" w:type="dxa"/>
          <w:bottom w:w="28" w:type="dxa"/>
          <w:right w:w="28" w:type="dxa"/>
        </w:tblCellMar>
      </w:tblPr>
      <w:tblGrid>
        <w:gridCol w:w="757"/>
        <w:gridCol w:w="535"/>
        <w:gridCol w:w="537"/>
        <w:gridCol w:w="626"/>
        <w:gridCol w:w="407"/>
        <w:gridCol w:w="409"/>
        <w:gridCol w:w="109"/>
        <w:gridCol w:w="109"/>
        <w:gridCol w:w="109"/>
        <w:gridCol w:w="281"/>
        <w:gridCol w:w="823"/>
        <w:gridCol w:w="145"/>
        <w:gridCol w:w="109"/>
        <w:gridCol w:w="109"/>
        <w:gridCol w:w="109"/>
        <w:gridCol w:w="879"/>
        <w:gridCol w:w="667"/>
        <w:gridCol w:w="670"/>
        <w:gridCol w:w="109"/>
        <w:gridCol w:w="109"/>
        <w:gridCol w:w="109"/>
        <w:gridCol w:w="499"/>
        <w:gridCol w:w="1459"/>
        <w:gridCol w:w="258"/>
        <w:gridCol w:w="109"/>
        <w:gridCol w:w="163"/>
      </w:tblGrid>
      <w:tr>
        <w:trPr/>
        <w:tc>
          <w:tcPr>
            <w:tcW w:w="757"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Number of Shares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Average Price Paid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Number of Shares Purchased as Part of a Publicly Announced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Approximate Dollar Value of Shares that May Yet be Purchased Under the Program</w:t>
              <w:b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1, 2025 through October 31, 2025</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November 1, 2025 through November 30, 2025</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239,711 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66.71 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239,711 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96.6 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December 1, 2025 through December 31, 2025</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130,000 </w:t>
            </w:r>
          </w:p>
        </w:tc>
        <w:tc>
          <w:tcPr>
            <w:tcW w:w="4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130,000 </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2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03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369,711 </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68.86 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369,711 </w:t>
            </w:r>
          </w:p>
        </w:tc>
        <w:tc>
          <w:tcPr>
            <w:tcW w:w="6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Arial;sans-serif" w:hAnsi="Arial;sans-serif"/>
          <w:b/>
          <w:color w:val="000000"/>
          <w:sz w:val="20"/>
        </w:rPr>
        <w:t xml:space="preserve">Item 6. </w:t>
      </w:r>
      <w:r>
        <w:rPr>
          <w:rFonts w:ascii="Arial;sans-serif" w:hAnsi="Arial;sans-serif"/>
          <w:b/>
          <w:i/>
          <w:color w:val="000000"/>
          <w:sz w:val="20"/>
        </w:rPr>
        <w:t>Exhibits and Financial Statement Schedules</w:t>
      </w:r>
    </w:p>
    <w:tbl>
      <w:tblPr>
        <w:tblW w:w="10205" w:type="dxa"/>
        <w:jc w:val="left"/>
        <w:tblInd w:w="0" w:type="dxa"/>
        <w:tblLayout w:type="fixed"/>
        <w:tblCellMar>
          <w:top w:w="28" w:type="dxa"/>
          <w:left w:w="28" w:type="dxa"/>
          <w:bottom w:w="28" w:type="dxa"/>
          <w:right w:w="28" w:type="dxa"/>
        </w:tblCellMar>
      </w:tblPr>
      <w:tblGrid>
        <w:gridCol w:w="312"/>
        <w:gridCol w:w="274"/>
        <w:gridCol w:w="275"/>
        <w:gridCol w:w="109"/>
        <w:gridCol w:w="109"/>
        <w:gridCol w:w="109"/>
        <w:gridCol w:w="2635"/>
        <w:gridCol w:w="2635"/>
        <w:gridCol w:w="3747"/>
      </w:tblGrid>
      <w:tr>
        <w:trP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47"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r>
      <w:tr>
        <w:trPr/>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r>
      <w:tr>
        <w:trPr/>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7" w:type="dxa"/>
            <w:gridSpan w:val="3"/>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123125.htm">
              <w:r>
                <w:rPr>
                  <w:rStyle w:val="InternetLink"/>
                  <w:rFonts w:ascii="Arial;sans-serif" w:hAnsi="Arial;sans-serif"/>
                  <w:b w:val="false"/>
                  <w:color w:val="0000FF"/>
                  <w:sz w:val="18"/>
                  <w:u w:val="single"/>
                </w:rPr>
                <w:t>Certification pursuant to Section 302 of the Sarbanes-Oxley Act of 2002, Rule 13a-14(a)/15d-14(a), by Chief Executive Officer</w:t>
              </w:r>
            </w:hyperlink>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123125.htm">
              <w:r>
                <w:rPr>
                  <w:rStyle w:val="InternetLink"/>
                  <w:rFonts w:ascii="Arial;sans-serif" w:hAnsi="Arial;sans-serif"/>
                  <w:b w:val="false"/>
                  <w:color w:val="0000FF"/>
                  <w:sz w:val="18"/>
                  <w:u w:val="single"/>
                </w:rPr>
                <w:t>Certification pursuant to Section 302 of the Sarbanes-Oxley Act of 2002, Rule 13a-14(a)/15d-14(a), by Chief Financial Officer</w:t>
              </w:r>
            </w:hyperlink>
          </w:p>
        </w:tc>
      </w:tr>
      <w:tr>
        <w:trPr/>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123125.htm">
              <w:r>
                <w:rPr>
                  <w:rStyle w:val="InternetLink"/>
                  <w:rFonts w:ascii="Arial;sans-serif" w:hAnsi="Arial;sans-serif"/>
                  <w:b w:val="false"/>
                  <w:color w:val="0000FF"/>
                  <w:sz w:val="18"/>
                  <w:u w:val="single"/>
                </w:rPr>
                <w:t>Certification pursuant to 18 U.S.C. Section 1350, as adopted pursuant to Section 906 of the Sarbanes-Oxley Act of 2002, by Chief Executive Officer and Chief Financial Officer</w:t>
              </w:r>
            </w:hyperlink>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__________________</w:t>
      </w:r>
    </w:p>
    <w:p>
      <w:pPr>
        <w:pStyle w:val="TextBody"/>
        <w:bidi w:val="0"/>
        <w:spacing w:lineRule="auto" w:line="288" w:before="80" w:after="283"/>
        <w:jc w:val="left"/>
        <w:rPr>
          <w:rFonts w:ascii="Arial;sans-serif" w:hAnsi="Arial;sans-serif"/>
          <w:b w:val="false"/>
          <w:color w:val="000000"/>
          <w:sz w:val="16"/>
        </w:rPr>
      </w:pPr>
      <w:r>
        <w:rPr>
          <w:rFonts w:ascii="Arial;sans-serif" w:hAnsi="Arial;sans-serif"/>
          <w:b w:val="false"/>
          <w:color w:val="000000"/>
          <w:sz w:val="16"/>
        </w:rPr>
        <w:t>*Management contract or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310"/>
                <wp:effectExtent l="0" t="0" r="0" b="0"/>
                <wp:wrapNone/>
                <wp:docPr id="44" name="Frame4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40" w:after="283"/>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260" w:after="283"/>
        <w:jc w:val="left"/>
        <w:rPr/>
      </w:pPr>
      <w:r>
        <w:rPr>
          <w:rFonts w:ascii="Arial;sans-serif" w:hAnsi="Arial;sans-serif"/>
          <w:b w:val="false"/>
          <w:color w:val="000000"/>
          <w:sz w:val="20"/>
        </w:rPr>
        <w:t>January 29, 2026</w:t>
      </w:r>
      <w:r>
        <w:rPr>
          <w:color w:val="EE2724"/>
        </w:rPr>
        <w:t> </w:t>
      </w:r>
      <w:r>
        <w:rPr>
          <w:color w:val="000000"/>
        </w:rPr>
        <w:t>                        </w:t>
      </w:r>
      <w:r>
        <w:rPr>
          <w:rFonts w:ascii="Arial;sans-serif" w:hAnsi="Arial;sans-serif"/>
          <w:b w:val="false"/>
          <w:color w:val="000000"/>
          <w:sz w:val="20"/>
        </w:rPr>
        <w:t>Cimpress plc                                                    </w:t>
      </w:r>
    </w:p>
    <w:tbl>
      <w:tblPr>
        <w:tblW w:w="4435" w:type="dxa"/>
        <w:jc w:val="center"/>
        <w:tblInd w:w="0" w:type="dxa"/>
        <w:tblLayout w:type="fixed"/>
        <w:tblCellMar>
          <w:top w:w="28" w:type="dxa"/>
          <w:left w:w="28" w:type="dxa"/>
          <w:bottom w:w="28" w:type="dxa"/>
          <w:right w:w="28" w:type="dxa"/>
        </w:tblCellMar>
      </w:tblPr>
      <w:tblGrid>
        <w:gridCol w:w="124"/>
        <w:gridCol w:w="109"/>
        <w:gridCol w:w="109"/>
        <w:gridCol w:w="154"/>
        <w:gridCol w:w="154"/>
        <w:gridCol w:w="156"/>
        <w:gridCol w:w="1059"/>
        <w:gridCol w:w="1059"/>
        <w:gridCol w:w="15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w:t>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Sean E. Quinn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310"/>
                <wp:effectExtent l="0" t="0" r="0" b="0"/>
                <wp:wrapNone/>
                <wp:docPr id="45" name="Frame4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before="0" w:after="0"/>
        <w:jc w:val="center"/>
        <w:rPr/>
      </w:pPr>
      <w:r>
        <w:rPr/>
      </w:r>
    </w:p>
    <w:p>
      <w:pPr>
        <w:pStyle w:val="TextBody"/>
        <w:bidi w:val="0"/>
        <w:spacing w:lineRule="auto" w:line="288" w:before="0" w:after="120"/>
        <w:jc w:val="left"/>
        <w:rPr>
          <w:rFonts w:ascii="Arial;sans-serif" w:hAnsi="Arial;sans-serif"/>
          <w:b w:val="false"/>
          <w:color w:val="000000"/>
          <w:sz w:val="20"/>
        </w:rPr>
      </w:pPr>
      <w:r>
        <w:rPr>
          <w:rFonts w:ascii="Arial;sans-serif" w:hAnsi="Arial;sans-serif"/>
          <w:b w:val="false"/>
          <w:color w:val="000000"/>
          <w:sz w:val="20"/>
        </w:rPr>
        <w:t>I, Robert S. Keane,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47" w:before="0" w:after="120"/>
        <w:jc w:val="left"/>
        <w:rPr>
          <w:rFonts w:ascii="Arial;sans-serif" w:hAnsi="Arial;sans-serif"/>
          <w:b w:val="false"/>
          <w:color w:val="000000"/>
          <w:sz w:val="20"/>
        </w:rPr>
      </w:pPr>
      <w:r>
        <w:rPr>
          <w:rFonts w:ascii="Arial;sans-serif" w:hAnsi="Arial;sans-serif"/>
          <w:b w:val="false"/>
          <w:color w:val="000000"/>
          <w:sz w:val="20"/>
        </w:rPr>
        <w:t>Date: January 29, 2026</w:t>
      </w:r>
    </w:p>
    <w:p>
      <w:pPr>
        <w:pStyle w:val="TextBody"/>
        <w:bidi w:val="0"/>
        <w:spacing w:before="0" w:after="120"/>
        <w:jc w:val="left"/>
        <w:rPr/>
      </w:pPr>
      <w:r>
        <w:rPr/>
      </w:r>
    </w:p>
    <w:tbl>
      <w:tblPr>
        <w:tblW w:w="2306" w:type="dxa"/>
        <w:jc w:val="left"/>
        <w:tblInd w:w="0" w:type="dxa"/>
        <w:tblLayout w:type="fixed"/>
        <w:tblCellMar>
          <w:top w:w="28" w:type="dxa"/>
          <w:left w:w="28" w:type="dxa"/>
          <w:bottom w:w="28" w:type="dxa"/>
          <w:right w:w="28" w:type="dxa"/>
        </w:tblCellMar>
      </w:tblPr>
      <w:tblGrid>
        <w:gridCol w:w="701"/>
        <w:gridCol w:w="615"/>
        <w:gridCol w:w="618"/>
        <w:gridCol w:w="109"/>
        <w:gridCol w:w="109"/>
        <w:gridCol w:w="154"/>
      </w:tblGrid>
      <w:tr>
        <w:trPr/>
        <w:tc>
          <w:tcPr>
            <w:tcW w:w="70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w:t>
      </w:r>
    </w:p>
    <w:p>
      <w:pPr>
        <w:pStyle w:val="TextBody"/>
        <w:bidi w:val="0"/>
        <w:spacing w:lineRule="auto" w:line="276" w:before="0" w:after="120"/>
        <w:jc w:val="left"/>
        <w:rPr>
          <w:rFonts w:ascii="Arial;sans-serif" w:hAnsi="Arial;sans-serif"/>
          <w:b w:val="false"/>
          <w:color w:val="000000"/>
          <w:sz w:val="20"/>
        </w:rPr>
      </w:pPr>
      <w:r>
        <w:rPr>
          <w:rFonts w:ascii="Arial;sans-serif" w:hAnsi="Arial;sans-serif"/>
          <w:b w:val="false"/>
          <w:color w:val="000000"/>
          <w:sz w:val="20"/>
        </w:rPr>
        <w:t>I, Sean E. Quinn, certify that:</w:t>
      </w:r>
    </w:p>
    <w:p>
      <w:pPr>
        <w:pStyle w:val="TextBody"/>
        <w:bidi w:val="0"/>
        <w:spacing w:lineRule="auto" w:line="276" w:before="0" w:after="120"/>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Cimpress plc;</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p>
      <w:pPr>
        <w:pStyle w:val="TextBody"/>
        <w:bidi w:val="0"/>
        <w:spacing w:lineRule="auto" w:line="276" w:before="0" w:after="120"/>
        <w:ind w:left="0" w:right="0" w:firstLine="120"/>
        <w:jc w:val="left"/>
        <w:rPr>
          <w:rFonts w:ascii="Arial;sans-serif" w:hAnsi="Arial;sans-serif"/>
          <w:b w:val="false"/>
          <w:color w:val="000000"/>
          <w:sz w:val="20"/>
        </w:rPr>
      </w:pPr>
      <w:r>
        <w:rPr>
          <w:rFonts w:ascii="Arial;sans-serif" w:hAnsi="Arial;sans-serif"/>
          <w:b w:val="false"/>
          <w:color w:val="000000"/>
          <w:sz w:val="20"/>
        </w:rPr>
        <w:t>Date: January 29, 2026</w:t>
      </w:r>
    </w:p>
    <w:tbl>
      <w:tblPr>
        <w:tblW w:w="2262" w:type="dxa"/>
        <w:jc w:val="left"/>
        <w:tblInd w:w="0" w:type="dxa"/>
        <w:tblLayout w:type="fixed"/>
        <w:tblCellMar>
          <w:top w:w="28" w:type="dxa"/>
          <w:left w:w="28" w:type="dxa"/>
          <w:bottom w:w="28" w:type="dxa"/>
          <w:right w:w="28" w:type="dxa"/>
        </w:tblCellMar>
      </w:tblPr>
      <w:tblGrid>
        <w:gridCol w:w="683"/>
        <w:gridCol w:w="602"/>
        <w:gridCol w:w="605"/>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CERTIFICATION PURSUANT TO 18 U.S.C. SECTION 1350,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ind w:left="0" w:right="0" w:firstLine="2471"/>
        <w:jc w:val="center"/>
        <w:rPr/>
      </w:pPr>
      <w:r>
        <w:rPr/>
      </w:r>
    </w:p>
    <w:p>
      <w:pPr>
        <w:pStyle w:val="TextBody"/>
        <w:bidi w:val="0"/>
        <w:spacing w:lineRule="auto" w:line="247" w:before="0" w:after="120"/>
        <w:ind w:left="0" w:right="0" w:firstLine="820"/>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Cimpress plc (the “Company”) for the quarter ended December 31, 2025 as filed with the Securities and Exchange Commission on the date hereof (the “Report”), the undersigned, Robert S. Keane, Chief Executive Officer, and Sean E. Quinn, Chief Financial Officer, of the Company, each hereby certifies, pursuant to 18 U.S.C. Section 1350, that, to his knowledge on the date hereof:</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a.The Report fully complies with the requirements of Section 13(a) or 15(d) of the Securities Exchange Act of 1934; and</w:t>
      </w:r>
    </w:p>
    <w:p>
      <w:pPr>
        <w:pStyle w:val="TextBody"/>
        <w:bidi w:val="0"/>
        <w:spacing w:lineRule="auto" w:line="247" w:before="0" w:after="120"/>
        <w:ind w:left="0" w:right="0" w:hanging="360"/>
        <w:jc w:val="left"/>
        <w:rPr>
          <w:rFonts w:ascii="Arial;sans-serif" w:hAnsi="Arial;sans-serif"/>
          <w:b w:val="false"/>
          <w:color w:val="000000"/>
          <w:sz w:val="20"/>
        </w:rPr>
      </w:pPr>
      <w:r>
        <w:rPr>
          <w:rFonts w:ascii="Arial;sans-serif" w:hAnsi="Arial;sans-serif"/>
          <w:b w:val="false"/>
          <w:color w:val="000000"/>
          <w:sz w:val="20"/>
        </w:rPr>
        <w:t>b.The information contained in the Report fairly presents, in all material respects, the financial condition and results of operations of the Company.</w:t>
      </w:r>
    </w:p>
    <w:p>
      <w:pPr>
        <w:pStyle w:val="TextBody"/>
        <w:bidi w:val="0"/>
        <w:spacing w:before="0" w:after="120"/>
        <w:ind w:left="0" w:right="0" w:firstLine="120"/>
        <w:jc w:val="left"/>
        <w:rPr/>
      </w:pPr>
      <w:r>
        <w:rPr/>
      </w:r>
    </w:p>
    <w:tbl>
      <w:tblPr>
        <w:tblW w:w="5090"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109"/>
        <w:gridCol w:w="109"/>
        <w:gridCol w:w="109"/>
        <w:gridCol w:w="109"/>
        <w:gridCol w:w="109"/>
        <w:gridCol w:w="109"/>
        <w:gridCol w:w="573"/>
        <w:gridCol w:w="573"/>
        <w:gridCol w:w="818"/>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Robert S. Keane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Robert S. Keane</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Executive Officer</w:t>
            </w:r>
          </w:p>
        </w:tc>
      </w:tr>
    </w:tbl>
    <w:p>
      <w:pPr>
        <w:pStyle w:val="TextBody"/>
        <w:bidi w:val="0"/>
        <w:spacing w:before="0" w:after="120"/>
        <w:ind w:left="0" w:right="0" w:firstLine="120"/>
        <w:jc w:val="left"/>
        <w:rPr/>
      </w:pPr>
      <w:r>
        <w:rPr/>
      </w:r>
    </w:p>
    <w:tbl>
      <w:tblPr>
        <w:tblW w:w="5045" w:type="dxa"/>
        <w:jc w:val="left"/>
        <w:tblInd w:w="0" w:type="dxa"/>
        <w:tblLayout w:type="fixed"/>
        <w:tblCellMar>
          <w:top w:w="28" w:type="dxa"/>
          <w:left w:w="28" w:type="dxa"/>
          <w:bottom w:w="28" w:type="dxa"/>
          <w:right w:w="28" w:type="dxa"/>
        </w:tblCellMar>
      </w:tblPr>
      <w:tblGrid>
        <w:gridCol w:w="776"/>
        <w:gridCol w:w="681"/>
        <w:gridCol w:w="688"/>
        <w:gridCol w:w="109"/>
        <w:gridCol w:w="109"/>
        <w:gridCol w:w="109"/>
        <w:gridCol w:w="109"/>
        <w:gridCol w:w="109"/>
        <w:gridCol w:w="109"/>
        <w:gridCol w:w="109"/>
        <w:gridCol w:w="109"/>
        <w:gridCol w:w="109"/>
        <w:gridCol w:w="560"/>
        <w:gridCol w:w="560"/>
        <w:gridCol w:w="799"/>
      </w:tblGrid>
      <w:tr>
        <w:trPr/>
        <w:tc>
          <w:tcPr>
            <w:tcW w:w="77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Date: January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Sean E. Quinn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Sean E. Quinn</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Chief Financial Officer</w:t>
            </w:r>
          </w:p>
        </w:tc>
      </w:tr>
    </w:tbl>
    <w:p>
      <w:pPr>
        <w:pStyle w:val="TextBody"/>
        <w:bidi w:val="0"/>
        <w:spacing w:before="0" w:after="283"/>
        <w:ind w:left="0" w:right="0" w:firstLine="12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22316</Words>
  <Characters>126771</Characters>
  <CharactersWithSpaces>147458</CharactersWithSpaces>
  <Paragraphs>3693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