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582295</wp:posOffset>
            </wp:positionH>
            <wp:positionV relativeFrom="page">
              <wp:posOffset>1052830</wp:posOffset>
            </wp:positionV>
            <wp:extent cx="638429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4290" cy="7620"/>
                    </a:xfrm>
                    <a:prstGeom prst="rect">
                      <a:avLst/>
                    </a:prstGeom>
                    <a:noFill/>
                  </pic:spPr>
                </pic:pic>
              </a:graphicData>
            </a:graphic>
          </wp:anchor>
        </w:drawing>
        <w:drawing>
          <wp:anchor simplePos="0" relativeHeight="251657728" behindDoc="1" locked="0" layoutInCell="0" allowOverlap="1">
            <wp:simplePos x="0" y="0"/>
            <wp:positionH relativeFrom="page">
              <wp:posOffset>582295</wp:posOffset>
            </wp:positionH>
            <wp:positionV relativeFrom="page">
              <wp:posOffset>1021080</wp:posOffset>
            </wp:positionV>
            <wp:extent cx="6384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4290" cy="762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7"/>
          <w:szCs w:val="27"/>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26"/>
          <w:szCs w:val="26"/>
          <w:b w:val="1"/>
          <w:bCs w:val="1"/>
          <w:color w:val="auto"/>
        </w:rPr>
        <w:t>SECURITIES AND EXCHANGE COMMISSION</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Washington, D.C. 20549</w:t>
      </w:r>
    </w:p>
    <w:p>
      <w:pPr>
        <w:ind w:left="4660"/>
        <w:spacing w:after="0"/>
        <w:rPr>
          <w:sz w:val="20"/>
          <w:szCs w:val="20"/>
          <w:color w:val="auto"/>
        </w:rPr>
      </w:pPr>
      <w:r>
        <w:rPr>
          <w:rFonts w:ascii="Arial" w:cs="Arial" w:eastAsia="Arial" w:hAnsi="Arial"/>
          <w:sz w:val="12"/>
          <w:szCs w:val="12"/>
          <w:color w:val="auto"/>
        </w:rPr>
        <w:t>_________________________________</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Form 10-Q</w:t>
      </w:r>
    </w:p>
    <w:p>
      <w:pPr>
        <w:spacing w:after="0" w:line="127"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(Mark One)</w:t>
      </w:r>
    </w:p>
    <w:p>
      <w:pPr>
        <w:spacing w:after="0" w:line="27" w:lineRule="exact"/>
        <w:rPr>
          <w:sz w:val="24"/>
          <w:szCs w:val="24"/>
          <w:color w:val="auto"/>
        </w:rPr>
      </w:pPr>
    </w:p>
    <w:p>
      <w:pPr>
        <w:ind w:left="380" w:hanging="262"/>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2" w:lineRule="exact"/>
        <w:rPr>
          <w:sz w:val="24"/>
          <w:szCs w:val="24"/>
          <w:color w:val="auto"/>
        </w:rPr>
      </w:pPr>
    </w:p>
    <w:p>
      <w:pPr>
        <w:ind w:left="380"/>
        <w:spacing w:after="0"/>
        <w:tabs>
          <w:tab w:leader="none" w:pos="2980" w:val="left"/>
        </w:tabs>
        <w:rPr>
          <w:sz w:val="20"/>
          <w:szCs w:val="20"/>
          <w:color w:val="auto"/>
        </w:rPr>
      </w:pPr>
      <w:r>
        <w:rPr>
          <w:rFonts w:ascii="Arial" w:cs="Arial" w:eastAsia="Arial" w:hAnsi="Arial"/>
          <w:sz w:val="14"/>
          <w:szCs w:val="14"/>
          <w:b w:val="1"/>
          <w:bCs w:val="1"/>
          <w:color w:val="auto"/>
        </w:rPr>
        <w:t>For the quarterly period ended</w:t>
      </w:r>
      <w:r>
        <w:rPr>
          <w:sz w:val="20"/>
          <w:szCs w:val="20"/>
          <w:color w:val="auto"/>
        </w:rPr>
        <w:tab/>
      </w:r>
      <w:r>
        <w:rPr>
          <w:rFonts w:ascii="Arial" w:cs="Arial" w:eastAsia="Arial" w:hAnsi="Arial"/>
          <w:sz w:val="14"/>
          <w:szCs w:val="14"/>
          <w:b w:val="1"/>
          <w:bCs w:val="1"/>
          <w:color w:val="auto"/>
        </w:rPr>
        <w:t>March 31, 2022</w:t>
      </w:r>
    </w:p>
    <w:p>
      <w:pPr>
        <w:spacing w:after="0" w:line="10"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or</w:t>
      </w:r>
    </w:p>
    <w:p>
      <w:pPr>
        <w:ind w:left="380" w:hanging="262"/>
        <w:spacing w:after="0" w:line="222" w:lineRule="auto"/>
        <w:tabs>
          <w:tab w:leader="none" w:pos="380" w:val="left"/>
        </w:tabs>
        <w:numPr>
          <w:ilvl w:val="0"/>
          <w:numId w:val="2"/>
        </w:numPr>
        <w:rPr>
          <w:rFonts w:ascii="MS PGothic" w:cs="MS PGothic" w:eastAsia="MS PGothic" w:hAnsi="MS PGothic"/>
          <w:sz w:val="4"/>
          <w:szCs w:val="4"/>
          <w:color w:val="auto"/>
        </w:rPr>
      </w:pPr>
      <w:r>
        <w:rPr>
          <w:rFonts w:ascii="Arial" w:cs="Arial" w:eastAsia="Arial" w:hAnsi="Arial"/>
          <w:sz w:val="4"/>
          <w:szCs w:val="4"/>
          <w:b w:val="1"/>
          <w:bCs w:val="1"/>
          <w:color w:val="auto"/>
        </w:rPr>
        <w:t>TRANSITION REPORT PURSUANT TO SECTION 13 OR 15(d) OF THE SECURITIES EXCHANGE ACT OF 1934</w:t>
      </w:r>
    </w:p>
    <w:p>
      <w:pPr>
        <w:spacing w:after="0" w:line="169" w:lineRule="exact"/>
        <w:rPr>
          <w:sz w:val="24"/>
          <w:szCs w:val="24"/>
          <w:color w:val="auto"/>
        </w:rPr>
      </w:pPr>
    </w:p>
    <w:p>
      <w:pPr>
        <w:ind w:left="380"/>
        <w:spacing w:after="0"/>
        <w:tabs>
          <w:tab w:leader="none" w:pos="29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Commission file number 000-51539</w:t>
      </w:r>
    </w:p>
    <w:p>
      <w:pPr>
        <w:spacing w:after="0" w:line="17" w:lineRule="exact"/>
        <w:rPr>
          <w:sz w:val="24"/>
          <w:szCs w:val="24"/>
          <w:color w:val="auto"/>
        </w:rPr>
      </w:pPr>
    </w:p>
    <w:p>
      <w:pPr>
        <w:ind w:left="4660"/>
        <w:spacing w:after="0"/>
        <w:rPr>
          <w:sz w:val="20"/>
          <w:szCs w:val="20"/>
          <w:color w:val="auto"/>
        </w:rPr>
      </w:pPr>
      <w:r>
        <w:rPr>
          <w:rFonts w:ascii="Arial" w:cs="Arial" w:eastAsia="Arial" w:hAnsi="Arial"/>
          <w:sz w:val="12"/>
          <w:szCs w:val="12"/>
          <w:color w:val="auto"/>
        </w:rPr>
        <w:t>_________________________________</w:t>
      </w:r>
    </w:p>
    <w:p>
      <w:pPr>
        <w:jc w:val="center"/>
        <w:ind w:right="-79"/>
        <w:spacing w:after="0"/>
        <w:rPr>
          <w:sz w:val="20"/>
          <w:szCs w:val="20"/>
          <w:color w:val="auto"/>
        </w:rPr>
      </w:pPr>
      <w:r>
        <w:rPr>
          <w:rFonts w:ascii="Arial" w:cs="Arial" w:eastAsia="Arial" w:hAnsi="Arial"/>
          <w:sz w:val="33"/>
          <w:szCs w:val="33"/>
          <w:b w:val="1"/>
          <w:bCs w:val="1"/>
          <w:color w:val="auto"/>
        </w:rPr>
        <w:t>Cimpress plc</w:t>
      </w: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12"/>
          <w:szCs w:val="12"/>
          <w:color w:val="auto"/>
        </w:rPr>
        <w:t>_________________________________</w:t>
      </w:r>
    </w:p>
    <w:p>
      <w:pPr>
        <w:sectPr>
          <w:pgSz w:w="11900" w:h="16838" w:orient="portrait"/>
          <w:cols w:equalWidth="0" w:num="1">
            <w:col w:w="11160"/>
          </w:cols>
          <w:pgMar w:left="320" w:top="1440" w:right="419" w:bottom="1440" w:gutter="0" w:footer="0" w:header="0"/>
        </w:sectPr>
      </w:pPr>
    </w:p>
    <w:p>
      <w:pPr>
        <w:spacing w:after="0" w:line="94"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98-0417483</w:t>
      </w:r>
    </w:p>
    <w:p>
      <w:pPr>
        <w:spacing w:after="0" w:line="26" w:lineRule="exact"/>
        <w:rPr>
          <w:sz w:val="24"/>
          <w:szCs w:val="24"/>
          <w:color w:val="auto"/>
        </w:rPr>
      </w:pPr>
    </w:p>
    <w:p>
      <w:pPr>
        <w:sectPr>
          <w:pgSz w:w="11900" w:h="16838" w:orient="portrait"/>
          <w:cols w:equalWidth="0" w:num="2">
            <w:col w:w="7340" w:space="720"/>
            <w:col w:w="3100"/>
          </w:cols>
          <w:pgMar w:left="320" w:top="1440" w:right="419" w:bottom="1440" w:gutter="0" w:footer="0" w:header="0"/>
          <w:type w:val="continuous"/>
        </w:sectPr>
      </w:pPr>
    </w:p>
    <w:p>
      <w:pPr>
        <w:ind w:left="1840"/>
        <w:spacing w:after="0"/>
        <w:rPr>
          <w:sz w:val="20"/>
          <w:szCs w:val="20"/>
          <w:color w:val="auto"/>
        </w:rPr>
      </w:pPr>
      <w:r>
        <w:rPr>
          <w:rFonts w:ascii="Arial" w:cs="Arial" w:eastAsia="Arial" w:hAnsi="Arial"/>
          <w:sz w:val="13"/>
          <w:szCs w:val="13"/>
          <w:b w:val="1"/>
          <w:bCs w:val="1"/>
          <w:color w:val="auto"/>
        </w:rPr>
        <w:t>(State or Other Jurisdiction of</w:t>
      </w:r>
    </w:p>
    <w:p>
      <w:pPr>
        <w:ind w:left="18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3"/>
          <w:szCs w:val="13"/>
          <w:b w:val="1"/>
          <w:bCs w:val="1"/>
          <w:color w:val="auto"/>
        </w:rPr>
        <w:t>(I.R.S. Employer</w:t>
      </w:r>
    </w:p>
    <w:p>
      <w:pPr>
        <w:jc w:val="center"/>
        <w:ind w:right="2160"/>
        <w:spacing w:after="0"/>
        <w:rPr>
          <w:sz w:val="20"/>
          <w:szCs w:val="20"/>
          <w:color w:val="auto"/>
        </w:rPr>
      </w:pPr>
      <w:r>
        <w:rPr>
          <w:rFonts w:ascii="Arial" w:cs="Arial" w:eastAsia="Arial" w:hAnsi="Arial"/>
          <w:sz w:val="13"/>
          <w:szCs w:val="13"/>
          <w:b w:val="1"/>
          <w:bCs w:val="1"/>
          <w:color w:val="auto"/>
        </w:rPr>
        <w:t>Identification No.)</w:t>
      </w:r>
    </w:p>
    <w:p>
      <w:pPr>
        <w:spacing w:after="0" w:line="83" w:lineRule="exact"/>
        <w:rPr>
          <w:sz w:val="24"/>
          <w:szCs w:val="24"/>
          <w:color w:val="auto"/>
        </w:rPr>
      </w:pPr>
    </w:p>
    <w:p>
      <w:pPr>
        <w:sectPr>
          <w:pgSz w:w="11900" w:h="16838" w:orient="portrait"/>
          <w:cols w:equalWidth="0" w:num="2">
            <w:col w:w="7160" w:space="720"/>
            <w:col w:w="3280"/>
          </w:cols>
          <w:pgMar w:left="320" w:top="1440" w:right="419" w:bottom="1440" w:gutter="0" w:footer="0" w:header="0"/>
          <w:type w:val="continuous"/>
        </w:sectPr>
      </w:pPr>
    </w:p>
    <w:p>
      <w:pPr>
        <w:ind w:left="4180"/>
        <w:spacing w:after="0"/>
        <w:rPr>
          <w:sz w:val="20"/>
          <w:szCs w:val="20"/>
          <w:color w:val="auto"/>
        </w:rPr>
      </w:pPr>
      <w:r>
        <w:rPr>
          <w:rFonts w:ascii="Arial" w:cs="Arial" w:eastAsia="Arial" w:hAnsi="Arial"/>
          <w:sz w:val="13"/>
          <w:szCs w:val="13"/>
          <w:b w:val="1"/>
          <w:bCs w:val="1"/>
          <w:color w:val="auto"/>
        </w:rPr>
        <w:t>Building D, Xerox Technology Park A91 H9N9,</w:t>
      </w:r>
    </w:p>
    <w:p>
      <w:pPr>
        <w:spacing w:after="0" w:line="16" w:lineRule="exact"/>
        <w:rPr>
          <w:sz w:val="24"/>
          <w:szCs w:val="24"/>
          <w:color w:val="auto"/>
        </w:rPr>
      </w:pPr>
    </w:p>
    <w:p>
      <w:pPr>
        <w:ind w:left="5020"/>
        <w:spacing w:after="0"/>
        <w:rPr>
          <w:sz w:val="20"/>
          <w:szCs w:val="20"/>
          <w:color w:val="auto"/>
        </w:rPr>
      </w:pPr>
      <w:r>
        <w:rPr>
          <w:rFonts w:ascii="Arial" w:cs="Arial" w:eastAsia="Arial" w:hAnsi="Arial"/>
          <w:sz w:val="13"/>
          <w:szCs w:val="13"/>
          <w:b w:val="1"/>
          <w:bCs w:val="1"/>
          <w:color w:val="auto"/>
        </w:rPr>
        <w:t>Dundalk, Co. Louth</w:t>
      </w:r>
    </w:p>
    <w:p>
      <w:pPr>
        <w:spacing w:after="0" w:line="133" w:lineRule="exact"/>
        <w:rPr>
          <w:sz w:val="24"/>
          <w:szCs w:val="24"/>
          <w:color w:val="auto"/>
        </w:rPr>
      </w:pPr>
    </w:p>
    <w:p>
      <w:pPr>
        <w:ind w:left="436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16" w:lineRule="exact"/>
        <w:rPr>
          <w:sz w:val="24"/>
          <w:szCs w:val="24"/>
          <w:color w:val="auto"/>
        </w:rPr>
      </w:pPr>
    </w:p>
    <w:p>
      <w:pPr>
        <w:ind w:left="3460"/>
        <w:spacing w:after="0"/>
        <w:rPr>
          <w:sz w:val="20"/>
          <w:szCs w:val="20"/>
          <w:color w:val="auto"/>
        </w:rPr>
      </w:pPr>
      <w:r>
        <w:rPr>
          <w:rFonts w:ascii="Arial" w:cs="Arial" w:eastAsia="Arial" w:hAnsi="Arial"/>
          <w:sz w:val="13"/>
          <w:szCs w:val="13"/>
          <w:b w:val="1"/>
          <w:bCs w:val="1"/>
          <w:color w:val="auto"/>
        </w:rPr>
        <w:t>Registrant’s telephone number, including area code: 353 42 938 8500</w:t>
      </w:r>
    </w:p>
    <w:p>
      <w:pPr>
        <w:ind w:left="3780"/>
        <w:spacing w:after="0"/>
        <w:rPr>
          <w:sz w:val="20"/>
          <w:szCs w:val="20"/>
          <w:color w:val="auto"/>
        </w:rPr>
      </w:pPr>
      <w:r>
        <w:rPr>
          <w:rFonts w:ascii="Arial" w:cs="Arial" w:eastAsia="Arial" w:hAnsi="Arial"/>
          <w:sz w:val="13"/>
          <w:szCs w:val="13"/>
          <w:b w:val="1"/>
          <w:bCs w:val="1"/>
          <w:color w:val="auto"/>
        </w:rPr>
        <w:t>Securities Registered Pursuant to Section 12(b) of the Act:</w:t>
      </w:r>
    </w:p>
    <w:p>
      <w:pPr>
        <w:sectPr>
          <w:pgSz w:w="11900" w:h="16838" w:orient="portrait"/>
          <w:cols w:equalWidth="0" w:num="1">
            <w:col w:w="11160"/>
          </w:cols>
          <w:pgMar w:left="320" w:top="1440" w:right="419" w:bottom="1440" w:gutter="0" w:footer="0" w:header="0"/>
          <w:type w:val="continuous"/>
        </w:sectPr>
      </w:pPr>
    </w:p>
    <w:p>
      <w:pPr>
        <w:spacing w:after="0" w:line="150" w:lineRule="exact"/>
        <w:rPr>
          <w:sz w:val="24"/>
          <w:szCs w:val="24"/>
          <w:color w:val="auto"/>
        </w:rPr>
      </w:pPr>
    </w:p>
    <w:p>
      <w:pPr>
        <w:ind w:left="1340"/>
        <w:spacing w:after="0"/>
        <w:rPr>
          <w:sz w:val="20"/>
          <w:szCs w:val="20"/>
          <w:color w:val="auto"/>
        </w:rPr>
      </w:pPr>
      <w:r>
        <w:rPr>
          <w:rFonts w:ascii="Arial" w:cs="Arial" w:eastAsia="Arial" w:hAnsi="Arial"/>
          <w:sz w:val="10"/>
          <w:szCs w:val="10"/>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Trading Symbol(s)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Name of Exchange on Which Registered</w:t>
      </w:r>
    </w:p>
    <w:p>
      <w:pPr>
        <w:spacing w:after="0" w:line="80" w:lineRule="exact"/>
        <w:rPr>
          <w:sz w:val="24"/>
          <w:szCs w:val="24"/>
          <w:color w:val="auto"/>
        </w:rPr>
      </w:pPr>
    </w:p>
    <w:p>
      <w:pPr>
        <w:sectPr>
          <w:pgSz w:w="11900" w:h="16838" w:orient="portrait"/>
          <w:cols w:equalWidth="0" w:num="3">
            <w:col w:w="4380" w:space="720"/>
            <w:col w:w="2460" w:space="720"/>
            <w:col w:w="2880"/>
          </w:cols>
          <w:pgMar w:left="320" w:top="1440" w:right="419" w:bottom="1440" w:gutter="0" w:footer="0" w:header="0"/>
          <w:type w:val="continuous"/>
        </w:sectPr>
      </w:pPr>
    </w:p>
    <w:p>
      <w:pPr>
        <w:ind w:left="180"/>
        <w:spacing w:after="0"/>
        <w:rPr>
          <w:sz w:val="20"/>
          <w:szCs w:val="20"/>
          <w:color w:val="auto"/>
        </w:rPr>
      </w:pPr>
      <w:r>
        <w:rPr>
          <w:rFonts w:ascii="Arial" w:cs="Arial" w:eastAsia="Arial" w:hAnsi="Arial"/>
          <w:sz w:val="14"/>
          <w:szCs w:val="14"/>
          <w:color w:val="auto"/>
        </w:rPr>
        <w:t>Ordinary Shares, nominal value of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CMPR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85" w:lineRule="exact"/>
        <w:rPr>
          <w:sz w:val="24"/>
          <w:szCs w:val="24"/>
          <w:color w:val="auto"/>
        </w:rPr>
      </w:pPr>
    </w:p>
    <w:p>
      <w:pPr>
        <w:sectPr>
          <w:pgSz w:w="11900" w:h="16838" w:orient="portrait"/>
          <w:cols w:equalWidth="0" w:num="3">
            <w:col w:w="4680" w:space="720"/>
            <w:col w:w="2240" w:space="720"/>
            <w:col w:w="2800"/>
          </w:cols>
          <w:pgMar w:left="320" w:top="1440" w:right="419" w:bottom="1440" w:gutter="0" w:footer="0" w:header="0"/>
          <w:type w:val="continuous"/>
        </w:sectPr>
      </w:pPr>
    </w:p>
    <w:p>
      <w:pPr>
        <w:ind w:left="4760"/>
        <w:spacing w:after="0"/>
        <w:rPr>
          <w:sz w:val="20"/>
          <w:szCs w:val="20"/>
          <w:color w:val="auto"/>
        </w:rPr>
      </w:pPr>
      <w:r>
        <w:rPr>
          <w:rFonts w:ascii="Arial" w:cs="Arial" w:eastAsia="Arial" w:hAnsi="Arial"/>
          <w:sz w:val="12"/>
          <w:szCs w:val="12"/>
          <w:color w:val="auto"/>
        </w:rPr>
        <w:t>______________________________</w:t>
      </w:r>
    </w:p>
    <w:p>
      <w:pPr>
        <w:spacing w:after="0" w:line="17" w:lineRule="exact"/>
        <w:rPr>
          <w:sz w:val="24"/>
          <w:szCs w:val="24"/>
          <w:color w:val="auto"/>
        </w:rPr>
      </w:pPr>
    </w:p>
    <w:p>
      <w:pPr>
        <w:ind w:left="16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81" w:lineRule="exact"/>
        <w:rPr>
          <w:sz w:val="24"/>
          <w:szCs w:val="24"/>
          <w:color w:val="auto"/>
        </w:rPr>
      </w:pPr>
    </w:p>
    <w:p>
      <w:pPr>
        <w:ind w:right="320" w:firstLine="597"/>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40" w:lineRule="exact"/>
        <w:rPr>
          <w:sz w:val="24"/>
          <w:szCs w:val="24"/>
          <w:color w:val="auto"/>
        </w:rPr>
      </w:pPr>
    </w:p>
    <w:p>
      <w:pPr>
        <w:ind w:right="220" w:firstLine="597"/>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ectPr>
          <w:pgSz w:w="11900" w:h="16838" w:orient="portrait"/>
          <w:cols w:equalWidth="0" w:num="1">
            <w:col w:w="11160"/>
          </w:cols>
          <w:pgMar w:left="320" w:top="1440" w:right="419" w:bottom="1440" w:gutter="0" w:footer="0" w:header="0"/>
          <w:type w:val="continuous"/>
        </w:sectPr>
      </w:pPr>
    </w:p>
    <w:p>
      <w:pPr>
        <w:spacing w:after="0" w:line="52" w:lineRule="exact"/>
        <w:rPr>
          <w:sz w:val="24"/>
          <w:szCs w:val="24"/>
          <w:color w:val="auto"/>
        </w:rPr>
      </w:pPr>
    </w:p>
    <w:p>
      <w:pPr>
        <w:ind w:right="140" w:firstLine="59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60"/>
          </w:cols>
          <w:pgMar w:left="320" w:top="1440" w:right="419" w:bottom="1440" w:gutter="0" w:footer="0" w:header="0"/>
          <w:type w:val="continuous"/>
        </w:sectPr>
      </w:pPr>
    </w:p>
    <w:p>
      <w:pPr>
        <w:spacing w:after="0" w:line="178" w:lineRule="exact"/>
        <w:rPr>
          <w:sz w:val="24"/>
          <w:szCs w:val="24"/>
          <w:color w:val="auto"/>
        </w:rPr>
      </w:pPr>
    </w:p>
    <w:p>
      <w:pPr>
        <w:ind w:left="204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ind w:left="620"/>
        <w:spacing w:after="0"/>
        <w:rPr>
          <w:sz w:val="20"/>
          <w:szCs w:val="20"/>
          <w:color w:val="auto"/>
        </w:rPr>
      </w:pPr>
      <w:r>
        <w:rPr>
          <w:rFonts w:ascii="Arial" w:cs="Arial" w:eastAsia="Arial" w:hAnsi="Arial"/>
          <w:sz w:val="13"/>
          <w:szCs w:val="13"/>
          <w:color w:val="auto"/>
        </w:rPr>
        <w:t>Accelerated filer</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8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5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514" w:lineRule="exact"/>
        <w:rPr>
          <w:sz w:val="24"/>
          <w:szCs w:val="24"/>
          <w:color w:val="auto"/>
        </w:rPr>
      </w:pPr>
    </w:p>
    <w:p>
      <w:pPr>
        <w:sectPr>
          <w:pgSz w:w="11900" w:h="16838" w:orient="portrait"/>
          <w:cols w:equalWidth="0" w:num="6">
            <w:col w:w="3360" w:space="620"/>
            <w:col w:w="700" w:space="720"/>
            <w:col w:w="1580" w:space="560"/>
            <w:col w:w="1000" w:space="720"/>
            <w:col w:w="1220" w:space="560"/>
            <w:col w:w="120"/>
          </w:cols>
          <w:pgMar w:left="320" w:top="1440" w:right="419" w:bottom="1440" w:gutter="0" w:footer="0" w:header="0"/>
          <w:type w:val="continuous"/>
        </w:sectPr>
      </w:pPr>
    </w:p>
    <w:p>
      <w:pPr>
        <w:ind w:right="420" w:firstLine="597"/>
        <w:spacing w:after="0" w:line="24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600" w:right="2880"/>
        <w:spacing w:after="0" w:line="229" w:lineRule="exact"/>
        <w:rPr>
          <w:sz w:val="20"/>
          <w:szCs w:val="20"/>
          <w:color w:val="auto"/>
        </w:rPr>
      </w:pPr>
      <w:r>
        <w:rPr>
          <w:rFonts w:ascii="Arial" w:cs="Arial" w:eastAsia="Arial" w:hAnsi="Arial"/>
          <w:sz w:val="14"/>
          <w:szCs w:val="14"/>
          <w:color w:val="auto"/>
        </w:rPr>
        <w:t xml:space="preserve">Indicate by check mark whether the registrant is a shell company (as defined in Exchange Act Rule 12b-2).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April 25, 2022, there were 26,105,813 Cimpress plc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395605</wp:posOffset>
            </wp:positionV>
            <wp:extent cx="716851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8515" cy="41275"/>
                    </a:xfrm>
                    <a:prstGeom prst="rect">
                      <a:avLst/>
                    </a:prstGeom>
                    <a:noFill/>
                  </pic:spPr>
                </pic:pic>
              </a:graphicData>
            </a:graphic>
          </wp:anchor>
        </w:drawing>
        <w:drawing>
          <wp:anchor simplePos="0" relativeHeight="251657728" behindDoc="1" locked="0" layoutInCell="0" allowOverlap="1">
            <wp:simplePos x="0" y="0"/>
            <wp:positionH relativeFrom="column">
              <wp:posOffset>379095</wp:posOffset>
            </wp:positionH>
            <wp:positionV relativeFrom="paragraph">
              <wp:posOffset>250190</wp:posOffset>
            </wp:positionV>
            <wp:extent cx="63842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4290" cy="7620"/>
                    </a:xfrm>
                    <a:prstGeom prst="rect">
                      <a:avLst/>
                    </a:prstGeom>
                    <a:noFill/>
                  </pic:spPr>
                </pic:pic>
              </a:graphicData>
            </a:graphic>
          </wp:anchor>
        </w:drawing>
        <w:drawing>
          <wp:anchor simplePos="0" relativeHeight="251657728" behindDoc="1" locked="0" layoutInCell="0" allowOverlap="1">
            <wp:simplePos x="0" y="0"/>
            <wp:positionH relativeFrom="column">
              <wp:posOffset>379095</wp:posOffset>
            </wp:positionH>
            <wp:positionV relativeFrom="paragraph">
              <wp:posOffset>219075</wp:posOffset>
            </wp:positionV>
            <wp:extent cx="63842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4290" cy="762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CIMPRESS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Nine Months Ended March 31, 2022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680" w:type="dxa"/>
            <w:vAlign w:val="bottom"/>
            <w:gridSpan w:val="3"/>
            <w:vMerge w:val="restart"/>
          </w:tcPr>
          <w:p>
            <w:pPr>
              <w:spacing w:after="0"/>
              <w:rPr>
                <w:sz w:val="20"/>
                <w:szCs w:val="20"/>
                <w:color w:val="auto"/>
              </w:rPr>
            </w:pPr>
            <w:r>
              <w:rPr>
                <w:rFonts w:ascii="Arial" w:cs="Arial" w:eastAsia="Arial" w:hAnsi="Arial"/>
                <w:sz w:val="17"/>
                <w:szCs w:val="17"/>
                <w:b w:val="1"/>
                <w:bCs w:val="1"/>
                <w:color w:val="auto"/>
                <w:w w:val="96"/>
              </w:rPr>
              <w:t>PART I FINANCIAL INFORMATION</w:t>
            </w:r>
          </w:p>
        </w:tc>
        <w:tc>
          <w:tcPr>
            <w:tcW w:w="7860" w:type="dxa"/>
            <w:vAlign w:val="bottom"/>
            <w:vMerge w:val="restart"/>
          </w:tcPr>
          <w:p>
            <w:pPr>
              <w:spacing w:after="0"/>
              <w:rPr>
                <w:sz w:val="17"/>
                <w:szCs w:val="17"/>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tcBorders>
              <w:bottom w:val="single" w:sz="8" w:color="auto"/>
            </w:tcBorders>
            <w:gridSpan w:val="3"/>
            <w:vMerge w:val="continue"/>
          </w:tcPr>
          <w:p>
            <w:pPr>
              <w:spacing w:after="0"/>
              <w:rPr>
                <w:sz w:val="13"/>
                <w:szCs w:val="13"/>
                <w:color w:val="auto"/>
              </w:rPr>
            </w:pPr>
          </w:p>
        </w:tc>
        <w:tc>
          <w:tcPr>
            <w:tcW w:w="78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1. Financial Statements (unaudited)</w:t>
            </w:r>
          </w:p>
        </w:tc>
        <w:tc>
          <w:tcPr>
            <w:tcW w:w="680" w:type="dxa"/>
            <w:vAlign w:val="bottom"/>
          </w:tcPr>
          <w:p>
            <w:pPr>
              <w:jc w:val="right"/>
              <w:spacing w:after="0"/>
              <w:rPr>
                <w:rFonts w:ascii="Arial" w:cs="Arial" w:eastAsia="Arial" w:hAnsi="Arial"/>
                <w:sz w:val="16"/>
                <w:szCs w:val="16"/>
                <w:color w:val="auto"/>
              </w:rPr>
            </w:pPr>
            <w:hyperlink w:anchor="page2">
              <w:r>
                <w:rPr>
                  <w:rFonts w:ascii="Arial" w:cs="Arial" w:eastAsia="Arial" w:hAnsi="Arial"/>
                  <w:sz w:val="16"/>
                  <w:szCs w:val="16"/>
                  <w:color w:val="auto"/>
                </w:rPr>
                <w:t>1</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Balance Sheets as of March 31, 2022 and June 30, 2021</w:t>
            </w:r>
          </w:p>
        </w:tc>
        <w:tc>
          <w:tcPr>
            <w:tcW w:w="680" w:type="dxa"/>
            <w:vAlign w:val="bottom"/>
          </w:tcPr>
          <w:p>
            <w:pPr>
              <w:jc w:val="right"/>
              <w:spacing w:after="0"/>
              <w:rPr>
                <w:rFonts w:ascii="Arial" w:cs="Arial" w:eastAsia="Arial" w:hAnsi="Arial"/>
                <w:sz w:val="16"/>
                <w:szCs w:val="16"/>
                <w:color w:val="auto"/>
              </w:rPr>
            </w:pPr>
            <w:hyperlink w:anchor="page3">
              <w:r>
                <w:rPr>
                  <w:rFonts w:ascii="Arial" w:cs="Arial" w:eastAsia="Arial" w:hAnsi="Arial"/>
                  <w:sz w:val="16"/>
                  <w:szCs w:val="16"/>
                  <w:color w:val="auto"/>
                </w:rPr>
                <w:t>1</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Operations for the three and nine months ended March 31, 2022 and 2021</w:t>
            </w:r>
          </w:p>
        </w:tc>
        <w:tc>
          <w:tcPr>
            <w:tcW w:w="680" w:type="dxa"/>
            <w:vAlign w:val="bottom"/>
          </w:tcPr>
          <w:p>
            <w:pPr>
              <w:jc w:val="right"/>
              <w:spacing w:after="0"/>
              <w:rPr>
                <w:rFonts w:ascii="Arial" w:cs="Arial" w:eastAsia="Arial" w:hAnsi="Arial"/>
                <w:sz w:val="16"/>
                <w:szCs w:val="16"/>
                <w:color w:val="auto"/>
              </w:rPr>
            </w:pPr>
            <w:hyperlink w:anchor="page3">
              <w:r>
                <w:rPr>
                  <w:rFonts w:ascii="Arial" w:cs="Arial" w:eastAsia="Arial" w:hAnsi="Arial"/>
                  <w:sz w:val="16"/>
                  <w:szCs w:val="16"/>
                  <w:color w:val="auto"/>
                </w:rPr>
                <w:t>2</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Comprehensive Income for the three and nine months ended March 31, 2022 and 2021</w:t>
            </w:r>
          </w:p>
        </w:tc>
        <w:tc>
          <w:tcPr>
            <w:tcW w:w="680" w:type="dxa"/>
            <w:vAlign w:val="bottom"/>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3</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Shareholders' Deficit for the three and nine months ended March 31, 2022 and 2021</w:t>
            </w:r>
          </w:p>
        </w:tc>
        <w:tc>
          <w:tcPr>
            <w:tcW w:w="680" w:type="dxa"/>
            <w:vAlign w:val="bottom"/>
          </w:tcPr>
          <w:p>
            <w:pPr>
              <w:jc w:val="right"/>
              <w:spacing w:after="0"/>
              <w:rPr>
                <w:rFonts w:ascii="Arial" w:cs="Arial" w:eastAsia="Arial" w:hAnsi="Arial"/>
                <w:sz w:val="16"/>
                <w:szCs w:val="16"/>
                <w:color w:val="auto"/>
              </w:rPr>
            </w:pPr>
            <w:hyperlink w:anchor="page5">
              <w:r>
                <w:rPr>
                  <w:rFonts w:ascii="Arial" w:cs="Arial" w:eastAsia="Arial" w:hAnsi="Arial"/>
                  <w:sz w:val="16"/>
                  <w:szCs w:val="16"/>
                  <w:color w:val="auto"/>
                </w:rPr>
                <w:t>4</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Cash Flows for the nine months ended March 31, 2022 and 2021</w:t>
            </w:r>
          </w:p>
        </w:tc>
        <w:tc>
          <w:tcPr>
            <w:tcW w:w="680" w:type="dxa"/>
            <w:vAlign w:val="bottom"/>
          </w:tcPr>
          <w:p>
            <w:pPr>
              <w:jc w:val="right"/>
              <w:spacing w:after="0"/>
              <w:rPr>
                <w:rFonts w:ascii="Arial" w:cs="Arial" w:eastAsia="Arial" w:hAnsi="Arial"/>
                <w:sz w:val="16"/>
                <w:szCs w:val="16"/>
                <w:color w:val="auto"/>
              </w:rPr>
            </w:pPr>
            <w:hyperlink w:anchor="page9">
              <w:r>
                <w:rPr>
                  <w:rFonts w:ascii="Arial" w:cs="Arial" w:eastAsia="Arial" w:hAnsi="Arial"/>
                  <w:sz w:val="16"/>
                  <w:szCs w:val="16"/>
                  <w:color w:val="auto"/>
                </w:rPr>
                <w:t>8</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Notes to Consolidated Financial Statements</w:t>
            </w:r>
          </w:p>
        </w:tc>
        <w:tc>
          <w:tcPr>
            <w:tcW w:w="680" w:type="dxa"/>
            <w:vAlign w:val="bottom"/>
          </w:tcPr>
          <w:p>
            <w:pPr>
              <w:jc w:val="right"/>
              <w:spacing w:after="0"/>
              <w:rPr>
                <w:rFonts w:ascii="Arial" w:cs="Arial" w:eastAsia="Arial" w:hAnsi="Arial"/>
                <w:sz w:val="16"/>
                <w:szCs w:val="16"/>
                <w:color w:val="auto"/>
              </w:rPr>
            </w:pPr>
            <w:hyperlink w:anchor="page11">
              <w:r>
                <w:rPr>
                  <w:rFonts w:ascii="Arial" w:cs="Arial" w:eastAsia="Arial" w:hAnsi="Arial"/>
                  <w:sz w:val="16"/>
                  <w:szCs w:val="16"/>
                  <w:color w:val="auto"/>
                </w:rPr>
                <w:t>10</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6"/>
                <w:szCs w:val="16"/>
                <w:color w:val="auto"/>
                <w:w w:val="98"/>
              </w:rPr>
              <w:t>Item 2.</w:t>
            </w:r>
          </w:p>
        </w:tc>
        <w:tc>
          <w:tcPr>
            <w:tcW w:w="10040" w:type="dxa"/>
            <w:vAlign w:val="bottom"/>
            <w:gridSpan w:val="3"/>
          </w:tcPr>
          <w:p>
            <w:pPr>
              <w:ind w:left="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680" w:type="dxa"/>
            <w:vAlign w:val="bottom"/>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34</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6"/>
                <w:szCs w:val="16"/>
                <w:color w:val="auto"/>
                <w:w w:val="98"/>
              </w:rPr>
              <w:t>Item 3.</w:t>
            </w:r>
          </w:p>
        </w:tc>
        <w:tc>
          <w:tcPr>
            <w:tcW w:w="10040" w:type="dxa"/>
            <w:vAlign w:val="bottom"/>
            <w:gridSpan w:val="3"/>
          </w:tcPr>
          <w:p>
            <w:pPr>
              <w:ind w:left="20"/>
              <w:spacing w:after="0"/>
              <w:rPr>
                <w:sz w:val="20"/>
                <w:szCs w:val="20"/>
                <w:color w:val="auto"/>
              </w:rPr>
            </w:pPr>
            <w:r>
              <w:rPr>
                <w:rFonts w:ascii="Arial" w:cs="Arial" w:eastAsia="Arial" w:hAnsi="Arial"/>
                <w:sz w:val="16"/>
                <w:szCs w:val="16"/>
                <w:color w:val="auto"/>
              </w:rPr>
              <w:t>Quantitative and Qualitative Disclosures About Market Risk</w:t>
            </w:r>
          </w:p>
        </w:tc>
        <w:tc>
          <w:tcPr>
            <w:tcW w:w="680" w:type="dxa"/>
            <w:vAlign w:val="bottom"/>
          </w:tcPr>
          <w:p>
            <w:pPr>
              <w:jc w:val="right"/>
              <w:spacing w:after="0"/>
              <w:rPr>
                <w:rFonts w:ascii="Arial" w:cs="Arial" w:eastAsia="Arial" w:hAnsi="Arial"/>
                <w:sz w:val="16"/>
                <w:szCs w:val="16"/>
                <w:color w:val="auto"/>
              </w:rPr>
            </w:pPr>
            <w:hyperlink w:anchor="page50">
              <w:r>
                <w:rPr>
                  <w:rFonts w:ascii="Arial" w:cs="Arial" w:eastAsia="Arial" w:hAnsi="Arial"/>
                  <w:sz w:val="16"/>
                  <w:szCs w:val="16"/>
                  <w:color w:val="auto"/>
                </w:rPr>
                <w:t>48</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6"/>
                <w:szCs w:val="16"/>
                <w:color w:val="auto"/>
                <w:w w:val="98"/>
              </w:rPr>
              <w:t>Item 4.</w:t>
            </w:r>
          </w:p>
        </w:tc>
        <w:tc>
          <w:tcPr>
            <w:tcW w:w="10040" w:type="dxa"/>
            <w:vAlign w:val="bottom"/>
            <w:gridSpan w:val="3"/>
          </w:tcPr>
          <w:p>
            <w:pPr>
              <w:ind w:left="20"/>
              <w:spacing w:after="0"/>
              <w:rPr>
                <w:sz w:val="20"/>
                <w:szCs w:val="20"/>
                <w:color w:val="auto"/>
              </w:rPr>
            </w:pPr>
            <w:r>
              <w:rPr>
                <w:rFonts w:ascii="Arial" w:cs="Arial" w:eastAsia="Arial" w:hAnsi="Arial"/>
                <w:sz w:val="16"/>
                <w:szCs w:val="16"/>
                <w:color w:val="auto"/>
              </w:rPr>
              <w:t>Controls and Procedures</w:t>
            </w:r>
          </w:p>
        </w:tc>
        <w:tc>
          <w:tcPr>
            <w:tcW w:w="680" w:type="dxa"/>
            <w:vAlign w:val="bottom"/>
          </w:tcPr>
          <w:p>
            <w:pPr>
              <w:jc w:val="right"/>
              <w:spacing w:after="0"/>
              <w:rPr>
                <w:rFonts w:ascii="Arial" w:cs="Arial" w:eastAsia="Arial" w:hAnsi="Arial"/>
                <w:sz w:val="16"/>
                <w:szCs w:val="16"/>
                <w:color w:val="auto"/>
              </w:rPr>
            </w:pPr>
            <w:hyperlink w:anchor="page51">
              <w:r>
                <w:rPr>
                  <w:rFonts w:ascii="Arial" w:cs="Arial" w:eastAsia="Arial" w:hAnsi="Arial"/>
                  <w:sz w:val="16"/>
                  <w:szCs w:val="16"/>
                  <w:color w:val="auto"/>
                </w:rPr>
                <w:t>49</w:t>
              </w:r>
            </w:hyperlink>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6"/>
                <w:szCs w:val="16"/>
                <w:b w:val="1"/>
                <w:bCs w:val="1"/>
                <w:color w:val="auto"/>
              </w:rPr>
              <w:t>PART II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Item 1A. Risk Factors</w:t>
            </w:r>
          </w:p>
        </w:tc>
        <w:tc>
          <w:tcPr>
            <w:tcW w:w="8260" w:type="dxa"/>
            <w:vAlign w:val="bottom"/>
            <w:gridSpan w:val="2"/>
          </w:tcPr>
          <w:p>
            <w:pPr>
              <w:spacing w:after="0"/>
              <w:rPr>
                <w:sz w:val="18"/>
                <w:szCs w:val="18"/>
                <w:color w:val="auto"/>
              </w:rPr>
            </w:pPr>
          </w:p>
        </w:tc>
        <w:tc>
          <w:tcPr>
            <w:tcW w:w="680" w:type="dxa"/>
            <w:vAlign w:val="bottom"/>
          </w:tcPr>
          <w:p>
            <w:pPr>
              <w:jc w:val="right"/>
              <w:spacing w:after="0"/>
              <w:rPr>
                <w:rFonts w:ascii="Arial" w:cs="Arial" w:eastAsia="Arial" w:hAnsi="Arial"/>
                <w:sz w:val="16"/>
                <w:szCs w:val="16"/>
                <w:color w:val="auto"/>
              </w:rPr>
            </w:pPr>
            <w:hyperlink w:anchor="page51">
              <w:r>
                <w:rPr>
                  <w:rFonts w:ascii="Arial" w:cs="Arial" w:eastAsia="Arial" w:hAnsi="Arial"/>
                  <w:sz w:val="16"/>
                  <w:szCs w:val="16"/>
                  <w:color w:val="auto"/>
                </w:rPr>
                <w:t>49</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6"/>
                <w:szCs w:val="16"/>
                <w:color w:val="auto"/>
                <w:w w:val="98"/>
              </w:rPr>
              <w:t>Item 6.</w:t>
            </w:r>
          </w:p>
        </w:tc>
        <w:tc>
          <w:tcPr>
            <w:tcW w:w="10040" w:type="dxa"/>
            <w:vAlign w:val="bottom"/>
            <w:gridSpan w:val="3"/>
          </w:tcPr>
          <w:p>
            <w:pPr>
              <w:ind w:left="20"/>
              <w:spacing w:after="0"/>
              <w:rPr>
                <w:sz w:val="20"/>
                <w:szCs w:val="20"/>
                <w:color w:val="auto"/>
              </w:rPr>
            </w:pPr>
            <w:r>
              <w:rPr>
                <w:rFonts w:ascii="Arial" w:cs="Arial" w:eastAsia="Arial" w:hAnsi="Arial"/>
                <w:sz w:val="16"/>
                <w:szCs w:val="16"/>
                <w:color w:val="auto"/>
              </w:rPr>
              <w:t>Exhibits</w:t>
            </w:r>
          </w:p>
        </w:tc>
        <w:tc>
          <w:tcPr>
            <w:tcW w:w="680" w:type="dxa"/>
            <w:vAlign w:val="bottom"/>
          </w:tcPr>
          <w:p>
            <w:pPr>
              <w:jc w:val="right"/>
              <w:spacing w:after="0"/>
              <w:rPr>
                <w:rFonts w:ascii="Arial" w:cs="Arial" w:eastAsia="Arial" w:hAnsi="Arial"/>
                <w:sz w:val="16"/>
                <w:szCs w:val="16"/>
                <w:color w:val="auto"/>
              </w:rPr>
            </w:pPr>
            <w:hyperlink w:anchor="page51">
              <w:r>
                <w:rPr>
                  <w:rFonts w:ascii="Arial" w:cs="Arial" w:eastAsia="Arial" w:hAnsi="Arial"/>
                  <w:sz w:val="16"/>
                  <w:szCs w:val="16"/>
                  <w:color w:val="auto"/>
                </w:rPr>
                <w:t>50</w:t>
              </w:r>
            </w:hyperlink>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Signatures</w:t>
            </w:r>
          </w:p>
        </w:tc>
        <w:tc>
          <w:tcPr>
            <w:tcW w:w="680" w:type="dxa"/>
            <w:vAlign w:val="bottom"/>
          </w:tcPr>
          <w:p>
            <w:pPr>
              <w:jc w:val="right"/>
              <w:spacing w:after="0"/>
              <w:rPr>
                <w:rFonts w:ascii="Arial" w:cs="Arial" w:eastAsia="Arial" w:hAnsi="Arial"/>
                <w:sz w:val="16"/>
                <w:szCs w:val="16"/>
                <w:color w:val="auto"/>
              </w:rPr>
            </w:pPr>
            <w:hyperlink w:anchor="page52">
              <w:r>
                <w:rPr>
                  <w:rFonts w:ascii="Arial" w:cs="Arial" w:eastAsia="Arial" w:hAnsi="Arial"/>
                  <w:sz w:val="16"/>
                  <w:szCs w:val="16"/>
                  <w:color w:val="auto"/>
                </w:rPr>
                <w:t>51</w:t>
              </w:r>
            </w:hyperlink>
          </w:p>
        </w:tc>
        <w:tc>
          <w:tcPr>
            <w:tcW w:w="0" w:type="dxa"/>
            <w:vAlign w:val="bottom"/>
          </w:tcPr>
          <w:p>
            <w:pPr>
              <w:spacing w:after="0"/>
              <w:rPr>
                <w:sz w:val="1"/>
                <w:szCs w:val="1"/>
                <w:color w:val="auto"/>
              </w:rPr>
            </w:pPr>
          </w:p>
        </w:tc>
      </w:tr>
      <w:tr>
        <w:trPr>
          <w:trHeight w:val="1216"/>
        </w:trPr>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3"/>
                <w:szCs w:val="13"/>
                <w:color w:val="auto"/>
              </w:rPr>
            </w:pPr>
          </w:p>
        </w:tc>
        <w:tc>
          <w:tcPr>
            <w:tcW w:w="1160" w:type="dxa"/>
            <w:vAlign w:val="bottom"/>
          </w:tcPr>
          <w:p>
            <w:pPr>
              <w:jc w:val="right"/>
              <w:ind w:right="366"/>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62"/>
        </w:trPr>
        <w:tc>
          <w:tcPr>
            <w:tcW w:w="8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161,512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183,023</w:t>
            </w:r>
          </w:p>
        </w:tc>
        <w:tc>
          <w:tcPr>
            <w:tcW w:w="0" w:type="dxa"/>
            <w:vAlign w:val="bottom"/>
          </w:tcPr>
          <w:p>
            <w:pPr>
              <w:spacing w:after="0"/>
              <w:rPr>
                <w:sz w:val="1"/>
                <w:szCs w:val="1"/>
                <w:color w:val="auto"/>
              </w:rPr>
            </w:pPr>
          </w:p>
        </w:tc>
      </w:tr>
      <w:tr>
        <w:trPr>
          <w:trHeight w:val="196"/>
        </w:trPr>
        <w:tc>
          <w:tcPr>
            <w:tcW w:w="8260" w:type="dxa"/>
            <w:vAlign w:val="bottom"/>
          </w:tcPr>
          <w:p>
            <w:pPr>
              <w:ind w:left="200"/>
              <w:spacing w:after="0"/>
              <w:rPr>
                <w:sz w:val="20"/>
                <w:szCs w:val="20"/>
                <w:color w:val="auto"/>
              </w:rPr>
            </w:pPr>
            <w:r>
              <w:rPr>
                <w:rFonts w:ascii="Arial" w:cs="Arial" w:eastAsia="Arial" w:hAnsi="Arial"/>
                <w:sz w:val="15"/>
                <w:szCs w:val="15"/>
                <w:color w:val="auto"/>
              </w:rPr>
              <w:t>Marketable securities</w:t>
            </w:r>
          </w:p>
        </w:tc>
        <w:tc>
          <w:tcPr>
            <w:tcW w:w="2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95,637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152,248</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receivable, net of allowances of $6,614 and $9,404, respectively</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66,702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50,679</w:t>
            </w:r>
          </w:p>
        </w:tc>
        <w:tc>
          <w:tcPr>
            <w:tcW w:w="0" w:type="dxa"/>
            <w:vAlign w:val="bottom"/>
          </w:tcPr>
          <w:p>
            <w:pPr>
              <w:spacing w:after="0"/>
              <w:rPr>
                <w:sz w:val="1"/>
                <w:szCs w:val="1"/>
                <w:color w:val="auto"/>
              </w:rPr>
            </w:pPr>
          </w:p>
        </w:tc>
      </w:tr>
      <w:tr>
        <w:trPr>
          <w:trHeight w:val="196"/>
        </w:trPr>
        <w:tc>
          <w:tcPr>
            <w:tcW w:w="8260" w:type="dxa"/>
            <w:vAlign w:val="bottom"/>
          </w:tcPr>
          <w:p>
            <w:pPr>
              <w:ind w:left="200"/>
              <w:spacing w:after="0"/>
              <w:rPr>
                <w:sz w:val="20"/>
                <w:szCs w:val="20"/>
                <w:color w:val="auto"/>
              </w:rPr>
            </w:pPr>
            <w:r>
              <w:rPr>
                <w:rFonts w:ascii="Arial" w:cs="Arial" w:eastAsia="Arial" w:hAnsi="Arial"/>
                <w:sz w:val="15"/>
                <w:szCs w:val="15"/>
                <w:color w:val="auto"/>
              </w:rPr>
              <w:t>Inventory</w:t>
            </w:r>
          </w:p>
        </w:tc>
        <w:tc>
          <w:tcPr>
            <w:tcW w:w="2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97,919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70,044</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108,740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72,504</w:t>
            </w:r>
          </w:p>
        </w:tc>
        <w:tc>
          <w:tcPr>
            <w:tcW w:w="0" w:type="dxa"/>
            <w:vAlign w:val="bottom"/>
          </w:tcPr>
          <w:p>
            <w:pPr>
              <w:spacing w:after="0"/>
              <w:rPr>
                <w:sz w:val="1"/>
                <w:szCs w:val="1"/>
                <w:color w:val="auto"/>
              </w:rPr>
            </w:pPr>
          </w:p>
        </w:tc>
      </w:tr>
      <w:tr>
        <w:trPr>
          <w:trHeight w:val="192"/>
        </w:trPr>
        <w:tc>
          <w:tcPr>
            <w:tcW w:w="8260" w:type="dxa"/>
            <w:vAlign w:val="bottom"/>
          </w:tcPr>
          <w:p>
            <w:pPr>
              <w:ind w:left="20"/>
              <w:spacing w:after="0"/>
              <w:rPr>
                <w:sz w:val="20"/>
                <w:szCs w:val="20"/>
                <w:color w:val="auto"/>
              </w:rPr>
            </w:pPr>
            <w:r>
              <w:rPr>
                <w:rFonts w:ascii="Arial" w:cs="Arial" w:eastAsia="Arial" w:hAnsi="Arial"/>
                <w:sz w:val="15"/>
                <w:szCs w:val="15"/>
                <w:color w:val="auto"/>
              </w:rPr>
              <w:t>Total current assets</w:t>
            </w:r>
          </w:p>
        </w:tc>
        <w:tc>
          <w:tcPr>
            <w:tcW w:w="260" w:type="dxa"/>
            <w:vAlign w:val="bottom"/>
          </w:tcPr>
          <w:p>
            <w:pPr>
              <w:spacing w:after="0"/>
              <w:rPr>
                <w:sz w:val="16"/>
                <w:szCs w:val="16"/>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530,510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528,498</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298,827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328,679</w:t>
            </w: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Arial" w:cs="Arial" w:eastAsia="Arial" w:hAnsi="Arial"/>
                <w:sz w:val="15"/>
                <w:szCs w:val="15"/>
                <w:color w:val="auto"/>
              </w:rPr>
              <w:t>Operating lease assets, net</w:t>
            </w:r>
          </w:p>
        </w:tc>
        <w:tc>
          <w:tcPr>
            <w:tcW w:w="2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79,051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87,626</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Software and website development costs, net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92,266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87,690</w:t>
            </w: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Arial" w:cs="Arial" w:eastAsia="Arial" w:hAnsi="Arial"/>
                <w:sz w:val="15"/>
                <w:szCs w:val="15"/>
                <w:color w:val="auto"/>
              </w:rPr>
              <w:t>Deferred tax assets</w:t>
            </w:r>
          </w:p>
        </w:tc>
        <w:tc>
          <w:tcPr>
            <w:tcW w:w="2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113,059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149,618</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787,572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726,979</w:t>
            </w: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2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171,813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186,744</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Marketable securities, non-current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12,116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50,713</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38,296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35,951</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2,123,510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2,182,498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noncontrolling interests and shareholders’ deficit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229,774</w:t>
            </w:r>
          </w:p>
        </w:tc>
        <w:tc>
          <w:tcPr>
            <w:tcW w:w="100" w:type="dxa"/>
            <w:vAlign w:val="bottom"/>
          </w:tcPr>
          <w:p>
            <w:pPr>
              <w:spacing w:after="0"/>
              <w:rPr>
                <w:sz w:val="17"/>
                <w:szCs w:val="17"/>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199,831</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Accrued expenses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262,620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247,513</w:t>
            </w:r>
          </w:p>
        </w:tc>
        <w:tc>
          <w:tcPr>
            <w:tcW w:w="0" w:type="dxa"/>
            <w:vAlign w:val="bottom"/>
          </w:tcPr>
          <w:p>
            <w:pPr>
              <w:spacing w:after="0"/>
              <w:rPr>
                <w:sz w:val="1"/>
                <w:szCs w:val="1"/>
                <w:color w:val="auto"/>
              </w:rPr>
            </w:pPr>
          </w:p>
        </w:tc>
      </w:tr>
      <w:tr>
        <w:trPr>
          <w:trHeight w:val="196"/>
        </w:trPr>
        <w:tc>
          <w:tcPr>
            <w:tcW w:w="8260" w:type="dxa"/>
            <w:vAlign w:val="bottom"/>
          </w:tcPr>
          <w:p>
            <w:pPr>
              <w:ind w:left="20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59,556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50,868</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Short-term debt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10,922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9,895</w:t>
            </w:r>
          </w:p>
        </w:tc>
        <w:tc>
          <w:tcPr>
            <w:tcW w:w="0" w:type="dxa"/>
            <w:vAlign w:val="bottom"/>
          </w:tcPr>
          <w:p>
            <w:pPr>
              <w:spacing w:after="0"/>
              <w:rPr>
                <w:sz w:val="1"/>
                <w:szCs w:val="1"/>
                <w:color w:val="auto"/>
              </w:rPr>
            </w:pPr>
          </w:p>
        </w:tc>
      </w:tr>
      <w:tr>
        <w:trPr>
          <w:trHeight w:val="196"/>
        </w:trPr>
        <w:tc>
          <w:tcPr>
            <w:tcW w:w="8260" w:type="dxa"/>
            <w:vAlign w:val="bottom"/>
          </w:tcPr>
          <w:p>
            <w:pPr>
              <w:ind w:left="200"/>
              <w:spacing w:after="0"/>
              <w:rPr>
                <w:sz w:val="20"/>
                <w:szCs w:val="20"/>
                <w:color w:val="auto"/>
              </w:rPr>
            </w:pPr>
            <w:r>
              <w:rPr>
                <w:rFonts w:ascii="Arial" w:cs="Arial" w:eastAsia="Arial" w:hAnsi="Arial"/>
                <w:sz w:val="15"/>
                <w:szCs w:val="15"/>
                <w:color w:val="auto"/>
              </w:rPr>
              <w:t>Operating lease liabilities, current</w:t>
            </w:r>
          </w:p>
        </w:tc>
        <w:tc>
          <w:tcPr>
            <w:tcW w:w="2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28,293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26,551</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27,206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103,515</w:t>
            </w:r>
          </w:p>
        </w:tc>
        <w:tc>
          <w:tcPr>
            <w:tcW w:w="0" w:type="dxa"/>
            <w:vAlign w:val="bottom"/>
          </w:tcPr>
          <w:p>
            <w:pPr>
              <w:spacing w:after="0"/>
              <w:rPr>
                <w:sz w:val="1"/>
                <w:szCs w:val="1"/>
                <w:color w:val="auto"/>
              </w:rPr>
            </w:pPr>
          </w:p>
        </w:tc>
      </w:tr>
      <w:tr>
        <w:trPr>
          <w:trHeight w:val="192"/>
        </w:trPr>
        <w:tc>
          <w:tcPr>
            <w:tcW w:w="8260" w:type="dxa"/>
            <w:vAlign w:val="bottom"/>
          </w:tcPr>
          <w:p>
            <w:pPr>
              <w:ind w:left="2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16"/>
                <w:szCs w:val="16"/>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618,371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638,173</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30,682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27,433</w:t>
            </w:r>
          </w:p>
        </w:tc>
        <w:tc>
          <w:tcPr>
            <w:tcW w:w="0" w:type="dxa"/>
            <w:vAlign w:val="bottom"/>
          </w:tcPr>
          <w:p>
            <w:pPr>
              <w:spacing w:after="0"/>
              <w:rPr>
                <w:sz w:val="1"/>
                <w:szCs w:val="1"/>
                <w:color w:val="auto"/>
              </w:rPr>
            </w:pPr>
          </w:p>
        </w:tc>
      </w:tr>
      <w:tr>
        <w:trPr>
          <w:trHeight w:val="196"/>
        </w:trPr>
        <w:tc>
          <w:tcPr>
            <w:tcW w:w="826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2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1,699,434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1,732,511</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 non-current</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55,888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66,222</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liabilities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62,753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96,410</w:t>
            </w:r>
          </w:p>
        </w:tc>
        <w:tc>
          <w:tcPr>
            <w:tcW w:w="0" w:type="dxa"/>
            <w:vAlign w:val="bottom"/>
          </w:tcPr>
          <w:p>
            <w:pPr>
              <w:spacing w:after="0"/>
              <w:rPr>
                <w:sz w:val="1"/>
                <w:szCs w:val="1"/>
                <w:color w:val="auto"/>
              </w:rPr>
            </w:pPr>
          </w:p>
        </w:tc>
      </w:tr>
      <w:tr>
        <w:trPr>
          <w:trHeight w:val="194"/>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2,467,128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2,560,749</w:t>
            </w: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rPr>
                <w:sz w:val="20"/>
                <w:szCs w:val="20"/>
                <w:color w:val="auto"/>
              </w:rPr>
            </w:pPr>
            <w:r>
              <w:rPr>
                <w:rFonts w:ascii="Arial" w:cs="Arial" w:eastAsia="Arial" w:hAnsi="Arial"/>
                <w:sz w:val="15"/>
                <w:szCs w:val="15"/>
                <w:color w:val="auto"/>
              </w:rPr>
              <w:t>Commitments and contingencies (Note 13)</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Redeemable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119,834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71,120</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5"/>
                <w:szCs w:val="15"/>
                <w:color w:val="auto"/>
              </w:rPr>
              <w:t>Shareholders’ deficit:</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Preferred shares, nominal value €0.01 per share, 100,000,000 shares authorized; none issued and outstanding</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4"/>
        </w:trPr>
        <w:tc>
          <w:tcPr>
            <w:tcW w:w="8260" w:type="dxa"/>
            <w:vAlign w:val="bottom"/>
          </w:tcPr>
          <w:p>
            <w:pPr>
              <w:ind w:left="200"/>
              <w:spacing w:after="0" w:line="164" w:lineRule="exact"/>
              <w:rPr>
                <w:sz w:val="20"/>
                <w:szCs w:val="20"/>
                <w:color w:val="auto"/>
              </w:rPr>
            </w:pPr>
            <w:r>
              <w:rPr>
                <w:rFonts w:ascii="Arial" w:cs="Arial" w:eastAsia="Arial" w:hAnsi="Arial"/>
                <w:sz w:val="15"/>
                <w:szCs w:val="15"/>
                <w:color w:val="auto"/>
              </w:rPr>
              <w:t>Ordinary shares, nominal value €0.01 per share, 100,000,000 shares authorized; 44,080,627 shares issued; 26,104,993</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60" w:type="dxa"/>
            <w:vAlign w:val="bottom"/>
          </w:tcPr>
          <w:p>
            <w:pPr>
              <w:ind w:left="200"/>
              <w:spacing w:after="0"/>
              <w:rPr>
                <w:sz w:val="20"/>
                <w:szCs w:val="20"/>
                <w:color w:val="auto"/>
              </w:rPr>
            </w:pPr>
            <w:r>
              <w:rPr>
                <w:rFonts w:ascii="Arial" w:cs="Arial" w:eastAsia="Arial" w:hAnsi="Arial"/>
                <w:sz w:val="15"/>
                <w:szCs w:val="15"/>
                <w:color w:val="auto"/>
              </w:rPr>
              <w:t>and 26,035,910 shares outstanding, respectively</w:t>
            </w:r>
          </w:p>
        </w:tc>
        <w:tc>
          <w:tcPr>
            <w:tcW w:w="260" w:type="dxa"/>
            <w:vAlign w:val="bottom"/>
          </w:tcPr>
          <w:p>
            <w:pPr>
              <w:spacing w:after="0"/>
              <w:rPr>
                <w:sz w:val="15"/>
                <w:szCs w:val="15"/>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615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615</w:t>
            </w:r>
          </w:p>
        </w:tc>
        <w:tc>
          <w:tcPr>
            <w:tcW w:w="0" w:type="dxa"/>
            <w:vAlign w:val="bottom"/>
          </w:tcPr>
          <w:p>
            <w:pPr>
              <w:spacing w:after="0"/>
              <w:rPr>
                <w:sz w:val="1"/>
                <w:szCs w:val="1"/>
                <w:color w:val="auto"/>
              </w:rPr>
            </w:pPr>
          </w:p>
        </w:tc>
      </w:tr>
      <w:tr>
        <w:trPr>
          <w:trHeight w:val="166"/>
        </w:trPr>
        <w:tc>
          <w:tcPr>
            <w:tcW w:w="8260" w:type="dxa"/>
            <w:vAlign w:val="bottom"/>
            <w:shd w:val="clear" w:color="auto" w:fill="CCEEFF"/>
          </w:tcPr>
          <w:p>
            <w:pPr>
              <w:ind w:left="200"/>
              <w:spacing w:after="0" w:line="167" w:lineRule="exact"/>
              <w:rPr>
                <w:sz w:val="20"/>
                <w:szCs w:val="20"/>
                <w:color w:val="auto"/>
              </w:rPr>
            </w:pPr>
            <w:r>
              <w:rPr>
                <w:rFonts w:ascii="Arial" w:cs="Arial" w:eastAsia="Arial" w:hAnsi="Arial"/>
                <w:sz w:val="15"/>
                <w:szCs w:val="15"/>
                <w:color w:val="auto"/>
              </w:rPr>
              <w:t>Deferred ordinary shares, nominal value €1.00 per share, 25,000 shares authorized, none and 25,000 issued and</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outstanding, respectively</w:t>
            </w:r>
          </w:p>
        </w:tc>
        <w:tc>
          <w:tcPr>
            <w:tcW w:w="2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96"/>
        </w:trPr>
        <w:tc>
          <w:tcPr>
            <w:tcW w:w="8260" w:type="dxa"/>
            <w:vAlign w:val="bottom"/>
          </w:tcPr>
          <w:p>
            <w:pPr>
              <w:ind w:left="200"/>
              <w:spacing w:after="0"/>
              <w:rPr>
                <w:sz w:val="20"/>
                <w:szCs w:val="20"/>
                <w:color w:val="auto"/>
              </w:rPr>
            </w:pPr>
            <w:r>
              <w:rPr>
                <w:rFonts w:ascii="Arial" w:cs="Arial" w:eastAsia="Arial" w:hAnsi="Arial"/>
                <w:sz w:val="15"/>
                <w:szCs w:val="15"/>
                <w:color w:val="auto"/>
              </w:rPr>
              <w:t>Treasury shares, at cost, 17,975,634 and 18,044,717 shares, respectively</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(1,363,956)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(1,368,595)</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Additional paid-in capital</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488,149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459,904</w:t>
            </w:r>
          </w:p>
        </w:tc>
        <w:tc>
          <w:tcPr>
            <w:tcW w:w="0" w:type="dxa"/>
            <w:vAlign w:val="bottom"/>
          </w:tcPr>
          <w:p>
            <w:pPr>
              <w:spacing w:after="0"/>
              <w:rPr>
                <w:sz w:val="1"/>
                <w:szCs w:val="1"/>
                <w:color w:val="auto"/>
              </w:rPr>
            </w:pPr>
          </w:p>
        </w:tc>
      </w:tr>
      <w:tr>
        <w:trPr>
          <w:trHeight w:val="196"/>
        </w:trPr>
        <w:tc>
          <w:tcPr>
            <w:tcW w:w="8260" w:type="dxa"/>
            <w:vAlign w:val="bottom"/>
          </w:tcPr>
          <w:p>
            <w:pPr>
              <w:ind w:left="200"/>
              <w:spacing w:after="0"/>
              <w:rPr>
                <w:sz w:val="20"/>
                <w:szCs w:val="20"/>
                <w:color w:val="auto"/>
              </w:rPr>
            </w:pPr>
            <w:r>
              <w:rPr>
                <w:rFonts w:ascii="Arial" w:cs="Arial" w:eastAsia="Arial" w:hAnsi="Arial"/>
                <w:sz w:val="15"/>
                <w:szCs w:val="15"/>
                <w:color w:val="auto"/>
              </w:rPr>
              <w:t>Retained earnings</w:t>
            </w:r>
          </w:p>
        </w:tc>
        <w:tc>
          <w:tcPr>
            <w:tcW w:w="2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461,363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530,159</w:t>
            </w:r>
          </w:p>
        </w:tc>
        <w:tc>
          <w:tcPr>
            <w:tcW w:w="0" w:type="dxa"/>
            <w:vAlign w:val="bottom"/>
          </w:tcPr>
          <w:p>
            <w:pPr>
              <w:spacing w:after="0"/>
              <w:rPr>
                <w:sz w:val="1"/>
                <w:szCs w:val="1"/>
                <w:color w:val="auto"/>
              </w:rPr>
            </w:pPr>
          </w:p>
        </w:tc>
      </w:tr>
      <w:tr>
        <w:trPr>
          <w:trHeight w:val="199"/>
        </w:trPr>
        <w:tc>
          <w:tcPr>
            <w:tcW w:w="8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(49,623)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(71,482)</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shareholders' deficit</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(463,452)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(449,371)</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liabilities, noncontrolling interests and shareholders’ deficit</w:t>
            </w: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2,123,510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2,182,498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831"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5"/>
          </w:tcPr>
          <w:p>
            <w:pPr>
              <w:ind w:left="240"/>
              <w:spacing w:after="0"/>
              <w:rPr>
                <w:sz w:val="20"/>
                <w:szCs w:val="20"/>
                <w:color w:val="auto"/>
              </w:rPr>
            </w:pPr>
            <w:r>
              <w:rPr>
                <w:rFonts w:ascii="Arial" w:cs="Arial" w:eastAsia="Arial" w:hAnsi="Arial"/>
                <w:sz w:val="13"/>
                <w:szCs w:val="13"/>
                <w:b w:val="1"/>
                <w:bCs w:val="1"/>
                <w:color w:val="auto"/>
              </w:rPr>
              <w:t>Three Months Ended March 31,</w:t>
            </w:r>
          </w:p>
        </w:tc>
        <w:tc>
          <w:tcPr>
            <w:tcW w:w="340" w:type="dxa"/>
            <w:vAlign w:val="bottom"/>
          </w:tcPr>
          <w:p>
            <w:pPr>
              <w:spacing w:after="0"/>
              <w:rPr>
                <w:sz w:val="15"/>
                <w:szCs w:val="15"/>
                <w:color w:val="auto"/>
              </w:rPr>
            </w:pPr>
          </w:p>
        </w:tc>
        <w:tc>
          <w:tcPr>
            <w:tcW w:w="2820" w:type="dxa"/>
            <w:vAlign w:val="bottom"/>
            <w:gridSpan w:val="5"/>
          </w:tcPr>
          <w:p>
            <w:pPr>
              <w:ind w:left="280"/>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657,412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573,362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2,164,727</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1,940,766</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Arial" w:cs="Arial" w:eastAsia="Arial" w:hAnsi="Arial"/>
                <w:sz w:val="15"/>
                <w:szCs w:val="15"/>
                <w:color w:val="auto"/>
              </w:rPr>
              <w:t>Cost of revenue (1)</w:t>
            </w:r>
          </w:p>
        </w:tc>
        <w:tc>
          <w:tcPr>
            <w:tcW w:w="3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347,452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296,533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1,110,378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976,115</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 and development expense (1)</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75,291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62,572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212,835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186,097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Arial" w:cs="Arial" w:eastAsia="Arial" w:hAnsi="Arial"/>
                <w:sz w:val="15"/>
                <w:szCs w:val="15"/>
                <w:color w:val="auto"/>
              </w:rPr>
              <w:t>Marketing and selling expense (1)</w:t>
            </w:r>
          </w:p>
        </w:tc>
        <w:tc>
          <w:tcPr>
            <w:tcW w:w="3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194,618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154,472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577,931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474,944</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and administrative expense (1)</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50,888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62,358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144,162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147,149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Arial" w:cs="Arial" w:eastAsia="Arial" w:hAnsi="Arial"/>
                <w:sz w:val="15"/>
                <w:szCs w:val="15"/>
                <w:color w:val="auto"/>
              </w:rPr>
              <w:t>Amortization of acquired intangible assets</w:t>
            </w:r>
          </w:p>
        </w:tc>
        <w:tc>
          <w:tcPr>
            <w:tcW w:w="3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14,180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13,506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41,520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40,264</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Restructuring expense</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3,420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3,418</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1,714</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Arial" w:cs="Arial" w:eastAsia="Arial" w:hAnsi="Arial"/>
                <w:sz w:val="15"/>
                <w:szCs w:val="15"/>
                <w:color w:val="auto"/>
              </w:rPr>
              <w:t>(Loss) income from operations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(28,437)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(15,697)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74,483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114,483</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12,321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9,785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38,330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(16,167)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expense, net</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(24,247)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(29,002)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(75,304)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(89,659)</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income before income taxes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(40,363)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37,509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8,657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expense</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29,529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3,927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56,208</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23,675</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(69,892)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(38,841)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(18,699)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(15,018)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Add: Net (income) attributable to noncontrolling interest</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attributable to Cimpress plc</w:t>
            </w: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(71,817)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(39,050)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(23,726)</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4760" w:type="dxa"/>
            <w:vAlign w:val="bottom"/>
          </w:tcPr>
          <w:p>
            <w:pPr>
              <w:ind w:left="20"/>
              <w:spacing w:after="0" w:line="169" w:lineRule="exact"/>
              <w:rPr>
                <w:sz w:val="20"/>
                <w:szCs w:val="20"/>
                <w:color w:val="auto"/>
              </w:rPr>
            </w:pPr>
            <w:r>
              <w:rPr>
                <w:rFonts w:ascii="Arial" w:cs="Arial" w:eastAsia="Arial" w:hAnsi="Arial"/>
                <w:sz w:val="15"/>
                <w:szCs w:val="15"/>
                <w:color w:val="auto"/>
              </w:rPr>
              <w:t>Basic net loss per share attributable to Cimpress plc</w:t>
            </w:r>
          </w:p>
        </w:tc>
        <w:tc>
          <w:tcPr>
            <w:tcW w:w="340" w:type="dxa"/>
            <w:vAlign w:val="bottom"/>
            <w:tcBorders>
              <w:bottom w:val="single" w:sz="8" w:color="auto"/>
            </w:tcBorders>
          </w:tcPr>
          <w:p>
            <w:pPr>
              <w:jc w:val="right"/>
              <w:ind w:right="185"/>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185"/>
              <w:spacing w:after="0" w:line="169" w:lineRule="exact"/>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5"/>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(0.91)</w:t>
            </w:r>
          </w:p>
        </w:tc>
        <w:tc>
          <w:tcPr>
            <w:tcW w:w="80" w:type="dxa"/>
            <w:vAlign w:val="bottom"/>
          </w:tcPr>
          <w:p>
            <w:pPr>
              <w:spacing w:after="0"/>
              <w:rPr>
                <w:sz w:val="14"/>
                <w:szCs w:val="14"/>
                <w:color w:val="auto"/>
              </w:rPr>
            </w:pPr>
          </w:p>
        </w:tc>
        <w:tc>
          <w:tcPr>
            <w:tcW w:w="380" w:type="dxa"/>
            <w:vAlign w:val="bottom"/>
            <w:tcBorders>
              <w:bottom w:val="single" w:sz="8" w:color="auto"/>
            </w:tcBorders>
            <w:gridSpan w:val="2"/>
          </w:tcPr>
          <w:p>
            <w:pPr>
              <w:jc w:val="right"/>
              <w:ind w:right="280"/>
              <w:spacing w:after="0" w:line="169" w:lineRule="exact"/>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Diluted net loss per share attributable to Cimpress plc</w:t>
            </w: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4760" w:type="dxa"/>
            <w:vAlign w:val="bottom"/>
          </w:tcPr>
          <w:p>
            <w:pPr>
              <w:ind w:left="20"/>
              <w:spacing w:after="0" w:line="169" w:lineRule="exact"/>
              <w:rPr>
                <w:sz w:val="20"/>
                <w:szCs w:val="20"/>
                <w:color w:val="auto"/>
              </w:rPr>
            </w:pPr>
            <w:r>
              <w:rPr>
                <w:rFonts w:ascii="Arial" w:cs="Arial" w:eastAsia="Arial" w:hAnsi="Arial"/>
                <w:sz w:val="15"/>
                <w:szCs w:val="15"/>
                <w:color w:val="auto"/>
              </w:rPr>
              <w:t>Weighted average shares outstanding — basic</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rPr>
              <w:t>26,102,610</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rPr>
              <w:t>26,003,675</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rPr>
              <w:t>26,090,460</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rPr>
              <w:t>25,984,300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Weighted average shares outstanding — diluted</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26,102,610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26,003,675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26,090,460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25,984,300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3"/>
                <w:szCs w:val="13"/>
                <w:color w:val="auto"/>
              </w:rPr>
              <w:t>____________________________________________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800" w:type="dxa"/>
            <w:vAlign w:val="bottom"/>
            <w:gridSpan w:val="2"/>
          </w:tcPr>
          <w:p>
            <w:pPr>
              <w:spacing w:after="0"/>
              <w:rPr>
                <w:sz w:val="20"/>
                <w:szCs w:val="20"/>
                <w:color w:val="auto"/>
              </w:rPr>
            </w:pPr>
            <w:r>
              <w:rPr>
                <w:rFonts w:ascii="Arial" w:cs="Arial" w:eastAsia="Arial" w:hAnsi="Arial"/>
                <w:sz w:val="13"/>
                <w:szCs w:val="13"/>
                <w:color w:val="auto"/>
              </w:rPr>
              <w:t>(1) Share-based compensation is allocated as follows:</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92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March 31,</w:t>
            </w:r>
          </w:p>
        </w:tc>
        <w:tc>
          <w:tcPr>
            <w:tcW w:w="340" w:type="dxa"/>
            <w:vAlign w:val="bottom"/>
          </w:tcPr>
          <w:p>
            <w:pPr>
              <w:spacing w:after="0"/>
              <w:rPr>
                <w:sz w:val="23"/>
                <w:szCs w:val="23"/>
                <w:color w:val="auto"/>
              </w:rPr>
            </w:pPr>
          </w:p>
        </w:tc>
        <w:tc>
          <w:tcPr>
            <w:tcW w:w="2820" w:type="dxa"/>
            <w:vAlign w:val="bottom"/>
            <w:gridSpan w:val="5"/>
          </w:tcPr>
          <w:p>
            <w:pPr>
              <w:ind w:left="280"/>
              <w:spacing w:after="0"/>
              <w:rPr>
                <w:sz w:val="20"/>
                <w:szCs w:val="20"/>
                <w:color w:val="auto"/>
              </w:rPr>
            </w:pPr>
            <w:r>
              <w:rPr>
                <w:rFonts w:ascii="Arial" w:cs="Arial" w:eastAsia="Arial" w:hAnsi="Arial"/>
                <w:sz w:val="13"/>
                <w:szCs w:val="13"/>
                <w:b w:val="1"/>
                <w:bCs w:val="1"/>
                <w:color w:val="auto"/>
              </w:rPr>
              <w:t>Nine Months Ended March 31,</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2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Arial" w:cs="Arial" w:eastAsia="Arial" w:hAnsi="Arial"/>
                <w:sz w:val="15"/>
                <w:szCs w:val="15"/>
                <w:color w:val="auto"/>
              </w:rPr>
              <w:t>Technology and development expense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3,397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2,284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9,655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5,690</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Marketing and selling expense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1,808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4,247</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Arial" w:cs="Arial" w:eastAsia="Arial" w:hAnsi="Arial"/>
                <w:sz w:val="15"/>
                <w:szCs w:val="15"/>
                <w:color w:val="auto"/>
              </w:rPr>
              <w:t>General and administrative expense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6,209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5,354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17,744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12,901</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828" w:right="3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566"/>
              <w:spacing w:after="0"/>
              <w:rPr>
                <w:sz w:val="20"/>
                <w:szCs w:val="20"/>
                <w:color w:val="auto"/>
              </w:rPr>
            </w:pPr>
            <w:r>
              <w:rPr>
                <w:rFonts w:ascii="Arial" w:cs="Arial" w:eastAsia="Arial" w:hAnsi="Arial"/>
                <w:sz w:val="13"/>
                <w:szCs w:val="13"/>
                <w:b w:val="1"/>
                <w:bCs w:val="1"/>
                <w:color w:val="auto"/>
              </w:rPr>
              <w:t>Nine Months Ended March 31,</w:t>
            </w:r>
          </w:p>
        </w:tc>
      </w:tr>
      <w:tr>
        <w:trPr>
          <w:trHeight w:val="167"/>
        </w:trPr>
        <w:tc>
          <w:tcPr>
            <w:tcW w:w="47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7"/>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2021</w:t>
            </w:r>
          </w:p>
        </w:tc>
      </w:tr>
      <w:tr>
        <w:trPr>
          <w:trHeight w:val="192"/>
        </w:trPr>
        <w:tc>
          <w:tcPr>
            <w:tcW w:w="4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(69,892)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(38,841)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(18,699)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(15,018)</w:t>
            </w:r>
          </w:p>
        </w:tc>
      </w:tr>
      <w:tr>
        <w:trPr>
          <w:trHeight w:val="196"/>
        </w:trPr>
        <w:tc>
          <w:tcPr>
            <w:tcW w:w="4760" w:type="dxa"/>
            <w:vAlign w:val="bottom"/>
          </w:tcPr>
          <w:p>
            <w:pPr>
              <w:ind w:left="20"/>
              <w:spacing w:after="0"/>
              <w:rPr>
                <w:sz w:val="20"/>
                <w:szCs w:val="20"/>
                <w:color w:val="auto"/>
              </w:rPr>
            </w:pPr>
            <w:r>
              <w:rPr>
                <w:rFonts w:ascii="Arial" w:cs="Arial" w:eastAsia="Arial" w:hAnsi="Arial"/>
                <w:sz w:val="15"/>
                <w:szCs w:val="15"/>
                <w:color w:val="auto"/>
              </w:rPr>
              <w:t>Other comprehensive loss, net of tax:</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2"/>
        </w:trPr>
        <w:tc>
          <w:tcPr>
            <w:tcW w:w="4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Foreign currency translation (losses) gains, net of hedges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(4,281)</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(14,571)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192</w:t>
            </w:r>
          </w:p>
        </w:tc>
      </w:tr>
      <w:tr>
        <w:trPr>
          <w:trHeight w:val="164"/>
        </w:trPr>
        <w:tc>
          <w:tcPr>
            <w:tcW w:w="4760" w:type="dxa"/>
            <w:vAlign w:val="bottom"/>
          </w:tcPr>
          <w:p>
            <w:pPr>
              <w:ind w:left="200"/>
              <w:spacing w:after="0" w:line="164" w:lineRule="exact"/>
              <w:rPr>
                <w:sz w:val="20"/>
                <w:szCs w:val="20"/>
                <w:color w:val="auto"/>
              </w:rPr>
            </w:pPr>
            <w:r>
              <w:rPr>
                <w:rFonts w:ascii="Arial" w:cs="Arial" w:eastAsia="Arial" w:hAnsi="Arial"/>
                <w:sz w:val="15"/>
                <w:szCs w:val="15"/>
                <w:color w:val="auto"/>
              </w:rPr>
              <w:t>Net unrealized gains on derivative instruments designated and</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2"/>
        </w:trPr>
        <w:tc>
          <w:tcPr>
            <w:tcW w:w="4760" w:type="dxa"/>
            <w:vAlign w:val="bottom"/>
          </w:tcPr>
          <w:p>
            <w:pPr>
              <w:ind w:left="200"/>
              <w:spacing w:after="0"/>
              <w:rPr>
                <w:sz w:val="20"/>
                <w:szCs w:val="20"/>
                <w:color w:val="auto"/>
              </w:rPr>
            </w:pPr>
            <w:r>
              <w:rPr>
                <w:rFonts w:ascii="Arial" w:cs="Arial" w:eastAsia="Arial" w:hAnsi="Arial"/>
                <w:sz w:val="15"/>
                <w:szCs w:val="15"/>
                <w:color w:val="auto"/>
              </w:rPr>
              <w:t>qualifying as cash flow hedges</w:t>
            </w:r>
          </w:p>
        </w:tc>
        <w:tc>
          <w:tcPr>
            <w:tcW w:w="9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7,222</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5,809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2,799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6"/>
              <w:spacing w:after="0"/>
              <w:rPr>
                <w:sz w:val="20"/>
                <w:szCs w:val="20"/>
                <w:color w:val="auto"/>
              </w:rPr>
            </w:pPr>
            <w:r>
              <w:rPr>
                <w:rFonts w:ascii="Arial" w:cs="Arial" w:eastAsia="Arial" w:hAnsi="Arial"/>
                <w:sz w:val="15"/>
                <w:szCs w:val="15"/>
                <w:color w:val="auto"/>
              </w:rPr>
              <w:t>13,447</w:t>
            </w:r>
          </w:p>
        </w:tc>
      </w:tr>
      <w:tr>
        <w:trPr>
          <w:trHeight w:val="166"/>
        </w:trPr>
        <w:tc>
          <w:tcPr>
            <w:tcW w:w="4760" w:type="dxa"/>
            <w:vAlign w:val="bottom"/>
            <w:shd w:val="clear" w:color="auto" w:fill="CCEEFF"/>
          </w:tcPr>
          <w:p>
            <w:pPr>
              <w:ind w:left="200"/>
              <w:spacing w:after="0" w:line="167" w:lineRule="exact"/>
              <w:rPr>
                <w:sz w:val="20"/>
                <w:szCs w:val="20"/>
                <w:color w:val="auto"/>
              </w:rPr>
            </w:pPr>
            <w:r>
              <w:rPr>
                <w:rFonts w:ascii="Arial" w:cs="Arial" w:eastAsia="Arial" w:hAnsi="Arial"/>
                <w:sz w:val="15"/>
                <w:szCs w:val="15"/>
                <w:color w:val="auto"/>
              </w:rPr>
              <w:t>Amounts reclassified from accumulated other comprehensive loss to</w:t>
            </w:r>
          </w:p>
        </w:tc>
        <w:tc>
          <w:tcPr>
            <w:tcW w:w="9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5"/>
        </w:trPr>
        <w:tc>
          <w:tcPr>
            <w:tcW w:w="47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loss on derivative instruments</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(8,382)</w:t>
            </w:r>
          </w:p>
        </w:tc>
      </w:tr>
      <w:tr>
        <w:trPr>
          <w:trHeight w:val="196"/>
        </w:trPr>
        <w:tc>
          <w:tcPr>
            <w:tcW w:w="4760" w:type="dxa"/>
            <w:vAlign w:val="bottom"/>
          </w:tcPr>
          <w:p>
            <w:pPr>
              <w:ind w:left="200"/>
              <w:spacing w:after="0"/>
              <w:rPr>
                <w:sz w:val="20"/>
                <w:szCs w:val="20"/>
                <w:color w:val="auto"/>
              </w:rPr>
            </w:pPr>
            <w:r>
              <w:rPr>
                <w:rFonts w:ascii="Arial" w:cs="Arial" w:eastAsia="Arial" w:hAnsi="Arial"/>
                <w:sz w:val="15"/>
                <w:szCs w:val="15"/>
                <w:color w:val="auto"/>
              </w:rPr>
              <w:t>Gain (loss) on pension benefit obligation, net</w:t>
            </w:r>
          </w:p>
        </w:tc>
        <w:tc>
          <w:tcPr>
            <w:tcW w:w="9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(336)</w:t>
            </w:r>
          </w:p>
        </w:tc>
      </w:tr>
      <w:tr>
        <w:trPr>
          <w:trHeight w:val="194"/>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Comprehensive (loss) income</w:t>
            </w:r>
          </w:p>
        </w:tc>
        <w:tc>
          <w:tcPr>
            <w:tcW w:w="9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(62,550)</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(50,688)</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1,337</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(10,097)</w:t>
            </w:r>
          </w:p>
        </w:tc>
      </w:tr>
      <w:tr>
        <w:trPr>
          <w:trHeight w:val="164"/>
        </w:trPr>
        <w:tc>
          <w:tcPr>
            <w:tcW w:w="4760" w:type="dxa"/>
            <w:vAlign w:val="bottom"/>
          </w:tcPr>
          <w:p>
            <w:pPr>
              <w:ind w:left="200"/>
              <w:spacing w:after="0" w:line="164" w:lineRule="exact"/>
              <w:rPr>
                <w:sz w:val="20"/>
                <w:szCs w:val="20"/>
                <w:color w:val="auto"/>
              </w:rPr>
            </w:pPr>
            <w:r>
              <w:rPr>
                <w:rFonts w:ascii="Arial" w:cs="Arial" w:eastAsia="Arial" w:hAnsi="Arial"/>
                <w:sz w:val="15"/>
                <w:szCs w:val="15"/>
                <w:color w:val="auto"/>
              </w:rPr>
              <w:t>Add: Comprehensive (income) loss attributable to noncontrolling</w:t>
            </w: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2"/>
        </w:trPr>
        <w:tc>
          <w:tcPr>
            <w:tcW w:w="476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interests</w:t>
            </w:r>
          </w:p>
        </w:tc>
        <w:tc>
          <w:tcPr>
            <w:tcW w:w="9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(1,563)</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1,260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(3,720)</w:t>
            </w:r>
          </w:p>
        </w:tc>
      </w:tr>
      <w:tr>
        <w:trPr>
          <w:trHeight w:val="21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comprehensive loss attributable to Cimpress plc</w:t>
            </w:r>
          </w:p>
        </w:tc>
        <w:tc>
          <w:tcPr>
            <w:tcW w:w="92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(64,113)</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(49,428)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(13,817)</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53340</wp:posOffset>
            </wp:positionV>
            <wp:extent cx="716851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60" w:top="828" w:right="359" w:bottom="1440" w:gutter="0" w:footer="0" w:header="0"/>
        </w:sectPr>
      </w:pPr>
    </w:p>
    <w:bookmarkStart w:id="5" w:name="page6"/>
    <w:bookmarkEnd w:id="5"/>
    <w:p>
      <w:pPr>
        <w:ind w:left="5000"/>
        <w:spacing w:after="0"/>
        <w:rPr>
          <w:sz w:val="20"/>
          <w:szCs w:val="20"/>
          <w:color w:val="auto"/>
        </w:rPr>
      </w:pPr>
      <w:r>
        <w:rPr>
          <w:rFonts w:ascii="Arial" w:cs="Arial" w:eastAsia="Arial" w:hAnsi="Arial"/>
          <w:sz w:val="17"/>
          <w:szCs w:val="17"/>
          <w:b w:val="1"/>
          <w:bCs w:val="1"/>
          <w:color w:val="auto"/>
        </w:rPr>
        <w:t>CIMPRESS PLC</w:t>
      </w:r>
    </w:p>
    <w:p>
      <w:pPr>
        <w:spacing w:after="0" w:line="53"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CONSOLIDATED STATEMENTS OF SHAREHOLDERS' DEFICIT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580" w:type="dxa"/>
            <w:vAlign w:val="bottom"/>
            <w:gridSpan w:val="5"/>
          </w:tcPr>
          <w:p>
            <w:pPr>
              <w:ind w:left="280"/>
              <w:spacing w:after="0"/>
              <w:rPr>
                <w:sz w:val="20"/>
                <w:szCs w:val="20"/>
                <w:color w:val="auto"/>
              </w:rPr>
            </w:pPr>
            <w:r>
              <w:rPr>
                <w:rFonts w:ascii="Arial" w:cs="Arial" w:eastAsia="Arial" w:hAnsi="Arial"/>
                <w:sz w:val="12"/>
                <w:szCs w:val="12"/>
                <w:b w:val="1"/>
                <w:bCs w:val="1"/>
                <w:color w:val="auto"/>
              </w:rPr>
              <w:t>Ordinary Shares</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Deferred Ordinary Shares</w:t>
            </w:r>
          </w:p>
        </w:tc>
        <w:tc>
          <w:tcPr>
            <w:tcW w:w="2020" w:type="dxa"/>
            <w:vAlign w:val="bottom"/>
            <w:gridSpan w:val="5"/>
          </w:tcPr>
          <w:p>
            <w:pPr>
              <w:ind w:left="520"/>
              <w:spacing w:after="0"/>
              <w:rPr>
                <w:sz w:val="20"/>
                <w:szCs w:val="20"/>
                <w:color w:val="auto"/>
              </w:rPr>
            </w:pPr>
            <w:r>
              <w:rPr>
                <w:rFonts w:ascii="Arial" w:cs="Arial" w:eastAsia="Arial" w:hAnsi="Arial"/>
                <w:sz w:val="12"/>
                <w:szCs w:val="12"/>
                <w:b w:val="1"/>
                <w:bCs w:val="1"/>
                <w:color w:val="auto"/>
              </w:rPr>
              <w:t>Treasury Shares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440" w:type="dxa"/>
            <w:vAlign w:val="bottom"/>
          </w:tcPr>
          <w:p>
            <w:pPr>
              <w:spacing w:after="0"/>
              <w:rPr>
                <w:sz w:val="9"/>
                <w:szCs w:val="9"/>
                <w:color w:val="auto"/>
              </w:rPr>
            </w:pPr>
          </w:p>
        </w:tc>
        <w:tc>
          <w:tcPr>
            <w:tcW w:w="780" w:type="dxa"/>
            <w:vAlign w:val="bottom"/>
            <w:tcBorders>
              <w:top w:val="single" w:sz="8" w:color="auto"/>
            </w:tcBorders>
            <w:gridSpan w:val="2"/>
          </w:tcPr>
          <w:p>
            <w:pPr>
              <w:jc w:val="center"/>
              <w:ind w:right="120"/>
              <w:spacing w:after="0" w:line="112" w:lineRule="exact"/>
              <w:rPr>
                <w:sz w:val="20"/>
                <w:szCs w:val="20"/>
                <w:color w:val="auto"/>
              </w:rPr>
            </w:pPr>
            <w:r>
              <w:rPr>
                <w:rFonts w:ascii="Arial" w:cs="Arial" w:eastAsia="Arial" w:hAnsi="Arial"/>
                <w:sz w:val="12"/>
                <w:szCs w:val="12"/>
                <w:b w:val="1"/>
                <w:bCs w:val="1"/>
                <w:color w:val="auto"/>
                <w:w w:val="96"/>
              </w:rPr>
              <w:t>Number of</w:t>
            </w: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top w:val="single" w:sz="8" w:color="auto"/>
            </w:tcBorders>
            <w:gridSpan w:val="2"/>
          </w:tcPr>
          <w:p>
            <w:pPr>
              <w:jc w:val="center"/>
              <w:ind w:right="120"/>
              <w:spacing w:after="0" w:line="112" w:lineRule="exact"/>
              <w:rPr>
                <w:sz w:val="20"/>
                <w:szCs w:val="20"/>
                <w:color w:val="auto"/>
              </w:rPr>
            </w:pPr>
            <w:r>
              <w:rPr>
                <w:rFonts w:ascii="Arial" w:cs="Arial" w:eastAsia="Arial" w:hAnsi="Arial"/>
                <w:sz w:val="12"/>
                <w:szCs w:val="12"/>
                <w:b w:val="1"/>
                <w:bCs w:val="1"/>
                <w:color w:val="auto"/>
                <w:w w:val="96"/>
              </w:rPr>
              <w:t>Number of</w:t>
            </w: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top w:val="single" w:sz="8" w:color="auto"/>
            </w:tcBorders>
            <w:gridSpan w:val="2"/>
          </w:tcPr>
          <w:p>
            <w:pPr>
              <w:jc w:val="center"/>
              <w:ind w:right="100"/>
              <w:spacing w:after="0" w:line="112" w:lineRule="exact"/>
              <w:rPr>
                <w:sz w:val="20"/>
                <w:szCs w:val="20"/>
                <w:color w:val="auto"/>
              </w:rPr>
            </w:pPr>
            <w:r>
              <w:rPr>
                <w:rFonts w:ascii="Arial" w:cs="Arial" w:eastAsia="Arial" w:hAnsi="Arial"/>
                <w:sz w:val="12"/>
                <w:szCs w:val="12"/>
                <w:b w:val="1"/>
                <w:bCs w:val="1"/>
                <w:color w:val="auto"/>
                <w:w w:val="96"/>
              </w:rPr>
              <w:t>Number</w:t>
            </w:r>
          </w:p>
        </w:tc>
        <w:tc>
          <w:tcPr>
            <w:tcW w:w="2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60"/>
              <w:spacing w:after="0" w:line="112"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9"/>
                <w:szCs w:val="9"/>
                <w:color w:val="auto"/>
              </w:rPr>
            </w:pPr>
          </w:p>
        </w:tc>
        <w:tc>
          <w:tcPr>
            <w:tcW w:w="1300" w:type="dxa"/>
            <w:vAlign w:val="bottom"/>
            <w:gridSpan w:val="2"/>
          </w:tcPr>
          <w:p>
            <w:pPr>
              <w:jc w:val="center"/>
              <w:ind w:right="180"/>
              <w:spacing w:after="0" w:line="112" w:lineRule="exact"/>
              <w:rPr>
                <w:sz w:val="20"/>
                <w:szCs w:val="20"/>
                <w:color w:val="auto"/>
              </w:rPr>
            </w:pPr>
            <w:r>
              <w:rPr>
                <w:rFonts w:ascii="Arial" w:cs="Arial" w:eastAsia="Arial" w:hAnsi="Arial"/>
                <w:sz w:val="12"/>
                <w:szCs w:val="12"/>
                <w:b w:val="1"/>
                <w:bCs w:val="1"/>
                <w:color w:val="auto"/>
                <w:w w:val="97"/>
              </w:rPr>
              <w:t>Accumulated Other</w:t>
            </w:r>
          </w:p>
        </w:tc>
        <w:tc>
          <w:tcPr>
            <w:tcW w:w="160" w:type="dxa"/>
            <w:vAlign w:val="bottom"/>
          </w:tcPr>
          <w:p>
            <w:pPr>
              <w:spacing w:after="0"/>
              <w:rPr>
                <w:sz w:val="9"/>
                <w:szCs w:val="9"/>
                <w:color w:val="auto"/>
              </w:rPr>
            </w:pPr>
          </w:p>
        </w:tc>
        <w:tc>
          <w:tcPr>
            <w:tcW w:w="1060" w:type="dxa"/>
            <w:vAlign w:val="bottom"/>
          </w:tcPr>
          <w:p>
            <w:pPr>
              <w:jc w:val="center"/>
              <w:ind w:right="75"/>
              <w:spacing w:after="0" w:line="112"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0"/>
        </w:trPr>
        <w:tc>
          <w:tcPr>
            <w:tcW w:w="1440" w:type="dxa"/>
            <w:vAlign w:val="bottom"/>
          </w:tcPr>
          <w:p>
            <w:pPr>
              <w:spacing w:after="0"/>
              <w:rPr>
                <w:sz w:val="4"/>
                <w:szCs w:val="4"/>
                <w:color w:val="auto"/>
              </w:rPr>
            </w:pPr>
          </w:p>
        </w:tc>
        <w:tc>
          <w:tcPr>
            <w:tcW w:w="780" w:type="dxa"/>
            <w:vAlign w:val="bottom"/>
            <w:gridSpan w:val="2"/>
            <w:vMerge w:val="restart"/>
          </w:tcPr>
          <w:p>
            <w:pPr>
              <w:jc w:val="center"/>
              <w:ind w:right="100"/>
              <w:spacing w:after="0" w:line="112" w:lineRule="exact"/>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4"/>
                <w:szCs w:val="4"/>
                <w:color w:val="auto"/>
              </w:rPr>
            </w:pPr>
          </w:p>
        </w:tc>
        <w:tc>
          <w:tcPr>
            <w:tcW w:w="700" w:type="dxa"/>
            <w:vAlign w:val="bottom"/>
            <w:gridSpan w:val="2"/>
            <w:vMerge w:val="restart"/>
          </w:tcPr>
          <w:p>
            <w:pPr>
              <w:ind w:left="20"/>
              <w:spacing w:after="0" w:line="112" w:lineRule="exact"/>
              <w:rPr>
                <w:sz w:val="20"/>
                <w:szCs w:val="20"/>
                <w:color w:val="auto"/>
              </w:rPr>
            </w:pPr>
            <w:r>
              <w:rPr>
                <w:rFonts w:ascii="Arial" w:cs="Arial" w:eastAsia="Arial" w:hAnsi="Arial"/>
                <w:sz w:val="12"/>
                <w:szCs w:val="12"/>
                <w:b w:val="1"/>
                <w:bCs w:val="1"/>
                <w:color w:val="auto"/>
              </w:rPr>
              <w:t>Amount</w:t>
            </w:r>
          </w:p>
        </w:tc>
        <w:tc>
          <w:tcPr>
            <w:tcW w:w="780" w:type="dxa"/>
            <w:vAlign w:val="bottom"/>
            <w:gridSpan w:val="2"/>
            <w:vMerge w:val="restart"/>
          </w:tcPr>
          <w:p>
            <w:pPr>
              <w:jc w:val="center"/>
              <w:ind w:right="100"/>
              <w:spacing w:after="0" w:line="112" w:lineRule="exact"/>
              <w:rPr>
                <w:sz w:val="20"/>
                <w:szCs w:val="20"/>
                <w:color w:val="auto"/>
              </w:rPr>
            </w:pPr>
            <w:r>
              <w:rPr>
                <w:rFonts w:ascii="Arial" w:cs="Arial" w:eastAsia="Arial" w:hAnsi="Arial"/>
                <w:sz w:val="12"/>
                <w:szCs w:val="12"/>
                <w:b w:val="1"/>
                <w:bCs w:val="1"/>
                <w:color w:val="auto"/>
                <w:w w:val="99"/>
              </w:rPr>
              <w:t>Shares</w:t>
            </w:r>
          </w:p>
        </w:tc>
        <w:tc>
          <w:tcPr>
            <w:tcW w:w="120" w:type="dxa"/>
            <w:vAlign w:val="bottom"/>
          </w:tcPr>
          <w:p>
            <w:pPr>
              <w:spacing w:after="0"/>
              <w:rPr>
                <w:sz w:val="4"/>
                <w:szCs w:val="4"/>
                <w:color w:val="auto"/>
              </w:rPr>
            </w:pPr>
          </w:p>
        </w:tc>
        <w:tc>
          <w:tcPr>
            <w:tcW w:w="680" w:type="dxa"/>
            <w:vAlign w:val="bottom"/>
            <w:gridSpan w:val="2"/>
            <w:vMerge w:val="restart"/>
          </w:tcPr>
          <w:p>
            <w:pPr>
              <w:ind w:left="20"/>
              <w:spacing w:after="0" w:line="112" w:lineRule="exact"/>
              <w:rPr>
                <w:sz w:val="20"/>
                <w:szCs w:val="20"/>
                <w:color w:val="auto"/>
              </w:rPr>
            </w:pPr>
            <w:r>
              <w:rPr>
                <w:rFonts w:ascii="Arial" w:cs="Arial" w:eastAsia="Arial" w:hAnsi="Arial"/>
                <w:sz w:val="12"/>
                <w:szCs w:val="12"/>
                <w:b w:val="1"/>
                <w:bCs w:val="1"/>
                <w:color w:val="auto"/>
              </w:rPr>
              <w:t>Amount</w:t>
            </w:r>
          </w:p>
        </w:tc>
        <w:tc>
          <w:tcPr>
            <w:tcW w:w="820" w:type="dxa"/>
            <w:vAlign w:val="bottom"/>
            <w:gridSpan w:val="2"/>
            <w:vMerge w:val="restart"/>
          </w:tcPr>
          <w:p>
            <w:pPr>
              <w:jc w:val="center"/>
              <w:ind w:right="100"/>
              <w:spacing w:after="0" w:line="112"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4"/>
                <w:szCs w:val="4"/>
                <w:color w:val="auto"/>
              </w:rPr>
            </w:pPr>
          </w:p>
        </w:tc>
        <w:tc>
          <w:tcPr>
            <w:tcW w:w="980" w:type="dxa"/>
            <w:vAlign w:val="bottom"/>
            <w:gridSpan w:val="2"/>
            <w:vMerge w:val="restart"/>
          </w:tcPr>
          <w:p>
            <w:pPr>
              <w:ind w:left="120"/>
              <w:spacing w:after="0" w:line="112"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4"/>
                <w:szCs w:val="4"/>
                <w:color w:val="auto"/>
              </w:rPr>
            </w:pPr>
          </w:p>
        </w:tc>
        <w:tc>
          <w:tcPr>
            <w:tcW w:w="900" w:type="dxa"/>
            <w:vAlign w:val="bottom"/>
            <w:gridSpan w:val="2"/>
            <w:vMerge w:val="restart"/>
          </w:tcPr>
          <w:p>
            <w:pPr>
              <w:jc w:val="center"/>
              <w:ind w:right="240"/>
              <w:spacing w:after="0" w:line="112"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restart"/>
          </w:tcPr>
          <w:p>
            <w:pPr>
              <w:jc w:val="center"/>
              <w:ind w:right="180"/>
              <w:spacing w:after="0" w:line="112" w:lineRule="exact"/>
              <w:rPr>
                <w:sz w:val="20"/>
                <w:szCs w:val="20"/>
                <w:color w:val="auto"/>
              </w:rPr>
            </w:pPr>
            <w:r>
              <w:rPr>
                <w:rFonts w:ascii="Arial" w:cs="Arial" w:eastAsia="Arial" w:hAnsi="Arial"/>
                <w:sz w:val="12"/>
                <w:szCs w:val="12"/>
                <w:b w:val="1"/>
                <w:bCs w:val="1"/>
                <w:color w:val="auto"/>
                <w:w w:val="97"/>
              </w:rPr>
              <w:t>Comprehensive</w:t>
            </w:r>
          </w:p>
        </w:tc>
        <w:tc>
          <w:tcPr>
            <w:tcW w:w="160" w:type="dxa"/>
            <w:vAlign w:val="bottom"/>
          </w:tcPr>
          <w:p>
            <w:pPr>
              <w:spacing w:after="0"/>
              <w:rPr>
                <w:sz w:val="4"/>
                <w:szCs w:val="4"/>
                <w:color w:val="auto"/>
              </w:rPr>
            </w:pPr>
          </w:p>
        </w:tc>
        <w:tc>
          <w:tcPr>
            <w:tcW w:w="1060" w:type="dxa"/>
            <w:vAlign w:val="bottom"/>
            <w:vMerge w:val="restart"/>
          </w:tcPr>
          <w:p>
            <w:pPr>
              <w:jc w:val="center"/>
              <w:ind w:right="75"/>
              <w:spacing w:after="0" w:line="112" w:lineRule="exact"/>
              <w:rPr>
                <w:sz w:val="20"/>
                <w:szCs w:val="20"/>
                <w:color w:val="auto"/>
              </w:rPr>
            </w:pPr>
            <w:r>
              <w:rPr>
                <w:rFonts w:ascii="Arial" w:cs="Arial" w:eastAsia="Arial" w:hAnsi="Arial"/>
                <w:sz w:val="12"/>
                <w:szCs w:val="12"/>
                <w:b w:val="1"/>
                <w:bCs w:val="1"/>
                <w:color w:val="auto"/>
                <w:w w:val="94"/>
              </w:rPr>
              <w:t>Shareholders’</w:t>
            </w:r>
          </w:p>
        </w:tc>
        <w:tc>
          <w:tcPr>
            <w:tcW w:w="0" w:type="dxa"/>
            <w:vAlign w:val="bottom"/>
          </w:tcPr>
          <w:p>
            <w:pPr>
              <w:spacing w:after="0"/>
              <w:rPr>
                <w:sz w:val="1"/>
                <w:szCs w:val="1"/>
                <w:color w:val="auto"/>
              </w:rPr>
            </w:pPr>
          </w:p>
        </w:tc>
      </w:tr>
      <w:tr>
        <w:trPr>
          <w:trHeight w:val="62"/>
        </w:trPr>
        <w:tc>
          <w:tcPr>
            <w:tcW w:w="1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144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4"/>
              </w:rPr>
              <w:t>Issued</w:t>
            </w: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4"/>
              </w:rPr>
              <w:t>Issued</w:t>
            </w: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9"/>
              </w:rPr>
              <w:t>Loss</w:t>
            </w:r>
          </w:p>
        </w:tc>
        <w:tc>
          <w:tcPr>
            <w:tcW w:w="160" w:type="dxa"/>
            <w:vAlign w:val="bottom"/>
          </w:tcPr>
          <w:p>
            <w:pPr>
              <w:spacing w:after="0"/>
              <w:rPr>
                <w:sz w:val="7"/>
                <w:szCs w:val="7"/>
                <w:color w:val="auto"/>
              </w:rPr>
            </w:pPr>
          </w:p>
        </w:tc>
        <w:tc>
          <w:tcPr>
            <w:tcW w:w="1060" w:type="dxa"/>
            <w:vAlign w:val="bottom"/>
            <w:vMerge w:val="restart"/>
          </w:tcPr>
          <w:p>
            <w:pPr>
              <w:jc w:val="center"/>
              <w:ind w:right="75"/>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67"/>
        </w:trPr>
        <w:tc>
          <w:tcPr>
            <w:tcW w:w="14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440" w:type="dxa"/>
            <w:vAlign w:val="bottom"/>
            <w:tcBorders>
              <w:top w:val="single" w:sz="8" w:color="CCEEFF"/>
            </w:tcBorders>
            <w:shd w:val="clear" w:color="auto" w:fill="CCEEFF"/>
          </w:tcPr>
          <w:p>
            <w:pPr>
              <w:ind w:left="20"/>
              <w:spacing w:after="0" w:line="128" w:lineRule="exact"/>
              <w:rPr>
                <w:sz w:val="20"/>
                <w:szCs w:val="20"/>
                <w:color w:val="auto"/>
              </w:rPr>
            </w:pPr>
            <w:r>
              <w:rPr>
                <w:rFonts w:ascii="Arial" w:cs="Arial" w:eastAsia="Arial" w:hAnsi="Arial"/>
                <w:sz w:val="13"/>
                <w:szCs w:val="13"/>
                <w:color w:val="auto"/>
              </w:rPr>
              <w:t>Balance at June 30,</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44,080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615</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(18,195)</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(1,376,496)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438,616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618,437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(88,676)</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(407,476)</w:t>
            </w: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2020</w:t>
            </w: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ind w:left="20"/>
              <w:spacing w:after="0" w:line="143" w:lineRule="exact"/>
              <w:rPr>
                <w:sz w:val="20"/>
                <w:szCs w:val="20"/>
                <w:color w:val="auto"/>
              </w:rPr>
            </w:pPr>
            <w:r>
              <w:rPr>
                <w:rFonts w:ascii="Arial" w:cs="Arial" w:eastAsia="Arial" w:hAnsi="Arial"/>
                <w:sz w:val="13"/>
                <w:szCs w:val="13"/>
                <w:color w:val="auto"/>
              </w:rPr>
              <w:t>Restricted share units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440" w:type="dxa"/>
            <w:vAlign w:val="bottom"/>
          </w:tcPr>
          <w:p>
            <w:pPr>
              <w:ind w:left="20"/>
              <w:spacing w:after="0" w:line="124" w:lineRule="exact"/>
              <w:rPr>
                <w:sz w:val="20"/>
                <w:szCs w:val="20"/>
                <w:color w:val="auto"/>
              </w:rPr>
            </w:pPr>
            <w:r>
              <w:rPr>
                <w:rFonts w:ascii="Arial" w:cs="Arial" w:eastAsia="Arial" w:hAnsi="Arial"/>
                <w:sz w:val="13"/>
                <w:szCs w:val="13"/>
                <w:color w:val="auto"/>
              </w:rPr>
              <w:t>vested, net of shares</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7,773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(13,366)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(5,593)</w:t>
            </w:r>
          </w:p>
        </w:tc>
        <w:tc>
          <w:tcPr>
            <w:tcW w:w="0" w:type="dxa"/>
            <w:vAlign w:val="bottom"/>
          </w:tcPr>
          <w:p>
            <w:pPr>
              <w:spacing w:after="0"/>
              <w:rPr>
                <w:sz w:val="1"/>
                <w:szCs w:val="1"/>
                <w:color w:val="auto"/>
              </w:rPr>
            </w:pPr>
          </w:p>
        </w:tc>
      </w:tr>
      <w:tr>
        <w:trPr>
          <w:trHeight w:val="156"/>
        </w:trPr>
        <w:tc>
          <w:tcPr>
            <w:tcW w:w="1440" w:type="dxa"/>
            <w:vAlign w:val="bottom"/>
          </w:tcPr>
          <w:p>
            <w:pPr>
              <w:ind w:left="20"/>
              <w:spacing w:after="0"/>
              <w:rPr>
                <w:sz w:val="20"/>
                <w:szCs w:val="20"/>
                <w:color w:val="auto"/>
              </w:rPr>
            </w:pPr>
            <w:r>
              <w:rPr>
                <w:rFonts w:ascii="Arial" w:cs="Arial" w:eastAsia="Arial" w:hAnsi="Arial"/>
                <w:sz w:val="13"/>
                <w:szCs w:val="13"/>
                <w:color w:val="auto"/>
              </w:rPr>
              <w:t>withheld for taxes</w:t>
            </w: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Share-based</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8,577</w:t>
            </w: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 expense</w:t>
            </w: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ind w:left="20"/>
              <w:spacing w:after="0" w:line="143" w:lineRule="exact"/>
              <w:rPr>
                <w:sz w:val="20"/>
                <w:szCs w:val="20"/>
                <w:color w:val="auto"/>
              </w:rPr>
            </w:pPr>
            <w:r>
              <w:rPr>
                <w:rFonts w:ascii="Arial" w:cs="Arial" w:eastAsia="Arial" w:hAnsi="Arial"/>
                <w:sz w:val="13"/>
                <w:szCs w:val="13"/>
                <w:color w:val="auto"/>
              </w:rPr>
              <w:t>Net loss attributable to</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(10,755)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(10,755)</w:t>
            </w:r>
          </w:p>
        </w:tc>
        <w:tc>
          <w:tcPr>
            <w:tcW w:w="0" w:type="dxa"/>
            <w:vAlign w:val="bottom"/>
          </w:tcPr>
          <w:p>
            <w:pPr>
              <w:spacing w:after="0"/>
              <w:rPr>
                <w:sz w:val="1"/>
                <w:szCs w:val="1"/>
                <w:color w:val="auto"/>
              </w:rPr>
            </w:pPr>
          </w:p>
        </w:tc>
      </w:tr>
      <w:tr>
        <w:trPr>
          <w:trHeight w:val="156"/>
        </w:trPr>
        <w:tc>
          <w:tcPr>
            <w:tcW w:w="1440" w:type="dxa"/>
            <w:vAlign w:val="bottom"/>
          </w:tcPr>
          <w:p>
            <w:pPr>
              <w:ind w:left="20"/>
              <w:spacing w:after="0"/>
              <w:rPr>
                <w:sz w:val="20"/>
                <w:szCs w:val="20"/>
                <w:color w:val="auto"/>
              </w:rPr>
            </w:pPr>
            <w:r>
              <w:rPr>
                <w:rFonts w:ascii="Arial" w:cs="Arial" w:eastAsia="Arial" w:hAnsi="Arial"/>
                <w:sz w:val="13"/>
                <w:szCs w:val="13"/>
                <w:color w:val="auto"/>
              </w:rPr>
              <w:t>Cimpress plc</w:t>
            </w: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Net unrealized gain on</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derivative instruments</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designated and</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qualifying as cash flow</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1,765</w:t>
            </w: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hedges</w:t>
            </w: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ind w:left="20"/>
              <w:spacing w:after="0" w:line="143" w:lineRule="exact"/>
              <w:rPr>
                <w:sz w:val="20"/>
                <w:szCs w:val="20"/>
                <w:color w:val="auto"/>
              </w:rPr>
            </w:pPr>
            <w:r>
              <w:rPr>
                <w:rFonts w:ascii="Arial" w:cs="Arial" w:eastAsia="Arial" w:hAnsi="Arial"/>
                <w:sz w:val="13"/>
                <w:szCs w:val="13"/>
                <w:color w:val="auto"/>
              </w:rPr>
              <w:t>Foreign currency</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440" w:type="dxa"/>
            <w:vAlign w:val="bottom"/>
          </w:tcPr>
          <w:p>
            <w:pPr>
              <w:ind w:left="20"/>
              <w:spacing w:after="0" w:line="124" w:lineRule="exact"/>
              <w:rPr>
                <w:sz w:val="20"/>
                <w:szCs w:val="20"/>
                <w:color w:val="auto"/>
              </w:rPr>
            </w:pPr>
            <w:r>
              <w:rPr>
                <w:rFonts w:ascii="Arial" w:cs="Arial" w:eastAsia="Arial" w:hAnsi="Arial"/>
                <w:sz w:val="13"/>
                <w:szCs w:val="13"/>
                <w:color w:val="auto"/>
              </w:rPr>
              <w:t>translation, net of</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(609)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(609)</w:t>
            </w:r>
          </w:p>
        </w:tc>
        <w:tc>
          <w:tcPr>
            <w:tcW w:w="0" w:type="dxa"/>
            <w:vAlign w:val="bottom"/>
          </w:tcPr>
          <w:p>
            <w:pPr>
              <w:spacing w:after="0"/>
              <w:rPr>
                <w:sz w:val="1"/>
                <w:szCs w:val="1"/>
                <w:color w:val="auto"/>
              </w:rPr>
            </w:pPr>
          </w:p>
        </w:tc>
      </w:tr>
      <w:tr>
        <w:trPr>
          <w:trHeight w:val="156"/>
        </w:trPr>
        <w:tc>
          <w:tcPr>
            <w:tcW w:w="1440" w:type="dxa"/>
            <w:vAlign w:val="bottom"/>
          </w:tcPr>
          <w:p>
            <w:pPr>
              <w:ind w:left="20"/>
              <w:spacing w:after="0"/>
              <w:rPr>
                <w:sz w:val="20"/>
                <w:szCs w:val="20"/>
                <w:color w:val="auto"/>
              </w:rPr>
            </w:pPr>
            <w:r>
              <w:rPr>
                <w:rFonts w:ascii="Arial" w:cs="Arial" w:eastAsia="Arial" w:hAnsi="Arial"/>
                <w:sz w:val="13"/>
                <w:szCs w:val="13"/>
                <w:color w:val="auto"/>
              </w:rPr>
              <w:t>hedges</w:t>
            </w: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Unrealized loss on</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pension benefit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obligation, net of tax</w:t>
            </w: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440" w:type="dxa"/>
            <w:vAlign w:val="bottom"/>
          </w:tcPr>
          <w:p>
            <w:pPr>
              <w:ind w:left="20"/>
              <w:spacing w:after="0" w:line="123" w:lineRule="exact"/>
              <w:rPr>
                <w:sz w:val="20"/>
                <w:szCs w:val="20"/>
                <w:color w:val="auto"/>
              </w:rPr>
            </w:pPr>
            <w:r>
              <w:rPr>
                <w:rFonts w:ascii="Arial" w:cs="Arial" w:eastAsia="Arial" w:hAnsi="Arial"/>
                <w:sz w:val="13"/>
                <w:szCs w:val="13"/>
                <w:color w:val="auto"/>
              </w:rPr>
              <w:t>Balance at September</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44,080</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3"/>
                <w:szCs w:val="13"/>
                <w:color w:val="auto"/>
              </w:rPr>
              <w:t>615</w:t>
            </w:r>
          </w:p>
        </w:tc>
        <w:tc>
          <w:tcPr>
            <w:tcW w:w="100" w:type="dxa"/>
            <w:vAlign w:val="bottom"/>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(18,077)</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(1,368,723)</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433,827</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607,682</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(87,856)</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(414,427)</w:t>
            </w:r>
          </w:p>
        </w:tc>
        <w:tc>
          <w:tcPr>
            <w:tcW w:w="0" w:type="dxa"/>
            <w:vAlign w:val="bottom"/>
          </w:tcPr>
          <w:p>
            <w:pPr>
              <w:spacing w:after="0"/>
              <w:rPr>
                <w:sz w:val="1"/>
                <w:szCs w:val="1"/>
                <w:color w:val="auto"/>
              </w:rPr>
            </w:pPr>
          </w:p>
        </w:tc>
      </w:tr>
      <w:tr>
        <w:trPr>
          <w:trHeight w:val="156"/>
        </w:trPr>
        <w:tc>
          <w:tcPr>
            <w:tcW w:w="1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30, 2020</w:t>
            </w: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440" w:type="dxa"/>
            <w:vAlign w:val="bottom"/>
            <w:shd w:val="clear" w:color="auto" w:fill="CCEEFF"/>
          </w:tcPr>
          <w:p>
            <w:pPr>
              <w:ind w:left="20"/>
              <w:spacing w:after="0" w:line="123" w:lineRule="exact"/>
              <w:rPr>
                <w:sz w:val="20"/>
                <w:szCs w:val="20"/>
                <w:color w:val="auto"/>
              </w:rPr>
            </w:pPr>
            <w:r>
              <w:rPr>
                <w:rFonts w:ascii="Arial" w:cs="Arial" w:eastAsia="Arial" w:hAnsi="Arial"/>
                <w:sz w:val="13"/>
                <w:szCs w:val="13"/>
                <w:color w:val="auto"/>
              </w:rPr>
              <w:t>Share-based</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5,036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5,036</w:t>
            </w: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 expense</w:t>
            </w: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ind w:left="20"/>
              <w:spacing w:after="0" w:line="143" w:lineRule="exact"/>
              <w:rPr>
                <w:sz w:val="20"/>
                <w:szCs w:val="20"/>
                <w:color w:val="auto"/>
              </w:rPr>
            </w:pPr>
            <w:r>
              <w:rPr>
                <w:rFonts w:ascii="Arial" w:cs="Arial" w:eastAsia="Arial" w:hAnsi="Arial"/>
                <w:sz w:val="13"/>
                <w:szCs w:val="13"/>
                <w:color w:val="auto"/>
              </w:rPr>
              <w:t>Net income attributable</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32,287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32,287</w:t>
            </w:r>
          </w:p>
        </w:tc>
        <w:tc>
          <w:tcPr>
            <w:tcW w:w="0" w:type="dxa"/>
            <w:vAlign w:val="bottom"/>
          </w:tcPr>
          <w:p>
            <w:pPr>
              <w:spacing w:after="0"/>
              <w:rPr>
                <w:sz w:val="1"/>
                <w:szCs w:val="1"/>
                <w:color w:val="auto"/>
              </w:rPr>
            </w:pPr>
          </w:p>
        </w:tc>
      </w:tr>
      <w:tr>
        <w:trPr>
          <w:trHeight w:val="156"/>
        </w:trPr>
        <w:tc>
          <w:tcPr>
            <w:tcW w:w="1440" w:type="dxa"/>
            <w:vAlign w:val="bottom"/>
          </w:tcPr>
          <w:p>
            <w:pPr>
              <w:ind w:left="20"/>
              <w:spacing w:after="0"/>
              <w:rPr>
                <w:sz w:val="20"/>
                <w:szCs w:val="20"/>
                <w:color w:val="auto"/>
              </w:rPr>
            </w:pPr>
            <w:r>
              <w:rPr>
                <w:rFonts w:ascii="Arial" w:cs="Arial" w:eastAsia="Arial" w:hAnsi="Arial"/>
                <w:sz w:val="13"/>
                <w:szCs w:val="13"/>
                <w:color w:val="auto"/>
              </w:rPr>
              <w:t>to Cimpress plc</w:t>
            </w: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Redeemable</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noncontrolling interest</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accretion to redemption</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(1,086)</w:t>
            </w: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value</w:t>
            </w: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tcPr>
          <w:p>
            <w:pPr>
              <w:ind w:left="20"/>
              <w:spacing w:after="0" w:line="143" w:lineRule="exact"/>
              <w:rPr>
                <w:sz w:val="20"/>
                <w:szCs w:val="20"/>
                <w:color w:val="auto"/>
              </w:rPr>
            </w:pPr>
            <w:r>
              <w:rPr>
                <w:rFonts w:ascii="Arial" w:cs="Arial" w:eastAsia="Arial" w:hAnsi="Arial"/>
                <w:sz w:val="13"/>
                <w:szCs w:val="13"/>
                <w:color w:val="auto"/>
              </w:rPr>
              <w:t>Net unrealized gain 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440" w:type="dxa"/>
            <w:vAlign w:val="bottom"/>
          </w:tcPr>
          <w:p>
            <w:pPr>
              <w:ind w:left="20"/>
              <w:spacing w:after="0" w:line="124" w:lineRule="exact"/>
              <w:rPr>
                <w:sz w:val="20"/>
                <w:szCs w:val="20"/>
                <w:color w:val="auto"/>
              </w:rPr>
            </w:pPr>
            <w:r>
              <w:rPr>
                <w:rFonts w:ascii="Arial" w:cs="Arial" w:eastAsia="Arial" w:hAnsi="Arial"/>
                <w:sz w:val="13"/>
                <w:szCs w:val="13"/>
                <w:color w:val="auto"/>
              </w:rPr>
              <w:t>derivative instruments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40" w:type="dxa"/>
            <w:vAlign w:val="bottom"/>
          </w:tcPr>
          <w:p>
            <w:pPr>
              <w:ind w:left="20"/>
              <w:spacing w:after="0" w:line="124" w:lineRule="exact"/>
              <w:rPr>
                <w:sz w:val="20"/>
                <w:szCs w:val="20"/>
                <w:color w:val="auto"/>
              </w:rPr>
            </w:pPr>
            <w:r>
              <w:rPr>
                <w:rFonts w:ascii="Arial" w:cs="Arial" w:eastAsia="Arial" w:hAnsi="Arial"/>
                <w:sz w:val="13"/>
                <w:szCs w:val="13"/>
                <w:color w:val="auto"/>
              </w:rPr>
              <w:t>designated and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40" w:type="dxa"/>
            <w:vAlign w:val="bottom"/>
          </w:tcPr>
          <w:p>
            <w:pPr>
              <w:ind w:left="20"/>
              <w:spacing w:after="0" w:line="124" w:lineRule="exact"/>
              <w:rPr>
                <w:sz w:val="20"/>
                <w:szCs w:val="20"/>
                <w:color w:val="auto"/>
              </w:rPr>
            </w:pPr>
            <w:r>
              <w:rPr>
                <w:rFonts w:ascii="Arial" w:cs="Arial" w:eastAsia="Arial" w:hAnsi="Arial"/>
                <w:sz w:val="13"/>
                <w:szCs w:val="13"/>
                <w:color w:val="auto"/>
              </w:rPr>
              <w:t>qualifying as cash flow</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576</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156"/>
        </w:trPr>
        <w:tc>
          <w:tcPr>
            <w:tcW w:w="1440" w:type="dxa"/>
            <w:vAlign w:val="bottom"/>
          </w:tcPr>
          <w:p>
            <w:pPr>
              <w:ind w:left="20"/>
              <w:spacing w:after="0"/>
              <w:rPr>
                <w:sz w:val="20"/>
                <w:szCs w:val="20"/>
                <w:color w:val="auto"/>
              </w:rPr>
            </w:pPr>
            <w:r>
              <w:rPr>
                <w:rFonts w:ascii="Arial" w:cs="Arial" w:eastAsia="Arial" w:hAnsi="Arial"/>
                <w:sz w:val="13"/>
                <w:szCs w:val="13"/>
                <w:color w:val="auto"/>
              </w:rPr>
              <w:t>hedges</w:t>
            </w: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4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Foreign currency</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translation, net of</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12,683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12,683</w:t>
            </w: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hedges</w:t>
            </w: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440" w:type="dxa"/>
            <w:vAlign w:val="bottom"/>
          </w:tcPr>
          <w:p>
            <w:pPr>
              <w:ind w:left="20"/>
              <w:spacing w:after="0" w:line="123" w:lineRule="exact"/>
              <w:rPr>
                <w:sz w:val="20"/>
                <w:szCs w:val="20"/>
                <w:color w:val="auto"/>
              </w:rPr>
            </w:pPr>
            <w:r>
              <w:rPr>
                <w:rFonts w:ascii="Arial" w:cs="Arial" w:eastAsia="Arial" w:hAnsi="Arial"/>
                <w:sz w:val="13"/>
                <w:szCs w:val="13"/>
                <w:color w:val="auto"/>
              </w:rPr>
              <w:t>Balance at December</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44,080</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3"/>
                <w:szCs w:val="13"/>
                <w:color w:val="auto"/>
              </w:rPr>
              <w:t>615</w:t>
            </w:r>
          </w:p>
        </w:tc>
        <w:tc>
          <w:tcPr>
            <w:tcW w:w="100" w:type="dxa"/>
            <w:vAlign w:val="bottom"/>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0"/>
                <w:szCs w:val="10"/>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0"/>
                <w:szCs w:val="10"/>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(18,077)</w:t>
            </w:r>
          </w:p>
        </w:tc>
        <w:tc>
          <w:tcPr>
            <w:tcW w:w="100" w:type="dxa"/>
            <w:vAlign w:val="bottom"/>
          </w:tcPr>
          <w:p>
            <w:pPr>
              <w:spacing w:after="0"/>
              <w:rPr>
                <w:sz w:val="10"/>
                <w:szCs w:val="10"/>
                <w:color w:val="auto"/>
              </w:rPr>
            </w:pPr>
          </w:p>
        </w:tc>
        <w:tc>
          <w:tcPr>
            <w:tcW w:w="22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(1,368,723)</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438,863</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638,883</w:t>
            </w:r>
          </w:p>
        </w:tc>
        <w:tc>
          <w:tcPr>
            <w:tcW w:w="100" w:type="dxa"/>
            <w:vAlign w:val="bottom"/>
          </w:tcPr>
          <w:p>
            <w:pPr>
              <w:spacing w:after="0"/>
              <w:rPr>
                <w:sz w:val="10"/>
                <w:szCs w:val="10"/>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(74,597)</w:t>
            </w:r>
          </w:p>
        </w:tc>
        <w:tc>
          <w:tcPr>
            <w:tcW w:w="80" w:type="dxa"/>
            <w:vAlign w:val="bottom"/>
          </w:tcPr>
          <w:p>
            <w:pPr>
              <w:spacing w:after="0"/>
              <w:rPr>
                <w:sz w:val="10"/>
                <w:szCs w:val="10"/>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(364,931)</w:t>
            </w:r>
          </w:p>
        </w:tc>
        <w:tc>
          <w:tcPr>
            <w:tcW w:w="0" w:type="dxa"/>
            <w:vAlign w:val="bottom"/>
          </w:tcPr>
          <w:p>
            <w:pPr>
              <w:spacing w:after="0"/>
              <w:rPr>
                <w:sz w:val="1"/>
                <w:szCs w:val="1"/>
                <w:color w:val="auto"/>
              </w:rPr>
            </w:pPr>
          </w:p>
        </w:tc>
      </w:tr>
      <w:tr>
        <w:trPr>
          <w:trHeight w:val="161"/>
        </w:trPr>
        <w:tc>
          <w:tcPr>
            <w:tcW w:w="1440" w:type="dxa"/>
            <w:vAlign w:val="bottom"/>
          </w:tcPr>
          <w:p>
            <w:pPr>
              <w:ind w:left="20"/>
              <w:spacing w:after="0"/>
              <w:rPr>
                <w:sz w:val="20"/>
                <w:szCs w:val="20"/>
                <w:color w:val="auto"/>
              </w:rPr>
            </w:pPr>
            <w:r>
              <w:rPr>
                <w:rFonts w:ascii="Arial" w:cs="Arial" w:eastAsia="Arial" w:hAnsi="Arial"/>
                <w:sz w:val="13"/>
                <w:szCs w:val="13"/>
                <w:color w:val="auto"/>
              </w:rPr>
              <w:t>31, 2020</w:t>
            </w: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CIMPRESS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DEFICIT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540" w:type="dxa"/>
            <w:vAlign w:val="bottom"/>
            <w:gridSpan w:val="5"/>
          </w:tcPr>
          <w:p>
            <w:pPr>
              <w:ind w:left="280"/>
              <w:spacing w:after="0"/>
              <w:rPr>
                <w:sz w:val="20"/>
                <w:szCs w:val="20"/>
                <w:color w:val="auto"/>
              </w:rPr>
            </w:pPr>
            <w:r>
              <w:rPr>
                <w:rFonts w:ascii="Arial" w:cs="Arial" w:eastAsia="Arial" w:hAnsi="Arial"/>
                <w:sz w:val="12"/>
                <w:szCs w:val="12"/>
                <w:b w:val="1"/>
                <w:bCs w:val="1"/>
                <w:color w:val="auto"/>
              </w:rPr>
              <w:t>Ordinary Shares</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Deferred Ordinary Shares</w:t>
            </w:r>
          </w:p>
        </w:tc>
        <w:tc>
          <w:tcPr>
            <w:tcW w:w="1980" w:type="dxa"/>
            <w:vAlign w:val="bottom"/>
            <w:gridSpan w:val="5"/>
          </w:tcPr>
          <w:p>
            <w:pPr>
              <w:ind w:left="500"/>
              <w:spacing w:after="0"/>
              <w:rPr>
                <w:sz w:val="20"/>
                <w:szCs w:val="20"/>
                <w:color w:val="auto"/>
              </w:rPr>
            </w:pPr>
            <w:r>
              <w:rPr>
                <w:rFonts w:ascii="Arial" w:cs="Arial" w:eastAsia="Arial" w:hAnsi="Arial"/>
                <w:sz w:val="12"/>
                <w:szCs w:val="12"/>
                <w:b w:val="1"/>
                <w:bCs w:val="1"/>
                <w:color w:val="auto"/>
              </w:rPr>
              <w:t>Treasury 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660" w:type="dxa"/>
            <w:vAlign w:val="bottom"/>
          </w:tcPr>
          <w:p>
            <w:pPr>
              <w:spacing w:after="0"/>
              <w:rPr>
                <w:sz w:val="9"/>
                <w:szCs w:val="9"/>
                <w:color w:val="auto"/>
              </w:rPr>
            </w:pPr>
          </w:p>
        </w:tc>
        <w:tc>
          <w:tcPr>
            <w:tcW w:w="780" w:type="dxa"/>
            <w:vAlign w:val="bottom"/>
            <w:tcBorders>
              <w:top w:val="single" w:sz="8" w:color="auto"/>
            </w:tcBorders>
            <w:gridSpan w:val="2"/>
          </w:tcPr>
          <w:p>
            <w:pPr>
              <w:jc w:val="center"/>
              <w:ind w:right="80"/>
              <w:spacing w:after="0" w:line="112" w:lineRule="exact"/>
              <w:rPr>
                <w:sz w:val="20"/>
                <w:szCs w:val="20"/>
                <w:color w:val="auto"/>
              </w:rPr>
            </w:pPr>
            <w:r>
              <w:rPr>
                <w:rFonts w:ascii="Arial" w:cs="Arial" w:eastAsia="Arial" w:hAnsi="Arial"/>
                <w:sz w:val="12"/>
                <w:szCs w:val="12"/>
                <w:b w:val="1"/>
                <w:bCs w:val="1"/>
                <w:color w:val="auto"/>
                <w:w w:val="96"/>
              </w:rPr>
              <w:t>Number of</w:t>
            </w: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top w:val="single" w:sz="8" w:color="auto"/>
            </w:tcBorders>
            <w:gridSpan w:val="2"/>
          </w:tcPr>
          <w:p>
            <w:pPr>
              <w:jc w:val="center"/>
              <w:ind w:right="100"/>
              <w:spacing w:after="0" w:line="112" w:lineRule="exact"/>
              <w:rPr>
                <w:sz w:val="20"/>
                <w:szCs w:val="20"/>
                <w:color w:val="auto"/>
              </w:rPr>
            </w:pPr>
            <w:r>
              <w:rPr>
                <w:rFonts w:ascii="Arial" w:cs="Arial" w:eastAsia="Arial" w:hAnsi="Arial"/>
                <w:sz w:val="12"/>
                <w:szCs w:val="12"/>
                <w:b w:val="1"/>
                <w:bCs w:val="1"/>
                <w:color w:val="auto"/>
                <w:w w:val="96"/>
              </w:rPr>
              <w:t>Number of</w:t>
            </w: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top w:val="single" w:sz="8" w:color="auto"/>
            </w:tcBorders>
            <w:gridSpan w:val="2"/>
          </w:tcPr>
          <w:p>
            <w:pPr>
              <w:jc w:val="center"/>
              <w:ind w:right="120"/>
              <w:spacing w:after="0" w:line="112" w:lineRule="exact"/>
              <w:rPr>
                <w:sz w:val="20"/>
                <w:szCs w:val="20"/>
                <w:color w:val="auto"/>
              </w:rPr>
            </w:pPr>
            <w:r>
              <w:rPr>
                <w:rFonts w:ascii="Arial" w:cs="Arial" w:eastAsia="Arial" w:hAnsi="Arial"/>
                <w:sz w:val="12"/>
                <w:szCs w:val="12"/>
                <w:b w:val="1"/>
                <w:bCs w:val="1"/>
                <w:color w:val="auto"/>
                <w:w w:val="96"/>
              </w:rPr>
              <w:t>Number</w:t>
            </w:r>
          </w:p>
        </w:tc>
        <w:tc>
          <w:tcPr>
            <w:tcW w:w="2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20"/>
              <w:spacing w:after="0" w:line="112"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9"/>
                <w:szCs w:val="9"/>
                <w:color w:val="auto"/>
              </w:rPr>
            </w:pPr>
          </w:p>
        </w:tc>
        <w:tc>
          <w:tcPr>
            <w:tcW w:w="1340" w:type="dxa"/>
            <w:vAlign w:val="bottom"/>
            <w:gridSpan w:val="2"/>
          </w:tcPr>
          <w:p>
            <w:pPr>
              <w:jc w:val="center"/>
              <w:ind w:right="220"/>
              <w:spacing w:after="0" w:line="112" w:lineRule="exact"/>
              <w:rPr>
                <w:sz w:val="20"/>
                <w:szCs w:val="20"/>
                <w:color w:val="auto"/>
              </w:rPr>
            </w:pPr>
            <w:r>
              <w:rPr>
                <w:rFonts w:ascii="Arial" w:cs="Arial" w:eastAsia="Arial" w:hAnsi="Arial"/>
                <w:sz w:val="12"/>
                <w:szCs w:val="12"/>
                <w:b w:val="1"/>
                <w:bCs w:val="1"/>
                <w:color w:val="auto"/>
                <w:w w:val="97"/>
              </w:rPr>
              <w:t>Accumulated Other</w:t>
            </w:r>
          </w:p>
        </w:tc>
        <w:tc>
          <w:tcPr>
            <w:tcW w:w="120" w:type="dxa"/>
            <w:vAlign w:val="bottom"/>
          </w:tcPr>
          <w:p>
            <w:pPr>
              <w:spacing w:after="0"/>
              <w:rPr>
                <w:sz w:val="9"/>
                <w:szCs w:val="9"/>
                <w:color w:val="auto"/>
              </w:rPr>
            </w:pPr>
          </w:p>
        </w:tc>
        <w:tc>
          <w:tcPr>
            <w:tcW w:w="960" w:type="dxa"/>
            <w:vAlign w:val="bottom"/>
          </w:tcPr>
          <w:p>
            <w:pPr>
              <w:jc w:val="center"/>
              <w:ind w:right="56"/>
              <w:spacing w:after="0" w:line="112"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0"/>
        </w:trPr>
        <w:tc>
          <w:tcPr>
            <w:tcW w:w="1660" w:type="dxa"/>
            <w:vAlign w:val="bottom"/>
          </w:tcPr>
          <w:p>
            <w:pPr>
              <w:spacing w:after="0"/>
              <w:rPr>
                <w:sz w:val="4"/>
                <w:szCs w:val="4"/>
                <w:color w:val="auto"/>
              </w:rPr>
            </w:pPr>
          </w:p>
        </w:tc>
        <w:tc>
          <w:tcPr>
            <w:tcW w:w="780" w:type="dxa"/>
            <w:vAlign w:val="bottom"/>
            <w:gridSpan w:val="2"/>
            <w:vMerge w:val="restart"/>
          </w:tcPr>
          <w:p>
            <w:pPr>
              <w:jc w:val="center"/>
              <w:ind w:right="100"/>
              <w:spacing w:after="0" w:line="112" w:lineRule="exact"/>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4"/>
                <w:szCs w:val="4"/>
                <w:color w:val="auto"/>
              </w:rPr>
            </w:pPr>
          </w:p>
        </w:tc>
        <w:tc>
          <w:tcPr>
            <w:tcW w:w="660" w:type="dxa"/>
            <w:vAlign w:val="bottom"/>
            <w:gridSpan w:val="2"/>
            <w:vMerge w:val="restart"/>
          </w:tcPr>
          <w:p>
            <w:pPr>
              <w:ind w:left="20"/>
              <w:spacing w:after="0" w:line="112" w:lineRule="exact"/>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restart"/>
          </w:tcPr>
          <w:p>
            <w:pPr>
              <w:jc w:val="center"/>
              <w:ind w:right="80"/>
              <w:spacing w:after="0" w:line="112" w:lineRule="exact"/>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4"/>
                <w:szCs w:val="4"/>
                <w:color w:val="auto"/>
              </w:rPr>
            </w:pPr>
          </w:p>
        </w:tc>
        <w:tc>
          <w:tcPr>
            <w:tcW w:w="680" w:type="dxa"/>
            <w:vAlign w:val="bottom"/>
            <w:gridSpan w:val="2"/>
            <w:vMerge w:val="restart"/>
          </w:tcPr>
          <w:p>
            <w:pPr>
              <w:ind w:left="20"/>
              <w:spacing w:after="0" w:line="112" w:lineRule="exact"/>
              <w:rPr>
                <w:sz w:val="20"/>
                <w:szCs w:val="20"/>
                <w:color w:val="auto"/>
              </w:rPr>
            </w:pPr>
            <w:r>
              <w:rPr>
                <w:rFonts w:ascii="Arial" w:cs="Arial" w:eastAsia="Arial" w:hAnsi="Arial"/>
                <w:sz w:val="12"/>
                <w:szCs w:val="12"/>
                <w:b w:val="1"/>
                <w:bCs w:val="1"/>
                <w:color w:val="auto"/>
              </w:rPr>
              <w:t>Amount</w:t>
            </w:r>
          </w:p>
        </w:tc>
        <w:tc>
          <w:tcPr>
            <w:tcW w:w="840" w:type="dxa"/>
            <w:vAlign w:val="bottom"/>
            <w:gridSpan w:val="2"/>
            <w:vMerge w:val="restart"/>
          </w:tcPr>
          <w:p>
            <w:pPr>
              <w:jc w:val="center"/>
              <w:ind w:right="100"/>
              <w:spacing w:after="0" w:line="112" w:lineRule="exact"/>
              <w:rPr>
                <w:sz w:val="20"/>
                <w:szCs w:val="20"/>
                <w:color w:val="auto"/>
              </w:rPr>
            </w:pPr>
            <w:r>
              <w:rPr>
                <w:rFonts w:ascii="Arial" w:cs="Arial" w:eastAsia="Arial" w:hAnsi="Arial"/>
                <w:sz w:val="12"/>
                <w:szCs w:val="12"/>
                <w:b w:val="1"/>
                <w:bCs w:val="1"/>
                <w:color w:val="auto"/>
                <w:w w:val="87"/>
              </w:rPr>
              <w:t>of</w:t>
            </w:r>
          </w:p>
        </w:tc>
        <w:tc>
          <w:tcPr>
            <w:tcW w:w="200" w:type="dxa"/>
            <w:vAlign w:val="bottom"/>
          </w:tcPr>
          <w:p>
            <w:pPr>
              <w:spacing w:after="0"/>
              <w:rPr>
                <w:sz w:val="4"/>
                <w:szCs w:val="4"/>
                <w:color w:val="auto"/>
              </w:rPr>
            </w:pPr>
          </w:p>
        </w:tc>
        <w:tc>
          <w:tcPr>
            <w:tcW w:w="940" w:type="dxa"/>
            <w:vAlign w:val="bottom"/>
            <w:gridSpan w:val="2"/>
            <w:vMerge w:val="restart"/>
          </w:tcPr>
          <w:p>
            <w:pPr>
              <w:ind w:left="100"/>
              <w:spacing w:after="0" w:line="112"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4"/>
                <w:szCs w:val="4"/>
                <w:color w:val="auto"/>
              </w:rPr>
            </w:pPr>
          </w:p>
        </w:tc>
        <w:tc>
          <w:tcPr>
            <w:tcW w:w="860" w:type="dxa"/>
            <w:vAlign w:val="bottom"/>
            <w:gridSpan w:val="2"/>
            <w:vMerge w:val="restart"/>
          </w:tcPr>
          <w:p>
            <w:pPr>
              <w:jc w:val="center"/>
              <w:ind w:right="200"/>
              <w:spacing w:after="0" w:line="112"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12" w:lineRule="exact"/>
              <w:rPr>
                <w:sz w:val="20"/>
                <w:szCs w:val="20"/>
                <w:color w:val="auto"/>
              </w:rPr>
            </w:pPr>
            <w:r>
              <w:rPr>
                <w:rFonts w:ascii="Arial" w:cs="Arial" w:eastAsia="Arial" w:hAnsi="Arial"/>
                <w:sz w:val="12"/>
                <w:szCs w:val="12"/>
                <w:b w:val="1"/>
                <w:bCs w:val="1"/>
                <w:color w:val="auto"/>
                <w:w w:val="97"/>
              </w:rPr>
              <w:t>Comprehensive</w:t>
            </w:r>
          </w:p>
        </w:tc>
        <w:tc>
          <w:tcPr>
            <w:tcW w:w="120" w:type="dxa"/>
            <w:vAlign w:val="bottom"/>
          </w:tcPr>
          <w:p>
            <w:pPr>
              <w:spacing w:after="0"/>
              <w:rPr>
                <w:sz w:val="4"/>
                <w:szCs w:val="4"/>
                <w:color w:val="auto"/>
              </w:rPr>
            </w:pPr>
          </w:p>
        </w:tc>
        <w:tc>
          <w:tcPr>
            <w:tcW w:w="960" w:type="dxa"/>
            <w:vAlign w:val="bottom"/>
            <w:vMerge w:val="restart"/>
          </w:tcPr>
          <w:p>
            <w:pPr>
              <w:jc w:val="center"/>
              <w:ind w:right="56"/>
              <w:spacing w:after="0" w:line="112" w:lineRule="exact"/>
              <w:rPr>
                <w:sz w:val="20"/>
                <w:szCs w:val="20"/>
                <w:color w:val="auto"/>
              </w:rPr>
            </w:pPr>
            <w:r>
              <w:rPr>
                <w:rFonts w:ascii="Arial" w:cs="Arial" w:eastAsia="Arial" w:hAnsi="Arial"/>
                <w:sz w:val="12"/>
                <w:szCs w:val="12"/>
                <w:b w:val="1"/>
                <w:bCs w:val="1"/>
                <w:color w:val="auto"/>
                <w:w w:val="94"/>
              </w:rPr>
              <w:t>Shareholders’</w:t>
            </w:r>
          </w:p>
        </w:tc>
        <w:tc>
          <w:tcPr>
            <w:tcW w:w="0" w:type="dxa"/>
            <w:vAlign w:val="bottom"/>
          </w:tcPr>
          <w:p>
            <w:pPr>
              <w:spacing w:after="0"/>
              <w:rPr>
                <w:sz w:val="1"/>
                <w:szCs w:val="1"/>
                <w:color w:val="auto"/>
              </w:rPr>
            </w:pPr>
          </w:p>
        </w:tc>
      </w:tr>
      <w:tr>
        <w:trPr>
          <w:trHeight w:val="62"/>
        </w:trPr>
        <w:tc>
          <w:tcPr>
            <w:tcW w:w="16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166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4"/>
              </w:rPr>
              <w:t>Issued</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4"/>
              </w:rPr>
              <w:t>Issued</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4"/>
              </w:rPr>
              <w:t>Shares</w:t>
            </w: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Loss</w:t>
            </w:r>
          </w:p>
        </w:tc>
        <w:tc>
          <w:tcPr>
            <w:tcW w:w="120" w:type="dxa"/>
            <w:vAlign w:val="bottom"/>
          </w:tcPr>
          <w:p>
            <w:pPr>
              <w:spacing w:after="0"/>
              <w:rPr>
                <w:sz w:val="7"/>
                <w:szCs w:val="7"/>
                <w:color w:val="auto"/>
              </w:rPr>
            </w:pPr>
          </w:p>
        </w:tc>
        <w:tc>
          <w:tcPr>
            <w:tcW w:w="960" w:type="dxa"/>
            <w:vAlign w:val="bottom"/>
            <w:vMerge w:val="restart"/>
          </w:tcPr>
          <w:p>
            <w:pPr>
              <w:jc w:val="center"/>
              <w:ind w:right="56"/>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67"/>
        </w:trPr>
        <w:tc>
          <w:tcPr>
            <w:tcW w:w="16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660" w:type="dxa"/>
            <w:vAlign w:val="bottom"/>
            <w:tcBorders>
              <w:top w:val="single" w:sz="8" w:color="CCEEFF"/>
            </w:tcBorders>
            <w:shd w:val="clear" w:color="auto" w:fill="CCEEFF"/>
          </w:tcPr>
          <w:p>
            <w:pPr>
              <w:ind w:left="20"/>
              <w:spacing w:after="0" w:line="128" w:lineRule="exact"/>
              <w:rPr>
                <w:sz w:val="20"/>
                <w:szCs w:val="20"/>
                <w:color w:val="auto"/>
              </w:rPr>
            </w:pPr>
            <w:r>
              <w:rPr>
                <w:rFonts w:ascii="Arial" w:cs="Arial" w:eastAsia="Arial" w:hAnsi="Arial"/>
                <w:sz w:val="13"/>
                <w:szCs w:val="13"/>
                <w:color w:val="auto"/>
              </w:rPr>
              <w:t>Balance at December 31,</w:t>
            </w:r>
          </w:p>
        </w:tc>
        <w:tc>
          <w:tcPr>
            <w:tcW w:w="70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44,080</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615</w:t>
            </w: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vMerge w:val="restart"/>
            <w:shd w:val="clear" w:color="auto" w:fill="CCEEFF"/>
          </w:tcPr>
          <w:p>
            <w:pPr>
              <w:ind w:left="220"/>
              <w:spacing w:after="0"/>
              <w:rPr>
                <w:sz w:val="20"/>
                <w:szCs w:val="20"/>
                <w:color w:val="auto"/>
              </w:rPr>
            </w:pPr>
            <w:r>
              <w:rPr>
                <w:rFonts w:ascii="Arial" w:cs="Arial" w:eastAsia="Arial" w:hAnsi="Arial"/>
                <w:sz w:val="13"/>
                <w:szCs w:val="13"/>
                <w:color w:val="auto"/>
              </w:rPr>
              <w:t>(18,077)</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(1,368,723)</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438,863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638,883</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(74,597)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(364,931)</w:t>
            </w:r>
          </w:p>
        </w:tc>
        <w:tc>
          <w:tcPr>
            <w:tcW w:w="0" w:type="dxa"/>
            <w:vAlign w:val="bottom"/>
          </w:tcPr>
          <w:p>
            <w:pPr>
              <w:spacing w:after="0"/>
              <w:rPr>
                <w:sz w:val="1"/>
                <w:szCs w:val="1"/>
                <w:color w:val="auto"/>
              </w:rPr>
            </w:pPr>
          </w:p>
        </w:tc>
      </w:tr>
      <w:tr>
        <w:trPr>
          <w:trHeight w:val="156"/>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2020</w:t>
            </w: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660" w:type="dxa"/>
            <w:vAlign w:val="bottom"/>
          </w:tcPr>
          <w:p>
            <w:pPr>
              <w:ind w:left="20"/>
              <w:spacing w:after="0" w:line="143" w:lineRule="exact"/>
              <w:rPr>
                <w:sz w:val="20"/>
                <w:szCs w:val="20"/>
                <w:color w:val="auto"/>
              </w:rPr>
            </w:pPr>
            <w:r>
              <w:rPr>
                <w:rFonts w:ascii="Arial" w:cs="Arial" w:eastAsia="Arial" w:hAnsi="Arial"/>
                <w:sz w:val="13"/>
                <w:szCs w:val="13"/>
                <w:color w:val="auto"/>
              </w:rPr>
              <w:t>Restricted share units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660" w:type="dxa"/>
            <w:vAlign w:val="bottom"/>
          </w:tcPr>
          <w:p>
            <w:pPr>
              <w:ind w:left="20"/>
              <w:spacing w:after="0" w:line="124" w:lineRule="exact"/>
              <w:rPr>
                <w:sz w:val="20"/>
                <w:szCs w:val="20"/>
                <w:color w:val="auto"/>
              </w:rPr>
            </w:pPr>
            <w:r>
              <w:rPr>
                <w:rFonts w:ascii="Arial" w:cs="Arial" w:eastAsia="Arial" w:hAnsi="Arial"/>
                <w:sz w:val="13"/>
                <w:szCs w:val="13"/>
                <w:color w:val="auto"/>
              </w:rPr>
              <w:t>vested, net of shares</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rPr>
                <w:sz w:val="20"/>
                <w:szCs w:val="20"/>
                <w:color w:val="auto"/>
              </w:rPr>
            </w:pPr>
            <w:r>
              <w:rPr>
                <w:rFonts w:ascii="Arial" w:cs="Arial" w:eastAsia="Arial" w:hAnsi="Arial"/>
                <w:sz w:val="13"/>
                <w:szCs w:val="13"/>
                <w:color w:val="auto"/>
              </w:rPr>
              <w:t>withheld for taxes</w:t>
            </w: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6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Share-based compensation</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9,572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9,572</w:t>
            </w:r>
          </w:p>
        </w:tc>
        <w:tc>
          <w:tcPr>
            <w:tcW w:w="0" w:type="dxa"/>
            <w:vAlign w:val="bottom"/>
          </w:tcPr>
          <w:p>
            <w:pPr>
              <w:spacing w:after="0"/>
              <w:rPr>
                <w:sz w:val="1"/>
                <w:szCs w:val="1"/>
                <w:color w:val="auto"/>
              </w:rPr>
            </w:pPr>
          </w:p>
        </w:tc>
      </w:tr>
      <w:tr>
        <w:trPr>
          <w:trHeight w:val="156"/>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660" w:type="dxa"/>
            <w:vAlign w:val="bottom"/>
          </w:tcPr>
          <w:p>
            <w:pPr>
              <w:ind w:left="20"/>
              <w:spacing w:after="0" w:line="143" w:lineRule="exact"/>
              <w:rPr>
                <w:sz w:val="20"/>
                <w:szCs w:val="20"/>
                <w:color w:val="auto"/>
              </w:rPr>
            </w:pPr>
            <w:r>
              <w:rPr>
                <w:rFonts w:ascii="Arial" w:cs="Arial" w:eastAsia="Arial" w:hAnsi="Arial"/>
                <w:sz w:val="13"/>
                <w:szCs w:val="13"/>
                <w:color w:val="auto"/>
              </w:rPr>
              <w:t>Net loss attributable to</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(39,050)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(39,050)</w:t>
            </w: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rPr>
                <w:sz w:val="20"/>
                <w:szCs w:val="20"/>
                <w:color w:val="auto"/>
              </w:rPr>
            </w:pPr>
            <w:r>
              <w:rPr>
                <w:rFonts w:ascii="Arial" w:cs="Arial" w:eastAsia="Arial" w:hAnsi="Arial"/>
                <w:sz w:val="13"/>
                <w:szCs w:val="13"/>
                <w:color w:val="auto"/>
              </w:rPr>
              <w:t>Cimpress plc</w:t>
            </w: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66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Net unrealized loss on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66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derivative instruments</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6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designated and qualifying</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(13,102)</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(13,102)</w:t>
            </w:r>
          </w:p>
        </w:tc>
        <w:tc>
          <w:tcPr>
            <w:tcW w:w="0" w:type="dxa"/>
            <w:vAlign w:val="bottom"/>
          </w:tcPr>
          <w:p>
            <w:pPr>
              <w:spacing w:after="0"/>
              <w:rPr>
                <w:sz w:val="1"/>
                <w:szCs w:val="1"/>
                <w:color w:val="auto"/>
              </w:rPr>
            </w:pPr>
          </w:p>
        </w:tc>
      </w:tr>
      <w:tr>
        <w:trPr>
          <w:trHeight w:val="156"/>
        </w:trPr>
        <w:tc>
          <w:tcPr>
            <w:tcW w:w="1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 cash flow hedges</w:t>
            </w:r>
          </w:p>
        </w:tc>
        <w:tc>
          <w:tcPr>
            <w:tcW w:w="7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660" w:type="dxa"/>
            <w:vAlign w:val="bottom"/>
          </w:tcPr>
          <w:p>
            <w:pPr>
              <w:ind w:left="20"/>
              <w:spacing w:after="0" w:line="143" w:lineRule="exact"/>
              <w:rPr>
                <w:sz w:val="20"/>
                <w:szCs w:val="20"/>
                <w:color w:val="auto"/>
              </w:rPr>
            </w:pPr>
            <w:r>
              <w:rPr>
                <w:rFonts w:ascii="Arial" w:cs="Arial" w:eastAsia="Arial" w:hAnsi="Arial"/>
                <w:sz w:val="13"/>
                <w:szCs w:val="13"/>
                <w:color w:val="auto"/>
              </w:rPr>
              <w:t>Foreign currency</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2,724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2,724</w:t>
            </w:r>
          </w:p>
        </w:tc>
        <w:tc>
          <w:tcPr>
            <w:tcW w:w="0" w:type="dxa"/>
            <w:vAlign w:val="bottom"/>
          </w:tcPr>
          <w:p>
            <w:pPr>
              <w:spacing w:after="0"/>
              <w:rPr>
                <w:sz w:val="1"/>
                <w:szCs w:val="1"/>
                <w:color w:val="auto"/>
              </w:rPr>
            </w:pPr>
          </w:p>
        </w:tc>
      </w:tr>
      <w:tr>
        <w:trPr>
          <w:trHeight w:val="156"/>
        </w:trPr>
        <w:tc>
          <w:tcPr>
            <w:tcW w:w="1660" w:type="dxa"/>
            <w:vAlign w:val="bottom"/>
          </w:tcPr>
          <w:p>
            <w:pPr>
              <w:ind w:left="20"/>
              <w:spacing w:after="0"/>
              <w:rPr>
                <w:sz w:val="20"/>
                <w:szCs w:val="20"/>
                <w:color w:val="auto"/>
              </w:rPr>
            </w:pPr>
            <w:r>
              <w:rPr>
                <w:rFonts w:ascii="Arial" w:cs="Arial" w:eastAsia="Arial" w:hAnsi="Arial"/>
                <w:sz w:val="13"/>
                <w:szCs w:val="13"/>
                <w:color w:val="auto"/>
              </w:rPr>
              <w:t>translation, net of hedges</w:t>
            </w: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March 31, 2021</w:t>
            </w:r>
          </w:p>
        </w:tc>
        <w:tc>
          <w:tcPr>
            <w:tcW w:w="7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44,080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615</w:t>
            </w: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3"/>
                <w:szCs w:val="13"/>
                <w:color w:val="auto"/>
              </w:rPr>
              <w:t>(18,077)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(1,368,721)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448,432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599,833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(84,975)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(404,788)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SHAREHOLDERS' DEFICIT (CONTINUED)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1580" w:type="dxa"/>
            <w:vAlign w:val="bottom"/>
            <w:gridSpan w:val="5"/>
            <w:vMerge w:val="restart"/>
          </w:tcPr>
          <w:p>
            <w:pPr>
              <w:ind w:left="240"/>
              <w:spacing w:after="0"/>
              <w:rPr>
                <w:sz w:val="20"/>
                <w:szCs w:val="20"/>
                <w:color w:val="auto"/>
              </w:rPr>
            </w:pPr>
            <w:r>
              <w:rPr>
                <w:rFonts w:ascii="Arial" w:cs="Arial" w:eastAsia="Arial" w:hAnsi="Arial"/>
                <w:sz w:val="12"/>
                <w:szCs w:val="12"/>
                <w:b w:val="1"/>
                <w:bCs w:val="1"/>
                <w:color w:val="auto"/>
              </w:rPr>
              <w:t>Ordinary Shares</w:t>
            </w:r>
          </w:p>
        </w:tc>
        <w:tc>
          <w:tcPr>
            <w:tcW w:w="158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rPr>
              <w:t>Deferred Ordinary</w:t>
            </w:r>
          </w:p>
        </w:tc>
        <w:tc>
          <w:tcPr>
            <w:tcW w:w="1980" w:type="dxa"/>
            <w:vAlign w:val="bottom"/>
            <w:gridSpan w:val="5"/>
            <w:vMerge w:val="restart"/>
          </w:tcPr>
          <w:p>
            <w:pPr>
              <w:ind w:left="460"/>
              <w:spacing w:after="0"/>
              <w:rPr>
                <w:sz w:val="20"/>
                <w:szCs w:val="20"/>
                <w:color w:val="auto"/>
              </w:rPr>
            </w:pPr>
            <w:r>
              <w:rPr>
                <w:rFonts w:ascii="Arial" w:cs="Arial" w:eastAsia="Arial" w:hAnsi="Arial"/>
                <w:sz w:val="12"/>
                <w:szCs w:val="12"/>
                <w:b w:val="1"/>
                <w:bCs w:val="1"/>
                <w:color w:val="auto"/>
              </w:rPr>
              <w:t>Treasury Shares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58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9"/>
              </w:rPr>
              <w:t>Shares</w:t>
            </w:r>
          </w:p>
        </w:tc>
        <w:tc>
          <w:tcPr>
            <w:tcW w:w="19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80" w:type="dxa"/>
            <w:vAlign w:val="bottom"/>
          </w:tcPr>
          <w:p>
            <w:pPr>
              <w:spacing w:after="0"/>
              <w:rPr>
                <w:sz w:val="10"/>
                <w:szCs w:val="10"/>
                <w:color w:val="auto"/>
              </w:rPr>
            </w:pPr>
          </w:p>
        </w:tc>
        <w:tc>
          <w:tcPr>
            <w:tcW w:w="1340" w:type="dxa"/>
            <w:vAlign w:val="bottom"/>
            <w:gridSpan w:val="2"/>
          </w:tcPr>
          <w:p>
            <w:pPr>
              <w:jc w:val="center"/>
              <w:ind w:right="160"/>
              <w:spacing w:after="0" w:line="125" w:lineRule="exact"/>
              <w:rPr>
                <w:sz w:val="20"/>
                <w:szCs w:val="20"/>
                <w:color w:val="auto"/>
              </w:rPr>
            </w:pPr>
            <w:r>
              <w:rPr>
                <w:rFonts w:ascii="Arial" w:cs="Arial" w:eastAsia="Arial" w:hAnsi="Arial"/>
                <w:sz w:val="12"/>
                <w:szCs w:val="12"/>
                <w:b w:val="1"/>
                <w:bCs w:val="1"/>
                <w:color w:val="auto"/>
              </w:rPr>
              <w:t>Accumulated Other</w:t>
            </w:r>
          </w:p>
        </w:tc>
        <w:tc>
          <w:tcPr>
            <w:tcW w:w="140" w:type="dxa"/>
            <w:vAlign w:val="bottom"/>
          </w:tcPr>
          <w:p>
            <w:pPr>
              <w:spacing w:after="0"/>
              <w:rPr>
                <w:sz w:val="10"/>
                <w:szCs w:val="10"/>
                <w:color w:val="auto"/>
              </w:rPr>
            </w:pPr>
          </w:p>
        </w:tc>
        <w:tc>
          <w:tcPr>
            <w:tcW w:w="1100" w:type="dxa"/>
            <w:vAlign w:val="bottom"/>
          </w:tcPr>
          <w:p>
            <w:pPr>
              <w:jc w:val="center"/>
              <w:ind w:right="74"/>
              <w:spacing w:after="0" w:line="125"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0"/>
        </w:trPr>
        <w:tc>
          <w:tcPr>
            <w:tcW w:w="1420" w:type="dxa"/>
            <w:vAlign w:val="bottom"/>
          </w:tcPr>
          <w:p>
            <w:pPr>
              <w:spacing w:after="0"/>
              <w:rPr>
                <w:sz w:val="4"/>
                <w:szCs w:val="4"/>
                <w:color w:val="auto"/>
              </w:rPr>
            </w:pPr>
          </w:p>
        </w:tc>
        <w:tc>
          <w:tcPr>
            <w:tcW w:w="780" w:type="dxa"/>
            <w:vAlign w:val="bottom"/>
            <w:gridSpan w:val="2"/>
            <w:vMerge w:val="restart"/>
          </w:tcPr>
          <w:p>
            <w:pPr>
              <w:jc w:val="center"/>
              <w:ind w:right="100"/>
              <w:spacing w:after="0" w:line="125" w:lineRule="exact"/>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4"/>
                <w:szCs w:val="4"/>
                <w:color w:val="auto"/>
              </w:rPr>
            </w:pPr>
          </w:p>
        </w:tc>
        <w:tc>
          <w:tcPr>
            <w:tcW w:w="700" w:type="dxa"/>
            <w:vAlign w:val="bottom"/>
            <w:gridSpan w:val="2"/>
            <w:vMerge w:val="restart"/>
          </w:tcPr>
          <w:p>
            <w:pPr>
              <w:spacing w:after="0" w:line="125" w:lineRule="exact"/>
              <w:rPr>
                <w:sz w:val="20"/>
                <w:szCs w:val="20"/>
                <w:color w:val="auto"/>
              </w:rPr>
            </w:pPr>
            <w:r>
              <w:rPr>
                <w:rFonts w:ascii="Arial" w:cs="Arial" w:eastAsia="Arial" w:hAnsi="Arial"/>
                <w:sz w:val="12"/>
                <w:szCs w:val="12"/>
                <w:b w:val="1"/>
                <w:bCs w:val="1"/>
                <w:color w:val="auto"/>
              </w:rPr>
              <w:t>Amount</w:t>
            </w:r>
          </w:p>
        </w:tc>
        <w:tc>
          <w:tcPr>
            <w:tcW w:w="780" w:type="dxa"/>
            <w:vAlign w:val="bottom"/>
            <w:gridSpan w:val="2"/>
            <w:vMerge w:val="restart"/>
          </w:tcPr>
          <w:p>
            <w:pPr>
              <w:jc w:val="center"/>
              <w:ind w:right="100"/>
              <w:spacing w:after="0" w:line="125" w:lineRule="exact"/>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4"/>
                <w:szCs w:val="4"/>
                <w:color w:val="auto"/>
              </w:rPr>
            </w:pPr>
          </w:p>
        </w:tc>
        <w:tc>
          <w:tcPr>
            <w:tcW w:w="700" w:type="dxa"/>
            <w:vAlign w:val="bottom"/>
            <w:gridSpan w:val="2"/>
            <w:vMerge w:val="restart"/>
          </w:tcPr>
          <w:p>
            <w:pPr>
              <w:ind w:left="20"/>
              <w:spacing w:after="0" w:line="125" w:lineRule="exact"/>
              <w:rPr>
                <w:sz w:val="20"/>
                <w:szCs w:val="20"/>
                <w:color w:val="auto"/>
              </w:rPr>
            </w:pPr>
            <w:r>
              <w:rPr>
                <w:rFonts w:ascii="Arial" w:cs="Arial" w:eastAsia="Arial" w:hAnsi="Arial"/>
                <w:sz w:val="12"/>
                <w:szCs w:val="12"/>
                <w:b w:val="1"/>
                <w:bCs w:val="1"/>
                <w:color w:val="auto"/>
              </w:rPr>
              <w:t>Amount</w:t>
            </w:r>
          </w:p>
        </w:tc>
        <w:tc>
          <w:tcPr>
            <w:tcW w:w="820" w:type="dxa"/>
            <w:vAlign w:val="bottom"/>
            <w:gridSpan w:val="2"/>
            <w:vMerge w:val="restart"/>
          </w:tcPr>
          <w:p>
            <w:pPr>
              <w:jc w:val="center"/>
              <w:ind w:right="100"/>
              <w:spacing w:after="0" w:line="12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960" w:type="dxa"/>
            <w:vAlign w:val="bottom"/>
            <w:gridSpan w:val="2"/>
            <w:vMerge w:val="restart"/>
          </w:tcPr>
          <w:p>
            <w:pPr>
              <w:ind w:left="100"/>
              <w:spacing w:after="0" w:line="125"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4"/>
                <w:szCs w:val="4"/>
                <w:color w:val="auto"/>
              </w:rPr>
            </w:pPr>
          </w:p>
        </w:tc>
        <w:tc>
          <w:tcPr>
            <w:tcW w:w="920" w:type="dxa"/>
            <w:vAlign w:val="bottom"/>
            <w:gridSpan w:val="2"/>
            <w:vMerge w:val="restart"/>
          </w:tcPr>
          <w:p>
            <w:pPr>
              <w:jc w:val="center"/>
              <w:ind w:right="220"/>
              <w:spacing w:after="0" w:line="125"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2"/>
            <w:vMerge w:val="restart"/>
          </w:tcPr>
          <w:p>
            <w:pPr>
              <w:jc w:val="center"/>
              <w:ind w:right="160"/>
              <w:spacing w:after="0" w:line="125"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4"/>
                <w:szCs w:val="4"/>
                <w:color w:val="auto"/>
              </w:rPr>
            </w:pPr>
          </w:p>
        </w:tc>
        <w:tc>
          <w:tcPr>
            <w:tcW w:w="1100" w:type="dxa"/>
            <w:vAlign w:val="bottom"/>
            <w:vMerge w:val="restart"/>
          </w:tcPr>
          <w:p>
            <w:pPr>
              <w:jc w:val="center"/>
              <w:ind w:right="74"/>
              <w:spacing w:after="0" w:line="125"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75"/>
        </w:trPr>
        <w:tc>
          <w:tcPr>
            <w:tcW w:w="1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Earnings</w:t>
            </w:r>
          </w:p>
        </w:tc>
        <w:tc>
          <w:tcPr>
            <w:tcW w:w="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42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Issued</w:t>
            </w: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Issued</w:t>
            </w: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Loss</w:t>
            </w:r>
          </w:p>
        </w:tc>
        <w:tc>
          <w:tcPr>
            <w:tcW w:w="140" w:type="dxa"/>
            <w:vAlign w:val="bottom"/>
          </w:tcPr>
          <w:p>
            <w:pPr>
              <w:spacing w:after="0"/>
              <w:rPr>
                <w:sz w:val="7"/>
                <w:szCs w:val="7"/>
                <w:color w:val="auto"/>
              </w:rPr>
            </w:pPr>
          </w:p>
        </w:tc>
        <w:tc>
          <w:tcPr>
            <w:tcW w:w="1100" w:type="dxa"/>
            <w:vAlign w:val="bottom"/>
            <w:vMerge w:val="restart"/>
          </w:tcPr>
          <w:p>
            <w:pPr>
              <w:jc w:val="center"/>
              <w:ind w:right="54"/>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80"/>
        </w:trPr>
        <w:tc>
          <w:tcPr>
            <w:tcW w:w="1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42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2"/>
                <w:szCs w:val="12"/>
                <w:color w:val="auto"/>
              </w:rPr>
              <w:t>Balance at June 30,</w:t>
            </w: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2021</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615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(1,368,595)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459,904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530,159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(449,371)</w:t>
            </w:r>
          </w:p>
        </w:tc>
        <w:tc>
          <w:tcPr>
            <w:tcW w:w="0" w:type="dxa"/>
            <w:vAlign w:val="bottom"/>
          </w:tcPr>
          <w:p>
            <w:pPr>
              <w:spacing w:after="0"/>
              <w:rPr>
                <w:sz w:val="1"/>
                <w:szCs w:val="1"/>
                <w:color w:val="auto"/>
              </w:rPr>
            </w:pPr>
          </w:p>
        </w:tc>
      </w:tr>
      <w:tr>
        <w:trPr>
          <w:trHeight w:val="136"/>
        </w:trPr>
        <w:tc>
          <w:tcPr>
            <w:tcW w:w="1420" w:type="dxa"/>
            <w:vAlign w:val="bottom"/>
          </w:tcPr>
          <w:p>
            <w:pPr>
              <w:spacing w:after="0" w:line="136" w:lineRule="exact"/>
              <w:rPr>
                <w:sz w:val="20"/>
                <w:szCs w:val="20"/>
                <w:color w:val="auto"/>
              </w:rPr>
            </w:pPr>
            <w:r>
              <w:rPr>
                <w:rFonts w:ascii="Arial" w:cs="Arial" w:eastAsia="Arial" w:hAnsi="Arial"/>
                <w:sz w:val="12"/>
                <w:szCs w:val="12"/>
                <w:color w:val="auto"/>
              </w:rPr>
              <w:t>Restricted share units</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5" w:lineRule="exact"/>
              <w:rPr>
                <w:sz w:val="20"/>
                <w:szCs w:val="20"/>
                <w:color w:val="auto"/>
              </w:rPr>
            </w:pPr>
            <w:r>
              <w:rPr>
                <w:rFonts w:ascii="Arial" w:cs="Arial" w:eastAsia="Arial" w:hAnsi="Arial"/>
                <w:sz w:val="12"/>
                <w:szCs w:val="12"/>
                <w:color w:val="auto"/>
              </w:rPr>
              <w:t>vested, net of shares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2"/>
                <w:szCs w:val="12"/>
                <w:color w:val="auto"/>
              </w:rPr>
              <w:t>withheld for taxes</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(6,095)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(2,579)</w:t>
            </w:r>
          </w:p>
        </w:tc>
        <w:tc>
          <w:tcPr>
            <w:tcW w:w="0" w:type="dxa"/>
            <w:vAlign w:val="bottom"/>
          </w:tcPr>
          <w:p>
            <w:pPr>
              <w:spacing w:after="0"/>
              <w:rPr>
                <w:sz w:val="1"/>
                <w:szCs w:val="1"/>
                <w:color w:val="auto"/>
              </w:rPr>
            </w:pPr>
          </w:p>
        </w:tc>
      </w:tr>
      <w:tr>
        <w:trPr>
          <w:trHeight w:val="136"/>
        </w:trPr>
        <w:tc>
          <w:tcPr>
            <w:tcW w:w="14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compensation expense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11,129</w:t>
            </w:r>
          </w:p>
        </w:tc>
        <w:tc>
          <w:tcPr>
            <w:tcW w:w="0" w:type="dxa"/>
            <w:vAlign w:val="bottom"/>
          </w:tcPr>
          <w:p>
            <w:pPr>
              <w:spacing w:after="0"/>
              <w:rPr>
                <w:sz w:val="1"/>
                <w:szCs w:val="1"/>
                <w:color w:val="auto"/>
              </w:rPr>
            </w:pPr>
          </w:p>
        </w:tc>
      </w:tr>
      <w:tr>
        <w:trPr>
          <w:trHeight w:val="136"/>
        </w:trPr>
        <w:tc>
          <w:tcPr>
            <w:tcW w:w="1420" w:type="dxa"/>
            <w:vAlign w:val="bottom"/>
          </w:tcPr>
          <w:p>
            <w:pPr>
              <w:spacing w:after="0" w:line="136" w:lineRule="exact"/>
              <w:rPr>
                <w:sz w:val="20"/>
                <w:szCs w:val="20"/>
                <w:color w:val="auto"/>
              </w:rPr>
            </w:pPr>
            <w:r>
              <w:rPr>
                <w:rFonts w:ascii="Arial" w:cs="Arial" w:eastAsia="Arial" w:hAnsi="Arial"/>
                <w:sz w:val="12"/>
                <w:szCs w:val="12"/>
                <w:color w:val="auto"/>
              </w:rPr>
              <w:t>Net loss attributable to</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2"/>
                <w:szCs w:val="12"/>
                <w:color w:val="auto"/>
              </w:rPr>
              <w:t>Cimpress plc</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(6,698)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(6,698)</w:t>
            </w:r>
          </w:p>
        </w:tc>
        <w:tc>
          <w:tcPr>
            <w:tcW w:w="0" w:type="dxa"/>
            <w:vAlign w:val="bottom"/>
          </w:tcPr>
          <w:p>
            <w:pPr>
              <w:spacing w:after="0"/>
              <w:rPr>
                <w:sz w:val="1"/>
                <w:szCs w:val="1"/>
                <w:color w:val="auto"/>
              </w:rPr>
            </w:pPr>
          </w:p>
        </w:tc>
      </w:tr>
      <w:tr>
        <w:trPr>
          <w:trHeight w:val="136"/>
        </w:trPr>
        <w:tc>
          <w:tcPr>
            <w:tcW w:w="14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Redeemable</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noncontrolling interest</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accretion to redemption</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value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(7,592)</w:t>
            </w:r>
          </w:p>
        </w:tc>
        <w:tc>
          <w:tcPr>
            <w:tcW w:w="0" w:type="dxa"/>
            <w:vAlign w:val="bottom"/>
          </w:tcPr>
          <w:p>
            <w:pPr>
              <w:spacing w:after="0"/>
              <w:rPr>
                <w:sz w:val="1"/>
                <w:szCs w:val="1"/>
                <w:color w:val="auto"/>
              </w:rPr>
            </w:pPr>
          </w:p>
        </w:tc>
      </w:tr>
      <w:tr>
        <w:trPr>
          <w:trHeight w:val="136"/>
        </w:trPr>
        <w:tc>
          <w:tcPr>
            <w:tcW w:w="1420" w:type="dxa"/>
            <w:vAlign w:val="bottom"/>
          </w:tcPr>
          <w:p>
            <w:pPr>
              <w:spacing w:after="0" w:line="136" w:lineRule="exact"/>
              <w:rPr>
                <w:sz w:val="20"/>
                <w:szCs w:val="20"/>
                <w:color w:val="auto"/>
              </w:rPr>
            </w:pPr>
            <w:r>
              <w:rPr>
                <w:rFonts w:ascii="Arial" w:cs="Arial" w:eastAsia="Arial" w:hAnsi="Arial"/>
                <w:sz w:val="12"/>
                <w:szCs w:val="12"/>
                <w:color w:val="auto"/>
              </w:rPr>
              <w:t>Net unrealized gain on</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5" w:lineRule="exact"/>
              <w:rPr>
                <w:sz w:val="20"/>
                <w:szCs w:val="20"/>
                <w:color w:val="auto"/>
              </w:rPr>
            </w:pPr>
            <w:r>
              <w:rPr>
                <w:rFonts w:ascii="Arial" w:cs="Arial" w:eastAsia="Arial" w:hAnsi="Arial"/>
                <w:sz w:val="12"/>
                <w:szCs w:val="12"/>
                <w:color w:val="auto"/>
              </w:rPr>
              <w:t>derivative instruments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5" w:lineRule="exact"/>
              <w:rPr>
                <w:sz w:val="20"/>
                <w:szCs w:val="20"/>
                <w:color w:val="auto"/>
              </w:rPr>
            </w:pPr>
            <w:r>
              <w:rPr>
                <w:rFonts w:ascii="Arial" w:cs="Arial" w:eastAsia="Arial" w:hAnsi="Arial"/>
                <w:sz w:val="12"/>
                <w:szCs w:val="12"/>
                <w:color w:val="auto"/>
              </w:rPr>
              <w:t>designated and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5" w:lineRule="exact"/>
              <w:rPr>
                <w:sz w:val="20"/>
                <w:szCs w:val="20"/>
                <w:color w:val="auto"/>
              </w:rPr>
            </w:pPr>
            <w:r>
              <w:rPr>
                <w:rFonts w:ascii="Arial" w:cs="Arial" w:eastAsia="Arial" w:hAnsi="Arial"/>
                <w:sz w:val="12"/>
                <w:szCs w:val="12"/>
                <w:color w:val="auto"/>
              </w:rPr>
              <w:t>qualifying as cash flow</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2"/>
                <w:szCs w:val="12"/>
                <w:color w:val="auto"/>
              </w:rPr>
              <w:t>hedges</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3,621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3,621</w:t>
            </w:r>
          </w:p>
        </w:tc>
        <w:tc>
          <w:tcPr>
            <w:tcW w:w="0" w:type="dxa"/>
            <w:vAlign w:val="bottom"/>
          </w:tcPr>
          <w:p>
            <w:pPr>
              <w:spacing w:after="0"/>
              <w:rPr>
                <w:sz w:val="1"/>
                <w:szCs w:val="1"/>
                <w:color w:val="auto"/>
              </w:rPr>
            </w:pPr>
          </w:p>
        </w:tc>
      </w:tr>
      <w:tr>
        <w:trPr>
          <w:trHeight w:val="136"/>
        </w:trPr>
        <w:tc>
          <w:tcPr>
            <w:tcW w:w="14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Foreign currency</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translation, net of</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hedges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116"/>
        </w:trPr>
        <w:tc>
          <w:tcPr>
            <w:tcW w:w="1420" w:type="dxa"/>
            <w:vAlign w:val="bottom"/>
          </w:tcPr>
          <w:p>
            <w:pPr>
              <w:spacing w:after="0" w:line="117" w:lineRule="exact"/>
              <w:rPr>
                <w:sz w:val="20"/>
                <w:szCs w:val="20"/>
                <w:color w:val="auto"/>
              </w:rPr>
            </w:pPr>
            <w:r>
              <w:rPr>
                <w:rFonts w:ascii="Arial" w:cs="Arial" w:eastAsia="Arial" w:hAnsi="Arial"/>
                <w:sz w:val="12"/>
                <w:szCs w:val="12"/>
                <w:color w:val="auto"/>
              </w:rPr>
              <w:t>Balance at September</w:t>
            </w: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30, 2021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44,080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615</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(17,991)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(1,365,079)</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464,938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515,869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(67,187)</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(450,816)</w:t>
            </w:r>
          </w:p>
        </w:tc>
        <w:tc>
          <w:tcPr>
            <w:tcW w:w="0" w:type="dxa"/>
            <w:vAlign w:val="bottom"/>
          </w:tcPr>
          <w:p>
            <w:pPr>
              <w:spacing w:after="0"/>
              <w:rPr>
                <w:sz w:val="1"/>
                <w:szCs w:val="1"/>
                <w:color w:val="auto"/>
              </w:rPr>
            </w:pPr>
          </w:p>
        </w:tc>
      </w:tr>
      <w:tr>
        <w:trPr>
          <w:trHeight w:val="116"/>
        </w:trPr>
        <w:tc>
          <w:tcPr>
            <w:tcW w:w="1420" w:type="dxa"/>
            <w:vAlign w:val="bottom"/>
            <w:shd w:val="clear" w:color="auto" w:fill="CCEEFF"/>
          </w:tcPr>
          <w:p>
            <w:pPr>
              <w:spacing w:after="0" w:line="117" w:lineRule="exact"/>
              <w:rPr>
                <w:sz w:val="20"/>
                <w:szCs w:val="20"/>
                <w:color w:val="auto"/>
              </w:rPr>
            </w:pPr>
            <w:r>
              <w:rPr>
                <w:rFonts w:ascii="Arial" w:cs="Arial" w:eastAsia="Arial" w:hAnsi="Arial"/>
                <w:sz w:val="12"/>
                <w:szCs w:val="12"/>
                <w:color w:val="auto"/>
              </w:rPr>
              <w:t>Restricted share units</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vested, net of shares</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withheld for taxes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136"/>
        </w:trPr>
        <w:tc>
          <w:tcPr>
            <w:tcW w:w="1420" w:type="dxa"/>
            <w:vAlign w:val="bottom"/>
          </w:tcPr>
          <w:p>
            <w:pPr>
              <w:spacing w:after="0" w:line="136" w:lineRule="exact"/>
              <w:rPr>
                <w:sz w:val="20"/>
                <w:szCs w:val="20"/>
                <w:color w:val="auto"/>
              </w:rPr>
            </w:pPr>
            <w:r>
              <w:rPr>
                <w:rFonts w:ascii="Arial" w:cs="Arial" w:eastAsia="Arial" w:hAnsi="Arial"/>
                <w:sz w:val="12"/>
                <w:szCs w:val="12"/>
                <w:color w:val="auto"/>
              </w:rPr>
              <w:t>Share-based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2"/>
                <w:szCs w:val="12"/>
                <w:color w:val="auto"/>
              </w:rPr>
              <w:t>compensation expense</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12,398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12,398</w:t>
            </w:r>
          </w:p>
        </w:tc>
        <w:tc>
          <w:tcPr>
            <w:tcW w:w="0" w:type="dxa"/>
            <w:vAlign w:val="bottom"/>
          </w:tcPr>
          <w:p>
            <w:pPr>
              <w:spacing w:after="0"/>
              <w:rPr>
                <w:sz w:val="1"/>
                <w:szCs w:val="1"/>
                <w:color w:val="auto"/>
              </w:rPr>
            </w:pPr>
          </w:p>
        </w:tc>
      </w:tr>
      <w:tr>
        <w:trPr>
          <w:trHeight w:val="136"/>
        </w:trPr>
        <w:tc>
          <w:tcPr>
            <w:tcW w:w="14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income attributable</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to Cimpress plc</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54,789</w:t>
            </w:r>
          </w:p>
        </w:tc>
        <w:tc>
          <w:tcPr>
            <w:tcW w:w="0" w:type="dxa"/>
            <w:vAlign w:val="bottom"/>
          </w:tcPr>
          <w:p>
            <w:pPr>
              <w:spacing w:after="0"/>
              <w:rPr>
                <w:sz w:val="1"/>
                <w:szCs w:val="1"/>
                <w:color w:val="auto"/>
              </w:rPr>
            </w:pPr>
          </w:p>
        </w:tc>
      </w:tr>
      <w:tr>
        <w:trPr>
          <w:trHeight w:val="136"/>
        </w:trPr>
        <w:tc>
          <w:tcPr>
            <w:tcW w:w="1420" w:type="dxa"/>
            <w:vAlign w:val="bottom"/>
          </w:tcPr>
          <w:p>
            <w:pPr>
              <w:spacing w:after="0" w:line="136" w:lineRule="exact"/>
              <w:rPr>
                <w:sz w:val="20"/>
                <w:szCs w:val="20"/>
                <w:color w:val="auto"/>
              </w:rPr>
            </w:pPr>
            <w:r>
              <w:rPr>
                <w:rFonts w:ascii="Arial" w:cs="Arial" w:eastAsia="Arial" w:hAnsi="Arial"/>
                <w:sz w:val="12"/>
                <w:szCs w:val="12"/>
                <w:color w:val="auto"/>
              </w:rPr>
              <w:t>Redeemable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5" w:lineRule="exact"/>
              <w:rPr>
                <w:sz w:val="20"/>
                <w:szCs w:val="20"/>
                <w:color w:val="auto"/>
              </w:rPr>
            </w:pPr>
            <w:r>
              <w:rPr>
                <w:rFonts w:ascii="Arial" w:cs="Arial" w:eastAsia="Arial" w:hAnsi="Arial"/>
                <w:sz w:val="12"/>
                <w:szCs w:val="12"/>
                <w:color w:val="auto"/>
              </w:rPr>
              <w:t>noncontrolling interest</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5" w:lineRule="exact"/>
              <w:rPr>
                <w:sz w:val="20"/>
                <w:szCs w:val="20"/>
                <w:color w:val="auto"/>
              </w:rPr>
            </w:pPr>
            <w:r>
              <w:rPr>
                <w:rFonts w:ascii="Arial" w:cs="Arial" w:eastAsia="Arial" w:hAnsi="Arial"/>
                <w:sz w:val="12"/>
                <w:szCs w:val="12"/>
                <w:color w:val="auto"/>
              </w:rPr>
              <w:t>accretion to redemption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2"/>
                <w:szCs w:val="12"/>
                <w:color w:val="auto"/>
              </w:rPr>
              <w:t>value</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(8,444)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(8,444)</w:t>
            </w:r>
          </w:p>
        </w:tc>
        <w:tc>
          <w:tcPr>
            <w:tcW w:w="0" w:type="dxa"/>
            <w:vAlign w:val="bottom"/>
          </w:tcPr>
          <w:p>
            <w:pPr>
              <w:spacing w:after="0"/>
              <w:rPr>
                <w:sz w:val="1"/>
                <w:szCs w:val="1"/>
                <w:color w:val="auto"/>
              </w:rPr>
            </w:pPr>
          </w:p>
        </w:tc>
      </w:tr>
      <w:tr>
        <w:trPr>
          <w:trHeight w:val="136"/>
        </w:trPr>
        <w:tc>
          <w:tcPr>
            <w:tcW w:w="14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Purchase of</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i w:val="1"/>
                <w:iCs w:val="1"/>
                <w:color w:val="auto"/>
              </w:rPr>
              <w:t>—</w:t>
            </w:r>
          </w:p>
        </w:tc>
        <w:tc>
          <w:tcPr>
            <w:tcW w:w="8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i w:val="1"/>
                <w:iCs w:val="1"/>
                <w:color w:val="auto"/>
              </w:rPr>
              <w:t>—</w:t>
            </w: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noncontrolling interest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36"/>
        </w:trPr>
        <w:tc>
          <w:tcPr>
            <w:tcW w:w="1420" w:type="dxa"/>
            <w:vAlign w:val="bottom"/>
          </w:tcPr>
          <w:p>
            <w:pPr>
              <w:spacing w:after="0" w:line="136" w:lineRule="exact"/>
              <w:rPr>
                <w:sz w:val="20"/>
                <w:szCs w:val="20"/>
                <w:color w:val="auto"/>
              </w:rPr>
            </w:pPr>
            <w:r>
              <w:rPr>
                <w:rFonts w:ascii="Arial" w:cs="Arial" w:eastAsia="Arial" w:hAnsi="Arial"/>
                <w:sz w:val="12"/>
                <w:szCs w:val="12"/>
                <w:color w:val="auto"/>
              </w:rPr>
              <w:t>Net unrealized gain on</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5" w:lineRule="exact"/>
              <w:rPr>
                <w:sz w:val="20"/>
                <w:szCs w:val="20"/>
                <w:color w:val="auto"/>
              </w:rPr>
            </w:pPr>
            <w:r>
              <w:rPr>
                <w:rFonts w:ascii="Arial" w:cs="Arial" w:eastAsia="Arial" w:hAnsi="Arial"/>
                <w:sz w:val="12"/>
                <w:szCs w:val="12"/>
                <w:color w:val="auto"/>
              </w:rPr>
              <w:t>derivative instruments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5" w:lineRule="exact"/>
              <w:rPr>
                <w:sz w:val="20"/>
                <w:szCs w:val="20"/>
                <w:color w:val="auto"/>
              </w:rPr>
            </w:pPr>
            <w:r>
              <w:rPr>
                <w:rFonts w:ascii="Arial" w:cs="Arial" w:eastAsia="Arial" w:hAnsi="Arial"/>
                <w:sz w:val="12"/>
                <w:szCs w:val="12"/>
                <w:color w:val="auto"/>
              </w:rPr>
              <w:t>designated and</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5" w:lineRule="exact"/>
              <w:rPr>
                <w:sz w:val="20"/>
                <w:szCs w:val="20"/>
                <w:color w:val="auto"/>
              </w:rPr>
            </w:pPr>
            <w:r>
              <w:rPr>
                <w:rFonts w:ascii="Arial" w:cs="Arial" w:eastAsia="Arial" w:hAnsi="Arial"/>
                <w:sz w:val="12"/>
                <w:szCs w:val="12"/>
                <w:color w:val="auto"/>
              </w:rPr>
              <w:t>qualifying as cash flow</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2"/>
                <w:szCs w:val="12"/>
                <w:color w:val="auto"/>
              </w:rPr>
              <w:t>hedges</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5,270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5,270</w:t>
            </w:r>
          </w:p>
        </w:tc>
        <w:tc>
          <w:tcPr>
            <w:tcW w:w="0" w:type="dxa"/>
            <w:vAlign w:val="bottom"/>
          </w:tcPr>
          <w:p>
            <w:pPr>
              <w:spacing w:after="0"/>
              <w:rPr>
                <w:sz w:val="1"/>
                <w:szCs w:val="1"/>
                <w:color w:val="auto"/>
              </w:rPr>
            </w:pPr>
          </w:p>
        </w:tc>
      </w:tr>
      <w:tr>
        <w:trPr>
          <w:trHeight w:val="136"/>
        </w:trPr>
        <w:tc>
          <w:tcPr>
            <w:tcW w:w="14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Foreign currency</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translation, net of</w:t>
            </w: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hedges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4,146</w:t>
            </w:r>
          </w:p>
        </w:tc>
        <w:tc>
          <w:tcPr>
            <w:tcW w:w="0" w:type="dxa"/>
            <w:vAlign w:val="bottom"/>
          </w:tcPr>
          <w:p>
            <w:pPr>
              <w:spacing w:after="0"/>
              <w:rPr>
                <w:sz w:val="1"/>
                <w:szCs w:val="1"/>
                <w:color w:val="auto"/>
              </w:rPr>
            </w:pPr>
          </w:p>
        </w:tc>
      </w:tr>
      <w:tr>
        <w:trPr>
          <w:trHeight w:val="136"/>
        </w:trPr>
        <w:tc>
          <w:tcPr>
            <w:tcW w:w="1420" w:type="dxa"/>
            <w:vAlign w:val="bottom"/>
          </w:tcPr>
          <w:p>
            <w:pPr>
              <w:spacing w:after="0" w:line="136" w:lineRule="exact"/>
              <w:rPr>
                <w:sz w:val="20"/>
                <w:szCs w:val="20"/>
                <w:color w:val="auto"/>
              </w:rPr>
            </w:pPr>
            <w:r>
              <w:rPr>
                <w:rFonts w:ascii="Arial" w:cs="Arial" w:eastAsia="Arial" w:hAnsi="Arial"/>
                <w:sz w:val="12"/>
                <w:szCs w:val="12"/>
                <w:color w:val="auto"/>
              </w:rPr>
              <w:t>Unrealized gain on</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line="125" w:lineRule="exact"/>
              <w:rPr>
                <w:sz w:val="20"/>
                <w:szCs w:val="20"/>
                <w:color w:val="auto"/>
              </w:rPr>
            </w:pPr>
            <w:r>
              <w:rPr>
                <w:rFonts w:ascii="Arial" w:cs="Arial" w:eastAsia="Arial" w:hAnsi="Arial"/>
                <w:sz w:val="12"/>
                <w:szCs w:val="12"/>
                <w:color w:val="auto"/>
              </w:rPr>
              <w:t>pension benefit</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2"/>
                <w:szCs w:val="12"/>
                <w:color w:val="auto"/>
              </w:rPr>
              <w:t>obligation, net of tax</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444</w:t>
            </w:r>
          </w:p>
        </w:tc>
        <w:tc>
          <w:tcPr>
            <w:tcW w:w="0" w:type="dxa"/>
            <w:vAlign w:val="bottom"/>
          </w:tcPr>
          <w:p>
            <w:pPr>
              <w:spacing w:after="0"/>
              <w:rPr>
                <w:sz w:val="1"/>
                <w:szCs w:val="1"/>
                <w:color w:val="auto"/>
              </w:rPr>
            </w:pPr>
          </w:p>
        </w:tc>
      </w:tr>
      <w:tr>
        <w:trPr>
          <w:trHeight w:val="116"/>
        </w:trPr>
        <w:tc>
          <w:tcPr>
            <w:tcW w:w="1420" w:type="dxa"/>
            <w:vAlign w:val="bottom"/>
            <w:tcBorders>
              <w:top w:val="single" w:sz="8" w:color="CCEEFF"/>
            </w:tcBorders>
            <w:shd w:val="clear" w:color="auto" w:fill="CCEEFF"/>
          </w:tcPr>
          <w:p>
            <w:pPr>
              <w:spacing w:after="0" w:line="117" w:lineRule="exact"/>
              <w:rPr>
                <w:sz w:val="20"/>
                <w:szCs w:val="20"/>
                <w:color w:val="auto"/>
              </w:rPr>
            </w:pPr>
            <w:r>
              <w:rPr>
                <w:rFonts w:ascii="Arial" w:cs="Arial" w:eastAsia="Arial" w:hAnsi="Arial"/>
                <w:sz w:val="12"/>
                <w:szCs w:val="12"/>
                <w:color w:val="auto"/>
              </w:rPr>
              <w:t>Balance at December</w:t>
            </w: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31, 2021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44,080</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615</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(17,980)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(1,364,336)</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476,002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562,214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(57,327)</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(382,804)</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53340</wp:posOffset>
            </wp:positionV>
            <wp:extent cx="716851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40" w:top="8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CIMPRESS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DEFICIT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1580" w:type="dxa"/>
            <w:vAlign w:val="bottom"/>
            <w:gridSpan w:val="5"/>
            <w:vMerge w:val="restart"/>
          </w:tcPr>
          <w:p>
            <w:pPr>
              <w:ind w:left="260"/>
              <w:spacing w:after="0"/>
              <w:rPr>
                <w:sz w:val="20"/>
                <w:szCs w:val="20"/>
                <w:color w:val="auto"/>
              </w:rPr>
            </w:pPr>
            <w:r>
              <w:rPr>
                <w:rFonts w:ascii="Arial" w:cs="Arial" w:eastAsia="Arial" w:hAnsi="Arial"/>
                <w:sz w:val="12"/>
                <w:szCs w:val="12"/>
                <w:b w:val="1"/>
                <w:bCs w:val="1"/>
                <w:color w:val="auto"/>
              </w:rPr>
              <w:t>Ordinary Shares</w:t>
            </w:r>
          </w:p>
        </w:tc>
        <w:tc>
          <w:tcPr>
            <w:tcW w:w="160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rPr>
              <w:t>Deferred Ordinary</w:t>
            </w:r>
          </w:p>
        </w:tc>
        <w:tc>
          <w:tcPr>
            <w:tcW w:w="2000" w:type="dxa"/>
            <w:vAlign w:val="bottom"/>
            <w:gridSpan w:val="5"/>
            <w:vMerge w:val="restart"/>
          </w:tcPr>
          <w:p>
            <w:pPr>
              <w:ind w:left="460"/>
              <w:spacing w:after="0"/>
              <w:rPr>
                <w:sz w:val="20"/>
                <w:szCs w:val="20"/>
                <w:color w:val="auto"/>
              </w:rPr>
            </w:pPr>
            <w:r>
              <w:rPr>
                <w:rFonts w:ascii="Arial" w:cs="Arial" w:eastAsia="Arial" w:hAnsi="Arial"/>
                <w:sz w:val="12"/>
                <w:szCs w:val="12"/>
                <w:b w:val="1"/>
                <w:bCs w:val="1"/>
                <w:color w:val="auto"/>
              </w:rPr>
              <w:t>Treasury Shares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60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rPr>
              <w:t>Shares</w:t>
            </w:r>
          </w:p>
        </w:tc>
        <w:tc>
          <w:tcPr>
            <w:tcW w:w="20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80"/>
              <w:spacing w:after="0" w:line="125" w:lineRule="exact"/>
              <w:rPr>
                <w:sz w:val="20"/>
                <w:szCs w:val="20"/>
                <w:color w:val="auto"/>
              </w:rPr>
            </w:pPr>
            <w:r>
              <w:rPr>
                <w:rFonts w:ascii="Arial" w:cs="Arial" w:eastAsia="Arial" w:hAnsi="Arial"/>
                <w:sz w:val="12"/>
                <w:szCs w:val="12"/>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00"/>
              <w:spacing w:after="0" w:line="125"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25" w:lineRule="exact"/>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0"/>
                <w:szCs w:val="10"/>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134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rPr>
              <w:t>Accumulated Other</w:t>
            </w:r>
          </w:p>
        </w:tc>
        <w:tc>
          <w:tcPr>
            <w:tcW w:w="140" w:type="dxa"/>
            <w:vAlign w:val="bottom"/>
          </w:tcPr>
          <w:p>
            <w:pPr>
              <w:spacing w:after="0"/>
              <w:rPr>
                <w:sz w:val="10"/>
                <w:szCs w:val="10"/>
                <w:color w:val="auto"/>
              </w:rPr>
            </w:pPr>
          </w:p>
        </w:tc>
        <w:tc>
          <w:tcPr>
            <w:tcW w:w="1080" w:type="dxa"/>
            <w:vAlign w:val="bottom"/>
          </w:tcPr>
          <w:p>
            <w:pPr>
              <w:jc w:val="center"/>
              <w:ind w:right="75"/>
              <w:spacing w:after="0" w:line="125"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50"/>
        </w:trPr>
        <w:tc>
          <w:tcPr>
            <w:tcW w:w="1420" w:type="dxa"/>
            <w:vAlign w:val="bottom"/>
          </w:tcPr>
          <w:p>
            <w:pPr>
              <w:spacing w:after="0"/>
              <w:rPr>
                <w:sz w:val="4"/>
                <w:szCs w:val="4"/>
                <w:color w:val="auto"/>
              </w:rPr>
            </w:pPr>
          </w:p>
        </w:tc>
        <w:tc>
          <w:tcPr>
            <w:tcW w:w="780" w:type="dxa"/>
            <w:vAlign w:val="bottom"/>
            <w:gridSpan w:val="2"/>
            <w:vMerge w:val="restart"/>
          </w:tcPr>
          <w:p>
            <w:pPr>
              <w:jc w:val="center"/>
              <w:ind w:right="80"/>
              <w:spacing w:after="0" w:line="125" w:lineRule="exact"/>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4"/>
                <w:szCs w:val="4"/>
                <w:color w:val="auto"/>
              </w:rPr>
            </w:pPr>
          </w:p>
        </w:tc>
        <w:tc>
          <w:tcPr>
            <w:tcW w:w="700" w:type="dxa"/>
            <w:vAlign w:val="bottom"/>
            <w:gridSpan w:val="2"/>
            <w:vMerge w:val="restart"/>
          </w:tcPr>
          <w:p>
            <w:pPr>
              <w:ind w:left="20"/>
              <w:spacing w:after="0" w:line="125" w:lineRule="exact"/>
              <w:rPr>
                <w:sz w:val="20"/>
                <w:szCs w:val="20"/>
                <w:color w:val="auto"/>
              </w:rPr>
            </w:pPr>
            <w:r>
              <w:rPr>
                <w:rFonts w:ascii="Arial" w:cs="Arial" w:eastAsia="Arial" w:hAnsi="Arial"/>
                <w:sz w:val="12"/>
                <w:szCs w:val="12"/>
                <w:b w:val="1"/>
                <w:bCs w:val="1"/>
                <w:color w:val="auto"/>
              </w:rPr>
              <w:t>Amount</w:t>
            </w:r>
          </w:p>
        </w:tc>
        <w:tc>
          <w:tcPr>
            <w:tcW w:w="800" w:type="dxa"/>
            <w:vAlign w:val="bottom"/>
            <w:gridSpan w:val="2"/>
            <w:vMerge w:val="restart"/>
          </w:tcPr>
          <w:p>
            <w:pPr>
              <w:jc w:val="center"/>
              <w:ind w:right="100"/>
              <w:spacing w:after="0" w:line="125" w:lineRule="exact"/>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4"/>
                <w:szCs w:val="4"/>
                <w:color w:val="auto"/>
              </w:rPr>
            </w:pPr>
          </w:p>
        </w:tc>
        <w:tc>
          <w:tcPr>
            <w:tcW w:w="700" w:type="dxa"/>
            <w:vAlign w:val="bottom"/>
            <w:gridSpan w:val="2"/>
            <w:vMerge w:val="restart"/>
          </w:tcPr>
          <w:p>
            <w:pPr>
              <w:spacing w:after="0" w:line="125" w:lineRule="exact"/>
              <w:rPr>
                <w:sz w:val="20"/>
                <w:szCs w:val="20"/>
                <w:color w:val="auto"/>
              </w:rPr>
            </w:pPr>
            <w:r>
              <w:rPr>
                <w:rFonts w:ascii="Arial" w:cs="Arial" w:eastAsia="Arial" w:hAnsi="Arial"/>
                <w:sz w:val="12"/>
                <w:szCs w:val="12"/>
                <w:b w:val="1"/>
                <w:bCs w:val="1"/>
                <w:color w:val="auto"/>
              </w:rPr>
              <w:t>Amount</w:t>
            </w:r>
          </w:p>
        </w:tc>
        <w:tc>
          <w:tcPr>
            <w:tcW w:w="820" w:type="dxa"/>
            <w:vAlign w:val="bottom"/>
            <w:gridSpan w:val="2"/>
            <w:vMerge w:val="restart"/>
          </w:tcPr>
          <w:p>
            <w:pPr>
              <w:jc w:val="center"/>
              <w:ind w:right="100"/>
              <w:spacing w:after="0" w:line="12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980" w:type="dxa"/>
            <w:vAlign w:val="bottom"/>
            <w:gridSpan w:val="2"/>
            <w:vMerge w:val="restart"/>
          </w:tcPr>
          <w:p>
            <w:pPr>
              <w:ind w:left="120"/>
              <w:spacing w:after="0" w:line="125"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4"/>
                <w:szCs w:val="4"/>
                <w:color w:val="auto"/>
              </w:rPr>
            </w:pPr>
          </w:p>
        </w:tc>
        <w:tc>
          <w:tcPr>
            <w:tcW w:w="900" w:type="dxa"/>
            <w:vAlign w:val="bottom"/>
            <w:gridSpan w:val="2"/>
            <w:vMerge w:val="restart"/>
          </w:tcPr>
          <w:p>
            <w:pPr>
              <w:jc w:val="center"/>
              <w:ind w:right="220"/>
              <w:spacing w:after="0" w:line="125"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2"/>
            <w:vMerge w:val="restart"/>
          </w:tcPr>
          <w:p>
            <w:pPr>
              <w:jc w:val="center"/>
              <w:ind w:right="180"/>
              <w:spacing w:after="0" w:line="125"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4"/>
                <w:szCs w:val="4"/>
                <w:color w:val="auto"/>
              </w:rPr>
            </w:pPr>
          </w:p>
        </w:tc>
        <w:tc>
          <w:tcPr>
            <w:tcW w:w="1080" w:type="dxa"/>
            <w:vAlign w:val="bottom"/>
            <w:vMerge w:val="restart"/>
          </w:tcPr>
          <w:p>
            <w:pPr>
              <w:jc w:val="center"/>
              <w:ind w:right="75"/>
              <w:spacing w:after="0" w:line="125"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75"/>
        </w:trPr>
        <w:tc>
          <w:tcPr>
            <w:tcW w:w="1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420" w:type="dxa"/>
            <w:vAlign w:val="bottom"/>
          </w:tcPr>
          <w:p>
            <w:pPr>
              <w:spacing w:after="0"/>
              <w:rPr>
                <w:sz w:val="7"/>
                <w:szCs w:val="7"/>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Issued</w:t>
            </w: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Issued</w:t>
            </w: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Shares</w:t>
            </w: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9"/>
              </w:rPr>
              <w:t>Loss</w:t>
            </w:r>
          </w:p>
        </w:tc>
        <w:tc>
          <w:tcPr>
            <w:tcW w:w="140" w:type="dxa"/>
            <w:vAlign w:val="bottom"/>
          </w:tcPr>
          <w:p>
            <w:pPr>
              <w:spacing w:after="0"/>
              <w:rPr>
                <w:sz w:val="7"/>
                <w:szCs w:val="7"/>
                <w:color w:val="auto"/>
              </w:rPr>
            </w:pPr>
          </w:p>
        </w:tc>
        <w:tc>
          <w:tcPr>
            <w:tcW w:w="1080" w:type="dxa"/>
            <w:vAlign w:val="bottom"/>
            <w:vMerge w:val="restart"/>
          </w:tcPr>
          <w:p>
            <w:pPr>
              <w:jc w:val="center"/>
              <w:ind w:right="75"/>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80"/>
        </w:trPr>
        <w:tc>
          <w:tcPr>
            <w:tcW w:w="1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42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2"/>
                <w:szCs w:val="12"/>
                <w:color w:val="auto"/>
              </w:rPr>
              <w:t>Balance at December</w:t>
            </w: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31, 2021</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44,080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(1,364,336)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476,002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562,214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(382,804)</w:t>
            </w:r>
          </w:p>
        </w:tc>
        <w:tc>
          <w:tcPr>
            <w:tcW w:w="0" w:type="dxa"/>
            <w:vAlign w:val="bottom"/>
          </w:tcPr>
          <w:p>
            <w:pPr>
              <w:spacing w:after="0"/>
              <w:rPr>
                <w:sz w:val="1"/>
                <w:szCs w:val="1"/>
                <w:color w:val="auto"/>
              </w:rPr>
            </w:pPr>
          </w:p>
        </w:tc>
      </w:tr>
      <w:tr>
        <w:trPr>
          <w:trHeight w:val="136"/>
        </w:trPr>
        <w:tc>
          <w:tcPr>
            <w:tcW w:w="1420" w:type="dxa"/>
            <w:vAlign w:val="bottom"/>
          </w:tcPr>
          <w:p>
            <w:pPr>
              <w:ind w:left="20"/>
              <w:spacing w:after="0" w:line="136" w:lineRule="exact"/>
              <w:rPr>
                <w:sz w:val="20"/>
                <w:szCs w:val="20"/>
                <w:color w:val="auto"/>
              </w:rPr>
            </w:pPr>
            <w:r>
              <w:rPr>
                <w:rFonts w:ascii="Arial" w:cs="Arial" w:eastAsia="Arial" w:hAnsi="Arial"/>
                <w:sz w:val="12"/>
                <w:szCs w:val="12"/>
                <w:color w:val="auto"/>
              </w:rPr>
              <w:t>Restricted share units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tcPr>
          <w:p>
            <w:pPr>
              <w:ind w:left="20"/>
              <w:spacing w:after="0" w:line="125" w:lineRule="exact"/>
              <w:rPr>
                <w:sz w:val="20"/>
                <w:szCs w:val="20"/>
                <w:color w:val="auto"/>
              </w:rPr>
            </w:pPr>
            <w:r>
              <w:rPr>
                <w:rFonts w:ascii="Arial" w:cs="Arial" w:eastAsia="Arial" w:hAnsi="Arial"/>
                <w:sz w:val="12"/>
                <w:szCs w:val="12"/>
                <w:color w:val="auto"/>
              </w:rPr>
              <w:t>vested, net of shares</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20"/>
              <w:spacing w:after="0"/>
              <w:rPr>
                <w:sz w:val="20"/>
                <w:szCs w:val="20"/>
                <w:color w:val="auto"/>
              </w:rPr>
            </w:pPr>
            <w:r>
              <w:rPr>
                <w:rFonts w:ascii="Arial" w:cs="Arial" w:eastAsia="Arial" w:hAnsi="Arial"/>
                <w:sz w:val="12"/>
                <w:szCs w:val="12"/>
                <w:color w:val="auto"/>
              </w:rPr>
              <w:t>withheld for taxes</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36"/>
        </w:trPr>
        <w:tc>
          <w:tcPr>
            <w:tcW w:w="142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Purchase and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cancellation of deferred</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ordinary shares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36"/>
        </w:trPr>
        <w:tc>
          <w:tcPr>
            <w:tcW w:w="1420" w:type="dxa"/>
            <w:vAlign w:val="bottom"/>
          </w:tcPr>
          <w:p>
            <w:pPr>
              <w:ind w:left="20"/>
              <w:spacing w:after="0" w:line="136" w:lineRule="exact"/>
              <w:rPr>
                <w:sz w:val="20"/>
                <w:szCs w:val="20"/>
                <w:color w:val="auto"/>
              </w:rPr>
            </w:pPr>
            <w:r>
              <w:rPr>
                <w:rFonts w:ascii="Arial" w:cs="Arial" w:eastAsia="Arial" w:hAnsi="Arial"/>
                <w:sz w:val="12"/>
                <w:szCs w:val="12"/>
                <w:color w:val="auto"/>
              </w:rPr>
              <w:t>Share-based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20"/>
              <w:spacing w:after="0"/>
              <w:rPr>
                <w:sz w:val="20"/>
                <w:szCs w:val="20"/>
                <w:color w:val="auto"/>
              </w:rPr>
            </w:pPr>
            <w:r>
              <w:rPr>
                <w:rFonts w:ascii="Arial" w:cs="Arial" w:eastAsia="Arial" w:hAnsi="Arial"/>
                <w:sz w:val="12"/>
                <w:szCs w:val="12"/>
                <w:color w:val="auto"/>
              </w:rPr>
              <w:t>compensation expense</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12,727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12,727</w:t>
            </w:r>
          </w:p>
        </w:tc>
        <w:tc>
          <w:tcPr>
            <w:tcW w:w="0" w:type="dxa"/>
            <w:vAlign w:val="bottom"/>
          </w:tcPr>
          <w:p>
            <w:pPr>
              <w:spacing w:after="0"/>
              <w:rPr>
                <w:sz w:val="1"/>
                <w:szCs w:val="1"/>
                <w:color w:val="auto"/>
              </w:rPr>
            </w:pPr>
          </w:p>
        </w:tc>
      </w:tr>
      <w:tr>
        <w:trPr>
          <w:trHeight w:val="136"/>
        </w:trPr>
        <w:tc>
          <w:tcPr>
            <w:tcW w:w="142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Net loss attributable to</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Cimpress plc</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(71,817)</w:t>
            </w:r>
          </w:p>
        </w:tc>
        <w:tc>
          <w:tcPr>
            <w:tcW w:w="0" w:type="dxa"/>
            <w:vAlign w:val="bottom"/>
          </w:tcPr>
          <w:p>
            <w:pPr>
              <w:spacing w:after="0"/>
              <w:rPr>
                <w:sz w:val="1"/>
                <w:szCs w:val="1"/>
                <w:color w:val="auto"/>
              </w:rPr>
            </w:pPr>
          </w:p>
        </w:tc>
      </w:tr>
      <w:tr>
        <w:trPr>
          <w:trHeight w:val="136"/>
        </w:trPr>
        <w:tc>
          <w:tcPr>
            <w:tcW w:w="1420" w:type="dxa"/>
            <w:vAlign w:val="bottom"/>
          </w:tcPr>
          <w:p>
            <w:pPr>
              <w:ind w:left="20"/>
              <w:spacing w:after="0" w:line="136" w:lineRule="exact"/>
              <w:rPr>
                <w:sz w:val="20"/>
                <w:szCs w:val="20"/>
                <w:color w:val="auto"/>
              </w:rPr>
            </w:pPr>
            <w:r>
              <w:rPr>
                <w:rFonts w:ascii="Arial" w:cs="Arial" w:eastAsia="Arial" w:hAnsi="Arial"/>
                <w:sz w:val="12"/>
                <w:szCs w:val="12"/>
                <w:color w:val="auto"/>
              </w:rPr>
              <w:t>Redeemable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tcPr>
          <w:p>
            <w:pPr>
              <w:ind w:left="20"/>
              <w:spacing w:after="0" w:line="125" w:lineRule="exact"/>
              <w:rPr>
                <w:sz w:val="20"/>
                <w:szCs w:val="20"/>
                <w:color w:val="auto"/>
              </w:rPr>
            </w:pPr>
            <w:r>
              <w:rPr>
                <w:rFonts w:ascii="Arial" w:cs="Arial" w:eastAsia="Arial" w:hAnsi="Arial"/>
                <w:sz w:val="12"/>
                <w:szCs w:val="12"/>
                <w:color w:val="auto"/>
              </w:rPr>
              <w:t>noncontrolling interest</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20" w:type="dxa"/>
            <w:vAlign w:val="bottom"/>
          </w:tcPr>
          <w:p>
            <w:pPr>
              <w:ind w:left="20"/>
              <w:spacing w:after="0" w:line="125" w:lineRule="exact"/>
              <w:rPr>
                <w:sz w:val="20"/>
                <w:szCs w:val="20"/>
                <w:color w:val="auto"/>
              </w:rPr>
            </w:pPr>
            <w:r>
              <w:rPr>
                <w:rFonts w:ascii="Arial" w:cs="Arial" w:eastAsia="Arial" w:hAnsi="Arial"/>
                <w:sz w:val="12"/>
                <w:szCs w:val="12"/>
                <w:color w:val="auto"/>
              </w:rPr>
              <w:t>accretion to redemption</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20"/>
              <w:spacing w:after="0"/>
              <w:rPr>
                <w:sz w:val="20"/>
                <w:szCs w:val="20"/>
                <w:color w:val="auto"/>
              </w:rPr>
            </w:pPr>
            <w:r>
              <w:rPr>
                <w:rFonts w:ascii="Arial" w:cs="Arial" w:eastAsia="Arial" w:hAnsi="Arial"/>
                <w:sz w:val="12"/>
                <w:szCs w:val="12"/>
                <w:color w:val="auto"/>
              </w:rPr>
              <w:t>value</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(29,034)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(29,034)</w:t>
            </w:r>
          </w:p>
        </w:tc>
        <w:tc>
          <w:tcPr>
            <w:tcW w:w="0" w:type="dxa"/>
            <w:vAlign w:val="bottom"/>
          </w:tcPr>
          <w:p>
            <w:pPr>
              <w:spacing w:after="0"/>
              <w:rPr>
                <w:sz w:val="1"/>
                <w:szCs w:val="1"/>
                <w:color w:val="auto"/>
              </w:rPr>
            </w:pPr>
          </w:p>
        </w:tc>
      </w:tr>
      <w:tr>
        <w:trPr>
          <w:trHeight w:val="136"/>
        </w:trPr>
        <w:tc>
          <w:tcPr>
            <w:tcW w:w="142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Net unrealized gain on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derivative instruments</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designated and</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2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qualifying as cash flow</w:t>
            </w: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hedges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11,623</w:t>
            </w:r>
          </w:p>
        </w:tc>
        <w:tc>
          <w:tcPr>
            <w:tcW w:w="0" w:type="dxa"/>
            <w:vAlign w:val="bottom"/>
          </w:tcPr>
          <w:p>
            <w:pPr>
              <w:spacing w:after="0"/>
              <w:rPr>
                <w:sz w:val="1"/>
                <w:szCs w:val="1"/>
                <w:color w:val="auto"/>
              </w:rPr>
            </w:pPr>
          </w:p>
        </w:tc>
      </w:tr>
      <w:tr>
        <w:trPr>
          <w:trHeight w:val="136"/>
        </w:trPr>
        <w:tc>
          <w:tcPr>
            <w:tcW w:w="1420" w:type="dxa"/>
            <w:vAlign w:val="bottom"/>
          </w:tcPr>
          <w:p>
            <w:pPr>
              <w:ind w:left="20"/>
              <w:spacing w:after="0" w:line="136" w:lineRule="exact"/>
              <w:rPr>
                <w:sz w:val="20"/>
                <w:szCs w:val="20"/>
                <w:color w:val="auto"/>
              </w:rPr>
            </w:pPr>
            <w:r>
              <w:rPr>
                <w:rFonts w:ascii="Arial" w:cs="Arial" w:eastAsia="Arial" w:hAnsi="Arial"/>
                <w:sz w:val="12"/>
                <w:szCs w:val="12"/>
                <w:color w:val="auto"/>
              </w:rPr>
              <w:t>Foreign currency</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420" w:type="dxa"/>
            <w:vAlign w:val="bottom"/>
          </w:tcPr>
          <w:p>
            <w:pPr>
              <w:ind w:left="20"/>
              <w:spacing w:after="0" w:line="125" w:lineRule="exact"/>
              <w:rPr>
                <w:sz w:val="20"/>
                <w:szCs w:val="20"/>
                <w:color w:val="auto"/>
              </w:rPr>
            </w:pPr>
            <w:r>
              <w:rPr>
                <w:rFonts w:ascii="Arial" w:cs="Arial" w:eastAsia="Arial" w:hAnsi="Arial"/>
                <w:sz w:val="12"/>
                <w:szCs w:val="12"/>
                <w:color w:val="auto"/>
              </w:rPr>
              <w:t>translation, net of</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20"/>
              <w:spacing w:after="0"/>
              <w:rPr>
                <w:sz w:val="20"/>
                <w:szCs w:val="20"/>
                <w:color w:val="auto"/>
              </w:rPr>
            </w:pPr>
            <w:r>
              <w:rPr>
                <w:rFonts w:ascii="Arial" w:cs="Arial" w:eastAsia="Arial" w:hAnsi="Arial"/>
                <w:sz w:val="12"/>
                <w:szCs w:val="12"/>
                <w:color w:val="auto"/>
              </w:rPr>
              <w:t>hedges</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(3,919)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(3,919)</w:t>
            </w:r>
          </w:p>
        </w:tc>
        <w:tc>
          <w:tcPr>
            <w:tcW w:w="0" w:type="dxa"/>
            <w:vAlign w:val="bottom"/>
          </w:tcPr>
          <w:p>
            <w:pPr>
              <w:spacing w:after="0"/>
              <w:rPr>
                <w:sz w:val="1"/>
                <w:szCs w:val="1"/>
                <w:color w:val="auto"/>
              </w:rPr>
            </w:pPr>
          </w:p>
        </w:tc>
      </w:tr>
      <w:tr>
        <w:trPr>
          <w:trHeight w:val="116"/>
        </w:trPr>
        <w:tc>
          <w:tcPr>
            <w:tcW w:w="1420" w:type="dxa"/>
            <w:vAlign w:val="bottom"/>
            <w:tcBorders>
              <w:top w:val="single" w:sz="8" w:color="CCEEFF"/>
            </w:tcBorders>
            <w:shd w:val="clear" w:color="auto" w:fill="CCEEFF"/>
          </w:tcPr>
          <w:p>
            <w:pPr>
              <w:ind w:left="20"/>
              <w:spacing w:after="0" w:line="117" w:lineRule="exact"/>
              <w:rPr>
                <w:sz w:val="20"/>
                <w:szCs w:val="20"/>
                <w:color w:val="auto"/>
              </w:rPr>
            </w:pPr>
            <w:r>
              <w:rPr>
                <w:rFonts w:ascii="Arial" w:cs="Arial" w:eastAsia="Arial" w:hAnsi="Arial"/>
                <w:sz w:val="12"/>
                <w:szCs w:val="12"/>
                <w:color w:val="auto"/>
              </w:rPr>
              <w:t>Balance at March 31,</w:t>
            </w: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44,080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(17,976)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(1,363,956)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488,149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461,363</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(49,623)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(463,452)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CIMPRESS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in thousands)</w:t>
      </w:r>
    </w:p>
    <w:p>
      <w:pPr>
        <w:spacing w:after="0" w:line="127" w:lineRule="exact"/>
        <w:rPr>
          <w:sz w:val="20"/>
          <w:szCs w:val="20"/>
          <w:color w:val="auto"/>
        </w:rPr>
      </w:pPr>
    </w:p>
    <w:p>
      <w:pPr>
        <w:ind w:left="8720"/>
        <w:spacing w:after="0"/>
        <w:rPr>
          <w:sz w:val="20"/>
          <w:szCs w:val="20"/>
          <w:color w:val="auto"/>
        </w:rPr>
      </w:pPr>
      <w:r>
        <w:rPr>
          <w:rFonts w:ascii="Arial" w:cs="Arial" w:eastAsia="Arial" w:hAnsi="Arial"/>
          <w:sz w:val="13"/>
          <w:szCs w:val="13"/>
          <w:b w:val="1"/>
          <w:bCs w:val="1"/>
          <w:color w:val="auto"/>
        </w:rPr>
        <w:t>Nine Months Ended March 31,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2021</w:t>
            </w:r>
          </w:p>
        </w:tc>
      </w:tr>
      <w:tr>
        <w:trPr>
          <w:trHeight w:val="28"/>
        </w:trPr>
        <w:tc>
          <w:tcPr>
            <w:tcW w:w="8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6"/>
        </w:trPr>
        <w:tc>
          <w:tcPr>
            <w:tcW w:w="8080" w:type="dxa"/>
            <w:vAlign w:val="bottom"/>
          </w:tcPr>
          <w:p>
            <w:pPr>
              <w:ind w:left="20"/>
              <w:spacing w:after="0"/>
              <w:rPr>
                <w:sz w:val="20"/>
                <w:szCs w:val="20"/>
                <w:color w:val="auto"/>
              </w:rPr>
            </w:pPr>
            <w:r>
              <w:rPr>
                <w:rFonts w:ascii="Arial" w:cs="Arial" w:eastAsia="Arial" w:hAnsi="Arial"/>
                <w:sz w:val="15"/>
                <w:szCs w:val="15"/>
                <w:color w:val="auto"/>
              </w:rPr>
              <w:t>Net loss</w:t>
            </w:r>
          </w:p>
        </w:tc>
        <w:tc>
          <w:tcPr>
            <w:tcW w:w="920" w:type="dxa"/>
            <w:vAlign w:val="bottom"/>
          </w:tcPr>
          <w:p>
            <w:pPr>
              <w:jc w:val="right"/>
              <w:ind w:right="751"/>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(18,699)</w:t>
            </w:r>
          </w:p>
        </w:tc>
        <w:tc>
          <w:tcPr>
            <w:tcW w:w="100" w:type="dxa"/>
            <w:vAlign w:val="bottom"/>
          </w:tcPr>
          <w:p>
            <w:pPr>
              <w:spacing w:after="0"/>
              <w:rPr>
                <w:sz w:val="17"/>
                <w:szCs w:val="17"/>
                <w:color w:val="auto"/>
              </w:rPr>
            </w:pPr>
          </w:p>
        </w:tc>
        <w:tc>
          <w:tcPr>
            <w:tcW w:w="360" w:type="dxa"/>
            <w:vAlign w:val="bottom"/>
          </w:tcPr>
          <w:p>
            <w:pPr>
              <w:jc w:val="right"/>
              <w:ind w:right="185"/>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(15,018)</w:t>
            </w:r>
          </w:p>
        </w:tc>
      </w:tr>
      <w:tr>
        <w:trPr>
          <w:trHeight w:val="202"/>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loss to net cash provided by operating activities:</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6"/>
        </w:trPr>
        <w:tc>
          <w:tcPr>
            <w:tcW w:w="8080" w:type="dxa"/>
            <w:vAlign w:val="bottom"/>
          </w:tcPr>
          <w:p>
            <w:pPr>
              <w:ind w:left="200"/>
              <w:spacing w:after="0"/>
              <w:rPr>
                <w:sz w:val="20"/>
                <w:szCs w:val="20"/>
                <w:color w:val="auto"/>
              </w:rPr>
            </w:pPr>
            <w:r>
              <w:rPr>
                <w:rFonts w:ascii="Arial" w:cs="Arial" w:eastAsia="Arial" w:hAnsi="Arial"/>
                <w:sz w:val="15"/>
                <w:szCs w:val="15"/>
                <w:color w:val="auto"/>
              </w:rPr>
              <w:t>Depreciation and amortization</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133,397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128,696</w:t>
            </w:r>
          </w:p>
        </w:tc>
      </w:tr>
      <w:tr>
        <w:trPr>
          <w:trHeight w:val="202"/>
        </w:trPr>
        <w:tc>
          <w:tcPr>
            <w:tcW w:w="8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Share-based compensation expense</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23,071</w:t>
            </w:r>
          </w:p>
        </w:tc>
      </w:tr>
      <w:tr>
        <w:trPr>
          <w:trHeight w:val="196"/>
        </w:trPr>
        <w:tc>
          <w:tcPr>
            <w:tcW w:w="8080" w:type="dxa"/>
            <w:vAlign w:val="bottom"/>
          </w:tcPr>
          <w:p>
            <w:pPr>
              <w:ind w:left="200"/>
              <w:spacing w:after="0"/>
              <w:rPr>
                <w:sz w:val="20"/>
                <w:szCs w:val="20"/>
                <w:color w:val="auto"/>
              </w:rPr>
            </w:pPr>
            <w:r>
              <w:rPr>
                <w:rFonts w:ascii="Arial" w:cs="Arial" w:eastAsia="Arial" w:hAnsi="Arial"/>
                <w:sz w:val="15"/>
                <w:szCs w:val="15"/>
                <w:color w:val="auto"/>
              </w:rPr>
              <w:t>Impairment of long-lived assets</w:t>
            </w:r>
          </w:p>
        </w:tc>
        <w:tc>
          <w:tcPr>
            <w:tcW w:w="9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19,882</w:t>
            </w:r>
          </w:p>
        </w:tc>
      </w:tr>
      <w:tr>
        <w:trPr>
          <w:trHeight w:val="202"/>
        </w:trPr>
        <w:tc>
          <w:tcPr>
            <w:tcW w:w="8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Deferred taxes</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26,636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2,513</w:t>
            </w:r>
          </w:p>
        </w:tc>
      </w:tr>
      <w:tr>
        <w:trPr>
          <w:trHeight w:val="196"/>
        </w:trPr>
        <w:tc>
          <w:tcPr>
            <w:tcW w:w="8080" w:type="dxa"/>
            <w:vAlign w:val="bottom"/>
          </w:tcPr>
          <w:p>
            <w:pPr>
              <w:ind w:left="200"/>
              <w:spacing w:after="0"/>
              <w:rPr>
                <w:sz w:val="20"/>
                <w:szCs w:val="20"/>
                <w:color w:val="auto"/>
              </w:rPr>
            </w:pPr>
            <w:r>
              <w:rPr>
                <w:rFonts w:ascii="Arial" w:cs="Arial" w:eastAsia="Arial" w:hAnsi="Arial"/>
                <w:sz w:val="15"/>
                <w:szCs w:val="15"/>
                <w:color w:val="auto"/>
              </w:rPr>
              <w:t>Unrealized (gain) loss on derivatives not designated as hedging instruments included in net loss</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(25,639)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18,280</w:t>
            </w:r>
          </w:p>
        </w:tc>
      </w:tr>
      <w:tr>
        <w:trPr>
          <w:trHeight w:val="202"/>
        </w:trPr>
        <w:tc>
          <w:tcPr>
            <w:tcW w:w="8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Effect of exchange rate changes on monetary assets and liabilities denominated in non-functional currency</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2,537</w:t>
            </w:r>
          </w:p>
        </w:tc>
      </w:tr>
      <w:tr>
        <w:trPr>
          <w:trHeight w:val="196"/>
        </w:trPr>
        <w:tc>
          <w:tcPr>
            <w:tcW w:w="8080" w:type="dxa"/>
            <w:vAlign w:val="bottom"/>
          </w:tcPr>
          <w:p>
            <w:pPr>
              <w:ind w:left="200"/>
              <w:spacing w:after="0"/>
              <w:rPr>
                <w:sz w:val="20"/>
                <w:szCs w:val="20"/>
                <w:color w:val="auto"/>
              </w:rPr>
            </w:pPr>
            <w:r>
              <w:rPr>
                <w:rFonts w:ascii="Arial" w:cs="Arial" w:eastAsia="Arial" w:hAnsi="Arial"/>
                <w:sz w:val="15"/>
                <w:szCs w:val="15"/>
                <w:color w:val="auto"/>
              </w:rPr>
              <w:t>Other non-cash items</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(8,204)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2,149</w:t>
            </w:r>
          </w:p>
        </w:tc>
      </w:tr>
      <w:tr>
        <w:trPr>
          <w:trHeight w:val="202"/>
        </w:trPr>
        <w:tc>
          <w:tcPr>
            <w:tcW w:w="8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Changes in operating assets and liabilities:</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6"/>
        </w:trPr>
        <w:tc>
          <w:tcPr>
            <w:tcW w:w="8080" w:type="dxa"/>
            <w:vAlign w:val="bottom"/>
          </w:tcPr>
          <w:p>
            <w:pPr>
              <w:ind w:left="500"/>
              <w:spacing w:after="0"/>
              <w:rPr>
                <w:sz w:val="20"/>
                <w:szCs w:val="20"/>
                <w:color w:val="auto"/>
              </w:rPr>
            </w:pPr>
            <w:r>
              <w:rPr>
                <w:rFonts w:ascii="Arial" w:cs="Arial" w:eastAsia="Arial" w:hAnsi="Arial"/>
                <w:sz w:val="15"/>
                <w:szCs w:val="15"/>
                <w:color w:val="auto"/>
              </w:rPr>
              <w:t>Accounts receivable</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(17,764)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(9,651)</w:t>
            </w:r>
          </w:p>
        </w:tc>
      </w:tr>
      <w:tr>
        <w:trPr>
          <w:trHeight w:val="202"/>
        </w:trPr>
        <w:tc>
          <w:tcPr>
            <w:tcW w:w="80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Inventory</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(31,964)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4,982</w:t>
            </w:r>
          </w:p>
        </w:tc>
      </w:tr>
      <w:tr>
        <w:trPr>
          <w:trHeight w:val="196"/>
        </w:trPr>
        <w:tc>
          <w:tcPr>
            <w:tcW w:w="8080" w:type="dxa"/>
            <w:vAlign w:val="bottom"/>
          </w:tcPr>
          <w:p>
            <w:pPr>
              <w:ind w:left="500"/>
              <w:spacing w:after="0"/>
              <w:rPr>
                <w:sz w:val="20"/>
                <w:szCs w:val="20"/>
                <w:color w:val="auto"/>
              </w:rPr>
            </w:pPr>
            <w:r>
              <w:rPr>
                <w:rFonts w:ascii="Arial" w:cs="Arial" w:eastAsia="Arial" w:hAnsi="Arial"/>
                <w:sz w:val="15"/>
                <w:szCs w:val="15"/>
                <w:color w:val="auto"/>
              </w:rPr>
              <w:t>Prepaid expenses and other assets</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(18,776)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(5,242)</w:t>
            </w:r>
          </w:p>
        </w:tc>
      </w:tr>
      <w:tr>
        <w:trPr>
          <w:trHeight w:val="202"/>
        </w:trPr>
        <w:tc>
          <w:tcPr>
            <w:tcW w:w="80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Accounts payable</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35,860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10,590</w:t>
            </w:r>
          </w:p>
        </w:tc>
      </w:tr>
      <w:tr>
        <w:trPr>
          <w:trHeight w:val="196"/>
        </w:trPr>
        <w:tc>
          <w:tcPr>
            <w:tcW w:w="8080" w:type="dxa"/>
            <w:vAlign w:val="bottom"/>
            <w:tcBorders>
              <w:bottom w:val="single" w:sz="8" w:color="CCEEFF"/>
            </w:tcBorders>
          </w:tcPr>
          <w:p>
            <w:pPr>
              <w:ind w:left="500"/>
              <w:spacing w:after="0"/>
              <w:rPr>
                <w:sz w:val="20"/>
                <w:szCs w:val="20"/>
                <w:color w:val="auto"/>
              </w:rPr>
            </w:pPr>
            <w:r>
              <w:rPr>
                <w:rFonts w:ascii="Arial" w:cs="Arial" w:eastAsia="Arial" w:hAnsi="Arial"/>
                <w:sz w:val="15"/>
                <w:szCs w:val="15"/>
                <w:color w:val="auto"/>
              </w:rPr>
              <w:t>Accrued expenses and other liabilities</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26,501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36,159</w:t>
            </w:r>
          </w:p>
        </w:tc>
      </w:tr>
      <w:tr>
        <w:trPr>
          <w:trHeight w:val="194"/>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9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131,716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218,948</w:t>
            </w:r>
          </w:p>
        </w:tc>
      </w:tr>
      <w:tr>
        <w:trPr>
          <w:trHeight w:val="184"/>
        </w:trPr>
        <w:tc>
          <w:tcPr>
            <w:tcW w:w="808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6"/>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property, plant and equipment</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(22,736)</w:t>
            </w:r>
          </w:p>
        </w:tc>
      </w:tr>
      <w:tr>
        <w:trPr>
          <w:trHeight w:val="196"/>
        </w:trPr>
        <w:tc>
          <w:tcPr>
            <w:tcW w:w="8080" w:type="dxa"/>
            <w:vAlign w:val="bottom"/>
          </w:tcPr>
          <w:p>
            <w:pPr>
              <w:ind w:left="20"/>
              <w:spacing w:after="0"/>
              <w:rPr>
                <w:sz w:val="20"/>
                <w:szCs w:val="20"/>
                <w:color w:val="auto"/>
              </w:rPr>
            </w:pPr>
            <w:r>
              <w:rPr>
                <w:rFonts w:ascii="Arial" w:cs="Arial" w:eastAsia="Arial" w:hAnsi="Arial"/>
                <w:sz w:val="15"/>
                <w:szCs w:val="15"/>
                <w:color w:val="auto"/>
              </w:rPr>
              <w:t>Business acquisitions, net of cash acquired</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(75,258)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(36,395)</w:t>
            </w:r>
          </w:p>
        </w:tc>
      </w:tr>
      <w:tr>
        <w:trPr>
          <w:trHeight w:val="202"/>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Capitalization of software and website development costs</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(49,875)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(45,321)</w:t>
            </w:r>
          </w:p>
        </w:tc>
      </w:tr>
      <w:tr>
        <w:trPr>
          <w:trHeight w:val="196"/>
        </w:trPr>
        <w:tc>
          <w:tcPr>
            <w:tcW w:w="8080" w:type="dxa"/>
            <w:vAlign w:val="bottom"/>
          </w:tcPr>
          <w:p>
            <w:pPr>
              <w:ind w:left="20"/>
              <w:spacing w:after="0"/>
              <w:rPr>
                <w:sz w:val="20"/>
                <w:szCs w:val="20"/>
                <w:color w:val="auto"/>
              </w:rPr>
            </w:pPr>
            <w:r>
              <w:rPr>
                <w:rFonts w:ascii="Arial" w:cs="Arial" w:eastAsia="Arial" w:hAnsi="Arial"/>
                <w:sz w:val="15"/>
                <w:szCs w:val="15"/>
                <w:color w:val="auto"/>
              </w:rPr>
              <w:t>Proceeds from the sale of assets</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27,466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3,574</w:t>
            </w:r>
          </w:p>
        </w:tc>
      </w:tr>
      <w:tr>
        <w:trPr>
          <w:trHeight w:val="202"/>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maturity of held-to-maturity investments</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93,679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8080" w:type="dxa"/>
            <w:vAlign w:val="bottom"/>
          </w:tcPr>
          <w:p>
            <w:pPr>
              <w:ind w:left="20"/>
              <w:spacing w:after="0"/>
              <w:rPr>
                <w:sz w:val="20"/>
                <w:szCs w:val="20"/>
                <w:color w:val="auto"/>
              </w:rPr>
            </w:pPr>
            <w:r>
              <w:rPr>
                <w:rFonts w:ascii="Arial" w:cs="Arial" w:eastAsia="Arial" w:hAnsi="Arial"/>
                <w:sz w:val="15"/>
                <w:szCs w:val="15"/>
                <w:color w:val="auto"/>
              </w:rPr>
              <w:t>Payments for settlement of derivatives designated as hedging instruments</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9"/>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investing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r>
      <w:tr>
        <w:trPr>
          <w:trHeight w:val="19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used in investing activities</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(48,627)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(101,147)</w:t>
            </w:r>
          </w:p>
        </w:tc>
      </w:tr>
      <w:tr>
        <w:trPr>
          <w:trHeight w:val="182"/>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6"/>
        </w:trPr>
        <w:tc>
          <w:tcPr>
            <w:tcW w:w="8080" w:type="dxa"/>
            <w:vAlign w:val="bottom"/>
          </w:tcPr>
          <w:p>
            <w:pPr>
              <w:ind w:left="20"/>
              <w:spacing w:after="0"/>
              <w:rPr>
                <w:sz w:val="20"/>
                <w:szCs w:val="20"/>
                <w:color w:val="auto"/>
              </w:rPr>
            </w:pPr>
            <w:r>
              <w:rPr>
                <w:rFonts w:ascii="Arial" w:cs="Arial" w:eastAsia="Arial" w:hAnsi="Arial"/>
                <w:sz w:val="15"/>
                <w:szCs w:val="15"/>
                <w:color w:val="auto"/>
              </w:rPr>
              <w:t>Proceeds from borrowings of debt</w:t>
            </w:r>
          </w:p>
        </w:tc>
        <w:tc>
          <w:tcPr>
            <w:tcW w:w="9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534,051</w:t>
            </w:r>
          </w:p>
        </w:tc>
      </w:tr>
      <w:tr>
        <w:trPr>
          <w:trHeight w:val="202"/>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Payments of debt</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(11,149)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(639,519)</w:t>
            </w:r>
          </w:p>
        </w:tc>
      </w:tr>
      <w:tr>
        <w:trPr>
          <w:trHeight w:val="196"/>
        </w:trPr>
        <w:tc>
          <w:tcPr>
            <w:tcW w:w="8080" w:type="dxa"/>
            <w:vAlign w:val="bottom"/>
          </w:tcPr>
          <w:p>
            <w:pPr>
              <w:ind w:left="20"/>
              <w:spacing w:after="0"/>
              <w:rPr>
                <w:sz w:val="20"/>
                <w:szCs w:val="20"/>
                <w:color w:val="auto"/>
              </w:rPr>
            </w:pPr>
            <w:r>
              <w:rPr>
                <w:rFonts w:ascii="Arial" w:cs="Arial" w:eastAsia="Arial" w:hAnsi="Arial"/>
                <w:sz w:val="15"/>
                <w:szCs w:val="15"/>
                <w:color w:val="auto"/>
              </w:rPr>
              <w:t>Payments of debt issuance costs</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(2,461)</w:t>
            </w:r>
          </w:p>
        </w:tc>
      </w:tr>
      <w:tr>
        <w:trPr>
          <w:trHeight w:val="202"/>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Payments of purchase consideration included in acquisition-date fair value</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(1,205)</w:t>
            </w:r>
          </w:p>
        </w:tc>
      </w:tr>
      <w:tr>
        <w:trPr>
          <w:trHeight w:val="196"/>
        </w:trPr>
        <w:tc>
          <w:tcPr>
            <w:tcW w:w="8080" w:type="dxa"/>
            <w:vAlign w:val="bottom"/>
          </w:tcPr>
          <w:p>
            <w:pPr>
              <w:ind w:left="20"/>
              <w:spacing w:after="0"/>
              <w:rPr>
                <w:sz w:val="20"/>
                <w:szCs w:val="20"/>
                <w:color w:val="auto"/>
              </w:rPr>
            </w:pPr>
            <w:r>
              <w:rPr>
                <w:rFonts w:ascii="Arial" w:cs="Arial" w:eastAsia="Arial" w:hAnsi="Arial"/>
                <w:sz w:val="15"/>
                <w:szCs w:val="15"/>
                <w:color w:val="auto"/>
              </w:rPr>
              <w:t>Payments of withholding taxes in connection with equity awards</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(5,593)</w:t>
            </w:r>
          </w:p>
        </w:tc>
      </w:tr>
      <w:tr>
        <w:trPr>
          <w:trHeight w:val="202"/>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Payments of finance lease obligations</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(35,099)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(5,486)</w:t>
            </w:r>
          </w:p>
        </w:tc>
      </w:tr>
      <w:tr>
        <w:trPr>
          <w:trHeight w:val="196"/>
        </w:trPr>
        <w:tc>
          <w:tcPr>
            <w:tcW w:w="8080" w:type="dxa"/>
            <w:vAlign w:val="bottom"/>
          </w:tcPr>
          <w:p>
            <w:pPr>
              <w:ind w:left="20"/>
              <w:spacing w:after="0"/>
              <w:rPr>
                <w:sz w:val="20"/>
                <w:szCs w:val="20"/>
                <w:color w:val="auto"/>
              </w:rPr>
            </w:pPr>
            <w:r>
              <w:rPr>
                <w:rFonts w:ascii="Arial" w:cs="Arial" w:eastAsia="Arial" w:hAnsi="Arial"/>
                <w:sz w:val="15"/>
                <w:szCs w:val="15"/>
                <w:color w:val="auto"/>
              </w:rPr>
              <w:t>Purchase of noncontrolling interests</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(5,063)</w:t>
            </w:r>
          </w:p>
        </w:tc>
      </w:tr>
      <w:tr>
        <w:trPr>
          <w:trHeight w:val="202"/>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 to noncontrolling interest</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(4,599)</w:t>
            </w:r>
          </w:p>
        </w:tc>
      </w:tr>
      <w:tr>
        <w:trPr>
          <w:trHeight w:val="19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financing activities</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w:t>
            </w: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9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(98,746)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(130,185)</w:t>
            </w:r>
          </w:p>
        </w:tc>
      </w:tr>
      <w:tr>
        <w:trPr>
          <w:trHeight w:val="19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Effect of exchange rate changes on cash</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(5,854)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3,727</w:t>
            </w:r>
          </w:p>
        </w:tc>
      </w:tr>
      <w:tr>
        <w:trPr>
          <w:trHeight w:val="194"/>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decrease in cash and cash equivalents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(21,511)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(8,657)</w:t>
            </w:r>
          </w:p>
        </w:tc>
      </w:tr>
      <w:tr>
        <w:trPr>
          <w:trHeight w:val="19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and cash equivalents at beginning of period</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183,023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45,021</w:t>
            </w:r>
          </w:p>
        </w:tc>
      </w:tr>
      <w:tr>
        <w:trPr>
          <w:trHeight w:val="21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 at end of period</w:t>
            </w:r>
          </w:p>
        </w:tc>
        <w:tc>
          <w:tcPr>
            <w:tcW w:w="92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161,512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36,364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716851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CIMPRESS PLC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in thousands)</w:t>
      </w:r>
    </w:p>
    <w:p>
      <w:pPr>
        <w:spacing w:after="0" w:line="27" w:lineRule="exact"/>
        <w:rPr>
          <w:sz w:val="20"/>
          <w:szCs w:val="20"/>
          <w:color w:val="auto"/>
        </w:rPr>
      </w:pPr>
    </w:p>
    <w:p>
      <w:pPr>
        <w:ind w:left="8720"/>
        <w:spacing w:after="0"/>
        <w:rPr>
          <w:sz w:val="20"/>
          <w:szCs w:val="20"/>
          <w:color w:val="auto"/>
        </w:rPr>
      </w:pPr>
      <w:r>
        <w:rPr>
          <w:rFonts w:ascii="Arial" w:cs="Arial" w:eastAsia="Arial" w:hAnsi="Arial"/>
          <w:sz w:val="13"/>
          <w:szCs w:val="13"/>
          <w:b w:val="1"/>
          <w:bCs w:val="1"/>
          <w:color w:val="auto"/>
        </w:rPr>
        <w:t>Nine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8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2"/>
                <w:szCs w:val="12"/>
                <w:b w:val="1"/>
                <w:bCs w:val="1"/>
                <w:color w:val="auto"/>
              </w:rPr>
              <w:t>2021</w:t>
            </w:r>
          </w:p>
        </w:tc>
      </w:tr>
      <w:tr>
        <w:trPr>
          <w:trHeight w:val="180"/>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6"/>
        </w:trPr>
        <w:tc>
          <w:tcPr>
            <w:tcW w:w="8080" w:type="dxa"/>
            <w:vAlign w:val="bottom"/>
          </w:tcPr>
          <w:p>
            <w:pPr>
              <w:ind w:left="20"/>
              <w:spacing w:after="0"/>
              <w:rPr>
                <w:sz w:val="20"/>
                <w:szCs w:val="20"/>
                <w:color w:val="auto"/>
              </w:rPr>
            </w:pPr>
            <w:r>
              <w:rPr>
                <w:rFonts w:ascii="Arial" w:cs="Arial" w:eastAsia="Arial" w:hAnsi="Arial"/>
                <w:sz w:val="15"/>
                <w:szCs w:val="15"/>
                <w:color w:val="auto"/>
              </w:rPr>
              <w:t>Cash paid during the period for:</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2"/>
        </w:trPr>
        <w:tc>
          <w:tcPr>
            <w:tcW w:w="80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Interest</w:t>
            </w:r>
          </w:p>
        </w:tc>
        <w:tc>
          <w:tcPr>
            <w:tcW w:w="960" w:type="dxa"/>
            <w:vAlign w:val="bottom"/>
            <w:shd w:val="clear" w:color="auto" w:fill="CCEEFF"/>
          </w:tcPr>
          <w:p>
            <w:pPr>
              <w:jc w:val="right"/>
              <w:ind w:right="79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66,314</w:t>
            </w:r>
          </w:p>
        </w:tc>
      </w:tr>
      <w:tr>
        <w:trPr>
          <w:trHeight w:val="196"/>
        </w:trPr>
        <w:tc>
          <w:tcPr>
            <w:tcW w:w="8080" w:type="dxa"/>
            <w:vAlign w:val="bottom"/>
          </w:tcPr>
          <w:p>
            <w:pPr>
              <w:ind w:left="420"/>
              <w:spacing w:after="0"/>
              <w:rPr>
                <w:sz w:val="20"/>
                <w:szCs w:val="20"/>
                <w:color w:val="auto"/>
              </w:rPr>
            </w:pPr>
            <w:r>
              <w:rPr>
                <w:rFonts w:ascii="Arial" w:cs="Arial" w:eastAsia="Arial" w:hAnsi="Arial"/>
                <w:sz w:val="15"/>
                <w:szCs w:val="15"/>
                <w:color w:val="auto"/>
              </w:rPr>
              <w:t>Income taxes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23,587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13,056</w:t>
            </w:r>
          </w:p>
        </w:tc>
      </w:tr>
      <w:tr>
        <w:trPr>
          <w:trHeight w:val="202"/>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6"/>
        </w:trPr>
        <w:tc>
          <w:tcPr>
            <w:tcW w:w="8080" w:type="dxa"/>
            <w:vAlign w:val="bottom"/>
          </w:tcPr>
          <w:p>
            <w:pPr>
              <w:ind w:left="20"/>
              <w:spacing w:after="0"/>
              <w:rPr>
                <w:sz w:val="20"/>
                <w:szCs w:val="20"/>
                <w:color w:val="auto"/>
              </w:rPr>
            </w:pPr>
            <w:r>
              <w:rPr>
                <w:rFonts w:ascii="Arial" w:cs="Arial" w:eastAsia="Arial" w:hAnsi="Arial"/>
                <w:sz w:val="15"/>
                <w:szCs w:val="15"/>
                <w:color w:val="auto"/>
              </w:rPr>
              <w:t>Property and equipment acquired under finance leases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3,755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5,630</w:t>
            </w:r>
          </w:p>
        </w:tc>
      </w:tr>
      <w:tr>
        <w:trPr>
          <w:trHeight w:val="202"/>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accrued related to property, plant and equipment</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6,711</w:t>
            </w:r>
          </w:p>
        </w:tc>
      </w:tr>
      <w:tr>
        <w:trPr>
          <w:trHeight w:val="196"/>
        </w:trPr>
        <w:tc>
          <w:tcPr>
            <w:tcW w:w="8080" w:type="dxa"/>
            <w:vAlign w:val="bottom"/>
          </w:tcPr>
          <w:p>
            <w:pPr>
              <w:ind w:left="20"/>
              <w:spacing w:after="0"/>
              <w:rPr>
                <w:sz w:val="20"/>
                <w:szCs w:val="20"/>
                <w:color w:val="auto"/>
              </w:rPr>
            </w:pPr>
            <w:r>
              <w:rPr>
                <w:rFonts w:ascii="Arial" w:cs="Arial" w:eastAsia="Arial" w:hAnsi="Arial"/>
                <w:sz w:val="15"/>
                <w:szCs w:val="15"/>
                <w:color w:val="auto"/>
              </w:rPr>
              <w:t>Amounts accrued related to capitalized software development costs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1,313</w:t>
            </w:r>
          </w:p>
        </w:tc>
      </w:tr>
      <w:tr>
        <w:trPr>
          <w:trHeight w:val="202"/>
        </w:trPr>
        <w:tc>
          <w:tcPr>
            <w:tcW w:w="8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accrued related to business acquisitions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44,680</w:t>
            </w: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85" w:lineRule="exact"/>
        <w:rPr>
          <w:sz w:val="20"/>
          <w:szCs w:val="20"/>
          <w:color w:val="auto"/>
        </w:rPr>
      </w:pPr>
    </w:p>
    <w:p>
      <w:pPr>
        <w:ind w:right="20" w:firstLine="597"/>
        <w:spacing w:after="0" w:line="245" w:lineRule="auto"/>
        <w:rPr>
          <w:sz w:val="20"/>
          <w:szCs w:val="20"/>
          <w:color w:val="auto"/>
        </w:rPr>
      </w:pPr>
      <w:r>
        <w:rPr>
          <w:rFonts w:ascii="Arial" w:cs="Arial" w:eastAsia="Arial" w:hAnsi="Arial"/>
          <w:sz w:val="17"/>
          <w:szCs w:val="17"/>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writing instruments, packaging, apparel and other categories. We invest in and build customer-focused, entrepreneurial mass customization businesses for the long term, which we manage in a decentralized, autonomous manner. Mass customization is a core element of the business model of each Cimpress business.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72" w:lineRule="exact"/>
        <w:rPr>
          <w:sz w:val="20"/>
          <w:szCs w:val="20"/>
          <w:color w:val="auto"/>
        </w:rPr>
      </w:pPr>
    </w:p>
    <w:p>
      <w:pPr>
        <w:ind w:right="120" w:firstLine="597"/>
        <w:spacing w:after="0" w:line="245" w:lineRule="auto"/>
        <w:rPr>
          <w:sz w:val="20"/>
          <w:szCs w:val="20"/>
          <w:color w:val="auto"/>
        </w:rPr>
      </w:pPr>
      <w:r>
        <w:rPr>
          <w:rFonts w:ascii="Arial" w:cs="Arial" w:eastAsia="Arial" w:hAnsi="Arial"/>
          <w:sz w:val="17"/>
          <w:szCs w:val="17"/>
          <w:color w:val="auto"/>
        </w:rPr>
        <w:t>In October 2021 our Vistaprint business and reportable segment began evolving its brand architecture to "Vista". Brands like "VistaPrint", "VistaCreate", "99designs by Vista", and "Vista Corporate Solutions" now operate within the "Vista" brand architecture. This move should help open customers' minds to allow us to serve a broader set of their needs across a wide range of products and solutions that includes design, social media and web presence as well as print. No changes were made to our internal organizational or reporting structure as a result of this rebranding, but we we now refer to this reportable segment as "Vista".</w:t>
      </w:r>
    </w:p>
    <w:p>
      <w:pPr>
        <w:spacing w:after="0" w:line="227" w:lineRule="exact"/>
        <w:rPr>
          <w:sz w:val="20"/>
          <w:szCs w:val="20"/>
          <w:color w:val="auto"/>
        </w:rPr>
      </w:pPr>
    </w:p>
    <w:p>
      <w:pPr>
        <w:ind w:right="7560"/>
        <w:spacing w:after="0" w:line="488"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spacing w:after="0" w:line="21" w:lineRule="exact"/>
        <w:rPr>
          <w:sz w:val="20"/>
          <w:szCs w:val="20"/>
          <w:color w:val="auto"/>
        </w:rPr>
      </w:pPr>
    </w:p>
    <w:p>
      <w:pPr>
        <w:ind w:firstLine="597"/>
        <w:spacing w:after="0" w:line="264" w:lineRule="auto"/>
        <w:rPr>
          <w:sz w:val="20"/>
          <w:szCs w:val="20"/>
          <w:color w:val="auto"/>
        </w:rPr>
      </w:pPr>
      <w:r>
        <w:rPr>
          <w:rFonts w:ascii="Arial" w:cs="Arial" w:eastAsia="Arial" w:hAnsi="Arial"/>
          <w:sz w:val="16"/>
          <w:szCs w:val="16"/>
          <w:color w:val="auto"/>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48" w:lineRule="exact"/>
        <w:rPr>
          <w:sz w:val="20"/>
          <w:szCs w:val="20"/>
          <w:color w:val="auto"/>
        </w:rPr>
      </w:pPr>
    </w:p>
    <w:p>
      <w:pPr>
        <w:ind w:firstLine="597"/>
        <w:spacing w:after="0" w:line="245"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accounting for business combinations, and income taxes and related valuation allowances, among others. By their nature, estimates are subject to an inherent degree of uncertainty. Actual results could differ from those estimates.</w:t>
      </w:r>
    </w:p>
    <w:p>
      <w:pPr>
        <w:spacing w:after="0" w:line="222" w:lineRule="exact"/>
        <w:rPr>
          <w:sz w:val="20"/>
          <w:szCs w:val="20"/>
          <w:color w:val="auto"/>
        </w:rPr>
      </w:pPr>
    </w:p>
    <w:p>
      <w:pPr>
        <w:ind w:right="40" w:firstLine="597"/>
        <w:spacing w:after="0" w:line="245" w:lineRule="auto"/>
        <w:rPr>
          <w:sz w:val="20"/>
          <w:szCs w:val="20"/>
          <w:color w:val="auto"/>
        </w:rPr>
      </w:pPr>
      <w:r>
        <w:rPr>
          <w:rFonts w:ascii="Arial" w:cs="Arial" w:eastAsia="Arial" w:hAnsi="Arial"/>
          <w:sz w:val="17"/>
          <w:szCs w:val="17"/>
          <w:color w:val="auto"/>
        </w:rPr>
        <w:t>In light of the recent Russian invasion of Ukraine and the related sanctions that have been placed on certain Russian entities and activities, we have evaluated the impacts that these events have on our business and on our financial results. We have no material exposure to Ukraine and Russia in terms of revenue, supply and tangible assets. We also considered any triggering events for our intangibles assets and due to the limited exposure we have to both countries, we concluded that no triggering events have occurred. We do have employees in Ukraine from our recently acquired Depositphotos business, and we are providing financial and other assistance to those employees. The impact of these costs are not material to our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w:t>
      </w:r>
    </w:p>
    <w:p>
      <w:pPr>
        <w:spacing w:after="0" w:line="185" w:lineRule="exact"/>
        <w:rPr>
          <w:sz w:val="20"/>
          <w:szCs w:val="20"/>
          <w:color w:val="auto"/>
        </w:rPr>
      </w:pPr>
    </w:p>
    <w:p>
      <w:pPr>
        <w:ind w:right="60" w:firstLine="597"/>
        <w:spacing w:after="0" w:line="250" w:lineRule="auto"/>
        <w:rPr>
          <w:sz w:val="20"/>
          <w:szCs w:val="20"/>
          <w:color w:val="auto"/>
        </w:rPr>
      </w:pPr>
      <w:r>
        <w:rPr>
          <w:rFonts w:ascii="Arial" w:cs="Arial" w:eastAsia="Arial" w:hAnsi="Arial"/>
          <w:sz w:val="17"/>
          <w:szCs w:val="17"/>
          <w:color w:val="auto"/>
        </w:rPr>
        <w:t>Our significant accounting policies are described in Note 2 in our consolidated financial statements included in the Form 10-K for our year ended June 30, 2021.</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828" w:right="35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Revision of Prior Period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Gains Associated with Intercompany Loan Hedge</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During the second fiscal quarter of 2022, we identified an error related to the recognition of foreign currency gains that were included in other</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income (expense), net within our consolidated statements of operations, associated with a net investment hedge. In May 2021, we designated 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€300,000 intercompany loan as a net investment hedge to hedge the risk of changes in the U.S. dollar equivalent value of a portion of our net investment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in one of our consolidated subsidiaries that has the Euro as its functional currency. As this hedging instrument was designated as a net investment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hedge, all foreign currency gains and losses should be recognized in accumulated other comprehensive loss as part of currency translation adjustment.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June 30, 2021 and three months ended September 30, 2021, we incorrectly recognized $7,518 and $9,027, respectively, of gains in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This error overstated other income (expense), net; income (loss) before income taxes; and net income for both periods but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did not have an impact on cash provided by operating activities, since it is a non-cash currency item. Included below are the revisions made for each</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period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Consolidated Balance Sheets</w:t>
            </w: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center"/>
              <w:ind w:left="766"/>
              <w:spacing w:after="0"/>
              <w:rPr>
                <w:sz w:val="20"/>
                <w:szCs w:val="20"/>
                <w:color w:val="auto"/>
              </w:rPr>
            </w:pPr>
            <w:r>
              <w:rPr>
                <w:rFonts w:ascii="Arial" w:cs="Arial" w:eastAsia="Arial" w:hAnsi="Arial"/>
                <w:sz w:val="13"/>
                <w:szCs w:val="13"/>
                <w:b w:val="1"/>
                <w:bCs w:val="1"/>
                <w:color w:val="auto"/>
              </w:rPr>
              <w:t>As of September 30, 2021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rPr>
              <w:t>Reported</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ind w:right="85"/>
              <w:spacing w:after="0"/>
              <w:rPr>
                <w:sz w:val="20"/>
                <w:szCs w:val="20"/>
                <w:color w:val="auto"/>
              </w:rPr>
            </w:pPr>
            <w:r>
              <w:rPr>
                <w:rFonts w:ascii="Arial" w:cs="Arial" w:eastAsia="Arial" w:hAnsi="Arial"/>
                <w:sz w:val="15"/>
                <w:szCs w:val="15"/>
                <w:color w:val="auto"/>
                <w:w w:val="99"/>
              </w:rPr>
              <w:t>Adjustments</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2"/>
        </w:trPr>
        <w:tc>
          <w:tcPr>
            <w:tcW w:w="7100" w:type="dxa"/>
            <w:vAlign w:val="bottom"/>
          </w:tcPr>
          <w:p>
            <w:pPr>
              <w:ind w:left="2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(83,732)</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16,545</w:t>
            </w:r>
          </w:p>
        </w:tc>
        <w:tc>
          <w:tcPr>
            <w:tcW w:w="100" w:type="dxa"/>
            <w:vAlign w:val="bottom"/>
          </w:tcPr>
          <w:p>
            <w:pPr>
              <w:spacing w:after="0"/>
              <w:rPr>
                <w:sz w:val="16"/>
                <w:szCs w:val="16"/>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(67,187)</w:t>
            </w: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Retained earnings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532,414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515,869</w:t>
            </w:r>
          </w:p>
        </w:tc>
        <w:tc>
          <w:tcPr>
            <w:tcW w:w="0" w:type="dxa"/>
            <w:vAlign w:val="bottom"/>
          </w:tcPr>
          <w:p>
            <w:pPr>
              <w:spacing w:after="0"/>
              <w:rPr>
                <w:sz w:val="1"/>
                <w:szCs w:val="1"/>
                <w:color w:val="auto"/>
              </w:rPr>
            </w:pPr>
          </w:p>
        </w:tc>
      </w:tr>
      <w:tr>
        <w:trPr>
          <w:trHeight w:val="324"/>
        </w:trPr>
        <w:tc>
          <w:tcPr>
            <w:tcW w:w="7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rPr>
              <w:t>As of June 30, 2021</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rPr>
              <w:t>Reported</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ind w:right="85"/>
              <w:spacing w:after="0"/>
              <w:rPr>
                <w:sz w:val="20"/>
                <w:szCs w:val="20"/>
                <w:color w:val="auto"/>
              </w:rPr>
            </w:pPr>
            <w:r>
              <w:rPr>
                <w:rFonts w:ascii="Arial" w:cs="Arial" w:eastAsia="Arial" w:hAnsi="Arial"/>
                <w:sz w:val="15"/>
                <w:szCs w:val="15"/>
                <w:color w:val="auto"/>
                <w:w w:val="99"/>
              </w:rPr>
              <w:t>Adjustments</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2"/>
        </w:trPr>
        <w:tc>
          <w:tcPr>
            <w:tcW w:w="7100" w:type="dxa"/>
            <w:vAlign w:val="bottom"/>
          </w:tcPr>
          <w:p>
            <w:pPr>
              <w:ind w:left="2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(79,000)</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Pr>
          <w:p>
            <w:pPr>
              <w:spacing w:after="0"/>
              <w:rPr>
                <w:sz w:val="16"/>
                <w:szCs w:val="16"/>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(71,482)</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Retained earnings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537,677</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530,159</w:t>
            </w:r>
          </w:p>
        </w:tc>
        <w:tc>
          <w:tcPr>
            <w:tcW w:w="0" w:type="dxa"/>
            <w:vAlign w:val="bottom"/>
          </w:tcPr>
          <w:p>
            <w:pPr>
              <w:spacing w:after="0"/>
              <w:rPr>
                <w:sz w:val="1"/>
                <w:szCs w:val="1"/>
                <w:color w:val="auto"/>
              </w:rPr>
            </w:pPr>
          </w:p>
        </w:tc>
      </w:tr>
      <w:tr>
        <w:trPr>
          <w:trHeight w:val="269"/>
        </w:trPr>
        <w:tc>
          <w:tcPr>
            <w:tcW w:w="71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Consolidated Statements of Operations</w:t>
            </w: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7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rPr>
              <w:t>September 30, 2021</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rPr>
              <w:t>Reported</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ind w:right="85"/>
              <w:spacing w:after="0"/>
              <w:rPr>
                <w:sz w:val="20"/>
                <w:szCs w:val="20"/>
                <w:color w:val="auto"/>
              </w:rPr>
            </w:pPr>
            <w:r>
              <w:rPr>
                <w:rFonts w:ascii="Arial" w:cs="Arial" w:eastAsia="Arial" w:hAnsi="Arial"/>
                <w:sz w:val="15"/>
                <w:szCs w:val="15"/>
                <w:color w:val="auto"/>
                <w:w w:val="99"/>
              </w:rPr>
              <w:t>Adjustments</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2"/>
        </w:trPr>
        <w:tc>
          <w:tcPr>
            <w:tcW w:w="7100" w:type="dxa"/>
            <w:vAlign w:val="bottom"/>
          </w:tcPr>
          <w:p>
            <w:pPr>
              <w:ind w:left="20"/>
              <w:spacing w:after="0"/>
              <w:rPr>
                <w:sz w:val="20"/>
                <w:szCs w:val="20"/>
                <w:color w:val="auto"/>
              </w:rPr>
            </w:pPr>
            <w:r>
              <w:rPr>
                <w:rFonts w:ascii="Arial" w:cs="Arial" w:eastAsia="Arial" w:hAnsi="Arial"/>
                <w:sz w:val="15"/>
                <w:szCs w:val="15"/>
                <w:color w:val="auto"/>
              </w:rPr>
              <w:t>Other income (expense), net</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22,197</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(9,027)</w:t>
            </w:r>
          </w:p>
        </w:tc>
        <w:tc>
          <w:tcPr>
            <w:tcW w:w="100" w:type="dxa"/>
            <w:vAlign w:val="bottom"/>
          </w:tcPr>
          <w:p>
            <w:pPr>
              <w:spacing w:after="0"/>
              <w:rPr>
                <w:sz w:val="16"/>
                <w:szCs w:val="16"/>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13,170</w:t>
            </w: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before income taxes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13,448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4,421</w:t>
            </w:r>
          </w:p>
        </w:tc>
        <w:tc>
          <w:tcPr>
            <w:tcW w:w="0" w:type="dxa"/>
            <w:vAlign w:val="bottom"/>
          </w:tcPr>
          <w:p>
            <w:pPr>
              <w:spacing w:after="0"/>
              <w:rPr>
                <w:sz w:val="1"/>
                <w:szCs w:val="1"/>
                <w:color w:val="auto"/>
              </w:rPr>
            </w:pPr>
          </w:p>
        </w:tc>
      </w:tr>
      <w:tr>
        <w:trPr>
          <w:trHeight w:val="196"/>
        </w:trPr>
        <w:tc>
          <w:tcPr>
            <w:tcW w:w="710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2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4,067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(9,027)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(4,960)</w:t>
            </w: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(loss) attributable to Cimpress plc</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2,329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(6,698)</w:t>
            </w:r>
          </w:p>
        </w:tc>
        <w:tc>
          <w:tcPr>
            <w:tcW w:w="0" w:type="dxa"/>
            <w:vAlign w:val="bottom"/>
          </w:tcPr>
          <w:p>
            <w:pPr>
              <w:spacing w:after="0"/>
              <w:rPr>
                <w:sz w:val="1"/>
                <w:szCs w:val="1"/>
                <w:color w:val="auto"/>
              </w:rPr>
            </w:pPr>
          </w:p>
        </w:tc>
      </w:tr>
      <w:tr>
        <w:trPr>
          <w:trHeight w:val="196"/>
        </w:trPr>
        <w:tc>
          <w:tcPr>
            <w:tcW w:w="7100" w:type="dxa"/>
            <w:vAlign w:val="bottom"/>
          </w:tcPr>
          <w:p>
            <w:pPr>
              <w:ind w:left="20"/>
              <w:spacing w:after="0"/>
              <w:rPr>
                <w:sz w:val="20"/>
                <w:szCs w:val="20"/>
                <w:color w:val="auto"/>
              </w:rPr>
            </w:pPr>
            <w:r>
              <w:rPr>
                <w:rFonts w:ascii="Arial" w:cs="Arial" w:eastAsia="Arial" w:hAnsi="Arial"/>
                <w:sz w:val="15"/>
                <w:szCs w:val="15"/>
                <w:color w:val="auto"/>
              </w:rPr>
              <w:t>Net income (loss) per share attributable to Cimpress plc:</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Basic</w:t>
            </w: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0.09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Diluted</w:t>
            </w:r>
          </w:p>
        </w:tc>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0.09</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69"/>
        </w:trPr>
        <w:tc>
          <w:tcPr>
            <w:tcW w:w="71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Consolidated Statements of Comprehensive Loss</w:t>
            </w: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7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rPr>
              <w:t>September 30, 2021</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rPr>
              <w:t>Reported</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ind w:right="85"/>
              <w:spacing w:after="0"/>
              <w:rPr>
                <w:sz w:val="20"/>
                <w:szCs w:val="20"/>
                <w:color w:val="auto"/>
              </w:rPr>
            </w:pPr>
            <w:r>
              <w:rPr>
                <w:rFonts w:ascii="Arial" w:cs="Arial" w:eastAsia="Arial" w:hAnsi="Arial"/>
                <w:sz w:val="15"/>
                <w:szCs w:val="15"/>
                <w:color w:val="auto"/>
                <w:w w:val="99"/>
              </w:rPr>
              <w:t>Adjustments</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2"/>
        </w:trPr>
        <w:tc>
          <w:tcPr>
            <w:tcW w:w="710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4,067</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(9,027)</w:t>
            </w:r>
          </w:p>
        </w:tc>
        <w:tc>
          <w:tcPr>
            <w:tcW w:w="100" w:type="dxa"/>
            <w:vAlign w:val="bottom"/>
          </w:tcPr>
          <w:p>
            <w:pPr>
              <w:spacing w:after="0"/>
              <w:rPr>
                <w:sz w:val="16"/>
                <w:szCs w:val="16"/>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(4,960)</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losses, net of hedges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(9,210)</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9,027</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269"/>
        </w:trPr>
        <w:tc>
          <w:tcPr>
            <w:tcW w:w="71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Consolidated Statements of Shareholders' Deficit</w:t>
            </w: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7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rPr>
              <w:t>September 30, 2021</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rPr>
              <w:t>Reported</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ind w:right="85"/>
              <w:spacing w:after="0"/>
              <w:rPr>
                <w:sz w:val="20"/>
                <w:szCs w:val="20"/>
                <w:color w:val="auto"/>
              </w:rPr>
            </w:pPr>
            <w:r>
              <w:rPr>
                <w:rFonts w:ascii="Arial" w:cs="Arial" w:eastAsia="Arial" w:hAnsi="Arial"/>
                <w:sz w:val="15"/>
                <w:szCs w:val="15"/>
                <w:color w:val="auto"/>
                <w:w w:val="99"/>
              </w:rPr>
              <w:t>Adjustments</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2"/>
        </w:trPr>
        <w:tc>
          <w:tcPr>
            <w:tcW w:w="7100" w:type="dxa"/>
            <w:vAlign w:val="bottom"/>
          </w:tcPr>
          <w:p>
            <w:pPr>
              <w:ind w:left="20"/>
              <w:spacing w:after="0"/>
              <w:rPr>
                <w:sz w:val="20"/>
                <w:szCs w:val="20"/>
                <w:color w:val="auto"/>
              </w:rPr>
            </w:pPr>
            <w:r>
              <w:rPr>
                <w:rFonts w:ascii="Arial" w:cs="Arial" w:eastAsia="Arial" w:hAnsi="Arial"/>
                <w:sz w:val="15"/>
                <w:szCs w:val="15"/>
                <w:color w:val="auto"/>
              </w:rPr>
              <w:t>Net income (loss) attributable to Cimpress plc</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2,329</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(9,027)</w:t>
            </w:r>
          </w:p>
        </w:tc>
        <w:tc>
          <w:tcPr>
            <w:tcW w:w="100" w:type="dxa"/>
            <w:vAlign w:val="bottom"/>
          </w:tcPr>
          <w:p>
            <w:pPr>
              <w:spacing w:after="0"/>
              <w:rPr>
                <w:sz w:val="16"/>
                <w:szCs w:val="16"/>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(6,698)</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net of hedges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(8,353)</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9,027</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674</w:t>
            </w:r>
          </w:p>
        </w:tc>
        <w:tc>
          <w:tcPr>
            <w:tcW w:w="0" w:type="dxa"/>
            <w:vAlign w:val="bottom"/>
          </w:tcPr>
          <w:p>
            <w:pPr>
              <w:spacing w:after="0"/>
              <w:rPr>
                <w:sz w:val="1"/>
                <w:szCs w:val="1"/>
                <w:color w:val="auto"/>
              </w:rPr>
            </w:pPr>
          </w:p>
        </w:tc>
      </w:tr>
      <w:tr>
        <w:trPr>
          <w:trHeight w:val="269"/>
        </w:trPr>
        <w:tc>
          <w:tcPr>
            <w:tcW w:w="71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Consolidated Statements of Cash Flows</w:t>
            </w: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7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rPr>
              <w:t>September 30, 2021</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rPr>
              <w:t>Reported</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ind w:right="85"/>
              <w:spacing w:after="0"/>
              <w:rPr>
                <w:sz w:val="20"/>
                <w:szCs w:val="20"/>
                <w:color w:val="auto"/>
              </w:rPr>
            </w:pPr>
            <w:r>
              <w:rPr>
                <w:rFonts w:ascii="Arial" w:cs="Arial" w:eastAsia="Arial" w:hAnsi="Arial"/>
                <w:sz w:val="15"/>
                <w:szCs w:val="15"/>
                <w:color w:val="auto"/>
                <w:w w:val="99"/>
              </w:rPr>
              <w:t>Adjustments</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2"/>
        </w:trPr>
        <w:tc>
          <w:tcPr>
            <w:tcW w:w="710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4,067</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(9,027)</w:t>
            </w:r>
          </w:p>
        </w:tc>
        <w:tc>
          <w:tcPr>
            <w:tcW w:w="100" w:type="dxa"/>
            <w:vAlign w:val="bottom"/>
          </w:tcPr>
          <w:p>
            <w:pPr>
              <w:spacing w:after="0"/>
              <w:rPr>
                <w:sz w:val="16"/>
                <w:szCs w:val="16"/>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(4,960)</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9"/>
              </w:rPr>
              <w:t>Effect of exchange rate changes on monetary assets and liabilities denominated in non-functional currency</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(8,853)</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9,027</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49"/>
        </w:trPr>
        <w:tc>
          <w:tcPr>
            <w:tcW w:w="71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Consolidated Statements of Operations</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Year ended</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June 30, 2021</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Reported</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w w:val="99"/>
              </w:rPr>
              <w:t>Adjustments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2"/>
        </w:trPr>
        <w:tc>
          <w:tcPr>
            <w:tcW w:w="7100" w:type="dxa"/>
            <w:vAlign w:val="bottom"/>
          </w:tcPr>
          <w:p>
            <w:pPr>
              <w:ind w:left="20"/>
              <w:spacing w:after="0"/>
              <w:rPr>
                <w:sz w:val="20"/>
                <w:szCs w:val="20"/>
                <w:color w:val="auto"/>
              </w:rPr>
            </w:pPr>
            <w:r>
              <w:rPr>
                <w:rFonts w:ascii="Arial" w:cs="Arial" w:eastAsia="Arial" w:hAnsi="Arial"/>
                <w:sz w:val="15"/>
                <w:szCs w:val="15"/>
                <w:color w:val="auto"/>
              </w:rPr>
              <w:t>Other income (expense), net</w:t>
            </w: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(11,835)</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(19,353)</w:t>
            </w: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before income taxes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(63,554)</w:t>
            </w:r>
          </w:p>
        </w:tc>
        <w:tc>
          <w:tcPr>
            <w:tcW w:w="0" w:type="dxa"/>
            <w:vAlign w:val="bottom"/>
          </w:tcPr>
          <w:p>
            <w:pPr>
              <w:spacing w:after="0"/>
              <w:rPr>
                <w:sz w:val="1"/>
                <w:szCs w:val="1"/>
                <w:color w:val="auto"/>
              </w:rPr>
            </w:pPr>
          </w:p>
        </w:tc>
      </w:tr>
      <w:tr>
        <w:trPr>
          <w:trHeight w:val="196"/>
        </w:trPr>
        <w:tc>
          <w:tcPr>
            <w:tcW w:w="7100" w:type="dxa"/>
            <w:vAlign w:val="bottom"/>
          </w:tcPr>
          <w:p>
            <w:pPr>
              <w:ind w:left="20"/>
              <w:spacing w:after="0"/>
              <w:rPr>
                <w:sz w:val="20"/>
                <w:szCs w:val="20"/>
                <w:color w:val="auto"/>
              </w:rPr>
            </w:pPr>
            <w:r>
              <w:rPr>
                <w:rFonts w:ascii="Arial" w:cs="Arial" w:eastAsia="Arial" w:hAnsi="Arial"/>
                <w:sz w:val="15"/>
                <w:szCs w:val="15"/>
                <w:color w:val="auto"/>
              </w:rPr>
              <w:t>Net loss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(74,939)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(82,457)</w:t>
            </w: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attributable to Cimpress plc</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(85,229)</w:t>
            </w:r>
          </w:p>
        </w:tc>
        <w:tc>
          <w:tcPr>
            <w:tcW w:w="0" w:type="dxa"/>
            <w:vAlign w:val="bottom"/>
          </w:tcPr>
          <w:p>
            <w:pPr>
              <w:spacing w:after="0"/>
              <w:rPr>
                <w:sz w:val="1"/>
                <w:szCs w:val="1"/>
                <w:color w:val="auto"/>
              </w:rPr>
            </w:pPr>
          </w:p>
        </w:tc>
      </w:tr>
      <w:tr>
        <w:trPr>
          <w:trHeight w:val="196"/>
        </w:trPr>
        <w:tc>
          <w:tcPr>
            <w:tcW w:w="7100" w:type="dxa"/>
            <w:vAlign w:val="bottom"/>
          </w:tcPr>
          <w:p>
            <w:pPr>
              <w:ind w:left="20"/>
              <w:spacing w:after="0"/>
              <w:rPr>
                <w:sz w:val="20"/>
                <w:szCs w:val="20"/>
                <w:color w:val="auto"/>
              </w:rPr>
            </w:pPr>
            <w:r>
              <w:rPr>
                <w:rFonts w:ascii="Arial" w:cs="Arial" w:eastAsia="Arial" w:hAnsi="Arial"/>
                <w:sz w:val="15"/>
                <w:szCs w:val="15"/>
                <w:color w:val="auto"/>
              </w:rPr>
              <w:t>Net loss per share attributable to Cimpress plc:</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Basic</w:t>
            </w: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Diluted</w:t>
            </w:r>
          </w:p>
        </w:tc>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(0.29)</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269"/>
        </w:trPr>
        <w:tc>
          <w:tcPr>
            <w:tcW w:w="71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Consolidated Statements of Comprehensive (Loss) Income</w:t>
            </w: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Year ended</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7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June 30, 2021</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Reported</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w w:val="99"/>
              </w:rPr>
              <w:t>Adjustments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2"/>
        </w:trPr>
        <w:tc>
          <w:tcPr>
            <w:tcW w:w="7100" w:type="dxa"/>
            <w:vAlign w:val="bottom"/>
          </w:tcPr>
          <w:p>
            <w:pPr>
              <w:ind w:left="20"/>
              <w:spacing w:after="0"/>
              <w:rPr>
                <w:sz w:val="20"/>
                <w:szCs w:val="20"/>
                <w:color w:val="auto"/>
              </w:rPr>
            </w:pPr>
            <w:r>
              <w:rPr>
                <w:rFonts w:ascii="Arial" w:cs="Arial" w:eastAsia="Arial" w:hAnsi="Arial"/>
                <w:sz w:val="15"/>
                <w:szCs w:val="15"/>
                <w:color w:val="auto"/>
              </w:rPr>
              <w:t>Net loss</w:t>
            </w: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(74,939)</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(82,457)</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losses, net of hedges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5,397</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12,915</w:t>
            </w:r>
          </w:p>
        </w:tc>
        <w:tc>
          <w:tcPr>
            <w:tcW w:w="0" w:type="dxa"/>
            <w:vAlign w:val="bottom"/>
          </w:tcPr>
          <w:p>
            <w:pPr>
              <w:spacing w:after="0"/>
              <w:rPr>
                <w:sz w:val="1"/>
                <w:szCs w:val="1"/>
                <w:color w:val="auto"/>
              </w:rPr>
            </w:pPr>
          </w:p>
        </w:tc>
      </w:tr>
      <w:tr>
        <w:trPr>
          <w:trHeight w:val="269"/>
        </w:trPr>
        <w:tc>
          <w:tcPr>
            <w:tcW w:w="71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Consolidated Statements of Shareholders' Equity (Deficit)</w:t>
            </w: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Year ended</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7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June 30, 2021</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Reported</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w w:val="99"/>
              </w:rPr>
              <w:t>Adjustments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2"/>
        </w:trPr>
        <w:tc>
          <w:tcPr>
            <w:tcW w:w="7100" w:type="dxa"/>
            <w:vAlign w:val="bottom"/>
          </w:tcPr>
          <w:p>
            <w:pPr>
              <w:ind w:left="20"/>
              <w:spacing w:after="0"/>
              <w:rPr>
                <w:sz w:val="20"/>
                <w:szCs w:val="20"/>
                <w:color w:val="auto"/>
              </w:rPr>
            </w:pPr>
            <w:r>
              <w:rPr>
                <w:rFonts w:ascii="Arial" w:cs="Arial" w:eastAsia="Arial" w:hAnsi="Arial"/>
                <w:sz w:val="15"/>
                <w:szCs w:val="15"/>
                <w:color w:val="auto"/>
              </w:rPr>
              <w:t>Net loss attributable to Cimpress plc</w:t>
            </w: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(77,711)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(85,229)</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net of hedges</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3,765</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11,283</w:t>
            </w:r>
          </w:p>
        </w:tc>
        <w:tc>
          <w:tcPr>
            <w:tcW w:w="0" w:type="dxa"/>
            <w:vAlign w:val="bottom"/>
          </w:tcPr>
          <w:p>
            <w:pPr>
              <w:spacing w:after="0"/>
              <w:rPr>
                <w:sz w:val="1"/>
                <w:szCs w:val="1"/>
                <w:color w:val="auto"/>
              </w:rPr>
            </w:pPr>
          </w:p>
        </w:tc>
      </w:tr>
      <w:tr>
        <w:trPr>
          <w:trHeight w:val="269"/>
        </w:trPr>
        <w:tc>
          <w:tcPr>
            <w:tcW w:w="71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Consolidated Statements of Cash Flows</w:t>
            </w: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Year ended</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71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June 30, 2021</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Reported</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w w:val="99"/>
              </w:rPr>
              <w:t>Adjustments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2"/>
        </w:trPr>
        <w:tc>
          <w:tcPr>
            <w:tcW w:w="7100" w:type="dxa"/>
            <w:vAlign w:val="bottom"/>
          </w:tcPr>
          <w:p>
            <w:pPr>
              <w:ind w:left="20"/>
              <w:spacing w:after="0"/>
              <w:rPr>
                <w:sz w:val="20"/>
                <w:szCs w:val="20"/>
                <w:color w:val="auto"/>
              </w:rPr>
            </w:pPr>
            <w:r>
              <w:rPr>
                <w:rFonts w:ascii="Arial" w:cs="Arial" w:eastAsia="Arial" w:hAnsi="Arial"/>
                <w:sz w:val="15"/>
                <w:szCs w:val="15"/>
                <w:color w:val="auto"/>
              </w:rPr>
              <w:t>Net loss</w:t>
            </w: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(74,939)</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(82,457)</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9"/>
              </w:rPr>
              <w:t>Effect of exchange rate changes on monetary assets and liabilities denominated in non-functional currency</w:t>
            </w: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(7,278)</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7,518</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Presentation of Revenue and Cost of Revenue</w:t>
      </w:r>
    </w:p>
    <w:p>
      <w:pPr>
        <w:spacing w:after="0" w:line="208" w:lineRule="exact"/>
        <w:rPr>
          <w:sz w:val="20"/>
          <w:szCs w:val="20"/>
          <w:color w:val="auto"/>
        </w:rPr>
      </w:pPr>
    </w:p>
    <w:p>
      <w:pPr>
        <w:ind w:right="100" w:firstLine="597"/>
        <w:spacing w:after="0" w:line="245" w:lineRule="auto"/>
        <w:rPr>
          <w:sz w:val="20"/>
          <w:szCs w:val="20"/>
          <w:color w:val="auto"/>
        </w:rPr>
      </w:pPr>
      <w:r>
        <w:rPr>
          <w:rFonts w:ascii="Arial" w:cs="Arial" w:eastAsia="Arial" w:hAnsi="Arial"/>
          <w:sz w:val="17"/>
          <w:szCs w:val="17"/>
          <w:color w:val="auto"/>
        </w:rPr>
        <w:t>During the first quarter of fiscal 2022, we identified an immaterial error related to the presentation of revenue for one-to-one design service arrangements that overstated revenue and cost of revenue for the period from October 1, 2020 through June 30, 2021. On October 1, 2020 we acquired the 99designs business, which is presented as part of our Vista reportable segment, and after acquisition we recognized revenue on a gross basis as if we were the principal to the transactions. During the first quarter of fiscal 2022, we reconsidered the guidance of ASC 606-10-55-39 and confirmed we are the principal for contest arrangements; however, the one-to-one design service portion of 99designs revenue is governed by different terms and conditions. We evaluated whether we have control over these services before the design is transferred to the customer, as we leverage a network of third-party designers to fulfill this offering. The pricing and fulfillment responsibility aspects of the one-to-one design arrangements led us to conclude we are an agent to these specific transactions.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revision for the three and nine months ended March 31, 2021 is summarized in the table below.</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6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Consolidated Statements of Operations</w:t>
            </w: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3"/>
          </w:tcPr>
          <w:p>
            <w:pPr>
              <w:jc w:val="center"/>
              <w:ind w:left="391"/>
              <w:spacing w:after="0"/>
              <w:rPr>
                <w:sz w:val="20"/>
                <w:szCs w:val="20"/>
                <w:color w:val="auto"/>
              </w:rPr>
            </w:pPr>
            <w:r>
              <w:rPr>
                <w:rFonts w:ascii="Arial" w:cs="Arial" w:eastAsia="Arial" w:hAnsi="Arial"/>
                <w:sz w:val="13"/>
                <w:szCs w:val="13"/>
                <w:b w:val="1"/>
                <w:bCs w:val="1"/>
                <w:color w:val="auto"/>
              </w:rPr>
              <w:t>Three months ended</w:t>
            </w:r>
          </w:p>
        </w:tc>
        <w:tc>
          <w:tcPr>
            <w:tcW w:w="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6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rPr>
              <w:t>March 31, 2021</w:t>
            </w: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Reported</w:t>
            </w:r>
          </w:p>
        </w:tc>
        <w:tc>
          <w:tcPr>
            <w:tcW w:w="7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w w:val="99"/>
              </w:rPr>
              <w:t>Adjustments</w:t>
            </w:r>
          </w:p>
        </w:tc>
        <w:tc>
          <w:tcPr>
            <w:tcW w:w="8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2"/>
        </w:trPr>
        <w:tc>
          <w:tcPr>
            <w:tcW w:w="5060" w:type="dxa"/>
            <w:vAlign w:val="bottom"/>
          </w:tcPr>
          <w:p>
            <w:pPr>
              <w:ind w:left="620"/>
              <w:spacing w:after="0"/>
              <w:rPr>
                <w:sz w:val="20"/>
                <w:szCs w:val="20"/>
                <w:color w:val="auto"/>
              </w:rPr>
            </w:pPr>
            <w:r>
              <w:rPr>
                <w:rFonts w:ascii="Arial" w:cs="Arial" w:eastAsia="Arial" w:hAnsi="Arial"/>
                <w:sz w:val="15"/>
                <w:szCs w:val="15"/>
                <w:color w:val="auto"/>
              </w:rPr>
              <w:t>Revenue</w:t>
            </w:r>
          </w:p>
        </w:tc>
        <w:tc>
          <w:tcPr>
            <w:tcW w:w="8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578,851</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(5,489)</w:t>
            </w:r>
          </w:p>
        </w:tc>
        <w:tc>
          <w:tcPr>
            <w:tcW w:w="100" w:type="dxa"/>
            <w:vAlign w:val="bottom"/>
          </w:tcPr>
          <w:p>
            <w:pPr>
              <w:spacing w:after="0"/>
              <w:rPr>
                <w:sz w:val="16"/>
                <w:szCs w:val="16"/>
                <w:color w:val="auto"/>
              </w:rPr>
            </w:pPr>
          </w:p>
        </w:tc>
        <w:tc>
          <w:tcPr>
            <w:tcW w:w="88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573,362</w:t>
            </w: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Cost of revenue</w:t>
            </w:r>
          </w:p>
        </w:tc>
        <w:tc>
          <w:tcPr>
            <w:tcW w:w="8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302,022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296,533</w:t>
            </w:r>
          </w:p>
        </w:tc>
        <w:tc>
          <w:tcPr>
            <w:tcW w:w="0" w:type="dxa"/>
            <w:vAlign w:val="bottom"/>
          </w:tcPr>
          <w:p>
            <w:pPr>
              <w:spacing w:after="0"/>
              <w:rPr>
                <w:sz w:val="1"/>
                <w:szCs w:val="1"/>
                <w:color w:val="auto"/>
              </w:rPr>
            </w:pPr>
          </w:p>
        </w:tc>
      </w:tr>
      <w:tr>
        <w:trPr>
          <w:trHeight w:val="286"/>
        </w:trPr>
        <w:tc>
          <w:tcPr>
            <w:tcW w:w="5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3"/>
          </w:tcPr>
          <w:p>
            <w:pPr>
              <w:jc w:val="center"/>
              <w:ind w:left="431"/>
              <w:spacing w:after="0"/>
              <w:rPr>
                <w:sz w:val="20"/>
                <w:szCs w:val="20"/>
                <w:color w:val="auto"/>
              </w:rPr>
            </w:pPr>
            <w:r>
              <w:rPr>
                <w:rFonts w:ascii="Arial" w:cs="Arial" w:eastAsia="Arial" w:hAnsi="Arial"/>
                <w:sz w:val="13"/>
                <w:szCs w:val="13"/>
                <w:b w:val="1"/>
                <w:bCs w:val="1"/>
                <w:color w:val="auto"/>
              </w:rPr>
              <w:t>Nine months ended</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rPr>
              <w:t>March 31, 2021</w:t>
            </w: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Reported</w:t>
            </w:r>
          </w:p>
        </w:tc>
        <w:tc>
          <w:tcPr>
            <w:tcW w:w="7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60"/>
              <w:spacing w:after="0"/>
              <w:rPr>
                <w:sz w:val="20"/>
                <w:szCs w:val="20"/>
                <w:color w:val="auto"/>
              </w:rPr>
            </w:pPr>
            <w:r>
              <w:rPr>
                <w:rFonts w:ascii="Arial" w:cs="Arial" w:eastAsia="Arial" w:hAnsi="Arial"/>
                <w:sz w:val="15"/>
                <w:szCs w:val="15"/>
                <w:color w:val="auto"/>
                <w:w w:val="99"/>
              </w:rPr>
              <w:t>Adjustments</w:t>
            </w:r>
          </w:p>
        </w:tc>
        <w:tc>
          <w:tcPr>
            <w:tcW w:w="8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rPr>
              <w:t>Revised</w:t>
            </w:r>
          </w:p>
        </w:tc>
        <w:tc>
          <w:tcPr>
            <w:tcW w:w="0" w:type="dxa"/>
            <w:vAlign w:val="bottom"/>
          </w:tcPr>
          <w:p>
            <w:pPr>
              <w:spacing w:after="0"/>
              <w:rPr>
                <w:sz w:val="1"/>
                <w:szCs w:val="1"/>
                <w:color w:val="auto"/>
              </w:rPr>
            </w:pPr>
          </w:p>
        </w:tc>
      </w:tr>
      <w:tr>
        <w:trPr>
          <w:trHeight w:val="192"/>
        </w:trPr>
        <w:tc>
          <w:tcPr>
            <w:tcW w:w="5060" w:type="dxa"/>
            <w:vAlign w:val="bottom"/>
          </w:tcPr>
          <w:p>
            <w:pPr>
              <w:ind w:left="620"/>
              <w:spacing w:after="0"/>
              <w:rPr>
                <w:sz w:val="20"/>
                <w:szCs w:val="20"/>
                <w:color w:val="auto"/>
              </w:rPr>
            </w:pPr>
            <w:r>
              <w:rPr>
                <w:rFonts w:ascii="Arial" w:cs="Arial" w:eastAsia="Arial" w:hAnsi="Arial"/>
                <w:sz w:val="15"/>
                <w:szCs w:val="15"/>
                <w:color w:val="auto"/>
              </w:rPr>
              <w:t>Revenue</w:t>
            </w:r>
          </w:p>
        </w:tc>
        <w:tc>
          <w:tcPr>
            <w:tcW w:w="8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1,951,496</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(10,730)</w:t>
            </w:r>
          </w:p>
        </w:tc>
        <w:tc>
          <w:tcPr>
            <w:tcW w:w="100" w:type="dxa"/>
            <w:vAlign w:val="bottom"/>
          </w:tcPr>
          <w:p>
            <w:pPr>
              <w:spacing w:after="0"/>
              <w:rPr>
                <w:sz w:val="16"/>
                <w:szCs w:val="16"/>
                <w:color w:val="auto"/>
              </w:rPr>
            </w:pPr>
          </w:p>
        </w:tc>
        <w:tc>
          <w:tcPr>
            <w:tcW w:w="88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1,940,766</w:t>
            </w:r>
          </w:p>
        </w:tc>
        <w:tc>
          <w:tcPr>
            <w:tcW w:w="0" w:type="dxa"/>
            <w:vAlign w:val="bottom"/>
          </w:tcPr>
          <w:p>
            <w:pPr>
              <w:spacing w:after="0"/>
              <w:rPr>
                <w:sz w:val="1"/>
                <w:szCs w:val="1"/>
                <w:color w:val="auto"/>
              </w:rPr>
            </w:pPr>
          </w:p>
        </w:tc>
      </w:tr>
      <w:tr>
        <w:trPr>
          <w:trHeight w:val="199"/>
        </w:trPr>
        <w:tc>
          <w:tcPr>
            <w:tcW w:w="50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5"/>
                <w:szCs w:val="15"/>
                <w:color w:val="auto"/>
              </w:rPr>
              <w:t>Cost of revenue</w:t>
            </w:r>
          </w:p>
        </w:tc>
        <w:tc>
          <w:tcPr>
            <w:tcW w:w="8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986,845</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(10,730)</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976,115</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impact of this revision will result in a decrease to revenue and cost of revenue for fiscal year 2021 of $16,552.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4" w:name="page15"/>
    <w:bookmarkEnd w:id="14"/>
    <w:p>
      <w:pPr>
        <w:ind w:right="160" w:firstLine="597"/>
        <w:spacing w:after="0" w:line="221" w:lineRule="auto"/>
        <w:rPr>
          <w:sz w:val="20"/>
          <w:szCs w:val="20"/>
          <w:color w:val="auto"/>
        </w:rPr>
      </w:pPr>
      <w:r>
        <w:rPr>
          <w:rFonts w:ascii="Arial" w:cs="Arial" w:eastAsia="Arial" w:hAnsi="Arial"/>
          <w:sz w:val="17"/>
          <w:szCs w:val="17"/>
          <w:color w:val="auto"/>
        </w:rPr>
        <w:t>Management assessed the materiality of the misstatements described above on prior period financial statements in accordance with SEC Staff Accounting Bulletin (“SAB” No. 99, Materiality, codified in ASC 250-10, Accounting Changes and Error Corrections ("ASC 250") and ASC 250 (SAB No. 108, Considering the Effects of Prior Year Misstatements when Quantifying Misstatements in Current Year Financial Statements) and concluded that these misstatements were not material to any prior annual or interim periods.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and Sale of Leased Facility</w:t>
      </w:r>
    </w:p>
    <w:p>
      <w:pPr>
        <w:spacing w:after="0" w:line="198" w:lineRule="exact"/>
        <w:rPr>
          <w:sz w:val="20"/>
          <w:szCs w:val="20"/>
          <w:color w:val="auto"/>
        </w:rPr>
      </w:pPr>
    </w:p>
    <w:p>
      <w:pPr>
        <w:ind w:firstLine="597"/>
        <w:spacing w:after="0" w:line="245" w:lineRule="auto"/>
        <w:rPr>
          <w:sz w:val="20"/>
          <w:szCs w:val="20"/>
          <w:color w:val="auto"/>
        </w:rPr>
      </w:pPr>
      <w:r>
        <w:rPr>
          <w:rFonts w:ascii="Arial" w:cs="Arial" w:eastAsia="Arial" w:hAnsi="Arial"/>
          <w:sz w:val="17"/>
          <w:szCs w:val="17"/>
          <w:color w:val="auto"/>
        </w:rPr>
        <w:t>During the second quarter of fiscal year 2022, we paid $ 27,885 to exercise the purchase option available for one of our leased facilities, resulting in a $23,534 decrease in the current portion of our finance lease obligations. We immediately sold this facility to a separate third party for $23,226. Due to an impairment charge recognized during the third quarter of fiscal 2021 that resulted from triggering events that assumed a less advantageous sublease scenario than the current-quarter sale, we recognized a $3,324 gain on the sale of the asset within general and administrative expense on our consolidated statement of operations during the nine months ended March 31, 2022.</w:t>
      </w:r>
    </w:p>
    <w:p>
      <w:pPr>
        <w:spacing w:after="0" w:line="122" w:lineRule="exact"/>
        <w:rPr>
          <w:sz w:val="20"/>
          <w:szCs w:val="20"/>
          <w:color w:val="auto"/>
        </w:rPr>
      </w:pPr>
    </w:p>
    <w:p>
      <w:pPr>
        <w:ind w:right="240" w:firstLine="597"/>
        <w:spacing w:after="0" w:line="247" w:lineRule="auto"/>
        <w:rPr>
          <w:sz w:val="20"/>
          <w:szCs w:val="20"/>
          <w:color w:val="auto"/>
        </w:rPr>
      </w:pPr>
      <w:r>
        <w:rPr>
          <w:rFonts w:ascii="Arial" w:cs="Arial" w:eastAsia="Arial" w:hAnsi="Arial"/>
          <w:sz w:val="17"/>
          <w:szCs w:val="17"/>
          <w:color w:val="auto"/>
        </w:rPr>
        <w:t>For the nine months ended March 31, 2022, our consolidated statement of cash flows includes a $23,226 cash inflow for the sale of the facility presented as an investing activity as part of proceeds from the sale of assets and a $27,885 cash outflow for the exercise of the purchase option presented as a financing activity as part of payments of finance lease obligations.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Marketable Securities</w:t>
      </w:r>
    </w:p>
    <w:p>
      <w:pPr>
        <w:spacing w:after="0" w:line="198" w:lineRule="exact"/>
        <w:rPr>
          <w:sz w:val="20"/>
          <w:szCs w:val="20"/>
          <w:color w:val="auto"/>
        </w:rPr>
      </w:pPr>
    </w:p>
    <w:p>
      <w:pPr>
        <w:ind w:right="80" w:firstLine="597"/>
        <w:spacing w:after="0" w:line="245" w:lineRule="auto"/>
        <w:rPr>
          <w:sz w:val="20"/>
          <w:szCs w:val="20"/>
          <w:color w:val="auto"/>
        </w:rPr>
      </w:pPr>
      <w:r>
        <w:rPr>
          <w:rFonts w:ascii="Arial" w:cs="Arial" w:eastAsia="Arial" w:hAnsi="Arial"/>
          <w:sz w:val="17"/>
          <w:szCs w:val="17"/>
          <w:color w:val="auto"/>
        </w:rPr>
        <w:t>We hold certain investments that are classified as held-to-maturity (HTM) as we have the intent and ability to hold them to their maturity dates. Our policy is to invest in the following permitted classes of assets: overnight money market funds invested in U.S. Treasury securities and U.S. government agency securities, U.S. Treasury securities-specifically U.S. Treasury bills, notes, and bonds, U.S. government agency securities, bank time deposits, commercial paper, corporate notes and bonds, and medium term notes. We generally invest in securities with a maturity of two years or less. As the investments are classified as held-to-maturity they are recorded at amortized cost and interest income is recorded as it is earned within interest expense, net.</w:t>
      </w:r>
    </w:p>
    <w:p>
      <w:pPr>
        <w:spacing w:after="0" w:line="184" w:lineRule="exact"/>
        <w:rPr>
          <w:sz w:val="20"/>
          <w:szCs w:val="20"/>
          <w:color w:val="auto"/>
        </w:rPr>
      </w:pPr>
    </w:p>
    <w:p>
      <w:pPr>
        <w:ind w:right="140" w:firstLine="597"/>
        <w:spacing w:after="0" w:line="245" w:lineRule="auto"/>
        <w:rPr>
          <w:sz w:val="20"/>
          <w:szCs w:val="20"/>
          <w:color w:val="auto"/>
        </w:rPr>
      </w:pPr>
      <w:r>
        <w:rPr>
          <w:rFonts w:ascii="Arial" w:cs="Arial" w:eastAsia="Arial" w:hAnsi="Arial"/>
          <w:sz w:val="17"/>
          <w:szCs w:val="17"/>
          <w:color w:val="auto"/>
        </w:rPr>
        <w:t>We will continue to assess our securities for impairment when the fair value is less than amortized cost to determine if any risk of credit loss exists. As our intent is to hold the securities to maturity, we must assess whether any credit losses related to our investments are recoverable and determine if it is more likely than not that we will be required to sell the security before recovery of its amortized cost basis. We did not record an allowance for credit losses and we recognized no impairments for these marketable securities during the three and nine months ended March 31, 2022, and we held no marketable securities during the prior comparative periods.</w:t>
      </w:r>
    </w:p>
    <w:p>
      <w:pPr>
        <w:spacing w:after="0" w:line="172" w:lineRule="exact"/>
        <w:rPr>
          <w:sz w:val="20"/>
          <w:szCs w:val="20"/>
          <w:color w:val="auto"/>
        </w:rPr>
      </w:pPr>
    </w:p>
    <w:p>
      <w:pPr>
        <w:ind w:right="180" w:firstLine="597"/>
        <w:spacing w:after="0" w:line="250" w:lineRule="auto"/>
        <w:rPr>
          <w:sz w:val="20"/>
          <w:szCs w:val="20"/>
          <w:color w:val="auto"/>
        </w:rPr>
      </w:pPr>
      <w:r>
        <w:rPr>
          <w:rFonts w:ascii="Arial" w:cs="Arial" w:eastAsia="Arial" w:hAnsi="Arial"/>
          <w:sz w:val="17"/>
          <w:szCs w:val="17"/>
          <w:color w:val="auto"/>
        </w:rPr>
        <w:t>The following is a summary of the net carrying amount, unrealized gains, unrealized losses, and fair value of held-to-maturity securities by type and contractual maturity as of March 31, 2022 and June 30,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920"/>
              <w:spacing w:after="0"/>
              <w:rPr>
                <w:sz w:val="20"/>
                <w:szCs w:val="20"/>
                <w:color w:val="auto"/>
              </w:rPr>
            </w:pPr>
            <w:r>
              <w:rPr>
                <w:rFonts w:ascii="Arial" w:cs="Arial" w:eastAsia="Arial" w:hAnsi="Arial"/>
                <w:sz w:val="12"/>
                <w:szCs w:val="12"/>
                <w:b w:val="1"/>
                <w:bCs w:val="1"/>
                <w:color w:val="auto"/>
              </w:rPr>
              <w:t>March 31, 2022</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74"/>
        </w:trPr>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Amortized cost</w:t>
            </w:r>
          </w:p>
        </w:tc>
        <w:tc>
          <w:tcPr>
            <w:tcW w:w="14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 gains</w:t>
            </w:r>
          </w:p>
        </w:tc>
        <w:tc>
          <w:tcPr>
            <w:tcW w:w="12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 losses</w:t>
            </w:r>
          </w:p>
        </w:tc>
        <w:tc>
          <w:tcPr>
            <w:tcW w:w="260" w:type="dxa"/>
            <w:vAlign w:val="bottom"/>
          </w:tcPr>
          <w:p>
            <w:pPr>
              <w:spacing w:after="0"/>
              <w:rPr>
                <w:sz w:val="15"/>
                <w:szCs w:val="15"/>
                <w:color w:val="auto"/>
              </w:rPr>
            </w:pPr>
          </w:p>
        </w:tc>
        <w:tc>
          <w:tcPr>
            <w:tcW w:w="1180" w:type="dxa"/>
            <w:vAlign w:val="bottom"/>
          </w:tcPr>
          <w:p>
            <w:pPr>
              <w:jc w:val="right"/>
              <w:ind w:right="327"/>
              <w:spacing w:after="0"/>
              <w:rPr>
                <w:sz w:val="20"/>
                <w:szCs w:val="20"/>
                <w:color w:val="auto"/>
              </w:rPr>
            </w:pPr>
            <w:r>
              <w:rPr>
                <w:rFonts w:ascii="Arial" w:cs="Arial" w:eastAsia="Arial" w:hAnsi="Arial"/>
                <w:sz w:val="13"/>
                <w:szCs w:val="13"/>
                <w:b w:val="1"/>
                <w:bCs w:val="1"/>
                <w:color w:val="auto"/>
              </w:rPr>
              <w:t>Fair value</w:t>
            </w:r>
          </w:p>
        </w:tc>
      </w:tr>
      <w:tr>
        <w:trPr>
          <w:trHeight w:val="154"/>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Due within one year or less:</w:t>
            </w:r>
          </w:p>
        </w:tc>
        <w:tc>
          <w:tcPr>
            <w:tcW w:w="1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196"/>
        </w:trPr>
        <w:tc>
          <w:tcPr>
            <w:tcW w:w="5220" w:type="dxa"/>
            <w:vAlign w:val="bottom"/>
          </w:tcPr>
          <w:p>
            <w:pPr>
              <w:ind w:left="120"/>
              <w:spacing w:after="0"/>
              <w:rPr>
                <w:sz w:val="20"/>
                <w:szCs w:val="20"/>
                <w:color w:val="auto"/>
              </w:rPr>
            </w:pPr>
            <w:r>
              <w:rPr>
                <w:rFonts w:ascii="Arial" w:cs="Arial" w:eastAsia="Arial" w:hAnsi="Arial"/>
                <w:sz w:val="15"/>
                <w:szCs w:val="15"/>
                <w:color w:val="auto"/>
              </w:rPr>
              <w:t>Commercial paper</w:t>
            </w: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18,998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7"/>
                <w:szCs w:val="17"/>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18,984</w:t>
            </w:r>
          </w:p>
        </w:tc>
      </w:tr>
      <w:tr>
        <w:trPr>
          <w:trHeight w:val="199"/>
        </w:trPr>
        <w:tc>
          <w:tcPr>
            <w:tcW w:w="5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debt securities</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76,639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76,318</w:t>
            </w:r>
          </w:p>
        </w:tc>
      </w:tr>
      <w:tr>
        <w:trPr>
          <w:trHeight w:val="19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due within one year or less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95,637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(338)</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95,302</w:t>
            </w:r>
          </w:p>
        </w:tc>
      </w:tr>
      <w:tr>
        <w:trPr>
          <w:trHeight w:val="157"/>
        </w:trPr>
        <w:tc>
          <w:tcPr>
            <w:tcW w:w="5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Due between one and two years:</w:t>
            </w: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96"/>
        </w:trPr>
        <w:tc>
          <w:tcPr>
            <w:tcW w:w="5220" w:type="dxa"/>
            <w:vAlign w:val="bottom"/>
          </w:tcPr>
          <w:p>
            <w:pPr>
              <w:ind w:left="120"/>
              <w:spacing w:after="0"/>
              <w:rPr>
                <w:sz w:val="20"/>
                <w:szCs w:val="20"/>
                <w:color w:val="auto"/>
              </w:rPr>
            </w:pPr>
            <w:r>
              <w:rPr>
                <w:rFonts w:ascii="Arial" w:cs="Arial" w:eastAsia="Arial" w:hAnsi="Arial"/>
                <w:sz w:val="15"/>
                <w:szCs w:val="15"/>
                <w:color w:val="auto"/>
              </w:rPr>
              <w:t>Corporate debt securities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12,116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(233)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11,883</w:t>
            </w:r>
          </w:p>
        </w:tc>
      </w:tr>
      <w:tr>
        <w:trPr>
          <w:trHeight w:val="219"/>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held-to-maturity securities</w:t>
            </w:r>
          </w:p>
        </w:tc>
        <w:tc>
          <w:tcPr>
            <w:tcW w:w="1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107,753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107,185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4"/>
              </w:rPr>
              <w:t>June 30, 2021</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74"/>
        </w:trPr>
        <w:tc>
          <w:tcPr>
            <w:tcW w:w="6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3"/>
                <w:szCs w:val="13"/>
                <w:b w:val="1"/>
                <w:bCs w:val="1"/>
                <w:color w:val="auto"/>
              </w:rPr>
              <w:t>Amortized cost</w:t>
            </w:r>
          </w:p>
        </w:tc>
        <w:tc>
          <w:tcPr>
            <w:tcW w:w="12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Unrealized losses</w:t>
            </w:r>
          </w:p>
        </w:tc>
        <w:tc>
          <w:tcPr>
            <w:tcW w:w="260" w:type="dxa"/>
            <w:vAlign w:val="bottom"/>
          </w:tcPr>
          <w:p>
            <w:pPr>
              <w:spacing w:after="0"/>
              <w:rPr>
                <w:sz w:val="15"/>
                <w:szCs w:val="15"/>
                <w:color w:val="auto"/>
              </w:rPr>
            </w:pPr>
          </w:p>
        </w:tc>
        <w:tc>
          <w:tcPr>
            <w:tcW w:w="1180" w:type="dxa"/>
            <w:vAlign w:val="bottom"/>
          </w:tcPr>
          <w:p>
            <w:pPr>
              <w:jc w:val="right"/>
              <w:ind w:right="327"/>
              <w:spacing w:after="0"/>
              <w:rPr>
                <w:sz w:val="20"/>
                <w:szCs w:val="20"/>
                <w:color w:val="auto"/>
              </w:rPr>
            </w:pPr>
            <w:r>
              <w:rPr>
                <w:rFonts w:ascii="Arial" w:cs="Arial" w:eastAsia="Arial" w:hAnsi="Arial"/>
                <w:sz w:val="13"/>
                <w:szCs w:val="13"/>
                <w:b w:val="1"/>
                <w:bCs w:val="1"/>
                <w:color w:val="auto"/>
              </w:rPr>
              <w:t>Fair value</w:t>
            </w:r>
          </w:p>
        </w:tc>
      </w:tr>
      <w:tr>
        <w:trPr>
          <w:trHeight w:val="15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Due within one year or less:</w:t>
            </w:r>
          </w:p>
        </w:tc>
        <w:tc>
          <w:tcPr>
            <w:tcW w:w="1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196"/>
        </w:trPr>
        <w:tc>
          <w:tcPr>
            <w:tcW w:w="6740" w:type="dxa"/>
            <w:vAlign w:val="bottom"/>
          </w:tcPr>
          <w:p>
            <w:pPr>
              <w:ind w:left="120"/>
              <w:spacing w:after="0"/>
              <w:rPr>
                <w:sz w:val="20"/>
                <w:szCs w:val="20"/>
                <w:color w:val="auto"/>
              </w:rPr>
            </w:pPr>
            <w:r>
              <w:rPr>
                <w:rFonts w:ascii="Arial" w:cs="Arial" w:eastAsia="Arial" w:hAnsi="Arial"/>
                <w:sz w:val="15"/>
                <w:szCs w:val="15"/>
                <w:color w:val="auto"/>
              </w:rPr>
              <w:t>Commercial paper</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7"/>
              <w:spacing w:after="0"/>
              <w:rPr>
                <w:sz w:val="20"/>
                <w:szCs w:val="20"/>
                <w:color w:val="auto"/>
              </w:rPr>
            </w:pPr>
            <w:r>
              <w:rPr>
                <w:rFonts w:ascii="Arial" w:cs="Arial" w:eastAsia="Arial" w:hAnsi="Arial"/>
                <w:sz w:val="15"/>
                <w:szCs w:val="15"/>
                <w:color w:val="auto"/>
              </w:rPr>
              <w:t>74,463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7"/>
                <w:szCs w:val="17"/>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74,435</w:t>
            </w:r>
          </w:p>
        </w:tc>
      </w:tr>
      <w:tr>
        <w:trPr>
          <w:trHeight w:val="199"/>
        </w:trPr>
        <w:tc>
          <w:tcPr>
            <w:tcW w:w="6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Corporate debt securities</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77,785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77,728</w:t>
            </w:r>
          </w:p>
        </w:tc>
      </w:tr>
      <w:tr>
        <w:trPr>
          <w:trHeight w:val="192"/>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due within one year or less</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152,248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152,163</w:t>
            </w:r>
          </w:p>
        </w:tc>
      </w:tr>
      <w:tr>
        <w:trPr>
          <w:trHeight w:val="157"/>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Due after one year through two years:</w:t>
            </w: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96"/>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Corporate debt securities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50,713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50,623</w:t>
            </w:r>
          </w:p>
        </w:tc>
      </w:tr>
      <w:tr>
        <w:trPr>
          <w:trHeight w:val="21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held-to-maturity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202,961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202,786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(Expense), Net</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the components of other income (expense), net:</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2"/>
                <w:szCs w:val="12"/>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789"/>
              <w:spacing w:after="0"/>
              <w:rPr>
                <w:sz w:val="20"/>
                <w:szCs w:val="20"/>
                <w:color w:val="auto"/>
              </w:rPr>
            </w:pPr>
            <w:r>
              <w:rPr>
                <w:rFonts w:ascii="Arial" w:cs="Arial" w:eastAsia="Arial" w:hAnsi="Arial"/>
                <w:sz w:val="12"/>
                <w:szCs w:val="12"/>
                <w:b w:val="1"/>
                <w:bCs w:val="1"/>
                <w:color w:val="auto"/>
              </w:rPr>
              <w:t>Nine Months Ended March 31,</w:t>
            </w:r>
          </w:p>
        </w:tc>
      </w:tr>
      <w:tr>
        <w:trPr>
          <w:trHeight w:val="157"/>
        </w:trPr>
        <w:tc>
          <w:tcPr>
            <w:tcW w:w="44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2022</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2021</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9"/>
              <w:spacing w:after="0"/>
              <w:rPr>
                <w:sz w:val="20"/>
                <w:szCs w:val="20"/>
                <w:color w:val="auto"/>
              </w:rPr>
            </w:pPr>
            <w:r>
              <w:rPr>
                <w:rFonts w:ascii="Arial" w:cs="Arial" w:eastAsia="Arial" w:hAnsi="Arial"/>
                <w:sz w:val="12"/>
                <w:szCs w:val="12"/>
                <w:b w:val="1"/>
                <w:bCs w:val="1"/>
                <w:color w:val="auto"/>
              </w:rPr>
              <w:t>2021</w:t>
            </w:r>
          </w:p>
        </w:tc>
      </w:tr>
      <w:tr>
        <w:trPr>
          <w:trHeight w:val="148"/>
        </w:trPr>
        <w:tc>
          <w:tcPr>
            <w:tcW w:w="4420" w:type="dxa"/>
            <w:vAlign w:val="bottom"/>
            <w:shd w:val="clear" w:color="auto" w:fill="CCEEFF"/>
          </w:tcPr>
          <w:p>
            <w:pPr>
              <w:spacing w:after="0" w:line="148" w:lineRule="exact"/>
              <w:rPr>
                <w:sz w:val="20"/>
                <w:szCs w:val="20"/>
                <w:color w:val="auto"/>
              </w:rPr>
            </w:pPr>
            <w:r>
              <w:rPr>
                <w:rFonts w:ascii="Arial" w:cs="Arial" w:eastAsia="Arial" w:hAnsi="Arial"/>
                <w:sz w:val="15"/>
                <w:szCs w:val="15"/>
                <w:color w:val="auto"/>
              </w:rPr>
              <w:t>Gains (losses) on derivatives not designated as hedging</w:t>
            </w: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85"/>
        </w:trPr>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instruments (1)</w:t>
            </w:r>
          </w:p>
        </w:tc>
        <w:tc>
          <w:tcPr>
            <w:tcW w:w="1020" w:type="dxa"/>
            <w:vAlign w:val="bottom"/>
            <w:shd w:val="clear" w:color="auto" w:fill="CCEEFF"/>
          </w:tcPr>
          <w:p>
            <w:pPr>
              <w:jc w:val="right"/>
              <w:ind w:right="854"/>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11,210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51"/>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18,724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31,017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(13,791)</w:t>
            </w:r>
          </w:p>
        </w:tc>
      </w:tr>
      <w:tr>
        <w:trPr>
          <w:trHeight w:val="196"/>
        </w:trPr>
        <w:tc>
          <w:tcPr>
            <w:tcW w:w="4420" w:type="dxa"/>
            <w:vAlign w:val="bottom"/>
          </w:tcPr>
          <w:p>
            <w:pPr>
              <w:spacing w:after="0"/>
              <w:rPr>
                <w:sz w:val="20"/>
                <w:szCs w:val="20"/>
                <w:color w:val="auto"/>
              </w:rPr>
            </w:pPr>
            <w:r>
              <w:rPr>
                <w:rFonts w:ascii="Arial" w:cs="Arial" w:eastAsia="Arial" w:hAnsi="Arial"/>
                <w:sz w:val="15"/>
                <w:szCs w:val="15"/>
                <w:color w:val="auto"/>
              </w:rPr>
              <w:t>Currency-related (losses) gains, net (2)(3)</w:t>
            </w: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(672)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(8,841)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5,202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(2,957)</w:t>
            </w:r>
          </w:p>
        </w:tc>
      </w:tr>
      <w:tr>
        <w:trPr>
          <w:trHeight w:val="199"/>
        </w:trPr>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Other gains (losses)</w:t>
            </w:r>
          </w:p>
        </w:tc>
        <w:tc>
          <w:tcPr>
            <w:tcW w:w="10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1,783</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581</w:t>
            </w:r>
          </w:p>
        </w:tc>
      </w:tr>
      <w:tr>
        <w:trPr>
          <w:trHeight w:val="194"/>
        </w:trPr>
        <w:tc>
          <w:tcPr>
            <w:tcW w:w="4420" w:type="dxa"/>
            <w:vAlign w:val="bottom"/>
          </w:tcPr>
          <w:p>
            <w:pPr>
              <w:spacing w:after="0"/>
              <w:rPr>
                <w:sz w:val="20"/>
                <w:szCs w:val="20"/>
                <w:color w:val="auto"/>
              </w:rPr>
            </w:pPr>
            <w:r>
              <w:rPr>
                <w:rFonts w:ascii="Arial" w:cs="Arial" w:eastAsia="Arial" w:hAnsi="Arial"/>
                <w:sz w:val="15"/>
                <w:szCs w:val="15"/>
                <w:color w:val="auto"/>
              </w:rPr>
              <w:t>Total other income (expense), net</w:t>
            </w:r>
          </w:p>
        </w:tc>
        <w:tc>
          <w:tcPr>
            <w:tcW w:w="1020" w:type="dxa"/>
            <w:vAlign w:val="bottom"/>
            <w:tcBorders>
              <w:bottom w:val="single" w:sz="8" w:color="auto"/>
            </w:tcBorders>
          </w:tcPr>
          <w:p>
            <w:pPr>
              <w:jc w:val="right"/>
              <w:ind w:right="854"/>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12,321</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851"/>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9,785</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38,330</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(16,167)</w:t>
            </w:r>
          </w:p>
        </w:tc>
      </w:tr>
      <w:tr>
        <w:trPr>
          <w:trHeight w:val="20"/>
        </w:trPr>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w:t>
      </w:r>
    </w:p>
    <w:p>
      <w:pPr>
        <w:spacing w:after="0" w:line="108" w:lineRule="exact"/>
        <w:rPr>
          <w:sz w:val="20"/>
          <w:szCs w:val="20"/>
          <w:color w:val="auto"/>
        </w:rPr>
      </w:pPr>
    </w:p>
    <w:p>
      <w:pPr>
        <w:ind w:left="220" w:hanging="220"/>
        <w:spacing w:after="0" w:line="245" w:lineRule="auto"/>
        <w:tabs>
          <w:tab w:leader="none" w:pos="195" w:val="left"/>
        </w:tabs>
        <w:numPr>
          <w:ilvl w:val="0"/>
          <w:numId w:val="4"/>
        </w:numPr>
        <w:rPr>
          <w:rFonts w:ascii="Arial" w:cs="Arial" w:eastAsia="Arial" w:hAnsi="Arial"/>
          <w:sz w:val="13"/>
          <w:szCs w:val="13"/>
          <w:color w:val="auto"/>
        </w:rPr>
      </w:pPr>
      <w:r>
        <w:rPr>
          <w:rFonts w:ascii="Arial" w:cs="Arial" w:eastAsia="Arial" w:hAnsi="Arial"/>
          <w:sz w:val="13"/>
          <w:szCs w:val="13"/>
          <w:color w:val="auto"/>
        </w:rPr>
        <w:t>Primarily relates to both realized and unrealized gains and losses on derivative currency forward and option contracts not designated as hedging instruments, as well as certain interest rate swap contracts that have been de-designated from hedge accounting due to their ineffectiveness. The ineffective portion of interest rate swap contracts which had been de-designated amounted to gains of $6,580 and $6,364 for the three and nine months ended March 31, 2022, respectively, and gains of $6,394 and $6,759 for the three and nine months ended March 31, 2021, respectively.</w:t>
      </w:r>
    </w:p>
    <w:p>
      <w:pPr>
        <w:spacing w:after="0" w:line="61" w:lineRule="exact"/>
        <w:rPr>
          <w:rFonts w:ascii="Arial" w:cs="Arial" w:eastAsia="Arial" w:hAnsi="Arial"/>
          <w:sz w:val="13"/>
          <w:szCs w:val="13"/>
          <w:color w:val="auto"/>
        </w:rPr>
      </w:pPr>
    </w:p>
    <w:p>
      <w:pPr>
        <w:ind w:left="220" w:right="20" w:hanging="220"/>
        <w:spacing w:after="0" w:line="243" w:lineRule="auto"/>
        <w:tabs>
          <w:tab w:leader="none" w:pos="195"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have significant non-functional currency intercompany financing relationships that we may change at times and are subject to currency exchange rate volatility. The currency-related (losses) gains, net are primarily driven by this intercompany activity for the periods presented. In addition, we have certain cross-currency swaps designated as cash flow hedges which hedge the remeasurement of certain intercompany loans; both are presented in the same component above. Unrealized gains related to cross-currency swaps were $1,770 and $8,126 during the three and nine months ended March 31, 2022, respectively, while there were unrealized gains of $6,288 and unrealized losses of $5,233 during the three and nine months ended March 31, 2021, respectively.</w:t>
      </w:r>
    </w:p>
    <w:p>
      <w:pPr>
        <w:spacing w:after="0" w:line="76" w:lineRule="exact"/>
        <w:rPr>
          <w:rFonts w:ascii="Arial" w:cs="Arial" w:eastAsia="Arial" w:hAnsi="Arial"/>
          <w:sz w:val="13"/>
          <w:szCs w:val="13"/>
          <w:color w:val="auto"/>
        </w:rPr>
      </w:pPr>
    </w:p>
    <w:p>
      <w:pPr>
        <w:ind w:left="220" w:right="380" w:hanging="220"/>
        <w:spacing w:after="0" w:line="256" w:lineRule="auto"/>
        <w:tabs>
          <w:tab w:leader="none" w:pos="195" w:val="left"/>
        </w:tabs>
        <w:numPr>
          <w:ilvl w:val="0"/>
          <w:numId w:val="4"/>
        </w:numPr>
        <w:rPr>
          <w:rFonts w:ascii="Arial" w:cs="Arial" w:eastAsia="Arial" w:hAnsi="Arial"/>
          <w:sz w:val="13"/>
          <w:szCs w:val="13"/>
          <w:color w:val="auto"/>
        </w:rPr>
      </w:pPr>
      <w:r>
        <w:rPr>
          <w:rFonts w:ascii="Arial" w:cs="Arial" w:eastAsia="Arial" w:hAnsi="Arial"/>
          <w:sz w:val="13"/>
          <w:szCs w:val="13"/>
          <w:color w:val="auto"/>
        </w:rPr>
        <w:t>During the second quarter of fiscal year 2022, we identified an immaterial error and revised our previously reported results to reduce the gains presented above by $9,027 for the nine months ended March 31, 2022. Refer to the "Revision of Prior Period Financial Statements" section above for additional details.</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Per Share Attributable to Cimpress plc</w:t>
      </w:r>
    </w:p>
    <w:p>
      <w:pPr>
        <w:spacing w:after="0" w:line="210" w:lineRule="exact"/>
        <w:rPr>
          <w:sz w:val="20"/>
          <w:szCs w:val="20"/>
          <w:color w:val="auto"/>
        </w:rPr>
      </w:pPr>
    </w:p>
    <w:p>
      <w:pPr>
        <w:ind w:right="120" w:firstLine="597"/>
        <w:spacing w:after="0" w:line="245" w:lineRule="auto"/>
        <w:rPr>
          <w:sz w:val="20"/>
          <w:szCs w:val="20"/>
          <w:color w:val="auto"/>
        </w:rPr>
      </w:pPr>
      <w:r>
        <w:rPr>
          <w:rFonts w:ascii="Arial" w:cs="Arial" w:eastAsia="Arial" w:hAnsi="Arial"/>
          <w:sz w:val="17"/>
          <w:szCs w:val="17"/>
          <w:color w:val="auto"/>
        </w:rPr>
        <w:t>Basic net loss per share attributable to Cimpress plc is computed by dividing net loss attributable to Cimpress plc by the weighted-average number of ordinary shares outstanding for the respective period. Diluted net loss per share attributable to Cimpress plc gives effect to all potentially dilutive securities, including share options, restricted share units (“RSUs”), warrants,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6" w:name="page17"/>
    <w:bookmarkEnd w:id="16"/>
    <w:p>
      <w:pPr>
        <w:ind w:left="600"/>
        <w:spacing w:after="0"/>
        <w:rPr>
          <w:sz w:val="20"/>
          <w:szCs w:val="20"/>
          <w:color w:val="auto"/>
        </w:rPr>
      </w:pPr>
      <w:r>
        <w:rPr>
          <w:rFonts w:ascii="Arial" w:cs="Arial" w:eastAsia="Arial" w:hAnsi="Arial"/>
          <w:sz w:val="17"/>
          <w:szCs w:val="17"/>
          <w:color w:val="auto"/>
        </w:rPr>
        <w:t>The following table sets forth the reconciliation of the weighted-average number of ordinary shares: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420" w:type="dxa"/>
            <w:vAlign w:val="bottom"/>
            <w:gridSpan w:val="4"/>
          </w:tcPr>
          <w:p>
            <w:pPr>
              <w:ind w:left="800"/>
              <w:spacing w:after="0"/>
              <w:rPr>
                <w:sz w:val="20"/>
                <w:szCs w:val="20"/>
                <w:color w:val="auto"/>
              </w:rPr>
            </w:pPr>
            <w:r>
              <w:rPr>
                <w:rFonts w:ascii="Arial" w:cs="Arial" w:eastAsia="Arial" w:hAnsi="Arial"/>
                <w:sz w:val="12"/>
                <w:szCs w:val="12"/>
                <w:b w:val="1"/>
                <w:bCs w:val="1"/>
                <w:color w:val="auto"/>
              </w:rPr>
              <w:t>Three Months Ended March 31,</w:t>
            </w:r>
          </w:p>
        </w:tc>
        <w:tc>
          <w:tcPr>
            <w:tcW w:w="3340" w:type="dxa"/>
            <w:vAlign w:val="bottom"/>
            <w:gridSpan w:val="3"/>
          </w:tcPr>
          <w:p>
            <w:pPr>
              <w:jc w:val="right"/>
              <w:ind w:right="771"/>
              <w:spacing w:after="0"/>
              <w:rPr>
                <w:sz w:val="20"/>
                <w:szCs w:val="20"/>
                <w:color w:val="auto"/>
              </w:rPr>
            </w:pPr>
            <w:r>
              <w:rPr>
                <w:rFonts w:ascii="Arial" w:cs="Arial" w:eastAsia="Arial" w:hAnsi="Arial"/>
                <w:sz w:val="12"/>
                <w:szCs w:val="12"/>
                <w:b w:val="1"/>
                <w:bCs w:val="1"/>
                <w:color w:val="auto"/>
              </w:rPr>
              <w:t>Nine Months Ended March 31,</w:t>
            </w:r>
          </w:p>
        </w:tc>
      </w:tr>
      <w:tr>
        <w:trPr>
          <w:trHeight w:val="157"/>
        </w:trPr>
        <w:tc>
          <w:tcPr>
            <w:tcW w:w="4400" w:type="dxa"/>
            <w:vAlign w:val="bottom"/>
            <w:tcBorders>
              <w:bottom w:val="single" w:sz="8" w:color="CCEEFF"/>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2"/>
                <w:szCs w:val="12"/>
                <w:b w:val="1"/>
                <w:bCs w:val="1"/>
                <w:color w:val="auto"/>
              </w:rPr>
              <w:t>2021</w:t>
            </w:r>
          </w:p>
        </w:tc>
      </w:tr>
      <w:tr>
        <w:trPr>
          <w:trHeight w:val="196"/>
        </w:trPr>
        <w:tc>
          <w:tcPr>
            <w:tcW w:w="4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shares outstanding, basic and diluted (1)</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26,102,610</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26,003,675</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26,090,460</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25,984,300</w:t>
            </w:r>
          </w:p>
        </w:tc>
      </w:tr>
      <w:tr>
        <w:trPr>
          <w:trHeight w:val="164"/>
        </w:trPr>
        <w:tc>
          <w:tcPr>
            <w:tcW w:w="4400" w:type="dxa"/>
            <w:vAlign w:val="bottom"/>
          </w:tcPr>
          <w:p>
            <w:pPr>
              <w:ind w:left="20"/>
              <w:spacing w:after="0" w:line="164" w:lineRule="exact"/>
              <w:rPr>
                <w:sz w:val="20"/>
                <w:szCs w:val="20"/>
                <w:color w:val="auto"/>
              </w:rPr>
            </w:pPr>
            <w:r>
              <w:rPr>
                <w:rFonts w:ascii="Arial" w:cs="Arial" w:eastAsia="Arial" w:hAnsi="Arial"/>
                <w:sz w:val="15"/>
                <w:szCs w:val="15"/>
                <w:color w:val="auto"/>
              </w:rPr>
              <w:t>Weighted average anti-dilutive shares excluded from diluted net</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9"/>
        </w:trPr>
        <w:tc>
          <w:tcPr>
            <w:tcW w:w="4400" w:type="dxa"/>
            <w:vAlign w:val="bottom"/>
          </w:tcPr>
          <w:p>
            <w:pPr>
              <w:ind w:left="20"/>
              <w:spacing w:after="0"/>
              <w:rPr>
                <w:sz w:val="20"/>
                <w:szCs w:val="20"/>
                <w:color w:val="auto"/>
              </w:rPr>
            </w:pPr>
            <w:r>
              <w:rPr>
                <w:rFonts w:ascii="Arial" w:cs="Arial" w:eastAsia="Arial" w:hAnsi="Arial"/>
                <w:sz w:val="15"/>
                <w:szCs w:val="15"/>
                <w:color w:val="auto"/>
              </w:rPr>
              <w:t>loss per share attributable to Cimpress plc (2)</w:t>
            </w:r>
          </w:p>
        </w:tc>
        <w:tc>
          <w:tcPr>
            <w:tcW w:w="1600" w:type="dxa"/>
            <w:vAlign w:val="bottom"/>
          </w:tcPr>
          <w:p>
            <w:pPr>
              <w:jc w:val="right"/>
              <w:spacing w:after="0"/>
              <w:rPr>
                <w:sz w:val="20"/>
                <w:szCs w:val="20"/>
                <w:color w:val="auto"/>
              </w:rPr>
            </w:pPr>
            <w:r>
              <w:rPr>
                <w:rFonts w:ascii="Arial" w:cs="Arial" w:eastAsia="Arial" w:hAnsi="Arial"/>
                <w:sz w:val="15"/>
                <w:szCs w:val="15"/>
                <w:color w:val="auto"/>
              </w:rPr>
              <w:t>908,354</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621,172</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770,500</w:t>
            </w:r>
          </w:p>
        </w:tc>
        <w:tc>
          <w:tcPr>
            <w:tcW w:w="1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485,067</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w:t>
      </w:r>
    </w:p>
    <w:p>
      <w:pPr>
        <w:spacing w:after="0" w:line="108" w:lineRule="exact"/>
        <w:rPr>
          <w:sz w:val="20"/>
          <w:szCs w:val="20"/>
          <w:color w:val="auto"/>
        </w:rPr>
      </w:pPr>
    </w:p>
    <w:p>
      <w:pPr>
        <w:ind w:left="200" w:hanging="200"/>
        <w:spacing w:after="0"/>
        <w:tabs>
          <w:tab w:leader="none" w:pos="2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the periods in which a net loss is recognized, the impact of share options, RSUs, RSAs and warrants is not included as they are anti-dilutive.</w:t>
      </w:r>
    </w:p>
    <w:p>
      <w:pPr>
        <w:spacing w:after="0" w:line="86" w:lineRule="exact"/>
        <w:rPr>
          <w:rFonts w:ascii="Arial" w:cs="Arial" w:eastAsia="Arial" w:hAnsi="Arial"/>
          <w:sz w:val="13"/>
          <w:szCs w:val="13"/>
          <w:color w:val="auto"/>
        </w:rPr>
      </w:pPr>
    </w:p>
    <w:p>
      <w:pPr>
        <w:ind w:left="220" w:right="100" w:hanging="220"/>
        <w:spacing w:after="0" w:line="248" w:lineRule="auto"/>
        <w:tabs>
          <w:tab w:leader="none" w:pos="195"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May 1, 2020, we entered into a financing arrangement with Apollo Global Management, Inc., which included 7-year warrants with a strike price of $60 that have a potentially dilutive impact on our weighted average shares outstanding. For the three and nine months ended March 31, 2022, the weighted average dilutive effect of the warrants was 103,443 and 264,963 shares, respectively, as compared to 412,473 and 348,973 shares for the three and nine months ended March 31, 2021,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or Adopted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Adopted Accounting Standards</w:t>
      </w:r>
    </w:p>
    <w:p>
      <w:pPr>
        <w:spacing w:after="0" w:line="208" w:lineRule="exact"/>
        <w:rPr>
          <w:sz w:val="20"/>
          <w:szCs w:val="20"/>
          <w:color w:val="auto"/>
        </w:rPr>
      </w:pPr>
    </w:p>
    <w:p>
      <w:pPr>
        <w:ind w:right="180" w:firstLine="597"/>
        <w:spacing w:after="0" w:line="245" w:lineRule="auto"/>
        <w:rPr>
          <w:sz w:val="20"/>
          <w:szCs w:val="20"/>
          <w:color w:val="auto"/>
        </w:rPr>
      </w:pPr>
      <w:r>
        <w:rPr>
          <w:rFonts w:ascii="Arial" w:cs="Arial" w:eastAsia="Arial" w:hAnsi="Arial"/>
          <w:sz w:val="17"/>
          <w:szCs w:val="17"/>
          <w:color w:val="auto"/>
        </w:rPr>
        <w:t>In October 2021, the FASB issued Accounting Standards Update No. 2021-08 "Business Combinations (Topic 805) — Accounting for Contract Assets and Contract Liabilities from Contracts with Customers" (ASU 2021-08), which provides authoritative guidance for the accounting of acquired contract assets and liabilities when an acquired company has applied ASC 606 - Revenue from Contracts with Customers. We early adopted the standard in the second quarter of fiscal year 2022, which allowed us to record the deferred revenue contract liability as it relates to our acquisition of Depositphotos at carrying value. Refer to Note 7 for additional information relating to our Depositphotos acquisition. The impact of this adoption did not have a material effect on our consolidated financial statements.</w:t>
      </w:r>
    </w:p>
    <w:p>
      <w:pPr>
        <w:spacing w:after="0" w:line="172" w:lineRule="exact"/>
        <w:rPr>
          <w:sz w:val="20"/>
          <w:szCs w:val="20"/>
          <w:color w:val="auto"/>
        </w:rPr>
      </w:pPr>
    </w:p>
    <w:p>
      <w:pPr>
        <w:ind w:right="180" w:firstLine="597"/>
        <w:spacing w:after="0" w:line="245" w:lineRule="auto"/>
        <w:rPr>
          <w:sz w:val="20"/>
          <w:szCs w:val="20"/>
          <w:color w:val="auto"/>
        </w:rPr>
      </w:pPr>
      <w:r>
        <w:rPr>
          <w:rFonts w:ascii="Arial" w:cs="Arial" w:eastAsia="Arial" w:hAnsi="Arial"/>
          <w:sz w:val="17"/>
          <w:szCs w:val="17"/>
          <w:color w:val="auto"/>
        </w:rPr>
        <w:t>In July 2021, the FASB issued Accounting Standards Update No. 2021-08 "Leases (Topic 842): Lessors – Certain Leases with Variable Lease Payments. We early adopted the standard in the second quarter of fiscal year 2022, which provides the option for lessors to classify direct-financing or sales-type leases as operating leases if a loss would have been incurred at lease commencement when considering non-indexed variable lease payments in the classification test. We sublease a small number of equipment assets which are classified as direct-financing leases; the variable lease payments associated with these leases would not have created a loss on day one. Therefore, the impact of this adoption had no effect on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Issued Accounting Standards to be Adopted</w:t>
      </w:r>
    </w:p>
    <w:p>
      <w:pPr>
        <w:spacing w:after="0" w:line="196" w:lineRule="exact"/>
        <w:rPr>
          <w:sz w:val="20"/>
          <w:szCs w:val="20"/>
          <w:color w:val="auto"/>
        </w:rPr>
      </w:pPr>
    </w:p>
    <w:p>
      <w:pPr>
        <w:ind w:right="100" w:firstLine="597"/>
        <w:spacing w:after="0" w:line="245" w:lineRule="auto"/>
        <w:rPr>
          <w:sz w:val="20"/>
          <w:szCs w:val="20"/>
          <w:color w:val="auto"/>
        </w:rPr>
      </w:pPr>
      <w:r>
        <w:rPr>
          <w:rFonts w:ascii="Arial" w:cs="Arial" w:eastAsia="Arial" w:hAnsi="Arial"/>
          <w:sz w:val="17"/>
          <w:szCs w:val="17"/>
          <w:color w:val="auto"/>
        </w:rPr>
        <w:t>In May 2021, the FASB issued Accounting Standards Update No. 2021-04 "Earnings Per Share (Topic 260), Debt—Modifications and Extinguishments (Subtopic 470-50), Compensation—Stock Compensation (Topic 718), and Derivatives and Hedging—Contracts in Entity’s Own Equity (Subtopic 815-40)" (ASU 2021-04), which provides authoritative guidance for the accounting treatment of modifications or exchanges of freestanding equity-classified written call options (for example, warrants) that remain equity classified after modification or exchange. The standard is effective for us on July 1, 2022, early adoption is permitted, and, once adopted, the standard is to be applied prospectively. We recognize freestanding equity-classified warrants on our consolidated balance sheets which could be affected by future modifications or exchanges under this standard. We do not expect the impact of adopting ASU 2021-04 to have a material effect on our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10" w:lineRule="exact"/>
        <w:rPr>
          <w:sz w:val="20"/>
          <w:szCs w:val="20"/>
          <w:color w:val="auto"/>
        </w:rPr>
      </w:pPr>
    </w:p>
    <w:p>
      <w:pPr>
        <w:ind w:firstLine="597"/>
        <w:spacing w:after="0" w:line="247" w:lineRule="auto"/>
        <w:rPr>
          <w:sz w:val="20"/>
          <w:szCs w:val="20"/>
          <w:color w:val="auto"/>
        </w:rPr>
      </w:pPr>
      <w:r>
        <w:rPr>
          <w:rFonts w:ascii="Arial" w:cs="Arial" w:eastAsia="Arial" w:hAnsi="Arial"/>
          <w:sz w:val="17"/>
          <w:szCs w:val="17"/>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75" w:lineRule="exact"/>
        <w:rPr>
          <w:sz w:val="20"/>
          <w:szCs w:val="20"/>
          <w:color w:val="auto"/>
        </w:rPr>
      </w:pPr>
    </w:p>
    <w:p>
      <w:pPr>
        <w:ind w:left="600" w:hanging="302"/>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w:t>
      </w:r>
    </w:p>
    <w:p>
      <w:pPr>
        <w:spacing w:after="0" w:line="103" w:lineRule="exact"/>
        <w:rPr>
          <w:rFonts w:ascii="Arial" w:cs="Arial" w:eastAsia="Arial" w:hAnsi="Arial"/>
          <w:sz w:val="17"/>
          <w:szCs w:val="17"/>
          <w:color w:val="auto"/>
        </w:rPr>
      </w:pPr>
    </w:p>
    <w:p>
      <w:pPr>
        <w:ind w:left="600" w:hanging="302"/>
        <w:spacing w:after="0" w:line="272"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and liabilities in active markets, quoted prices for identical 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in markets that are not active and inputs that are</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948" w:right="379" w:bottom="1440" w:gutter="0" w:footer="0" w:header="0"/>
        </w:sectPr>
      </w:pPr>
    </w:p>
    <w:bookmarkStart w:id="17" w:name="page18"/>
    <w:bookmarkEnd w:id="17"/>
    <w:p>
      <w:pPr>
        <w:ind w:left="600"/>
        <w:spacing w:after="0"/>
        <w:rPr>
          <w:sz w:val="20"/>
          <w:szCs w:val="20"/>
          <w:color w:val="auto"/>
        </w:rPr>
      </w:pPr>
      <w:r>
        <w:rPr>
          <w:rFonts w:ascii="Arial" w:cs="Arial" w:eastAsia="Arial" w:hAnsi="Arial"/>
          <w:sz w:val="17"/>
          <w:szCs w:val="17"/>
          <w:color w:val="auto"/>
        </w:rPr>
        <w:t>observable for the asset or liability, either directly or indirectly, for substantially the full term of the financial instrument.</w:t>
      </w:r>
    </w:p>
    <w:p>
      <w:pPr>
        <w:spacing w:after="0" w:line="85" w:lineRule="exact"/>
        <w:rPr>
          <w:sz w:val="20"/>
          <w:szCs w:val="20"/>
          <w:color w:val="auto"/>
        </w:rPr>
      </w:pPr>
    </w:p>
    <w:p>
      <w:pPr>
        <w:ind w:left="600" w:hanging="302"/>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Inputs to the valuation methodology are unobservable and significant to the fair value measurement.</w:t>
      </w:r>
    </w:p>
    <w:p>
      <w:pPr>
        <w:spacing w:after="0" w:line="200" w:lineRule="exact"/>
        <w:rPr>
          <w:sz w:val="20"/>
          <w:szCs w:val="20"/>
          <w:color w:val="auto"/>
        </w:rPr>
      </w:pPr>
    </w:p>
    <w:p>
      <w:pPr>
        <w:spacing w:after="0" w:line="245" w:lineRule="exact"/>
        <w:rPr>
          <w:sz w:val="20"/>
          <w:szCs w:val="20"/>
          <w:color w:val="auto"/>
        </w:rPr>
      </w:pPr>
    </w:p>
    <w:p>
      <w:pPr>
        <w:ind w:right="240" w:firstLine="597"/>
        <w:spacing w:after="0" w:line="247"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2"/>
                <w:szCs w:val="12"/>
                <w:b w:val="1"/>
                <w:bCs w:val="1"/>
                <w:color w:val="auto"/>
                <w:w w:val="95"/>
              </w:rPr>
              <w:t>March 31, 2022</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5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5"/>
              <w:spacing w:after="0" w:line="112" w:lineRule="exact"/>
              <w:rPr>
                <w:sz w:val="20"/>
                <w:szCs w:val="20"/>
                <w:color w:val="auto"/>
              </w:rPr>
            </w:pPr>
            <w:r>
              <w:rPr>
                <w:rFonts w:ascii="Arial" w:cs="Arial" w:eastAsia="Arial" w:hAnsi="Arial"/>
                <w:sz w:val="12"/>
                <w:szCs w:val="12"/>
                <w:b w:val="1"/>
                <w:bCs w:val="1"/>
                <w:color w:val="auto"/>
                <w:w w:val="96"/>
              </w:rPr>
              <w:t>Quoted Prices in</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vMerge w:val="restart"/>
          </w:tcPr>
          <w:p>
            <w:pPr>
              <w:jc w:val="center"/>
              <w:ind w:right="151"/>
              <w:spacing w:after="0"/>
              <w:rPr>
                <w:sz w:val="20"/>
                <w:szCs w:val="20"/>
                <w:color w:val="auto"/>
              </w:rPr>
            </w:pPr>
            <w:r>
              <w:rPr>
                <w:rFonts w:ascii="Arial" w:cs="Arial" w:eastAsia="Arial" w:hAnsi="Arial"/>
                <w:sz w:val="12"/>
                <w:szCs w:val="12"/>
                <w:b w:val="1"/>
                <w:bCs w:val="1"/>
                <w:color w:val="auto"/>
                <w:w w:val="97"/>
              </w:rPr>
              <w:t>Significant</w:t>
            </w:r>
          </w:p>
        </w:tc>
        <w:tc>
          <w:tcPr>
            <w:tcW w:w="0" w:type="dxa"/>
            <w:vAlign w:val="bottom"/>
          </w:tcPr>
          <w:p>
            <w:pPr>
              <w:spacing w:after="0"/>
              <w:rPr>
                <w:sz w:val="1"/>
                <w:szCs w:val="1"/>
                <w:color w:val="auto"/>
              </w:rPr>
            </w:pPr>
          </w:p>
        </w:tc>
      </w:tr>
      <w:tr>
        <w:trPr>
          <w:trHeight w:val="112"/>
        </w:trPr>
        <w:tc>
          <w:tcPr>
            <w:tcW w:w="5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55"/>
              <w:spacing w:after="0" w:line="112" w:lineRule="exact"/>
              <w:rPr>
                <w:sz w:val="20"/>
                <w:szCs w:val="20"/>
                <w:color w:val="auto"/>
              </w:rPr>
            </w:pPr>
            <w:r>
              <w:rPr>
                <w:rFonts w:ascii="Arial" w:cs="Arial" w:eastAsia="Arial" w:hAnsi="Arial"/>
                <w:sz w:val="12"/>
                <w:szCs w:val="12"/>
                <w:b w:val="1"/>
                <w:bCs w:val="1"/>
                <w:color w:val="auto"/>
                <w:w w:val="94"/>
              </w:rPr>
              <w:t>Active</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7"/>
              </w:rPr>
              <w:t>Significant Other</w:t>
            </w:r>
          </w:p>
        </w:tc>
        <w:tc>
          <w:tcPr>
            <w:tcW w:w="2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55"/>
              <w:spacing w:after="0" w:line="112" w:lineRule="exact"/>
              <w:rPr>
                <w:sz w:val="20"/>
                <w:szCs w:val="20"/>
                <w:color w:val="auto"/>
              </w:rPr>
            </w:pPr>
            <w:r>
              <w:rPr>
                <w:rFonts w:ascii="Arial" w:cs="Arial" w:eastAsia="Arial" w:hAnsi="Arial"/>
                <w:sz w:val="12"/>
                <w:szCs w:val="12"/>
                <w:b w:val="1"/>
                <w:bCs w:val="1"/>
                <w:color w:val="auto"/>
                <w:w w:val="95"/>
              </w:rPr>
              <w:t>Markets for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jc w:val="center"/>
              <w:ind w:right="151"/>
              <w:spacing w:after="0" w:line="112" w:lineRule="exact"/>
              <w:rPr>
                <w:sz w:val="20"/>
                <w:szCs w:val="20"/>
                <w:color w:val="auto"/>
              </w:rPr>
            </w:pPr>
            <w:r>
              <w:rPr>
                <w:rFonts w:ascii="Arial" w:cs="Arial" w:eastAsia="Arial" w:hAnsi="Arial"/>
                <w:sz w:val="12"/>
                <w:szCs w:val="12"/>
                <w:b w:val="1"/>
                <w:bCs w:val="1"/>
                <w:color w:val="auto"/>
                <w:w w:val="95"/>
              </w:rPr>
              <w:t>Unobservable</w:t>
            </w:r>
          </w:p>
        </w:tc>
        <w:tc>
          <w:tcPr>
            <w:tcW w:w="0" w:type="dxa"/>
            <w:vAlign w:val="bottom"/>
          </w:tcPr>
          <w:p>
            <w:pPr>
              <w:spacing w:after="0"/>
              <w:rPr>
                <w:sz w:val="1"/>
                <w:szCs w:val="1"/>
                <w:color w:val="auto"/>
              </w:rPr>
            </w:pPr>
          </w:p>
        </w:tc>
      </w:tr>
      <w:tr>
        <w:trPr>
          <w:trHeight w:val="112"/>
        </w:trPr>
        <w:tc>
          <w:tcPr>
            <w:tcW w:w="51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5"/>
              <w:spacing w:after="0" w:line="112" w:lineRule="exact"/>
              <w:rPr>
                <w:sz w:val="20"/>
                <w:szCs w:val="20"/>
                <w:color w:val="auto"/>
              </w:rPr>
            </w:pPr>
            <w:r>
              <w:rPr>
                <w:rFonts w:ascii="Arial" w:cs="Arial" w:eastAsia="Arial" w:hAnsi="Arial"/>
                <w:sz w:val="12"/>
                <w:szCs w:val="12"/>
                <w:b w:val="1"/>
                <w:bCs w:val="1"/>
                <w:color w:val="auto"/>
                <w:w w:val="96"/>
              </w:rPr>
              <w:t>Identical Assets</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tcPr>
          <w:p>
            <w:pPr>
              <w:jc w:val="center"/>
              <w:ind w:right="240"/>
              <w:spacing w:after="0" w:line="112" w:lineRule="exact"/>
              <w:rPr>
                <w:sz w:val="20"/>
                <w:szCs w:val="20"/>
                <w:color w:val="auto"/>
              </w:rPr>
            </w:pPr>
            <w:r>
              <w:rPr>
                <w:rFonts w:ascii="Arial" w:cs="Arial" w:eastAsia="Arial" w:hAnsi="Arial"/>
                <w:sz w:val="12"/>
                <w:szCs w:val="12"/>
                <w:b w:val="1"/>
                <w:bCs w:val="1"/>
                <w:color w:val="auto"/>
                <w:w w:val="97"/>
              </w:rPr>
              <w:t>Observable Inputs</w:t>
            </w:r>
          </w:p>
        </w:tc>
        <w:tc>
          <w:tcPr>
            <w:tcW w:w="220" w:type="dxa"/>
            <w:vAlign w:val="bottom"/>
          </w:tcPr>
          <w:p>
            <w:pPr>
              <w:spacing w:after="0"/>
              <w:rPr>
                <w:sz w:val="9"/>
                <w:szCs w:val="9"/>
                <w:color w:val="auto"/>
              </w:rPr>
            </w:pPr>
          </w:p>
        </w:tc>
        <w:tc>
          <w:tcPr>
            <w:tcW w:w="1220" w:type="dxa"/>
            <w:vAlign w:val="bottom"/>
          </w:tcPr>
          <w:p>
            <w:pPr>
              <w:jc w:val="center"/>
              <w:ind w:right="151"/>
              <w:spacing w:after="0" w:line="112"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57"/>
        </w:trPr>
        <w:tc>
          <w:tcPr>
            <w:tcW w:w="51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left="175"/>
              <w:spacing w:after="0"/>
              <w:rPr>
                <w:sz w:val="20"/>
                <w:szCs w:val="20"/>
                <w:color w:val="auto"/>
              </w:rPr>
            </w:pPr>
            <w:r>
              <w:rPr>
                <w:rFonts w:ascii="Arial" w:cs="Arial" w:eastAsia="Arial" w:hAnsi="Arial"/>
                <w:sz w:val="12"/>
                <w:szCs w:val="12"/>
                <w:b w:val="1"/>
                <w:bCs w:val="1"/>
                <w:color w:val="auto"/>
                <w:w w:val="98"/>
              </w:rPr>
              <w:t>(Level 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(Level 2)</w:t>
            </w:r>
          </w:p>
        </w:tc>
        <w:tc>
          <w:tcPr>
            <w:tcW w:w="220" w:type="dxa"/>
            <w:vAlign w:val="bottom"/>
          </w:tcPr>
          <w:p>
            <w:pPr>
              <w:spacing w:after="0"/>
              <w:rPr>
                <w:sz w:val="13"/>
                <w:szCs w:val="13"/>
                <w:color w:val="auto"/>
              </w:rPr>
            </w:pPr>
          </w:p>
        </w:tc>
        <w:tc>
          <w:tcPr>
            <w:tcW w:w="1220" w:type="dxa"/>
            <w:vAlign w:val="bottom"/>
          </w:tcPr>
          <w:p>
            <w:pPr>
              <w:jc w:val="center"/>
              <w:ind w:right="151"/>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8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8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80" w:type="dxa"/>
            <w:vAlign w:val="bottom"/>
          </w:tcPr>
          <w:p>
            <w:pPr>
              <w:ind w:left="20"/>
              <w:spacing w:after="0"/>
              <w:rPr>
                <w:sz w:val="20"/>
                <w:szCs w:val="20"/>
                <w:color w:val="auto"/>
              </w:rPr>
            </w:pPr>
            <w:r>
              <w:rPr>
                <w:rFonts w:ascii="Arial" w:cs="Arial" w:eastAsia="Arial" w:hAnsi="Arial"/>
                <w:sz w:val="15"/>
                <w:szCs w:val="15"/>
                <w:color w:val="auto"/>
              </w:rPr>
              <w:t>Interest rate swap contracts</w:t>
            </w:r>
          </w:p>
        </w:tc>
        <w:tc>
          <w:tcPr>
            <w:tcW w:w="860" w:type="dxa"/>
            <w:vAlign w:val="bottom"/>
          </w:tcPr>
          <w:p>
            <w:pPr>
              <w:jc w:val="right"/>
              <w:ind w:right="689"/>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4,060</w:t>
            </w:r>
          </w:p>
        </w:tc>
        <w:tc>
          <w:tcPr>
            <w:tcW w:w="100" w:type="dxa"/>
            <w:vAlign w:val="bottom"/>
          </w:tcPr>
          <w:p>
            <w:pPr>
              <w:spacing w:after="0"/>
              <w:rPr>
                <w:sz w:val="17"/>
                <w:szCs w:val="17"/>
                <w:color w:val="auto"/>
              </w:rPr>
            </w:pPr>
          </w:p>
        </w:tc>
        <w:tc>
          <w:tcPr>
            <w:tcW w:w="1200" w:type="dxa"/>
            <w:vAlign w:val="bottom"/>
          </w:tcPr>
          <w:p>
            <w:pPr>
              <w:jc w:val="right"/>
              <w:ind w:right="1035"/>
              <w:spacing w:after="0"/>
              <w:rPr>
                <w:sz w:val="20"/>
                <w:szCs w:val="20"/>
                <w:color w:val="auto"/>
              </w:rPr>
            </w:pPr>
            <w:r>
              <w:rPr>
                <w:rFonts w:ascii="Arial" w:cs="Arial" w:eastAsia="Arial" w:hAnsi="Arial"/>
                <w:sz w:val="15"/>
                <w:szCs w:val="15"/>
                <w:color w:val="auto"/>
                <w:w w:val="95"/>
              </w:rPr>
              <w:t>$</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4,060</w:t>
            </w:r>
          </w:p>
        </w:tc>
        <w:tc>
          <w:tcPr>
            <w:tcW w:w="100" w:type="dxa"/>
            <w:vAlign w:val="bottom"/>
          </w:tcPr>
          <w:p>
            <w:pPr>
              <w:spacing w:after="0"/>
              <w:rPr>
                <w:sz w:val="17"/>
                <w:szCs w:val="17"/>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220" w:type="dxa"/>
            <w:vAlign w:val="bottom"/>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Cross-currency swap contracts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180" w:type="dxa"/>
            <w:vAlign w:val="bottom"/>
          </w:tcPr>
          <w:p>
            <w:pPr>
              <w:ind w:left="20"/>
              <w:spacing w:after="0"/>
              <w:rPr>
                <w:sz w:val="20"/>
                <w:szCs w:val="20"/>
                <w:color w:val="auto"/>
              </w:rPr>
            </w:pPr>
            <w:r>
              <w:rPr>
                <w:rFonts w:ascii="Arial" w:cs="Arial" w:eastAsia="Arial" w:hAnsi="Arial"/>
                <w:sz w:val="15"/>
                <w:szCs w:val="15"/>
                <w:color w:val="auto"/>
              </w:rPr>
              <w:t>Currency forward contracts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13,056</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13,056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Currency option contracts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3,848</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5180" w:type="dxa"/>
            <w:vAlign w:val="bottom"/>
          </w:tcPr>
          <w:p>
            <w:pPr>
              <w:ind w:left="20"/>
              <w:spacing w:after="0"/>
              <w:rPr>
                <w:sz w:val="20"/>
                <w:szCs w:val="20"/>
                <w:color w:val="auto"/>
              </w:rPr>
            </w:pPr>
            <w:r>
              <w:rPr>
                <w:rFonts w:ascii="Arial" w:cs="Arial" w:eastAsia="Arial" w:hAnsi="Arial"/>
                <w:sz w:val="15"/>
                <w:szCs w:val="15"/>
                <w:color w:val="auto"/>
              </w:rPr>
              <w:t>Total assets recorded at fair value</w:t>
            </w:r>
          </w:p>
        </w:tc>
        <w:tc>
          <w:tcPr>
            <w:tcW w:w="860" w:type="dxa"/>
            <w:vAlign w:val="bottom"/>
          </w:tcPr>
          <w:p>
            <w:pPr>
              <w:jc w:val="right"/>
              <w:ind w:right="689"/>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22,499</w:t>
            </w:r>
          </w:p>
        </w:tc>
        <w:tc>
          <w:tcPr>
            <w:tcW w:w="100" w:type="dxa"/>
            <w:vAlign w:val="bottom"/>
          </w:tcPr>
          <w:p>
            <w:pPr>
              <w:spacing w:after="0"/>
              <w:rPr>
                <w:sz w:val="16"/>
                <w:szCs w:val="16"/>
                <w:color w:val="auto"/>
              </w:rPr>
            </w:pPr>
          </w:p>
        </w:tc>
        <w:tc>
          <w:tcPr>
            <w:tcW w:w="1200" w:type="dxa"/>
            <w:vAlign w:val="bottom"/>
          </w:tcPr>
          <w:p>
            <w:pPr>
              <w:jc w:val="right"/>
              <w:ind w:right="1035"/>
              <w:spacing w:after="0"/>
              <w:rPr>
                <w:sz w:val="20"/>
                <w:szCs w:val="20"/>
                <w:color w:val="auto"/>
              </w:rPr>
            </w:pPr>
            <w:r>
              <w:rPr>
                <w:rFonts w:ascii="Arial" w:cs="Arial" w:eastAsia="Arial" w:hAnsi="Arial"/>
                <w:sz w:val="15"/>
                <w:szCs w:val="15"/>
                <w:color w:val="auto"/>
                <w:w w:val="95"/>
              </w:rPr>
              <w:t>$</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22,499</w:t>
            </w:r>
          </w:p>
        </w:tc>
        <w:tc>
          <w:tcPr>
            <w:tcW w:w="100" w:type="dxa"/>
            <w:vAlign w:val="bottom"/>
          </w:tcPr>
          <w:p>
            <w:pPr>
              <w:spacing w:after="0"/>
              <w:rPr>
                <w:sz w:val="16"/>
                <w:szCs w:val="16"/>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220" w:type="dxa"/>
            <w:vAlign w:val="bottom"/>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Liabilities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1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rate swap contracts</w:t>
            </w:r>
          </w:p>
        </w:tc>
        <w:tc>
          <w:tcPr>
            <w:tcW w:w="860" w:type="dxa"/>
            <w:vAlign w:val="bottom"/>
            <w:shd w:val="clear" w:color="auto" w:fill="CCEEFF"/>
          </w:tcPr>
          <w:p>
            <w:pPr>
              <w:jc w:val="right"/>
              <w:ind w:right="689"/>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35"/>
              <w:spacing w:after="0"/>
              <w:rPr>
                <w:sz w:val="20"/>
                <w:szCs w:val="20"/>
                <w:color w:val="auto"/>
              </w:rPr>
            </w:pPr>
            <w:r>
              <w:rPr>
                <w:rFonts w:ascii="Arial" w:cs="Arial" w:eastAsia="Arial" w:hAnsi="Arial"/>
                <w:sz w:val="15"/>
                <w:szCs w:val="15"/>
                <w:color w:val="auto"/>
                <w:w w:val="95"/>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180" w:type="dxa"/>
            <w:vAlign w:val="bottom"/>
          </w:tcPr>
          <w:p>
            <w:pPr>
              <w:ind w:left="20"/>
              <w:spacing w:after="0"/>
              <w:rPr>
                <w:sz w:val="20"/>
                <w:szCs w:val="20"/>
                <w:color w:val="auto"/>
              </w:rPr>
            </w:pPr>
            <w:r>
              <w:rPr>
                <w:rFonts w:ascii="Arial" w:cs="Arial" w:eastAsia="Arial" w:hAnsi="Arial"/>
                <w:sz w:val="15"/>
                <w:szCs w:val="15"/>
                <w:color w:val="auto"/>
              </w:rPr>
              <w:t>Cross-currency swap contracts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(5,064)</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(5,064)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Currency forward contracts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Currency option contracts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liabilities recorded at fair value</w:t>
            </w:r>
          </w:p>
        </w:tc>
        <w:tc>
          <w:tcPr>
            <w:tcW w:w="86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(8,059)</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35"/>
              <w:spacing w:after="0"/>
              <w:rPr>
                <w:sz w:val="20"/>
                <w:szCs w:val="20"/>
                <w:color w:val="auto"/>
              </w:rPr>
            </w:pPr>
            <w:r>
              <w:rPr>
                <w:rFonts w:ascii="Arial" w:cs="Arial" w:eastAsia="Arial" w:hAnsi="Arial"/>
                <w:sz w:val="15"/>
                <w:szCs w:val="15"/>
                <w:color w:val="auto"/>
                <w:w w:val="95"/>
              </w:rPr>
              <w:t>$</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1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2"/>
                <w:szCs w:val="12"/>
                <w:b w:val="1"/>
                <w:bCs w:val="1"/>
                <w:color w:val="auto"/>
                <w:w w:val="97"/>
              </w:rPr>
              <w:t>June 30, 2021</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5"/>
              <w:spacing w:after="0" w:line="112" w:lineRule="exact"/>
              <w:rPr>
                <w:sz w:val="20"/>
                <w:szCs w:val="20"/>
                <w:color w:val="auto"/>
              </w:rPr>
            </w:pPr>
            <w:r>
              <w:rPr>
                <w:rFonts w:ascii="Arial" w:cs="Arial" w:eastAsia="Arial" w:hAnsi="Arial"/>
                <w:sz w:val="12"/>
                <w:szCs w:val="12"/>
                <w:b w:val="1"/>
                <w:bCs w:val="1"/>
                <w:color w:val="auto"/>
                <w:w w:val="96"/>
              </w:rPr>
              <w:t>Quoted Prices in</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vMerge w:val="restart"/>
          </w:tcPr>
          <w:p>
            <w:pPr>
              <w:jc w:val="center"/>
              <w:ind w:right="151"/>
              <w:spacing w:after="0"/>
              <w:rPr>
                <w:sz w:val="20"/>
                <w:szCs w:val="20"/>
                <w:color w:val="auto"/>
              </w:rPr>
            </w:pPr>
            <w:r>
              <w:rPr>
                <w:rFonts w:ascii="Arial" w:cs="Arial" w:eastAsia="Arial" w:hAnsi="Arial"/>
                <w:sz w:val="12"/>
                <w:szCs w:val="12"/>
                <w:b w:val="1"/>
                <w:bCs w:val="1"/>
                <w:color w:val="auto"/>
                <w:w w:val="97"/>
              </w:rPr>
              <w:t>Significant</w:t>
            </w:r>
          </w:p>
        </w:tc>
        <w:tc>
          <w:tcPr>
            <w:tcW w:w="0" w:type="dxa"/>
            <w:vAlign w:val="bottom"/>
          </w:tcPr>
          <w:p>
            <w:pPr>
              <w:spacing w:after="0"/>
              <w:rPr>
                <w:sz w:val="1"/>
                <w:szCs w:val="1"/>
                <w:color w:val="auto"/>
              </w:rPr>
            </w:pPr>
          </w:p>
        </w:tc>
      </w:tr>
      <w:tr>
        <w:trPr>
          <w:trHeight w:val="112"/>
        </w:trPr>
        <w:tc>
          <w:tcPr>
            <w:tcW w:w="5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55"/>
              <w:spacing w:after="0" w:line="112" w:lineRule="exact"/>
              <w:rPr>
                <w:sz w:val="20"/>
                <w:szCs w:val="20"/>
                <w:color w:val="auto"/>
              </w:rPr>
            </w:pPr>
            <w:r>
              <w:rPr>
                <w:rFonts w:ascii="Arial" w:cs="Arial" w:eastAsia="Arial" w:hAnsi="Arial"/>
                <w:sz w:val="12"/>
                <w:szCs w:val="12"/>
                <w:b w:val="1"/>
                <w:bCs w:val="1"/>
                <w:color w:val="auto"/>
                <w:w w:val="94"/>
              </w:rPr>
              <w:t>Active</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7"/>
              </w:rPr>
              <w:t>Significant Other</w:t>
            </w:r>
          </w:p>
        </w:tc>
        <w:tc>
          <w:tcPr>
            <w:tcW w:w="2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55"/>
              <w:spacing w:after="0" w:line="112" w:lineRule="exact"/>
              <w:rPr>
                <w:sz w:val="20"/>
                <w:szCs w:val="20"/>
                <w:color w:val="auto"/>
              </w:rPr>
            </w:pPr>
            <w:r>
              <w:rPr>
                <w:rFonts w:ascii="Arial" w:cs="Arial" w:eastAsia="Arial" w:hAnsi="Arial"/>
                <w:sz w:val="12"/>
                <w:szCs w:val="12"/>
                <w:b w:val="1"/>
                <w:bCs w:val="1"/>
                <w:color w:val="auto"/>
                <w:w w:val="95"/>
              </w:rPr>
              <w:t>Markets for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jc w:val="center"/>
              <w:ind w:right="151"/>
              <w:spacing w:after="0" w:line="112" w:lineRule="exact"/>
              <w:rPr>
                <w:sz w:val="20"/>
                <w:szCs w:val="20"/>
                <w:color w:val="auto"/>
              </w:rPr>
            </w:pPr>
            <w:r>
              <w:rPr>
                <w:rFonts w:ascii="Arial" w:cs="Arial" w:eastAsia="Arial" w:hAnsi="Arial"/>
                <w:sz w:val="12"/>
                <w:szCs w:val="12"/>
                <w:b w:val="1"/>
                <w:bCs w:val="1"/>
                <w:color w:val="auto"/>
                <w:w w:val="95"/>
              </w:rPr>
              <w:t>Unobservable</w:t>
            </w:r>
          </w:p>
        </w:tc>
        <w:tc>
          <w:tcPr>
            <w:tcW w:w="0" w:type="dxa"/>
            <w:vAlign w:val="bottom"/>
          </w:tcPr>
          <w:p>
            <w:pPr>
              <w:spacing w:after="0"/>
              <w:rPr>
                <w:sz w:val="1"/>
                <w:szCs w:val="1"/>
                <w:color w:val="auto"/>
              </w:rPr>
            </w:pPr>
          </w:p>
        </w:tc>
      </w:tr>
      <w:tr>
        <w:trPr>
          <w:trHeight w:val="112"/>
        </w:trPr>
        <w:tc>
          <w:tcPr>
            <w:tcW w:w="518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5"/>
              <w:spacing w:after="0" w:line="112" w:lineRule="exact"/>
              <w:rPr>
                <w:sz w:val="20"/>
                <w:szCs w:val="20"/>
                <w:color w:val="auto"/>
              </w:rPr>
            </w:pPr>
            <w:r>
              <w:rPr>
                <w:rFonts w:ascii="Arial" w:cs="Arial" w:eastAsia="Arial" w:hAnsi="Arial"/>
                <w:sz w:val="12"/>
                <w:szCs w:val="12"/>
                <w:b w:val="1"/>
                <w:bCs w:val="1"/>
                <w:color w:val="auto"/>
                <w:w w:val="96"/>
              </w:rPr>
              <w:t>Identical Assets</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tcPr>
          <w:p>
            <w:pPr>
              <w:jc w:val="center"/>
              <w:ind w:right="240"/>
              <w:spacing w:after="0" w:line="112" w:lineRule="exact"/>
              <w:rPr>
                <w:sz w:val="20"/>
                <w:szCs w:val="20"/>
                <w:color w:val="auto"/>
              </w:rPr>
            </w:pPr>
            <w:r>
              <w:rPr>
                <w:rFonts w:ascii="Arial" w:cs="Arial" w:eastAsia="Arial" w:hAnsi="Arial"/>
                <w:sz w:val="12"/>
                <w:szCs w:val="12"/>
                <w:b w:val="1"/>
                <w:bCs w:val="1"/>
                <w:color w:val="auto"/>
                <w:w w:val="97"/>
              </w:rPr>
              <w:t>Observable Inputs</w:t>
            </w:r>
          </w:p>
        </w:tc>
        <w:tc>
          <w:tcPr>
            <w:tcW w:w="220" w:type="dxa"/>
            <w:vAlign w:val="bottom"/>
          </w:tcPr>
          <w:p>
            <w:pPr>
              <w:spacing w:after="0"/>
              <w:rPr>
                <w:sz w:val="9"/>
                <w:szCs w:val="9"/>
                <w:color w:val="auto"/>
              </w:rPr>
            </w:pPr>
          </w:p>
        </w:tc>
        <w:tc>
          <w:tcPr>
            <w:tcW w:w="1220" w:type="dxa"/>
            <w:vAlign w:val="bottom"/>
          </w:tcPr>
          <w:p>
            <w:pPr>
              <w:jc w:val="center"/>
              <w:ind w:right="151"/>
              <w:spacing w:after="0" w:line="112"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57"/>
        </w:trPr>
        <w:tc>
          <w:tcPr>
            <w:tcW w:w="51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left="175"/>
              <w:spacing w:after="0"/>
              <w:rPr>
                <w:sz w:val="20"/>
                <w:szCs w:val="20"/>
                <w:color w:val="auto"/>
              </w:rPr>
            </w:pPr>
            <w:r>
              <w:rPr>
                <w:rFonts w:ascii="Arial" w:cs="Arial" w:eastAsia="Arial" w:hAnsi="Arial"/>
                <w:sz w:val="12"/>
                <w:szCs w:val="12"/>
                <w:b w:val="1"/>
                <w:bCs w:val="1"/>
                <w:color w:val="auto"/>
                <w:w w:val="98"/>
              </w:rPr>
              <w:t>(Level 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(Level 2)</w:t>
            </w:r>
          </w:p>
        </w:tc>
        <w:tc>
          <w:tcPr>
            <w:tcW w:w="220" w:type="dxa"/>
            <w:vAlign w:val="bottom"/>
          </w:tcPr>
          <w:p>
            <w:pPr>
              <w:spacing w:after="0"/>
              <w:rPr>
                <w:sz w:val="13"/>
                <w:szCs w:val="13"/>
                <w:color w:val="auto"/>
              </w:rPr>
            </w:pPr>
          </w:p>
        </w:tc>
        <w:tc>
          <w:tcPr>
            <w:tcW w:w="1220" w:type="dxa"/>
            <w:vAlign w:val="bottom"/>
          </w:tcPr>
          <w:p>
            <w:pPr>
              <w:jc w:val="center"/>
              <w:ind w:right="151"/>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8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8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Currency forward contracts</w:t>
            </w:r>
          </w:p>
        </w:tc>
        <w:tc>
          <w:tcPr>
            <w:tcW w:w="860" w:type="dxa"/>
            <w:vAlign w:val="bottom"/>
            <w:tcBorders>
              <w:bottom w:val="single" w:sz="8" w:color="auto"/>
            </w:tcBorders>
          </w:tcPr>
          <w:p>
            <w:pPr>
              <w:jc w:val="right"/>
              <w:ind w:right="689"/>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1,679</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035"/>
              <w:spacing w:after="0"/>
              <w:rPr>
                <w:sz w:val="20"/>
                <w:szCs w:val="20"/>
                <w:color w:val="auto"/>
              </w:rPr>
            </w:pPr>
            <w:r>
              <w:rPr>
                <w:rFonts w:ascii="Arial" w:cs="Arial" w:eastAsia="Arial" w:hAnsi="Arial"/>
                <w:sz w:val="15"/>
                <w:szCs w:val="15"/>
                <w:color w:val="auto"/>
                <w:w w:val="95"/>
              </w:rPr>
              <w: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assets recorded at fair value</w:t>
            </w:r>
          </w:p>
        </w:tc>
        <w:tc>
          <w:tcPr>
            <w:tcW w:w="860" w:type="dxa"/>
            <w:vAlign w:val="bottom"/>
            <w:shd w:val="clear" w:color="auto" w:fill="CCEEFF"/>
          </w:tcPr>
          <w:p>
            <w:pPr>
              <w:jc w:val="right"/>
              <w:ind w:right="689"/>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35"/>
              <w:spacing w:after="0"/>
              <w:rPr>
                <w:sz w:val="20"/>
                <w:szCs w:val="20"/>
                <w:color w:val="auto"/>
              </w:rPr>
            </w:pPr>
            <w:r>
              <w:rPr>
                <w:rFonts w:ascii="Arial" w:cs="Arial" w:eastAsia="Arial" w:hAnsi="Arial"/>
                <w:sz w:val="15"/>
                <w:szCs w:val="15"/>
                <w:color w:val="auto"/>
                <w:w w:val="95"/>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80" w:type="dxa"/>
            <w:vAlign w:val="bottom"/>
          </w:tcPr>
          <w:p>
            <w:pPr>
              <w:ind w:left="20"/>
              <w:spacing w:after="0"/>
              <w:rPr>
                <w:sz w:val="20"/>
                <w:szCs w:val="20"/>
                <w:color w:val="auto"/>
              </w:rPr>
            </w:pPr>
            <w:r>
              <w:rPr>
                <w:rFonts w:ascii="Arial" w:cs="Arial" w:eastAsia="Arial" w:hAnsi="Arial"/>
                <w:sz w:val="15"/>
                <w:szCs w:val="15"/>
                <w:color w:val="auto"/>
              </w:rPr>
              <w:t>Interest rate swap contracts</w:t>
            </w:r>
          </w:p>
        </w:tc>
        <w:tc>
          <w:tcPr>
            <w:tcW w:w="860" w:type="dxa"/>
            <w:vAlign w:val="bottom"/>
          </w:tcPr>
          <w:p>
            <w:pPr>
              <w:jc w:val="right"/>
              <w:ind w:right="689"/>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6"/>
              </w:rPr>
              <w:t>(25,193)</w:t>
            </w:r>
          </w:p>
        </w:tc>
        <w:tc>
          <w:tcPr>
            <w:tcW w:w="100" w:type="dxa"/>
            <w:vAlign w:val="bottom"/>
          </w:tcPr>
          <w:p>
            <w:pPr>
              <w:spacing w:after="0"/>
              <w:rPr>
                <w:sz w:val="17"/>
                <w:szCs w:val="17"/>
                <w:color w:val="auto"/>
              </w:rPr>
            </w:pPr>
          </w:p>
        </w:tc>
        <w:tc>
          <w:tcPr>
            <w:tcW w:w="1200" w:type="dxa"/>
            <w:vAlign w:val="bottom"/>
          </w:tcPr>
          <w:p>
            <w:pPr>
              <w:jc w:val="right"/>
              <w:ind w:right="1035"/>
              <w:spacing w:after="0"/>
              <w:rPr>
                <w:sz w:val="20"/>
                <w:szCs w:val="20"/>
                <w:color w:val="auto"/>
              </w:rPr>
            </w:pPr>
            <w:r>
              <w:rPr>
                <w:rFonts w:ascii="Arial" w:cs="Arial" w:eastAsia="Arial" w:hAnsi="Arial"/>
                <w:sz w:val="15"/>
                <w:szCs w:val="15"/>
                <w:color w:val="auto"/>
                <w:w w:val="95"/>
              </w:rPr>
              <w:t>$</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(25,193)</w:t>
            </w:r>
          </w:p>
        </w:tc>
        <w:tc>
          <w:tcPr>
            <w:tcW w:w="100" w:type="dxa"/>
            <w:vAlign w:val="bottom"/>
          </w:tcPr>
          <w:p>
            <w:pPr>
              <w:spacing w:after="0"/>
              <w:rPr>
                <w:sz w:val="17"/>
                <w:szCs w:val="17"/>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220" w:type="dxa"/>
            <w:vAlign w:val="bottom"/>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Cross-currency swap contracts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(9,914)</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(9,914)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180" w:type="dxa"/>
            <w:vAlign w:val="bottom"/>
          </w:tcPr>
          <w:p>
            <w:pPr>
              <w:ind w:left="20"/>
              <w:spacing w:after="0"/>
              <w:rPr>
                <w:sz w:val="20"/>
                <w:szCs w:val="20"/>
                <w:color w:val="auto"/>
              </w:rPr>
            </w:pPr>
            <w:r>
              <w:rPr>
                <w:rFonts w:ascii="Arial" w:cs="Arial" w:eastAsia="Arial" w:hAnsi="Arial"/>
                <w:sz w:val="15"/>
                <w:szCs w:val="15"/>
                <w:color w:val="auto"/>
              </w:rPr>
              <w:t>Currency forward contracts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6"/>
              </w:rPr>
              <w:t>(19,651)</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(19,651)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Currency option contracts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(3,080)</w:t>
            </w:r>
          </w:p>
        </w:tc>
        <w:tc>
          <w:tcPr>
            <w:tcW w:w="10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5180" w:type="dxa"/>
            <w:vAlign w:val="bottom"/>
          </w:tcPr>
          <w:p>
            <w:pPr>
              <w:ind w:left="20"/>
              <w:spacing w:after="0"/>
              <w:rPr>
                <w:sz w:val="20"/>
                <w:szCs w:val="20"/>
                <w:color w:val="auto"/>
              </w:rPr>
            </w:pPr>
            <w:r>
              <w:rPr>
                <w:rFonts w:ascii="Arial" w:cs="Arial" w:eastAsia="Arial" w:hAnsi="Arial"/>
                <w:sz w:val="15"/>
                <w:szCs w:val="15"/>
                <w:color w:val="auto"/>
              </w:rPr>
              <w:t>Total liabilities recorded at fair value</w:t>
            </w:r>
          </w:p>
        </w:tc>
        <w:tc>
          <w:tcPr>
            <w:tcW w:w="860" w:type="dxa"/>
            <w:vAlign w:val="bottom"/>
          </w:tcPr>
          <w:p>
            <w:pPr>
              <w:jc w:val="right"/>
              <w:ind w:right="689"/>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6"/>
              </w:rPr>
              <w:t>(57,838)</w:t>
            </w:r>
          </w:p>
        </w:tc>
        <w:tc>
          <w:tcPr>
            <w:tcW w:w="100" w:type="dxa"/>
            <w:vAlign w:val="bottom"/>
          </w:tcPr>
          <w:p>
            <w:pPr>
              <w:spacing w:after="0"/>
              <w:rPr>
                <w:sz w:val="16"/>
                <w:szCs w:val="16"/>
                <w:color w:val="auto"/>
              </w:rPr>
            </w:pPr>
          </w:p>
        </w:tc>
        <w:tc>
          <w:tcPr>
            <w:tcW w:w="1200" w:type="dxa"/>
            <w:vAlign w:val="bottom"/>
          </w:tcPr>
          <w:p>
            <w:pPr>
              <w:jc w:val="right"/>
              <w:ind w:right="1035"/>
              <w:spacing w:after="0"/>
              <w:rPr>
                <w:sz w:val="20"/>
                <w:szCs w:val="20"/>
                <w:color w:val="auto"/>
              </w:rPr>
            </w:pPr>
            <w:r>
              <w:rPr>
                <w:rFonts w:ascii="Arial" w:cs="Arial" w:eastAsia="Arial" w:hAnsi="Arial"/>
                <w:sz w:val="15"/>
                <w:szCs w:val="15"/>
                <w:color w:val="auto"/>
                <w:w w:val="95"/>
              </w:rPr>
              <w:t>$</w:t>
            </w:r>
          </w:p>
        </w:tc>
        <w:tc>
          <w:tcPr>
            <w:tcW w:w="32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(57,838)</w:t>
            </w:r>
          </w:p>
        </w:tc>
        <w:tc>
          <w:tcPr>
            <w:tcW w:w="100" w:type="dxa"/>
            <w:vAlign w:val="bottom"/>
          </w:tcPr>
          <w:p>
            <w:pPr>
              <w:spacing w:after="0"/>
              <w:rPr>
                <w:sz w:val="16"/>
                <w:szCs w:val="16"/>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220" w:type="dxa"/>
            <w:vAlign w:val="bottom"/>
          </w:tcPr>
          <w:p>
            <w:pPr>
              <w:ind w:left="10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80" w:firstLine="597"/>
        <w:spacing w:after="0" w:line="250" w:lineRule="auto"/>
        <w:rPr>
          <w:sz w:val="20"/>
          <w:szCs w:val="20"/>
          <w:color w:val="auto"/>
        </w:rPr>
      </w:pPr>
      <w:r>
        <w:rPr>
          <w:rFonts w:ascii="Arial" w:cs="Arial" w:eastAsia="Arial" w:hAnsi="Arial"/>
          <w:sz w:val="17"/>
          <w:szCs w:val="17"/>
          <w:color w:val="auto"/>
        </w:rPr>
        <w:t>During the nine months ended March 31, 2022 and year ended June 30, 2021, there were no significant transfers in or out of Level 1, Level 2 and Level 3 classifications.</w:t>
      </w:r>
    </w:p>
    <w:p>
      <w:pPr>
        <w:spacing w:after="0" w:line="178" w:lineRule="exact"/>
        <w:rPr>
          <w:sz w:val="20"/>
          <w:szCs w:val="20"/>
          <w:color w:val="auto"/>
        </w:rPr>
      </w:pPr>
    </w:p>
    <w:p>
      <w:pPr>
        <w:ind w:firstLine="597"/>
        <w:spacing w:after="0" w:line="245" w:lineRule="auto"/>
        <w:rPr>
          <w:sz w:val="20"/>
          <w:szCs w:val="20"/>
          <w:color w:val="auto"/>
        </w:rPr>
      </w:pPr>
      <w:r>
        <w:rPr>
          <w:rFonts w:ascii="Arial" w:cs="Arial" w:eastAsia="Arial" w:hAnsi="Arial"/>
          <w:sz w:val="17"/>
          <w:szCs w:val="17"/>
          <w:color w:val="auto"/>
        </w:rPr>
        <w:t>The valuations of the derivatives intended to mitigate our interest rate and currency risk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948" w:right="359" w:bottom="1440" w:gutter="0" w:footer="0" w:header="0"/>
        </w:sectPr>
      </w:pPr>
    </w:p>
    <w:bookmarkStart w:id="18" w:name="page19"/>
    <w:bookmarkEnd w:id="18"/>
    <w:p>
      <w:pPr>
        <w:ind w:right="400"/>
        <w:spacing w:after="0" w:line="250" w:lineRule="auto"/>
        <w:rPr>
          <w:sz w:val="20"/>
          <w:szCs w:val="20"/>
          <w:color w:val="auto"/>
        </w:rPr>
      </w:pPr>
      <w:r>
        <w:rPr>
          <w:rFonts w:ascii="Arial" w:cs="Arial" w:eastAsia="Arial" w:hAnsi="Arial"/>
          <w:sz w:val="17"/>
          <w:szCs w:val="17"/>
          <w:color w:val="auto"/>
        </w:rPr>
        <w:t>adjusting the fair value of our derivative contracts for the effect of nonperformance risk, we have considered the impact of netting and any applicable credit enhancements.</w:t>
      </w:r>
    </w:p>
    <w:p>
      <w:pPr>
        <w:spacing w:after="0" w:line="165" w:lineRule="exact"/>
        <w:rPr>
          <w:sz w:val="20"/>
          <w:szCs w:val="20"/>
          <w:color w:val="auto"/>
        </w:rPr>
      </w:pPr>
    </w:p>
    <w:p>
      <w:pPr>
        <w:ind w:right="100" w:firstLine="597"/>
        <w:spacing w:after="0" w:line="245" w:lineRule="auto"/>
        <w:rPr>
          <w:sz w:val="20"/>
          <w:szCs w:val="20"/>
          <w:color w:val="auto"/>
        </w:rPr>
      </w:pPr>
      <w:r>
        <w:rPr>
          <w:rFonts w:ascii="Arial" w:cs="Arial" w:eastAsia="Arial" w:hAnsi="Arial"/>
          <w:sz w:val="17"/>
          <w:szCs w:val="17"/>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March 31, 2022,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221" w:lineRule="exact"/>
        <w:rPr>
          <w:sz w:val="20"/>
          <w:szCs w:val="20"/>
          <w:color w:val="auto"/>
        </w:rPr>
      </w:pPr>
    </w:p>
    <w:p>
      <w:pPr>
        <w:ind w:right="140" w:firstLine="597"/>
        <w:spacing w:after="0" w:line="245" w:lineRule="auto"/>
        <w:rPr>
          <w:sz w:val="20"/>
          <w:szCs w:val="20"/>
          <w:color w:val="auto"/>
        </w:rPr>
      </w:pPr>
      <w:r>
        <w:rPr>
          <w:rFonts w:ascii="Arial" w:cs="Arial" w:eastAsia="Arial" w:hAnsi="Arial"/>
          <w:sz w:val="17"/>
          <w:szCs w:val="17"/>
          <w:color w:val="auto"/>
        </w:rPr>
        <w:t>As of March 31, 2022 and June 30, 2021, the carrying amounts of our cash and cash equivalents, accounts receivable, accounts payable and other current liabilities approximated their estimated fair values. As of March 31, 2022 and June 30, 2021, the carrying value of our debt, excluding debt issuance costs and debt premiums and discounts, was $1,730,650 and $1,764,856, respectively, and the fair value was $1,723,041 and $1,767,209, respectively. Our debt at March 31, 2022 includes variable-rate debt instruments indexed to LIBOR that resets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w:t>
      </w:r>
    </w:p>
    <w:p>
      <w:pPr>
        <w:spacing w:after="0" w:line="221" w:lineRule="exact"/>
        <w:rPr>
          <w:sz w:val="20"/>
          <w:szCs w:val="20"/>
          <w:color w:val="auto"/>
        </w:rPr>
      </w:pPr>
    </w:p>
    <w:p>
      <w:pPr>
        <w:jc w:val="both"/>
        <w:ind w:right="200" w:firstLine="597"/>
        <w:spacing w:after="0" w:line="247" w:lineRule="auto"/>
        <w:rPr>
          <w:sz w:val="20"/>
          <w:szCs w:val="20"/>
          <w:color w:val="auto"/>
        </w:rPr>
      </w:pPr>
      <w:r>
        <w:rPr>
          <w:rFonts w:ascii="Arial" w:cs="Arial" w:eastAsia="Arial" w:hAnsi="Arial"/>
          <w:sz w:val="17"/>
          <w:szCs w:val="17"/>
          <w:color w:val="auto"/>
        </w:rPr>
        <w:t>As of March 31, 2022 and June 30, 2021 our held-to-maturity marketable securities were held at an amortized cost of $107,753 and $202,961, respectively, while the fair value was $107,185 and $202,786, respectively. The securities were valued using quoted prices for identical assets in active markets, which fall into Level 1 under the fair value hierarchy.</w:t>
      </w:r>
    </w:p>
    <w:p>
      <w:pPr>
        <w:spacing w:after="0" w:line="218" w:lineRule="exact"/>
        <w:rPr>
          <w:sz w:val="20"/>
          <w:szCs w:val="20"/>
          <w:color w:val="auto"/>
        </w:rPr>
      </w:pPr>
    </w:p>
    <w:p>
      <w:pPr>
        <w:ind w:right="480" w:firstLine="597"/>
        <w:spacing w:after="0" w:line="250" w:lineRule="auto"/>
        <w:rPr>
          <w:sz w:val="20"/>
          <w:szCs w:val="20"/>
          <w:color w:val="auto"/>
        </w:rPr>
      </w:pPr>
      <w:r>
        <w:rPr>
          <w:rFonts w:ascii="Arial" w:cs="Arial" w:eastAsia="Arial" w:hAnsi="Arial"/>
          <w:sz w:val="17"/>
          <w:szCs w:val="17"/>
          <w:color w:val="auto"/>
        </w:rPr>
        <w:t>The estimated fair value of assets and liabilities disclosed above may not be representative of actual values that could have been or will be realized in the future.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Derivative Financial Instruments</w:t>
      </w:r>
    </w:p>
    <w:p>
      <w:pPr>
        <w:spacing w:after="0" w:line="210" w:lineRule="exact"/>
        <w:rPr>
          <w:sz w:val="20"/>
          <w:szCs w:val="20"/>
          <w:color w:val="auto"/>
        </w:rPr>
      </w:pPr>
    </w:p>
    <w:p>
      <w:pPr>
        <w:ind w:right="120" w:firstLine="597"/>
        <w:spacing w:after="0" w:line="264" w:lineRule="auto"/>
        <w:rPr>
          <w:sz w:val="20"/>
          <w:szCs w:val="20"/>
          <w:color w:val="auto"/>
        </w:rPr>
      </w:pPr>
      <w:r>
        <w:rPr>
          <w:rFonts w:ascii="Arial" w:cs="Arial" w:eastAsia="Arial" w:hAnsi="Arial"/>
          <w:sz w:val="16"/>
          <w:szCs w:val="16"/>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the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Additionally, any ineffectiveness associated with an effective and designated hedge is recognized within accumulated other comprehensive loss.</w:t>
      </w:r>
    </w:p>
    <w:p>
      <w:pPr>
        <w:spacing w:after="0" w:line="170" w:lineRule="exact"/>
        <w:rPr>
          <w:sz w:val="20"/>
          <w:szCs w:val="20"/>
          <w:color w:val="auto"/>
        </w:rPr>
      </w:pPr>
    </w:p>
    <w:p>
      <w:pPr>
        <w:ind w:firstLine="597"/>
        <w:spacing w:after="0" w:line="250" w:lineRule="auto"/>
        <w:rPr>
          <w:sz w:val="20"/>
          <w:szCs w:val="20"/>
          <w:color w:val="auto"/>
        </w:rPr>
      </w:pPr>
      <w:r>
        <w:rPr>
          <w:rFonts w:ascii="Arial" w:cs="Arial" w:eastAsia="Arial" w:hAnsi="Arial"/>
          <w:sz w:val="17"/>
          <w:szCs w:val="17"/>
          <w:color w:val="auto"/>
        </w:rPr>
        <w:t>The change in the fair value of derivatives not designated as hedges is recognized directly in earnings as a component of other income (expense), net.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Interest Rate Risk</w:t>
      </w:r>
    </w:p>
    <w:p>
      <w:pPr>
        <w:spacing w:after="0" w:line="210" w:lineRule="exact"/>
        <w:rPr>
          <w:sz w:val="20"/>
          <w:szCs w:val="20"/>
          <w:color w:val="auto"/>
        </w:rPr>
      </w:pPr>
    </w:p>
    <w:p>
      <w:pPr>
        <w:ind w:firstLine="597"/>
        <w:spacing w:after="0" w:line="245" w:lineRule="auto"/>
        <w:rPr>
          <w:sz w:val="20"/>
          <w:szCs w:val="20"/>
          <w:color w:val="auto"/>
        </w:rPr>
      </w:pPr>
      <w:r>
        <w:rPr>
          <w:rFonts w:ascii="Arial" w:cs="Arial" w:eastAsia="Arial" w:hAnsi="Arial"/>
          <w:sz w:val="17"/>
          <w:szCs w:val="17"/>
          <w:color w:val="auto"/>
        </w:rPr>
        <w:t>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9" w:name="page20"/>
    <w:bookmarkEnd w:id="19"/>
    <w:p>
      <w:pPr>
        <w:ind w:right="40" w:firstLine="597"/>
        <w:spacing w:after="0" w:line="245" w:lineRule="auto"/>
        <w:rPr>
          <w:sz w:val="20"/>
          <w:szCs w:val="20"/>
          <w:color w:val="auto"/>
        </w:rPr>
      </w:pPr>
      <w:r>
        <w:rPr>
          <w:rFonts w:ascii="Arial" w:cs="Arial" w:eastAsia="Arial" w:hAnsi="Arial"/>
          <w:sz w:val="17"/>
          <w:szCs w:val="17"/>
          <w:color w:val="auto"/>
        </w:rPr>
        <w:t>Amounts reported in accumulated other comprehensive loss related to interest rate swap contracts will be reclassified to interest expense, net as interest payments are accrued or made on our variable-rate debt. As of March 31, 2022, we estimate that $2,918 will be reclassified from accumulated other comprehensive loss to interest expense during the twelve months ending March 31, 2023. As of March 31, 2022, we had fourteen outstanding interest rate swap contracts indexed to USD LIBOR, six of which were not highly effective and therefore not designated for hedge accounting. These hedges have varying start dates and maturity dates through April 2028.</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Interest rate swap contracts outstanding:</w:t>
            </w:r>
          </w:p>
        </w:tc>
        <w:tc>
          <w:tcPr>
            <w:tcW w:w="4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667"/>
              <w:spacing w:after="0"/>
              <w:rPr>
                <w:sz w:val="20"/>
                <w:szCs w:val="20"/>
                <w:color w:val="auto"/>
              </w:rPr>
            </w:pPr>
            <w:r>
              <w:rPr>
                <w:rFonts w:ascii="Arial" w:cs="Arial" w:eastAsia="Arial" w:hAnsi="Arial"/>
                <w:sz w:val="13"/>
                <w:szCs w:val="13"/>
                <w:b w:val="1"/>
                <w:bCs w:val="1"/>
                <w:color w:val="auto"/>
              </w:rPr>
              <w:t>Notional Amounts</w:t>
            </w:r>
          </w:p>
        </w:tc>
      </w:tr>
      <w:tr>
        <w:trPr>
          <w:trHeight w:val="192"/>
        </w:trPr>
        <w:tc>
          <w:tcPr>
            <w:tcW w:w="8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Contracts accruing interest as of March 31, 2022</w:t>
            </w:r>
          </w:p>
        </w:tc>
        <w:tc>
          <w:tcPr>
            <w:tcW w:w="42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95"/>
              </w:rPr>
              <w:t>$</w:t>
            </w:r>
          </w:p>
        </w:tc>
        <w:tc>
          <w:tcPr>
            <w:tcW w:w="2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400,000</w:t>
            </w:r>
          </w:p>
        </w:tc>
      </w:tr>
      <w:tr>
        <w:trPr>
          <w:trHeight w:val="196"/>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Contracts with a future start date</w:t>
            </w:r>
          </w:p>
        </w:tc>
        <w:tc>
          <w:tcPr>
            <w:tcW w:w="4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430,000</w:t>
            </w:r>
          </w:p>
        </w:tc>
      </w:tr>
      <w:tr>
        <w:trPr>
          <w:trHeight w:val="219"/>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95"/>
              </w:rPr>
              <w:t>$</w:t>
            </w:r>
          </w:p>
        </w:tc>
        <w:tc>
          <w:tcPr>
            <w:tcW w:w="2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830,000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Currency Risk</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Cross-Currency Swap Contracts</w:t>
      </w:r>
    </w:p>
    <w:p>
      <w:pPr>
        <w:spacing w:after="0" w:line="171" w:lineRule="exact"/>
        <w:rPr>
          <w:sz w:val="20"/>
          <w:szCs w:val="20"/>
          <w:color w:val="auto"/>
        </w:rPr>
      </w:pPr>
    </w:p>
    <w:p>
      <w:pPr>
        <w:ind w:right="80" w:firstLine="597"/>
        <w:spacing w:after="0" w:line="266" w:lineRule="auto"/>
        <w:rPr>
          <w:sz w:val="20"/>
          <w:szCs w:val="20"/>
          <w:color w:val="auto"/>
        </w:rPr>
      </w:pPr>
      <w:r>
        <w:rPr>
          <w:rFonts w:ascii="Arial" w:cs="Arial" w:eastAsia="Arial" w:hAnsi="Arial"/>
          <w:sz w:val="16"/>
          <w:szCs w:val="16"/>
          <w:color w:val="auto"/>
        </w:rPr>
        <w:t>From time to time, we execute cross-currency swap contracts designated as cash flow hedges or net investment hedges. Cross-currency swaps involve an initial receipt of the notional amount in the hedge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130" w:lineRule="exact"/>
        <w:rPr>
          <w:sz w:val="20"/>
          <w:szCs w:val="20"/>
          <w:color w:val="auto"/>
        </w:rPr>
      </w:pPr>
    </w:p>
    <w:p>
      <w:pPr>
        <w:ind w:firstLine="597"/>
        <w:spacing w:after="0" w:line="245" w:lineRule="auto"/>
        <w:rPr>
          <w:sz w:val="20"/>
          <w:szCs w:val="20"/>
          <w:color w:val="auto"/>
        </w:rPr>
      </w:pPr>
      <w:r>
        <w:rPr>
          <w:rFonts w:ascii="Arial" w:cs="Arial" w:eastAsia="Arial" w:hAnsi="Arial"/>
          <w:sz w:val="17"/>
          <w:szCs w:val="17"/>
          <w:color w:val="auto"/>
        </w:rPr>
        <w:t>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March 31, 2022, we had two outstanding cross-currency swap contracts designated as cash flow hedges with a total notional amount of $120,874, both maturing during June 2024. We entered into the two cross-currency swap contracts to hedge the risk of changes in one Euro-denominated intercompany loan entered into with one of our consolidated subsidiaries that has the Euro as its functional currency.</w:t>
      </w:r>
    </w:p>
    <w:p>
      <w:pPr>
        <w:spacing w:after="0" w:line="147" w:lineRule="exact"/>
        <w:rPr>
          <w:sz w:val="20"/>
          <w:szCs w:val="20"/>
          <w:color w:val="auto"/>
        </w:rPr>
      </w:pPr>
    </w:p>
    <w:p>
      <w:pPr>
        <w:ind w:right="60" w:firstLine="597"/>
        <w:spacing w:after="0" w:line="247" w:lineRule="auto"/>
        <w:rPr>
          <w:sz w:val="20"/>
          <w:szCs w:val="20"/>
          <w:color w:val="auto"/>
        </w:rPr>
      </w:pPr>
      <w:r>
        <w:rPr>
          <w:rFonts w:ascii="Arial" w:cs="Arial" w:eastAsia="Arial" w:hAnsi="Arial"/>
          <w:sz w:val="17"/>
          <w:szCs w:val="17"/>
          <w:color w:val="auto"/>
        </w:rPr>
        <w:t>Amounts reported in accumulated other comprehensive loss will be reclassified to other income (expense), net as interest payments are accrued or paid and upon remeasuring the intercompany loan. As of March 31, 2022, we estimate that $2,982 of income will be reclassified from accumulated other comprehensive loss to interest expense, net during the twelve months ending March 31, 2023.</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Currency Hedges</w:t>
      </w:r>
    </w:p>
    <w:p>
      <w:pPr>
        <w:spacing w:after="0" w:line="171" w:lineRule="exact"/>
        <w:rPr>
          <w:sz w:val="20"/>
          <w:szCs w:val="20"/>
          <w:color w:val="auto"/>
        </w:rPr>
      </w:pPr>
    </w:p>
    <w:p>
      <w:pPr>
        <w:ind w:right="320" w:firstLine="597"/>
        <w:spacing w:after="0" w:line="250" w:lineRule="auto"/>
        <w:rPr>
          <w:sz w:val="20"/>
          <w:szCs w:val="20"/>
          <w:color w:val="auto"/>
        </w:rPr>
      </w:pPr>
      <w:r>
        <w:rPr>
          <w:rFonts w:ascii="Arial" w:cs="Arial" w:eastAsia="Arial" w:hAnsi="Arial"/>
          <w:sz w:val="17"/>
          <w:szCs w:val="17"/>
          <w:color w:val="auto"/>
        </w:rPr>
        <w:t>We execute currency forward and option contracts in order to mitigate our exposure to fluctuations in various currencies against our reporting currency, the U.S. dollar.</w:t>
      </w:r>
    </w:p>
    <w:p>
      <w:pPr>
        <w:spacing w:after="0" w:line="165" w:lineRule="exact"/>
        <w:rPr>
          <w:sz w:val="20"/>
          <w:szCs w:val="20"/>
          <w:color w:val="auto"/>
        </w:rPr>
      </w:pPr>
    </w:p>
    <w:p>
      <w:pPr>
        <w:ind w:right="60" w:firstLine="597"/>
        <w:spacing w:after="0" w:line="245" w:lineRule="auto"/>
        <w:rPr>
          <w:sz w:val="20"/>
          <w:szCs w:val="20"/>
          <w:color w:val="auto"/>
        </w:rPr>
      </w:pPr>
      <w:r>
        <w:rPr>
          <w:rFonts w:ascii="Arial" w:cs="Arial" w:eastAsia="Arial" w:hAnsi="Arial"/>
          <w:sz w:val="17"/>
          <w:szCs w:val="17"/>
          <w:color w:val="auto"/>
        </w:rPr>
        <w:t>As of March 31, 2022, we had four currency forward contracts designated as net investment hedges with a total notional amount of $122,041, maturing during various dates through October 2026. We also have one intercompany loan designated as a net investment hedge with a total notional amount of $364,524 that matures in May 2028. We designate these hedges to mitigate the risk of changes in the U.S. dollar equivalent value of a portion of our net investment in two consolidated subsidiaries that have the Euro as their functional currency. Amounts reported in accumulated other comprehensive loss are recognized as a component of our cumulative translation adjustment.</w:t>
      </w:r>
    </w:p>
    <w:p>
      <w:pPr>
        <w:spacing w:after="0" w:line="184" w:lineRule="exact"/>
        <w:rPr>
          <w:sz w:val="20"/>
          <w:szCs w:val="20"/>
          <w:color w:val="auto"/>
        </w:rPr>
      </w:pPr>
    </w:p>
    <w:p>
      <w:pPr>
        <w:ind w:right="40" w:firstLine="597"/>
        <w:spacing w:after="0" w:line="245" w:lineRule="auto"/>
        <w:rPr>
          <w:sz w:val="20"/>
          <w:szCs w:val="20"/>
          <w:color w:val="auto"/>
        </w:rPr>
      </w:pPr>
      <w:r>
        <w:rPr>
          <w:rFonts w:ascii="Arial" w:cs="Arial" w:eastAsia="Arial" w:hAnsi="Arial"/>
          <w:sz w:val="17"/>
          <w:szCs w:val="17"/>
          <w:color w:val="auto"/>
        </w:rPr>
        <w:t>We have elected to not apply hedge accounting for all other currency forward and option contracts. During the three and nine months ended March 31, 2022 and 2021, we experienced volatility within other income (expense),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0" w:name="page21"/>
    <w:bookmarkEnd w:id="20"/>
    <w:p>
      <w:pPr>
        <w:ind w:right="200" w:firstLine="597"/>
        <w:spacing w:after="0" w:line="246" w:lineRule="auto"/>
        <w:rPr>
          <w:sz w:val="20"/>
          <w:szCs w:val="20"/>
          <w:color w:val="auto"/>
        </w:rPr>
      </w:pPr>
      <w:r>
        <w:rPr>
          <w:rFonts w:ascii="Arial" w:cs="Arial" w:eastAsia="Arial" w:hAnsi="Arial"/>
          <w:sz w:val="17"/>
          <w:szCs w:val="17"/>
          <w:color w:val="auto"/>
        </w:rPr>
        <w:t>As of March 31, 2022, we had the following outstanding currency derivative contracts that were not designated for hedge accounting and were used to hedge fluctuations in the U.S. dollar value of forecasted transactions or balances denominated in Australian Dollar, British Pound, Canadian Dollar, Danish Krone, Euro, Indian Rupee, Japanese Yen, Mexican Peso, New Zealand Dollar, Norwegian Krone, Philippine Peso, Swiss Franc and Swedish Krona: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Notional Amount</w:t>
            </w:r>
          </w:p>
        </w:tc>
        <w:tc>
          <w:tcPr>
            <w:tcW w:w="100" w:type="dxa"/>
            <w:vAlign w:val="bottom"/>
            <w:tcBorders>
              <w:bottom w:val="single" w:sz="8" w:color="CCEEFF"/>
            </w:tcBorders>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Effective Date</w:t>
            </w:r>
          </w:p>
        </w:tc>
        <w:tc>
          <w:tcPr>
            <w:tcW w:w="100" w:type="dxa"/>
            <w:vAlign w:val="bottom"/>
            <w:tcBorders>
              <w:bottom w:val="single" w:sz="8" w:color="CCEEFF"/>
            </w:tcBorders>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Maturity Date</w:t>
            </w: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Number of Instruments</w:t>
            </w:r>
          </w:p>
        </w:tc>
        <w:tc>
          <w:tcPr>
            <w:tcW w:w="100" w:type="dxa"/>
            <w:vAlign w:val="bottom"/>
            <w:tcBorders>
              <w:bottom w:val="single" w:sz="8" w:color="CCEEFF"/>
            </w:tcBorders>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Index</w:t>
            </w:r>
          </w:p>
        </w:tc>
        <w:tc>
          <w:tcPr>
            <w:tcW w:w="0" w:type="dxa"/>
            <w:vAlign w:val="bottom"/>
          </w:tcPr>
          <w:p>
            <w:pPr>
              <w:spacing w:after="0"/>
              <w:rPr>
                <w:sz w:val="1"/>
                <w:szCs w:val="1"/>
                <w:color w:val="auto"/>
              </w:rPr>
            </w:pPr>
          </w:p>
        </w:tc>
      </w:tr>
      <w:tr>
        <w:trPr>
          <w:trHeight w:val="156"/>
        </w:trPr>
        <w:tc>
          <w:tcPr>
            <w:tcW w:w="1820" w:type="dxa"/>
            <w:vAlign w:val="bottom"/>
            <w:vMerge w:val="restart"/>
            <w:shd w:val="clear" w:color="auto" w:fill="CCEEFF"/>
          </w:tcPr>
          <w:p>
            <w:pPr>
              <w:jc w:val="right"/>
              <w:ind w:right="530"/>
              <w:spacing w:after="0"/>
              <w:rPr>
                <w:sz w:val="20"/>
                <w:szCs w:val="20"/>
                <w:color w:val="auto"/>
              </w:rPr>
            </w:pPr>
            <w:r>
              <w:rPr>
                <w:rFonts w:ascii="Arial" w:cs="Arial" w:eastAsia="Arial" w:hAnsi="Arial"/>
                <w:sz w:val="15"/>
                <w:szCs w:val="15"/>
                <w:color w:val="auto"/>
              </w:rPr>
              <w:t>$427,594</w:t>
            </w:r>
          </w:p>
        </w:tc>
        <w:tc>
          <w:tcPr>
            <w:tcW w:w="100" w:type="dxa"/>
            <w:vAlign w:val="bottom"/>
            <w:shd w:val="clear" w:color="auto" w:fill="CCEEFF"/>
          </w:tcPr>
          <w:p>
            <w:pPr>
              <w:spacing w:after="0"/>
              <w:rPr>
                <w:sz w:val="13"/>
                <w:szCs w:val="13"/>
                <w:color w:val="auto"/>
              </w:rPr>
            </w:pPr>
          </w:p>
        </w:tc>
        <w:tc>
          <w:tcPr>
            <w:tcW w:w="24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5"/>
                <w:szCs w:val="15"/>
                <w:color w:val="auto"/>
                <w:w w:val="99"/>
              </w:rPr>
              <w:t>June 2020 through March 2022</w:t>
            </w:r>
          </w:p>
        </w:tc>
        <w:tc>
          <w:tcPr>
            <w:tcW w:w="2440" w:type="dxa"/>
            <w:vAlign w:val="bottom"/>
            <w:gridSpan w:val="2"/>
            <w:shd w:val="clear" w:color="auto" w:fill="CCEEFF"/>
          </w:tcPr>
          <w:p>
            <w:pPr>
              <w:jc w:val="center"/>
              <w:ind w:right="100"/>
              <w:spacing w:after="0" w:line="156" w:lineRule="exact"/>
              <w:rPr>
                <w:sz w:val="20"/>
                <w:szCs w:val="20"/>
                <w:color w:val="auto"/>
              </w:rPr>
            </w:pPr>
            <w:r>
              <w:rPr>
                <w:rFonts w:ascii="Arial" w:cs="Arial" w:eastAsia="Arial" w:hAnsi="Arial"/>
                <w:sz w:val="15"/>
                <w:szCs w:val="15"/>
                <w:color w:val="auto"/>
                <w:w w:val="98"/>
              </w:rPr>
              <w:t>Various dates through October</w:t>
            </w:r>
          </w:p>
        </w:tc>
        <w:tc>
          <w:tcPr>
            <w:tcW w:w="2160" w:type="dxa"/>
            <w:vAlign w:val="bottom"/>
            <w:vMerge w:val="restart"/>
            <w:shd w:val="clear" w:color="auto" w:fill="CCEEFF"/>
          </w:tcPr>
          <w:p>
            <w:pPr>
              <w:jc w:val="right"/>
              <w:ind w:right="890"/>
              <w:spacing w:after="0"/>
              <w:rPr>
                <w:sz w:val="20"/>
                <w:szCs w:val="20"/>
                <w:color w:val="auto"/>
              </w:rPr>
            </w:pPr>
            <w:r>
              <w:rPr>
                <w:rFonts w:ascii="Arial" w:cs="Arial" w:eastAsia="Arial" w:hAnsi="Arial"/>
                <w:sz w:val="15"/>
                <w:szCs w:val="15"/>
                <w:color w:val="auto"/>
              </w:rPr>
              <w:t>621</w:t>
            </w:r>
          </w:p>
        </w:tc>
        <w:tc>
          <w:tcPr>
            <w:tcW w:w="100" w:type="dxa"/>
            <w:vAlign w:val="bottom"/>
            <w:shd w:val="clear" w:color="auto" w:fill="CCEEFF"/>
          </w:tcPr>
          <w:p>
            <w:pPr>
              <w:spacing w:after="0"/>
              <w:rPr>
                <w:sz w:val="13"/>
                <w:szCs w:val="13"/>
                <w:color w:val="auto"/>
              </w:rPr>
            </w:pPr>
          </w:p>
        </w:tc>
        <w:tc>
          <w:tcPr>
            <w:tcW w:w="218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8"/>
              </w:rPr>
              <w:t>Various</w:t>
            </w:r>
          </w:p>
        </w:tc>
        <w:tc>
          <w:tcPr>
            <w:tcW w:w="0" w:type="dxa"/>
            <w:vAlign w:val="bottom"/>
          </w:tcPr>
          <w:p>
            <w:pPr>
              <w:spacing w:after="0"/>
              <w:rPr>
                <w:sz w:val="1"/>
                <w:szCs w:val="1"/>
                <w:color w:val="auto"/>
              </w:rPr>
            </w:pPr>
          </w:p>
        </w:tc>
      </w:tr>
      <w:tr>
        <w:trPr>
          <w:trHeight w:val="104"/>
        </w:trPr>
        <w:tc>
          <w:tcPr>
            <w:tcW w:w="18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20" w:type="dxa"/>
            <w:vAlign w:val="bottom"/>
            <w:gridSpan w:val="2"/>
            <w:vMerge w:val="continue"/>
            <w:shd w:val="clear" w:color="auto" w:fill="CCEEFF"/>
          </w:tcPr>
          <w:p>
            <w:pPr>
              <w:spacing w:after="0"/>
              <w:rPr>
                <w:sz w:val="9"/>
                <w:szCs w:val="9"/>
                <w:color w:val="auto"/>
              </w:rPr>
            </w:pPr>
          </w:p>
        </w:tc>
        <w:tc>
          <w:tcPr>
            <w:tcW w:w="234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rPr>
              <w:t>2024</w:t>
            </w:r>
          </w:p>
        </w:tc>
        <w:tc>
          <w:tcPr>
            <w:tcW w:w="100" w:type="dxa"/>
            <w:vAlign w:val="bottom"/>
            <w:shd w:val="clear" w:color="auto" w:fill="CCEEFF"/>
          </w:tcPr>
          <w:p>
            <w:pPr>
              <w:spacing w:after="0"/>
              <w:rPr>
                <w:sz w:val="9"/>
                <w:szCs w:val="9"/>
                <w:color w:val="auto"/>
              </w:rPr>
            </w:pPr>
          </w:p>
        </w:tc>
        <w:tc>
          <w:tcPr>
            <w:tcW w:w="21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 Presentation</w:t>
      </w:r>
    </w:p>
    <w:p>
      <w:pPr>
        <w:spacing w:after="0" w:line="198" w:lineRule="exact"/>
        <w:rPr>
          <w:sz w:val="20"/>
          <w:szCs w:val="20"/>
          <w:color w:val="auto"/>
        </w:rPr>
      </w:pPr>
    </w:p>
    <w:p>
      <w:pPr>
        <w:ind w:right="80" w:firstLine="597"/>
        <w:spacing w:after="0" w:line="250" w:lineRule="auto"/>
        <w:rPr>
          <w:sz w:val="20"/>
          <w:szCs w:val="20"/>
          <w:color w:val="auto"/>
        </w:rPr>
      </w:pPr>
      <w:r>
        <w:rPr>
          <w:rFonts w:ascii="Arial" w:cs="Arial" w:eastAsia="Arial" w:hAnsi="Arial"/>
          <w:sz w:val="17"/>
          <w:szCs w:val="17"/>
          <w:color w:val="auto"/>
        </w:rPr>
        <w:t>The table below presents the fair value of our derivative financial instruments as well as their classification on the balance sheet as of March 31, 2022 and June 30, 2021. Our derivative asset and liability balances fluctuate with interest rate and currency exchange rate volatility.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500"/>
              <w:spacing w:after="0"/>
              <w:rPr>
                <w:sz w:val="20"/>
                <w:szCs w:val="20"/>
                <w:color w:val="auto"/>
              </w:rPr>
            </w:pPr>
            <w:r>
              <w:rPr>
                <w:rFonts w:ascii="Arial" w:cs="Arial" w:eastAsia="Arial" w:hAnsi="Arial"/>
                <w:sz w:val="12"/>
                <w:szCs w:val="12"/>
                <w:b w:val="1"/>
                <w:bCs w:val="1"/>
                <w:color w:val="auto"/>
              </w:rPr>
              <w:t>March 31, 2022</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420"/>
              <w:spacing w:after="0"/>
              <w:rPr>
                <w:sz w:val="20"/>
                <w:szCs w:val="20"/>
                <w:color w:val="auto"/>
              </w:rPr>
            </w:pPr>
            <w:r>
              <w:rPr>
                <w:rFonts w:ascii="Arial" w:cs="Arial" w:eastAsia="Arial" w:hAnsi="Arial"/>
                <w:sz w:val="12"/>
                <w:szCs w:val="12"/>
                <w:b w:val="1"/>
                <w:bCs w:val="1"/>
                <w:color w:val="auto"/>
              </w:rPr>
              <w:t>Asset Derivatives</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rPr>
              <w:t>Liability Derivatives</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96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Gross amounts of</w:t>
            </w:r>
          </w:p>
        </w:tc>
        <w:tc>
          <w:tcPr>
            <w:tcW w:w="1380" w:type="dxa"/>
            <w:vAlign w:val="bottom"/>
            <w:gridSpan w:val="3"/>
          </w:tcPr>
          <w:p>
            <w:pPr>
              <w:jc w:val="center"/>
              <w:ind w:right="100"/>
              <w:spacing w:after="0" w:line="109" w:lineRule="exact"/>
              <w:rPr>
                <w:sz w:val="20"/>
                <w:szCs w:val="20"/>
                <w:color w:val="auto"/>
              </w:rPr>
            </w:pPr>
            <w:r>
              <w:rPr>
                <w:rFonts w:ascii="Arial" w:cs="Arial" w:eastAsia="Arial" w:hAnsi="Arial"/>
                <w:sz w:val="12"/>
                <w:szCs w:val="12"/>
                <w:b w:val="1"/>
                <w:bCs w:val="1"/>
                <w:color w:val="auto"/>
                <w:w w:val="95"/>
              </w:rPr>
              <w:t>Gross amount offset</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ind w:left="20"/>
              <w:spacing w:after="0" w:line="109" w:lineRule="exact"/>
              <w:rPr>
                <w:sz w:val="20"/>
                <w:szCs w:val="20"/>
                <w:color w:val="auto"/>
              </w:rPr>
            </w:pPr>
            <w:r>
              <w:rPr>
                <w:rFonts w:ascii="Arial" w:cs="Arial" w:eastAsia="Arial" w:hAnsi="Arial"/>
                <w:sz w:val="12"/>
                <w:szCs w:val="12"/>
                <w:b w:val="1"/>
                <w:bCs w:val="1"/>
                <w:color w:val="auto"/>
              </w:rPr>
              <w:t>Gross amounts of</w:t>
            </w:r>
          </w:p>
        </w:tc>
        <w:tc>
          <w:tcPr>
            <w:tcW w:w="1400" w:type="dxa"/>
            <w:vAlign w:val="bottom"/>
            <w:gridSpan w:val="3"/>
          </w:tcPr>
          <w:p>
            <w:pPr>
              <w:jc w:val="center"/>
              <w:ind w:right="100"/>
              <w:spacing w:after="0" w:line="109" w:lineRule="exact"/>
              <w:rPr>
                <w:sz w:val="20"/>
                <w:szCs w:val="20"/>
                <w:color w:val="auto"/>
              </w:rPr>
            </w:pPr>
            <w:r>
              <w:rPr>
                <w:rFonts w:ascii="Arial" w:cs="Arial" w:eastAsia="Arial" w:hAnsi="Arial"/>
                <w:sz w:val="12"/>
                <w:szCs w:val="12"/>
                <w:b w:val="1"/>
                <w:bCs w:val="1"/>
                <w:color w:val="auto"/>
                <w:w w:val="97"/>
              </w:rPr>
              <w:t>Gross amount offset</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2" w:lineRule="exact"/>
              <w:rPr>
                <w:sz w:val="20"/>
                <w:szCs w:val="20"/>
                <w:color w:val="auto"/>
              </w:rPr>
            </w:pPr>
            <w:r>
              <w:rPr>
                <w:rFonts w:ascii="Arial" w:cs="Arial" w:eastAsia="Arial" w:hAnsi="Arial"/>
                <w:sz w:val="12"/>
                <w:szCs w:val="12"/>
                <w:b w:val="1"/>
                <w:bCs w:val="1"/>
                <w:color w:val="auto"/>
                <w:w w:val="97"/>
              </w:rPr>
              <w:t>in Consolidated</w:t>
            </w:r>
          </w:p>
        </w:tc>
        <w:tc>
          <w:tcPr>
            <w:tcW w:w="140" w:type="dxa"/>
            <w:vAlign w:val="bottom"/>
          </w:tcPr>
          <w:p>
            <w:pPr>
              <w:spacing w:after="0"/>
              <w:rPr>
                <w:sz w:val="9"/>
                <w:szCs w:val="9"/>
                <w:color w:val="auto"/>
              </w:rPr>
            </w:pPr>
          </w:p>
        </w:tc>
        <w:tc>
          <w:tcPr>
            <w:tcW w:w="840" w:type="dxa"/>
            <w:vAlign w:val="bottom"/>
            <w:vMerge w:val="restart"/>
          </w:tcPr>
          <w:p>
            <w:pPr>
              <w:jc w:val="right"/>
              <w:ind w:right="95"/>
              <w:spacing w:after="0"/>
              <w:rPr>
                <w:sz w:val="20"/>
                <w:szCs w:val="20"/>
                <w:color w:val="auto"/>
              </w:rPr>
            </w:pPr>
            <w:r>
              <w:rPr>
                <w:rFonts w:ascii="Arial" w:cs="Arial" w:eastAsia="Arial" w:hAnsi="Arial"/>
                <w:sz w:val="12"/>
                <w:szCs w:val="12"/>
                <w:b w:val="1"/>
                <w:bCs w:val="1"/>
                <w:color w:val="auto"/>
                <w:w w:val="99"/>
              </w:rPr>
              <w:t>Net amount</w:t>
            </w: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tcPr>
          <w:p>
            <w:pPr>
              <w:jc w:val="center"/>
              <w:ind w:right="260"/>
              <w:spacing w:after="0" w:line="112" w:lineRule="exact"/>
              <w:rPr>
                <w:sz w:val="20"/>
                <w:szCs w:val="20"/>
                <w:color w:val="auto"/>
              </w:rPr>
            </w:pPr>
            <w:r>
              <w:rPr>
                <w:rFonts w:ascii="Arial" w:cs="Arial" w:eastAsia="Arial" w:hAnsi="Arial"/>
                <w:sz w:val="12"/>
                <w:szCs w:val="12"/>
                <w:b w:val="1"/>
                <w:bCs w:val="1"/>
                <w:color w:val="auto"/>
                <w:w w:val="94"/>
              </w:rPr>
              <w:t>recognized</w:t>
            </w:r>
          </w:p>
        </w:tc>
        <w:tc>
          <w:tcPr>
            <w:tcW w:w="160" w:type="dxa"/>
            <w:vAlign w:val="bottom"/>
          </w:tcPr>
          <w:p>
            <w:pPr>
              <w:spacing w:after="0"/>
              <w:rPr>
                <w:sz w:val="9"/>
                <w:szCs w:val="9"/>
                <w:color w:val="auto"/>
              </w:rPr>
            </w:pPr>
          </w:p>
        </w:tc>
        <w:tc>
          <w:tcPr>
            <w:tcW w:w="1240" w:type="dxa"/>
            <w:vAlign w:val="bottom"/>
            <w:gridSpan w:val="2"/>
          </w:tcPr>
          <w:p>
            <w:pPr>
              <w:jc w:val="center"/>
              <w:ind w:right="260"/>
              <w:spacing w:after="0" w:line="112" w:lineRule="exact"/>
              <w:rPr>
                <w:sz w:val="20"/>
                <w:szCs w:val="20"/>
                <w:color w:val="auto"/>
              </w:rPr>
            </w:pPr>
            <w:r>
              <w:rPr>
                <w:rFonts w:ascii="Arial" w:cs="Arial" w:eastAsia="Arial" w:hAnsi="Arial"/>
                <w:sz w:val="12"/>
                <w:szCs w:val="12"/>
                <w:b w:val="1"/>
                <w:bCs w:val="1"/>
                <w:color w:val="auto"/>
                <w:w w:val="95"/>
              </w:rPr>
              <w:t>in Consolidated</w:t>
            </w:r>
          </w:p>
        </w:tc>
        <w:tc>
          <w:tcPr>
            <w:tcW w:w="120" w:type="dxa"/>
            <w:vAlign w:val="bottom"/>
          </w:tcPr>
          <w:p>
            <w:pPr>
              <w:spacing w:after="0"/>
              <w:rPr>
                <w:sz w:val="9"/>
                <w:szCs w:val="9"/>
                <w:color w:val="auto"/>
              </w:rPr>
            </w:pPr>
          </w:p>
        </w:tc>
        <w:tc>
          <w:tcPr>
            <w:tcW w:w="860" w:type="dxa"/>
            <w:vAlign w:val="bottom"/>
            <w:vMerge w:val="restart"/>
          </w:tcPr>
          <w:p>
            <w:pPr>
              <w:jc w:val="right"/>
              <w:ind w:right="115"/>
              <w:spacing w:after="0"/>
              <w:rPr>
                <w:sz w:val="20"/>
                <w:szCs w:val="20"/>
                <w:color w:val="auto"/>
              </w:rPr>
            </w:pPr>
            <w:r>
              <w:rPr>
                <w:rFonts w:ascii="Arial" w:cs="Arial" w:eastAsia="Arial" w:hAnsi="Arial"/>
                <w:sz w:val="12"/>
                <w:szCs w:val="12"/>
                <w:b w:val="1"/>
                <w:bCs w:val="1"/>
                <w:color w:val="auto"/>
                <w:w w:val="99"/>
              </w:rPr>
              <w:t>Net amount</w:t>
            </w:r>
          </w:p>
        </w:tc>
        <w:tc>
          <w:tcPr>
            <w:tcW w:w="0" w:type="dxa"/>
            <w:vAlign w:val="bottom"/>
          </w:tcPr>
          <w:p>
            <w:pPr>
              <w:spacing w:after="0"/>
              <w:rPr>
                <w:sz w:val="1"/>
                <w:szCs w:val="1"/>
                <w:color w:val="auto"/>
              </w:rPr>
            </w:pPr>
          </w:p>
        </w:tc>
      </w:tr>
      <w:tr>
        <w:trPr>
          <w:trHeight w:val="154"/>
        </w:trPr>
        <w:tc>
          <w:tcPr>
            <w:tcW w:w="1960" w:type="dxa"/>
            <w:vAlign w:val="bottom"/>
          </w:tcPr>
          <w:p>
            <w:pPr>
              <w:spacing w:after="0"/>
              <w:rPr>
                <w:sz w:val="13"/>
                <w:szCs w:val="13"/>
                <w:color w:val="auto"/>
              </w:rPr>
            </w:pPr>
          </w:p>
        </w:tc>
        <w:tc>
          <w:tcPr>
            <w:tcW w:w="102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recognized assets</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Balance Sheet</w:t>
            </w: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240"/>
              <w:spacing w:after="0"/>
              <w:rPr>
                <w:sz w:val="20"/>
                <w:szCs w:val="20"/>
                <w:color w:val="auto"/>
              </w:rPr>
            </w:pPr>
            <w:r>
              <w:rPr>
                <w:rFonts w:ascii="Arial" w:cs="Arial" w:eastAsia="Arial" w:hAnsi="Arial"/>
                <w:sz w:val="12"/>
                <w:szCs w:val="12"/>
                <w:b w:val="1"/>
                <w:bCs w:val="1"/>
                <w:color w:val="auto"/>
              </w:rPr>
              <w:t>line item</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liabilities</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Balance Sheet</w:t>
            </w: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960" w:type="dxa"/>
            <w:vAlign w:val="bottom"/>
          </w:tcPr>
          <w:p>
            <w:pPr>
              <w:ind w:left="20"/>
              <w:spacing w:after="0" w:line="100" w:lineRule="exact"/>
              <w:rPr>
                <w:sz w:val="20"/>
                <w:szCs w:val="20"/>
                <w:color w:val="auto"/>
              </w:rPr>
            </w:pPr>
            <w:r>
              <w:rPr>
                <w:rFonts w:ascii="Arial" w:cs="Arial" w:eastAsia="Arial" w:hAnsi="Arial"/>
                <w:sz w:val="10"/>
                <w:szCs w:val="10"/>
                <w:b w:val="1"/>
                <w:bCs w:val="1"/>
                <w:color w:val="auto"/>
              </w:rPr>
              <w:t>Derivatives designated as hedging</w:t>
            </w: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instruments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Derivatives in cash flow hedging</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Interest rate swaps</w:t>
            </w:r>
          </w:p>
        </w:tc>
        <w:tc>
          <w:tcPr>
            <w:tcW w:w="10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Other assets</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2,109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2,109</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Other current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24"/>
        </w:trPr>
        <w:tc>
          <w:tcPr>
            <w:tcW w:w="1960" w:type="dxa"/>
            <w:vAlign w:val="bottom"/>
            <w:vMerge w:val="continue"/>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ind w:left="20"/>
              <w:spacing w:after="0" w:line="124" w:lineRule="exact"/>
              <w:rPr>
                <w:sz w:val="20"/>
                <w:szCs w:val="20"/>
                <w:color w:val="auto"/>
              </w:rPr>
            </w:pPr>
            <w:r>
              <w:rPr>
                <w:rFonts w:ascii="Arial" w:cs="Arial" w:eastAsia="Arial" w:hAnsi="Arial"/>
                <w:sz w:val="13"/>
                <w:szCs w:val="13"/>
                <w:color w:val="auto"/>
              </w:rPr>
              <w:t>liabilities /</w:t>
            </w:r>
          </w:p>
        </w:tc>
        <w:tc>
          <w:tcPr>
            <w:tcW w:w="16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960" w:type="dxa"/>
            <w:vAlign w:val="bottom"/>
          </w:tcPr>
          <w:p>
            <w:pPr>
              <w:ind w:left="20"/>
              <w:spacing w:after="0"/>
              <w:rPr>
                <w:sz w:val="20"/>
                <w:szCs w:val="20"/>
                <w:color w:val="auto"/>
              </w:rPr>
            </w:pPr>
            <w:r>
              <w:rPr>
                <w:rFonts w:ascii="Arial" w:cs="Arial" w:eastAsia="Arial" w:hAnsi="Arial"/>
                <w:sz w:val="13"/>
                <w:szCs w:val="13"/>
                <w:color w:val="auto"/>
              </w:rPr>
              <w:t>Cross-currency swaps</w:t>
            </w:r>
          </w:p>
        </w:tc>
        <w:tc>
          <w:tcPr>
            <w:tcW w:w="102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340" w:type="dxa"/>
            <w:vAlign w:val="bottom"/>
          </w:tcPr>
          <w:p>
            <w:pPr>
              <w:spacing w:after="0"/>
              <w:rPr>
                <w:sz w:val="15"/>
                <w:szCs w:val="15"/>
                <w:color w:val="auto"/>
              </w:rPr>
            </w:pP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1,535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1,535</w:t>
            </w: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(5,064)</w:t>
            </w: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20"/>
              <w:spacing w:after="0" w:line="112" w:lineRule="exact"/>
              <w:rPr>
                <w:sz w:val="20"/>
                <w:szCs w:val="20"/>
                <w:color w:val="auto"/>
              </w:rPr>
            </w:pPr>
            <w:r>
              <w:rPr>
                <w:rFonts w:ascii="Arial" w:cs="Arial" w:eastAsia="Arial" w:hAnsi="Arial"/>
                <w:sz w:val="12"/>
                <w:szCs w:val="12"/>
                <w:b w:val="1"/>
                <w:bCs w:val="1"/>
                <w:color w:val="auto"/>
              </w:rPr>
              <w:t>Derivatives in net investment</w:t>
            </w: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hedging relationships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960" w:type="dxa"/>
            <w:vAlign w:val="bottom"/>
            <w:vMerge w:val="restart"/>
          </w:tcPr>
          <w:p>
            <w:pPr>
              <w:ind w:left="20"/>
              <w:spacing w:after="0"/>
              <w:rPr>
                <w:sz w:val="20"/>
                <w:szCs w:val="20"/>
                <w:color w:val="auto"/>
              </w:rPr>
            </w:pPr>
            <w:r>
              <w:rPr>
                <w:rFonts w:ascii="Arial" w:cs="Arial" w:eastAsia="Arial" w:hAnsi="Arial"/>
                <w:sz w:val="13"/>
                <w:szCs w:val="13"/>
                <w:color w:val="auto"/>
              </w:rPr>
              <w:t>Currency forward contracts</w:t>
            </w:r>
          </w:p>
        </w:tc>
        <w:tc>
          <w:tcPr>
            <w:tcW w:w="1020" w:type="dxa"/>
            <w:vAlign w:val="bottom"/>
            <w:gridSpan w:val="2"/>
          </w:tcPr>
          <w:p>
            <w:pPr>
              <w:spacing w:after="0" w:line="141" w:lineRule="exact"/>
              <w:rPr>
                <w:sz w:val="20"/>
                <w:szCs w:val="20"/>
                <w:color w:val="auto"/>
              </w:rPr>
            </w:pPr>
            <w:r>
              <w:rPr>
                <w:rFonts w:ascii="Arial" w:cs="Arial" w:eastAsia="Arial" w:hAnsi="Arial"/>
                <w:sz w:val="13"/>
                <w:szCs w:val="13"/>
                <w:color w:val="auto"/>
              </w:rPr>
              <w:t>Other current</w:t>
            </w:r>
          </w:p>
        </w:tc>
        <w:tc>
          <w:tcPr>
            <w:tcW w:w="34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40" w:type="dxa"/>
            <w:vAlign w:val="bottom"/>
            <w:gridSpan w:val="2"/>
            <w:vMerge w:val="restart"/>
          </w:tcPr>
          <w:p>
            <w:pPr>
              <w:ind w:left="9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Other current</w:t>
            </w: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(2,536)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628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(1,908)</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020" w:type="dxa"/>
            <w:vAlign w:val="bottom"/>
            <w:gridSpan w:val="2"/>
          </w:tcPr>
          <w:p>
            <w:pPr>
              <w:spacing w:after="0" w:line="124" w:lineRule="exact"/>
              <w:rPr>
                <w:sz w:val="20"/>
                <w:szCs w:val="20"/>
                <w:color w:val="auto"/>
              </w:rPr>
            </w:pPr>
            <w:r>
              <w:rPr>
                <w:rFonts w:ascii="Arial" w:cs="Arial" w:eastAsia="Arial" w:hAnsi="Arial"/>
                <w:sz w:val="13"/>
                <w:szCs w:val="13"/>
                <w:color w:val="auto"/>
              </w:rPr>
              <w:t>assets / other</w:t>
            </w:r>
          </w:p>
        </w:tc>
        <w:tc>
          <w:tcPr>
            <w:tcW w:w="3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ind w:left="20"/>
              <w:spacing w:after="0" w:line="124" w:lineRule="exact"/>
              <w:rPr>
                <w:sz w:val="20"/>
                <w:szCs w:val="20"/>
                <w:color w:val="auto"/>
              </w:rPr>
            </w:pPr>
            <w:r>
              <w:rPr>
                <w:rFonts w:ascii="Arial" w:cs="Arial" w:eastAsia="Arial" w:hAnsi="Arial"/>
                <w:sz w:val="13"/>
                <w:szCs w:val="13"/>
                <w:color w:val="auto"/>
              </w:rPr>
              <w:t>liabilities /</w:t>
            </w:r>
          </w:p>
        </w:tc>
        <w:tc>
          <w:tcPr>
            <w:tcW w:w="1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96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assets</w:t>
            </w: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Total derivatives designated as</w:t>
            </w: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3,644</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3,644</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(8,030)</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(7,114)</w:t>
            </w: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hedging instruments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9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swaps</w:t>
            </w:r>
          </w:p>
        </w:tc>
        <w:tc>
          <w:tcPr>
            <w:tcW w:w="1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assets</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1,951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1,951</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1"/>
        </w:trPr>
        <w:tc>
          <w:tcPr>
            <w:tcW w:w="1960" w:type="dxa"/>
            <w:vAlign w:val="bottom"/>
            <w:vMerge w:val="restart"/>
          </w:tcPr>
          <w:p>
            <w:pPr>
              <w:ind w:left="20"/>
              <w:spacing w:after="0"/>
              <w:rPr>
                <w:sz w:val="20"/>
                <w:szCs w:val="20"/>
                <w:color w:val="auto"/>
              </w:rPr>
            </w:pPr>
            <w:r>
              <w:rPr>
                <w:rFonts w:ascii="Arial" w:cs="Arial" w:eastAsia="Arial" w:hAnsi="Arial"/>
                <w:sz w:val="13"/>
                <w:szCs w:val="13"/>
                <w:color w:val="auto"/>
              </w:rPr>
              <w:t>Currency forward contracts</w:t>
            </w:r>
          </w:p>
        </w:tc>
        <w:tc>
          <w:tcPr>
            <w:tcW w:w="1020" w:type="dxa"/>
            <w:vAlign w:val="bottom"/>
            <w:gridSpan w:val="2"/>
          </w:tcPr>
          <w:p>
            <w:pPr>
              <w:spacing w:after="0" w:line="141" w:lineRule="exact"/>
              <w:rPr>
                <w:sz w:val="20"/>
                <w:szCs w:val="20"/>
                <w:color w:val="auto"/>
              </w:rPr>
            </w:pPr>
            <w:r>
              <w:rPr>
                <w:rFonts w:ascii="Arial" w:cs="Arial" w:eastAsia="Arial" w:hAnsi="Arial"/>
                <w:sz w:val="13"/>
                <w:szCs w:val="13"/>
                <w:color w:val="auto"/>
              </w:rPr>
              <w:t>Other current</w:t>
            </w:r>
          </w:p>
        </w:tc>
        <w:tc>
          <w:tcPr>
            <w:tcW w:w="340" w:type="dxa"/>
            <w:vAlign w:val="bottom"/>
          </w:tcPr>
          <w:p>
            <w:pPr>
              <w:spacing w:after="0"/>
              <w:rPr>
                <w:sz w:val="12"/>
                <w:szCs w:val="12"/>
                <w:color w:val="auto"/>
              </w:rPr>
            </w:pPr>
          </w:p>
        </w:tc>
        <w:tc>
          <w:tcPr>
            <w:tcW w:w="720" w:type="dxa"/>
            <w:vAlign w:val="bottom"/>
            <w:vMerge w:val="restart"/>
          </w:tcPr>
          <w:p>
            <w:pPr>
              <w:jc w:val="right"/>
              <w:ind w:right="15"/>
              <w:spacing w:after="0"/>
              <w:rPr>
                <w:sz w:val="20"/>
                <w:szCs w:val="20"/>
                <w:color w:val="auto"/>
              </w:rPr>
            </w:pPr>
            <w:r>
              <w:rPr>
                <w:rFonts w:ascii="Arial" w:cs="Arial" w:eastAsia="Arial" w:hAnsi="Arial"/>
                <w:sz w:val="13"/>
                <w:szCs w:val="13"/>
                <w:color w:val="auto"/>
              </w:rPr>
              <w:t>14,975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(1,919)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13,056</w:t>
            </w:r>
          </w:p>
        </w:tc>
        <w:tc>
          <w:tcPr>
            <w:tcW w:w="100" w:type="dxa"/>
            <w:vAlign w:val="bottom"/>
          </w:tcPr>
          <w:p>
            <w:pPr>
              <w:spacing w:after="0"/>
              <w:rPr>
                <w:sz w:val="12"/>
                <w:szCs w:val="12"/>
                <w:color w:val="auto"/>
              </w:rPr>
            </w:pPr>
          </w:p>
        </w:tc>
        <w:tc>
          <w:tcPr>
            <w:tcW w:w="108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Other current</w:t>
            </w: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(741)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020" w:type="dxa"/>
            <w:vAlign w:val="bottom"/>
            <w:gridSpan w:val="2"/>
          </w:tcPr>
          <w:p>
            <w:pPr>
              <w:spacing w:after="0" w:line="124" w:lineRule="exact"/>
              <w:rPr>
                <w:sz w:val="20"/>
                <w:szCs w:val="20"/>
                <w:color w:val="auto"/>
              </w:rPr>
            </w:pPr>
            <w:r>
              <w:rPr>
                <w:rFonts w:ascii="Arial" w:cs="Arial" w:eastAsia="Arial" w:hAnsi="Arial"/>
                <w:sz w:val="13"/>
                <w:szCs w:val="13"/>
                <w:color w:val="auto"/>
              </w:rPr>
              <w:t>assets / other</w:t>
            </w:r>
          </w:p>
        </w:tc>
        <w:tc>
          <w:tcPr>
            <w:tcW w:w="3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ind w:left="20"/>
              <w:spacing w:after="0" w:line="124" w:lineRule="exact"/>
              <w:rPr>
                <w:sz w:val="20"/>
                <w:szCs w:val="20"/>
                <w:color w:val="auto"/>
              </w:rPr>
            </w:pPr>
            <w:r>
              <w:rPr>
                <w:rFonts w:ascii="Arial" w:cs="Arial" w:eastAsia="Arial" w:hAnsi="Arial"/>
                <w:sz w:val="13"/>
                <w:szCs w:val="13"/>
                <w:color w:val="auto"/>
              </w:rPr>
              <w:t>liabilities /</w:t>
            </w:r>
          </w:p>
        </w:tc>
        <w:tc>
          <w:tcPr>
            <w:tcW w:w="1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96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assets</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Currency option contracts</w:t>
            </w:r>
          </w:p>
        </w:tc>
        <w:tc>
          <w:tcPr>
            <w:tcW w:w="102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Other current</w:t>
            </w:r>
          </w:p>
        </w:tc>
        <w:tc>
          <w:tcPr>
            <w:tcW w:w="3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3,925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3,848</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24"/>
        </w:trPr>
        <w:tc>
          <w:tcPr>
            <w:tcW w:w="1960" w:type="dxa"/>
            <w:vAlign w:val="bottom"/>
            <w:vMerge w:val="continue"/>
            <w:shd w:val="clear" w:color="auto" w:fill="CCEEFF"/>
          </w:tcPr>
          <w:p>
            <w:pPr>
              <w:spacing w:after="0"/>
              <w:rPr>
                <w:sz w:val="10"/>
                <w:szCs w:val="10"/>
                <w:color w:val="auto"/>
              </w:rPr>
            </w:pPr>
          </w:p>
        </w:tc>
        <w:tc>
          <w:tcPr>
            <w:tcW w:w="1020" w:type="dxa"/>
            <w:vAlign w:val="bottom"/>
            <w:gridSpan w:val="2"/>
            <w:shd w:val="clear" w:color="auto" w:fill="CCEEFF"/>
          </w:tcPr>
          <w:p>
            <w:pPr>
              <w:spacing w:after="0" w:line="124" w:lineRule="exact"/>
              <w:rPr>
                <w:sz w:val="20"/>
                <w:szCs w:val="20"/>
                <w:color w:val="auto"/>
              </w:rPr>
            </w:pPr>
            <w:r>
              <w:rPr>
                <w:rFonts w:ascii="Arial" w:cs="Arial" w:eastAsia="Arial" w:hAnsi="Arial"/>
                <w:sz w:val="13"/>
                <w:szCs w:val="13"/>
                <w:color w:val="auto"/>
              </w:rPr>
              <w:t>assets / other</w:t>
            </w:r>
          </w:p>
        </w:tc>
        <w:tc>
          <w:tcPr>
            <w:tcW w:w="34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3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20"/>
              <w:spacing w:after="0" w:line="121" w:lineRule="exact"/>
              <w:rPr>
                <w:sz w:val="20"/>
                <w:szCs w:val="20"/>
                <w:color w:val="auto"/>
              </w:rPr>
            </w:pPr>
            <w:r>
              <w:rPr>
                <w:rFonts w:ascii="Arial" w:cs="Arial" w:eastAsia="Arial" w:hAnsi="Arial"/>
                <w:sz w:val="13"/>
                <w:szCs w:val="13"/>
                <w:color w:val="auto"/>
              </w:rPr>
              <w:t>Total derivatives not designated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15"/>
              <w:spacing w:after="0"/>
              <w:rPr>
                <w:sz w:val="20"/>
                <w:szCs w:val="20"/>
                <w:color w:val="auto"/>
              </w:rPr>
            </w:pPr>
            <w:r>
              <w:rPr>
                <w:rFonts w:ascii="Arial" w:cs="Arial" w:eastAsia="Arial" w:hAnsi="Arial"/>
                <w:sz w:val="13"/>
                <w:szCs w:val="13"/>
                <w:color w:val="auto"/>
              </w:rPr>
              <w:t>20,851</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(1,996)</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18,855</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(1,695)</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(945)</w:t>
            </w:r>
          </w:p>
        </w:tc>
        <w:tc>
          <w:tcPr>
            <w:tcW w:w="0" w:type="dxa"/>
            <w:vAlign w:val="bottom"/>
          </w:tcPr>
          <w:p>
            <w:pPr>
              <w:spacing w:after="0"/>
              <w:rPr>
                <w:sz w:val="1"/>
                <w:szCs w:val="1"/>
                <w:color w:val="auto"/>
              </w:rPr>
            </w:pPr>
          </w:p>
        </w:tc>
      </w:tr>
      <w:tr>
        <w:trPr>
          <w:trHeight w:val="137"/>
        </w:trPr>
        <w:tc>
          <w:tcPr>
            <w:tcW w:w="1960" w:type="dxa"/>
            <w:vAlign w:val="bottom"/>
          </w:tcPr>
          <w:p>
            <w:pPr>
              <w:ind w:left="20"/>
              <w:spacing w:after="0" w:line="133" w:lineRule="exact"/>
              <w:rPr>
                <w:sz w:val="20"/>
                <w:szCs w:val="20"/>
                <w:color w:val="auto"/>
              </w:rPr>
            </w:pPr>
            <w:r>
              <w:rPr>
                <w:rFonts w:ascii="Arial" w:cs="Arial" w:eastAsia="Arial" w:hAnsi="Arial"/>
                <w:sz w:val="13"/>
                <w:szCs w:val="13"/>
                <w:color w:val="auto"/>
              </w:rPr>
              <w:t>as hedging instruments</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b w:val="1"/>
                <w:bCs w:val="1"/>
                <w:color w:val="auto"/>
              </w:rPr>
              <w:t>June 30, 2021</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ind w:left="380"/>
              <w:spacing w:after="0"/>
              <w:rPr>
                <w:sz w:val="20"/>
                <w:szCs w:val="20"/>
                <w:color w:val="auto"/>
              </w:rPr>
            </w:pPr>
            <w:r>
              <w:rPr>
                <w:rFonts w:ascii="Arial" w:cs="Arial" w:eastAsia="Arial" w:hAnsi="Arial"/>
                <w:sz w:val="12"/>
                <w:szCs w:val="12"/>
                <w:b w:val="1"/>
                <w:bCs w:val="1"/>
                <w:color w:val="auto"/>
              </w:rPr>
              <w:t>Asset Derivatives</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rPr>
              <w:t>Liability Derivatives</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960" w:type="dxa"/>
            <w:vAlign w:val="bottom"/>
          </w:tcPr>
          <w:p>
            <w:pPr>
              <w:spacing w:after="0"/>
              <w:rPr>
                <w:sz w:val="9"/>
                <w:szCs w:val="9"/>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Gross amounts of</w:t>
            </w:r>
          </w:p>
        </w:tc>
        <w:tc>
          <w:tcPr>
            <w:tcW w:w="1380" w:type="dxa"/>
            <w:vAlign w:val="bottom"/>
            <w:gridSpan w:val="3"/>
          </w:tcPr>
          <w:p>
            <w:pPr>
              <w:jc w:val="center"/>
              <w:ind w:right="100"/>
              <w:spacing w:after="0" w:line="109" w:lineRule="exact"/>
              <w:rPr>
                <w:sz w:val="20"/>
                <w:szCs w:val="20"/>
                <w:color w:val="auto"/>
              </w:rPr>
            </w:pPr>
            <w:r>
              <w:rPr>
                <w:rFonts w:ascii="Arial" w:cs="Arial" w:eastAsia="Arial" w:hAnsi="Arial"/>
                <w:sz w:val="12"/>
                <w:szCs w:val="12"/>
                <w:b w:val="1"/>
                <w:bCs w:val="1"/>
                <w:color w:val="auto"/>
                <w:w w:val="95"/>
              </w:rPr>
              <w:t>Gross amount offset</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ind w:left="20"/>
              <w:spacing w:after="0" w:line="109" w:lineRule="exact"/>
              <w:rPr>
                <w:sz w:val="20"/>
                <w:szCs w:val="20"/>
                <w:color w:val="auto"/>
              </w:rPr>
            </w:pPr>
            <w:r>
              <w:rPr>
                <w:rFonts w:ascii="Arial" w:cs="Arial" w:eastAsia="Arial" w:hAnsi="Arial"/>
                <w:sz w:val="12"/>
                <w:szCs w:val="12"/>
                <w:b w:val="1"/>
                <w:bCs w:val="1"/>
                <w:color w:val="auto"/>
              </w:rPr>
              <w:t>Gross amounts of</w:t>
            </w:r>
          </w:p>
        </w:tc>
        <w:tc>
          <w:tcPr>
            <w:tcW w:w="1400" w:type="dxa"/>
            <w:vAlign w:val="bottom"/>
            <w:gridSpan w:val="3"/>
          </w:tcPr>
          <w:p>
            <w:pPr>
              <w:jc w:val="center"/>
              <w:ind w:right="100"/>
              <w:spacing w:after="0" w:line="109" w:lineRule="exact"/>
              <w:rPr>
                <w:sz w:val="20"/>
                <w:szCs w:val="20"/>
                <w:color w:val="auto"/>
              </w:rPr>
            </w:pPr>
            <w:r>
              <w:rPr>
                <w:rFonts w:ascii="Arial" w:cs="Arial" w:eastAsia="Arial" w:hAnsi="Arial"/>
                <w:sz w:val="12"/>
                <w:szCs w:val="12"/>
                <w:b w:val="1"/>
                <w:bCs w:val="1"/>
                <w:color w:val="auto"/>
                <w:w w:val="97"/>
              </w:rPr>
              <w:t>Gross amount offset</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40"/>
              <w:spacing w:after="0" w:line="112" w:lineRule="exact"/>
              <w:rPr>
                <w:sz w:val="20"/>
                <w:szCs w:val="20"/>
                <w:color w:val="auto"/>
              </w:rPr>
            </w:pPr>
            <w:r>
              <w:rPr>
                <w:rFonts w:ascii="Arial" w:cs="Arial" w:eastAsia="Arial" w:hAnsi="Arial"/>
                <w:sz w:val="12"/>
                <w:szCs w:val="12"/>
                <w:b w:val="1"/>
                <w:bCs w:val="1"/>
                <w:color w:val="auto"/>
                <w:w w:val="97"/>
              </w:rPr>
              <w:t>in Consolidated</w:t>
            </w:r>
          </w:p>
        </w:tc>
        <w:tc>
          <w:tcPr>
            <w:tcW w:w="140" w:type="dxa"/>
            <w:vAlign w:val="bottom"/>
          </w:tcPr>
          <w:p>
            <w:pPr>
              <w:spacing w:after="0"/>
              <w:rPr>
                <w:sz w:val="9"/>
                <w:szCs w:val="9"/>
                <w:color w:val="auto"/>
              </w:rPr>
            </w:pPr>
          </w:p>
        </w:tc>
        <w:tc>
          <w:tcPr>
            <w:tcW w:w="840" w:type="dxa"/>
            <w:vAlign w:val="bottom"/>
            <w:vMerge w:val="restart"/>
          </w:tcPr>
          <w:p>
            <w:pPr>
              <w:jc w:val="right"/>
              <w:ind w:right="95"/>
              <w:spacing w:after="0"/>
              <w:rPr>
                <w:sz w:val="20"/>
                <w:szCs w:val="20"/>
                <w:color w:val="auto"/>
              </w:rPr>
            </w:pPr>
            <w:r>
              <w:rPr>
                <w:rFonts w:ascii="Arial" w:cs="Arial" w:eastAsia="Arial" w:hAnsi="Arial"/>
                <w:sz w:val="12"/>
                <w:szCs w:val="12"/>
                <w:b w:val="1"/>
                <w:bCs w:val="1"/>
                <w:color w:val="auto"/>
                <w:w w:val="99"/>
              </w:rPr>
              <w:t>Net amount</w:t>
            </w: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tcPr>
          <w:p>
            <w:pPr>
              <w:jc w:val="center"/>
              <w:ind w:right="260"/>
              <w:spacing w:after="0" w:line="112" w:lineRule="exact"/>
              <w:rPr>
                <w:sz w:val="20"/>
                <w:szCs w:val="20"/>
                <w:color w:val="auto"/>
              </w:rPr>
            </w:pPr>
            <w:r>
              <w:rPr>
                <w:rFonts w:ascii="Arial" w:cs="Arial" w:eastAsia="Arial" w:hAnsi="Arial"/>
                <w:sz w:val="12"/>
                <w:szCs w:val="12"/>
                <w:b w:val="1"/>
                <w:bCs w:val="1"/>
                <w:color w:val="auto"/>
                <w:w w:val="94"/>
              </w:rPr>
              <w:t>recognized</w:t>
            </w:r>
          </w:p>
        </w:tc>
        <w:tc>
          <w:tcPr>
            <w:tcW w:w="160" w:type="dxa"/>
            <w:vAlign w:val="bottom"/>
          </w:tcPr>
          <w:p>
            <w:pPr>
              <w:spacing w:after="0"/>
              <w:rPr>
                <w:sz w:val="9"/>
                <w:szCs w:val="9"/>
                <w:color w:val="auto"/>
              </w:rPr>
            </w:pPr>
          </w:p>
        </w:tc>
        <w:tc>
          <w:tcPr>
            <w:tcW w:w="1240" w:type="dxa"/>
            <w:vAlign w:val="bottom"/>
            <w:gridSpan w:val="2"/>
          </w:tcPr>
          <w:p>
            <w:pPr>
              <w:jc w:val="center"/>
              <w:ind w:right="260"/>
              <w:spacing w:after="0" w:line="112" w:lineRule="exact"/>
              <w:rPr>
                <w:sz w:val="20"/>
                <w:szCs w:val="20"/>
                <w:color w:val="auto"/>
              </w:rPr>
            </w:pPr>
            <w:r>
              <w:rPr>
                <w:rFonts w:ascii="Arial" w:cs="Arial" w:eastAsia="Arial" w:hAnsi="Arial"/>
                <w:sz w:val="12"/>
                <w:szCs w:val="12"/>
                <w:b w:val="1"/>
                <w:bCs w:val="1"/>
                <w:color w:val="auto"/>
                <w:w w:val="95"/>
              </w:rPr>
              <w:t>in Consolidated</w:t>
            </w:r>
          </w:p>
        </w:tc>
        <w:tc>
          <w:tcPr>
            <w:tcW w:w="120" w:type="dxa"/>
            <w:vAlign w:val="bottom"/>
          </w:tcPr>
          <w:p>
            <w:pPr>
              <w:spacing w:after="0"/>
              <w:rPr>
                <w:sz w:val="9"/>
                <w:szCs w:val="9"/>
                <w:color w:val="auto"/>
              </w:rPr>
            </w:pPr>
          </w:p>
        </w:tc>
        <w:tc>
          <w:tcPr>
            <w:tcW w:w="860" w:type="dxa"/>
            <w:vAlign w:val="bottom"/>
            <w:vMerge w:val="restart"/>
          </w:tcPr>
          <w:p>
            <w:pPr>
              <w:jc w:val="right"/>
              <w:ind w:right="115"/>
              <w:spacing w:after="0"/>
              <w:rPr>
                <w:sz w:val="20"/>
                <w:szCs w:val="20"/>
                <w:color w:val="auto"/>
              </w:rPr>
            </w:pPr>
            <w:r>
              <w:rPr>
                <w:rFonts w:ascii="Arial" w:cs="Arial" w:eastAsia="Arial" w:hAnsi="Arial"/>
                <w:sz w:val="12"/>
                <w:szCs w:val="12"/>
                <w:b w:val="1"/>
                <w:bCs w:val="1"/>
                <w:color w:val="auto"/>
                <w:w w:val="99"/>
              </w:rPr>
              <w:t>Net amount</w:t>
            </w:r>
          </w:p>
        </w:tc>
        <w:tc>
          <w:tcPr>
            <w:tcW w:w="0" w:type="dxa"/>
            <w:vAlign w:val="bottom"/>
          </w:tcPr>
          <w:p>
            <w:pPr>
              <w:spacing w:after="0"/>
              <w:rPr>
                <w:sz w:val="1"/>
                <w:szCs w:val="1"/>
                <w:color w:val="auto"/>
              </w:rPr>
            </w:pPr>
          </w:p>
        </w:tc>
      </w:tr>
      <w:tr>
        <w:trPr>
          <w:trHeight w:val="154"/>
        </w:trPr>
        <w:tc>
          <w:tcPr>
            <w:tcW w:w="1960" w:type="dxa"/>
            <w:vAlign w:val="bottom"/>
          </w:tcPr>
          <w:p>
            <w:pPr>
              <w:spacing w:after="0"/>
              <w:rPr>
                <w:sz w:val="13"/>
                <w:szCs w:val="13"/>
                <w:color w:val="auto"/>
              </w:rPr>
            </w:pPr>
          </w:p>
        </w:tc>
        <w:tc>
          <w:tcPr>
            <w:tcW w:w="102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recognized assets</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Balance Sheet</w:t>
            </w: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240"/>
              <w:spacing w:after="0"/>
              <w:rPr>
                <w:sz w:val="20"/>
                <w:szCs w:val="20"/>
                <w:color w:val="auto"/>
              </w:rPr>
            </w:pPr>
            <w:r>
              <w:rPr>
                <w:rFonts w:ascii="Arial" w:cs="Arial" w:eastAsia="Arial" w:hAnsi="Arial"/>
                <w:sz w:val="12"/>
                <w:szCs w:val="12"/>
                <w:b w:val="1"/>
                <w:bCs w:val="1"/>
                <w:color w:val="auto"/>
              </w:rPr>
              <w:t>line item</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liabilities</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Balance Sheet</w:t>
            </w:r>
          </w:p>
        </w:tc>
        <w:tc>
          <w:tcPr>
            <w:tcW w:w="1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1960" w:type="dxa"/>
            <w:vAlign w:val="bottom"/>
          </w:tcPr>
          <w:p>
            <w:pPr>
              <w:ind w:left="20"/>
              <w:spacing w:after="0" w:line="100" w:lineRule="exact"/>
              <w:rPr>
                <w:sz w:val="20"/>
                <w:szCs w:val="20"/>
                <w:color w:val="auto"/>
              </w:rPr>
            </w:pPr>
            <w:r>
              <w:rPr>
                <w:rFonts w:ascii="Arial" w:cs="Arial" w:eastAsia="Arial" w:hAnsi="Arial"/>
                <w:sz w:val="10"/>
                <w:szCs w:val="10"/>
                <w:b w:val="1"/>
                <w:bCs w:val="1"/>
                <w:color w:val="auto"/>
              </w:rPr>
              <w:t>Derivatives designated as hedging</w:t>
            </w: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instruments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960" w:type="dxa"/>
            <w:vAlign w:val="bottom"/>
          </w:tcPr>
          <w:p>
            <w:pPr>
              <w:ind w:left="20"/>
              <w:spacing w:after="0" w:line="121" w:lineRule="exact"/>
              <w:rPr>
                <w:sz w:val="20"/>
                <w:szCs w:val="20"/>
                <w:color w:val="auto"/>
              </w:rPr>
            </w:pPr>
            <w:r>
              <w:rPr>
                <w:rFonts w:ascii="Arial" w:cs="Arial" w:eastAsia="Arial" w:hAnsi="Arial"/>
                <w:sz w:val="12"/>
                <w:szCs w:val="12"/>
                <w:b w:val="1"/>
                <w:bCs w:val="1"/>
                <w:color w:val="auto"/>
              </w:rPr>
              <w:t>Derivatives in cash flow hedging</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Interest rate swaps</w:t>
            </w:r>
          </w:p>
        </w:tc>
        <w:tc>
          <w:tcPr>
            <w:tcW w:w="102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Other current</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Other current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(23,527)</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(23,351)</w:t>
            </w:r>
          </w:p>
        </w:tc>
        <w:tc>
          <w:tcPr>
            <w:tcW w:w="0" w:type="dxa"/>
            <w:vAlign w:val="bottom"/>
          </w:tcPr>
          <w:p>
            <w:pPr>
              <w:spacing w:after="0"/>
              <w:rPr>
                <w:sz w:val="1"/>
                <w:szCs w:val="1"/>
                <w:color w:val="auto"/>
              </w:rPr>
            </w:pPr>
          </w:p>
        </w:tc>
      </w:tr>
      <w:tr>
        <w:trPr>
          <w:trHeight w:val="124"/>
        </w:trPr>
        <w:tc>
          <w:tcPr>
            <w:tcW w:w="1960" w:type="dxa"/>
            <w:vAlign w:val="bottom"/>
            <w:vMerge w:val="continue"/>
            <w:shd w:val="clear" w:color="auto" w:fill="CCEEFF"/>
          </w:tcPr>
          <w:p>
            <w:pPr>
              <w:spacing w:after="0"/>
              <w:rPr>
                <w:sz w:val="10"/>
                <w:szCs w:val="10"/>
                <w:color w:val="auto"/>
              </w:rPr>
            </w:pPr>
          </w:p>
        </w:tc>
        <w:tc>
          <w:tcPr>
            <w:tcW w:w="1020" w:type="dxa"/>
            <w:vAlign w:val="bottom"/>
            <w:gridSpan w:val="2"/>
            <w:shd w:val="clear" w:color="auto" w:fill="CCEEFF"/>
          </w:tcPr>
          <w:p>
            <w:pPr>
              <w:spacing w:after="0" w:line="124" w:lineRule="exact"/>
              <w:rPr>
                <w:sz w:val="20"/>
                <w:szCs w:val="20"/>
                <w:color w:val="auto"/>
              </w:rPr>
            </w:pPr>
            <w:r>
              <w:rPr>
                <w:rFonts w:ascii="Arial" w:cs="Arial" w:eastAsia="Arial" w:hAnsi="Arial"/>
                <w:sz w:val="13"/>
                <w:szCs w:val="13"/>
                <w:color w:val="auto"/>
              </w:rPr>
              <w:t>assets / other</w:t>
            </w:r>
          </w:p>
        </w:tc>
        <w:tc>
          <w:tcPr>
            <w:tcW w:w="380" w:type="dxa"/>
            <w:vAlign w:val="bottom"/>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240" w:type="dxa"/>
            <w:vAlign w:val="bottom"/>
            <w:gridSpan w:val="2"/>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ind w:left="20"/>
              <w:spacing w:after="0" w:line="124" w:lineRule="exact"/>
              <w:rPr>
                <w:sz w:val="20"/>
                <w:szCs w:val="20"/>
                <w:color w:val="auto"/>
              </w:rPr>
            </w:pPr>
            <w:r>
              <w:rPr>
                <w:rFonts w:ascii="Arial" w:cs="Arial" w:eastAsia="Arial" w:hAnsi="Arial"/>
                <w:sz w:val="13"/>
                <w:szCs w:val="13"/>
                <w:color w:val="auto"/>
              </w:rPr>
              <w:t>liabilities /</w:t>
            </w:r>
          </w:p>
        </w:tc>
        <w:tc>
          <w:tcPr>
            <w:tcW w:w="16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960" w:type="dxa"/>
            <w:vAlign w:val="bottom"/>
          </w:tcPr>
          <w:p>
            <w:pPr>
              <w:ind w:left="20"/>
              <w:spacing w:after="0"/>
              <w:rPr>
                <w:sz w:val="20"/>
                <w:szCs w:val="20"/>
                <w:color w:val="auto"/>
              </w:rPr>
            </w:pPr>
            <w:r>
              <w:rPr>
                <w:rFonts w:ascii="Arial" w:cs="Arial" w:eastAsia="Arial" w:hAnsi="Arial"/>
                <w:sz w:val="13"/>
                <w:szCs w:val="13"/>
                <w:color w:val="auto"/>
              </w:rPr>
              <w:t>Cross-currency swaps</w:t>
            </w:r>
          </w:p>
        </w:tc>
        <w:tc>
          <w:tcPr>
            <w:tcW w:w="102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3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4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(9,914)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(9,914)</w:t>
            </w:r>
          </w:p>
        </w:tc>
        <w:tc>
          <w:tcPr>
            <w:tcW w:w="0" w:type="dxa"/>
            <w:vAlign w:val="bottom"/>
          </w:tcPr>
          <w:p>
            <w:pPr>
              <w:spacing w:after="0"/>
              <w:rPr>
                <w:sz w:val="1"/>
                <w:szCs w:val="1"/>
                <w:color w:val="auto"/>
              </w:rPr>
            </w:pPr>
          </w:p>
        </w:tc>
      </w:tr>
      <w:tr>
        <w:trPr>
          <w:trHeight w:val="112"/>
        </w:trPr>
        <w:tc>
          <w:tcPr>
            <w:tcW w:w="1960" w:type="dxa"/>
            <w:vAlign w:val="bottom"/>
            <w:shd w:val="clear" w:color="auto" w:fill="CCEEFF"/>
          </w:tcPr>
          <w:p>
            <w:pPr>
              <w:ind w:left="20"/>
              <w:spacing w:after="0" w:line="112" w:lineRule="exact"/>
              <w:rPr>
                <w:sz w:val="20"/>
                <w:szCs w:val="20"/>
                <w:color w:val="auto"/>
              </w:rPr>
            </w:pPr>
            <w:r>
              <w:rPr>
                <w:rFonts w:ascii="Arial" w:cs="Arial" w:eastAsia="Arial" w:hAnsi="Arial"/>
                <w:sz w:val="12"/>
                <w:szCs w:val="12"/>
                <w:b w:val="1"/>
                <w:bCs w:val="1"/>
                <w:color w:val="auto"/>
              </w:rPr>
              <w:t>Derivatives in Net Investment</w:t>
            </w: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Hedging Relationships</w:t>
            </w: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960" w:type="dxa"/>
            <w:vAlign w:val="bottom"/>
            <w:vMerge w:val="restart"/>
          </w:tcPr>
          <w:p>
            <w:pPr>
              <w:ind w:left="20"/>
              <w:spacing w:after="0"/>
              <w:rPr>
                <w:sz w:val="20"/>
                <w:szCs w:val="20"/>
                <w:color w:val="auto"/>
              </w:rPr>
            </w:pPr>
            <w:r>
              <w:rPr>
                <w:rFonts w:ascii="Arial" w:cs="Arial" w:eastAsia="Arial" w:hAnsi="Arial"/>
                <w:sz w:val="13"/>
                <w:szCs w:val="13"/>
                <w:color w:val="auto"/>
              </w:rPr>
              <w:t>Currency forward contracts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40" w:type="dxa"/>
            <w:vAlign w:val="bottom"/>
            <w:gridSpan w:val="2"/>
            <w:vMerge w:val="restart"/>
          </w:tcPr>
          <w:p>
            <w:pPr>
              <w:ind w:left="9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Other current</w:t>
            </w: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(11,379)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(11,379)</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color w:val="auto"/>
              </w:rPr>
              <w:t>Other assets</w:t>
            </w:r>
          </w:p>
        </w:tc>
        <w:tc>
          <w:tcPr>
            <w:tcW w:w="3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ind w:left="20"/>
              <w:spacing w:after="0" w:line="124" w:lineRule="exact"/>
              <w:rPr>
                <w:sz w:val="20"/>
                <w:szCs w:val="20"/>
                <w:color w:val="auto"/>
              </w:rPr>
            </w:pPr>
            <w:r>
              <w:rPr>
                <w:rFonts w:ascii="Arial" w:cs="Arial" w:eastAsia="Arial" w:hAnsi="Arial"/>
                <w:sz w:val="13"/>
                <w:szCs w:val="13"/>
                <w:color w:val="auto"/>
              </w:rPr>
              <w:t>liabilities /</w:t>
            </w:r>
          </w:p>
        </w:tc>
        <w:tc>
          <w:tcPr>
            <w:tcW w:w="1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96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gridSpan w:val="2"/>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Total derivatives designated as</w:t>
            </w: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(44,820)</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(44,644)</w:t>
            </w: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color w:val="auto"/>
              </w:rPr>
              <w:t>hedging instruments</w:t>
            </w: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19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960" w:type="dxa"/>
            <w:vAlign w:val="bottom"/>
          </w:tcPr>
          <w:p>
            <w:pPr>
              <w:ind w:left="20"/>
              <w:spacing w:after="0"/>
              <w:rPr>
                <w:sz w:val="20"/>
                <w:szCs w:val="20"/>
                <w:color w:val="auto"/>
              </w:rPr>
            </w:pPr>
            <w:r>
              <w:rPr>
                <w:rFonts w:ascii="Arial" w:cs="Arial" w:eastAsia="Arial" w:hAnsi="Arial"/>
                <w:sz w:val="13"/>
                <w:szCs w:val="13"/>
                <w:color w:val="auto"/>
              </w:rPr>
              <w:t>Interest rate swaps</w:t>
            </w:r>
          </w:p>
        </w:tc>
        <w:tc>
          <w:tcPr>
            <w:tcW w:w="102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38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(1,842)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(1,842)</w:t>
            </w:r>
          </w:p>
        </w:tc>
        <w:tc>
          <w:tcPr>
            <w:tcW w:w="0" w:type="dxa"/>
            <w:vAlign w:val="bottom"/>
          </w:tcPr>
          <w:p>
            <w:pPr>
              <w:spacing w:after="0"/>
              <w:rPr>
                <w:sz w:val="1"/>
                <w:szCs w:val="1"/>
                <w:color w:val="auto"/>
              </w:rPr>
            </w:pPr>
          </w:p>
        </w:tc>
      </w:tr>
      <w:tr>
        <w:trPr>
          <w:trHeight w:val="141"/>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Currency forward contracts</w:t>
            </w:r>
          </w:p>
        </w:tc>
        <w:tc>
          <w:tcPr>
            <w:tcW w:w="102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Other current</w:t>
            </w:r>
          </w:p>
        </w:tc>
        <w:tc>
          <w:tcPr>
            <w:tcW w:w="3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1,796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ind w:left="820"/>
              <w:spacing w:after="0"/>
              <w:rPr>
                <w:sz w:val="20"/>
                <w:szCs w:val="20"/>
                <w:color w:val="auto"/>
              </w:rPr>
            </w:pPr>
            <w:r>
              <w:rPr>
                <w:rFonts w:ascii="Arial" w:cs="Arial" w:eastAsia="Arial" w:hAnsi="Arial"/>
                <w:sz w:val="13"/>
                <w:szCs w:val="13"/>
                <w:color w:val="auto"/>
                <w:w w:val="98"/>
              </w:rPr>
              <w:t>(117)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1,679</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Other current</w:t>
            </w:r>
          </w:p>
        </w:tc>
        <w:tc>
          <w:tcPr>
            <w:tcW w:w="1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(8,272)</w:t>
            </w:r>
          </w:p>
        </w:tc>
        <w:tc>
          <w:tcPr>
            <w:tcW w:w="0" w:type="dxa"/>
            <w:vAlign w:val="bottom"/>
          </w:tcPr>
          <w:p>
            <w:pPr>
              <w:spacing w:after="0"/>
              <w:rPr>
                <w:sz w:val="1"/>
                <w:szCs w:val="1"/>
                <w:color w:val="auto"/>
              </w:rPr>
            </w:pPr>
          </w:p>
        </w:tc>
      </w:tr>
      <w:tr>
        <w:trPr>
          <w:trHeight w:val="124"/>
        </w:trPr>
        <w:tc>
          <w:tcPr>
            <w:tcW w:w="1960" w:type="dxa"/>
            <w:vAlign w:val="bottom"/>
            <w:vMerge w:val="continue"/>
            <w:shd w:val="clear" w:color="auto" w:fill="CCEEFF"/>
          </w:tcPr>
          <w:p>
            <w:pPr>
              <w:spacing w:after="0"/>
              <w:rPr>
                <w:sz w:val="10"/>
                <w:szCs w:val="10"/>
                <w:color w:val="auto"/>
              </w:rPr>
            </w:pPr>
          </w:p>
        </w:tc>
        <w:tc>
          <w:tcPr>
            <w:tcW w:w="1020" w:type="dxa"/>
            <w:vAlign w:val="bottom"/>
            <w:gridSpan w:val="2"/>
            <w:shd w:val="clear" w:color="auto" w:fill="CCEEFF"/>
          </w:tcPr>
          <w:p>
            <w:pPr>
              <w:spacing w:after="0" w:line="124" w:lineRule="exact"/>
              <w:rPr>
                <w:sz w:val="20"/>
                <w:szCs w:val="20"/>
                <w:color w:val="auto"/>
              </w:rPr>
            </w:pPr>
            <w:r>
              <w:rPr>
                <w:rFonts w:ascii="Arial" w:cs="Arial" w:eastAsia="Arial" w:hAnsi="Arial"/>
                <w:sz w:val="13"/>
                <w:szCs w:val="13"/>
                <w:color w:val="auto"/>
              </w:rPr>
              <w:t>assets / other</w:t>
            </w:r>
          </w:p>
        </w:tc>
        <w:tc>
          <w:tcPr>
            <w:tcW w:w="38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ind w:left="20"/>
              <w:spacing w:after="0" w:line="124" w:lineRule="exact"/>
              <w:rPr>
                <w:sz w:val="20"/>
                <w:szCs w:val="20"/>
                <w:color w:val="auto"/>
              </w:rPr>
            </w:pPr>
            <w:r>
              <w:rPr>
                <w:rFonts w:ascii="Arial" w:cs="Arial" w:eastAsia="Arial" w:hAnsi="Arial"/>
                <w:sz w:val="13"/>
                <w:szCs w:val="13"/>
                <w:color w:val="auto"/>
              </w:rPr>
              <w:t>liabilities /</w:t>
            </w:r>
          </w:p>
        </w:tc>
        <w:tc>
          <w:tcPr>
            <w:tcW w:w="16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3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60" w:type="dxa"/>
            <w:vAlign w:val="bottom"/>
            <w:vMerge w:val="restart"/>
          </w:tcPr>
          <w:p>
            <w:pPr>
              <w:ind w:left="20"/>
              <w:spacing w:after="0"/>
              <w:rPr>
                <w:sz w:val="20"/>
                <w:szCs w:val="20"/>
                <w:color w:val="auto"/>
              </w:rPr>
            </w:pPr>
            <w:r>
              <w:rPr>
                <w:rFonts w:ascii="Arial" w:cs="Arial" w:eastAsia="Arial" w:hAnsi="Arial"/>
                <w:sz w:val="13"/>
                <w:szCs w:val="13"/>
                <w:color w:val="auto"/>
              </w:rPr>
              <w:t>Currency option contracts</w:t>
            </w:r>
          </w:p>
        </w:tc>
        <w:tc>
          <w:tcPr>
            <w:tcW w:w="1020" w:type="dxa"/>
            <w:vAlign w:val="bottom"/>
            <w:gridSpan w:val="2"/>
          </w:tcPr>
          <w:p>
            <w:pPr>
              <w:spacing w:after="0" w:line="141" w:lineRule="exact"/>
              <w:rPr>
                <w:sz w:val="20"/>
                <w:szCs w:val="20"/>
                <w:color w:val="auto"/>
              </w:rPr>
            </w:pPr>
            <w:r>
              <w:rPr>
                <w:rFonts w:ascii="Arial" w:cs="Arial" w:eastAsia="Arial" w:hAnsi="Arial"/>
                <w:sz w:val="13"/>
                <w:szCs w:val="13"/>
                <w:color w:val="auto"/>
              </w:rPr>
              <w:t>Other current</w:t>
            </w:r>
          </w:p>
        </w:tc>
        <w:tc>
          <w:tcPr>
            <w:tcW w:w="38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40" w:type="dxa"/>
            <w:vAlign w:val="bottom"/>
            <w:gridSpan w:val="2"/>
            <w:vMerge w:val="restart"/>
          </w:tcPr>
          <w:p>
            <w:pPr>
              <w:ind w:left="9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8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Other current</w:t>
            </w: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(3,315)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(3,080)</w:t>
            </w:r>
          </w:p>
        </w:tc>
        <w:tc>
          <w:tcPr>
            <w:tcW w:w="0" w:type="dxa"/>
            <w:vAlign w:val="bottom"/>
          </w:tcPr>
          <w:p>
            <w:pPr>
              <w:spacing w:after="0"/>
              <w:rPr>
                <w:sz w:val="1"/>
                <w:szCs w:val="1"/>
                <w:color w:val="auto"/>
              </w:rPr>
            </w:pPr>
          </w:p>
        </w:tc>
      </w:tr>
      <w:tr>
        <w:trPr>
          <w:trHeight w:val="124"/>
        </w:trPr>
        <w:tc>
          <w:tcPr>
            <w:tcW w:w="1960" w:type="dxa"/>
            <w:vAlign w:val="bottom"/>
            <w:vMerge w:val="continue"/>
          </w:tcPr>
          <w:p>
            <w:pPr>
              <w:spacing w:after="0"/>
              <w:rPr>
                <w:sz w:val="10"/>
                <w:szCs w:val="10"/>
                <w:color w:val="auto"/>
              </w:rPr>
            </w:pPr>
          </w:p>
        </w:tc>
        <w:tc>
          <w:tcPr>
            <w:tcW w:w="1020" w:type="dxa"/>
            <w:vAlign w:val="bottom"/>
            <w:gridSpan w:val="2"/>
          </w:tcPr>
          <w:p>
            <w:pPr>
              <w:spacing w:after="0" w:line="124" w:lineRule="exact"/>
              <w:rPr>
                <w:sz w:val="20"/>
                <w:szCs w:val="20"/>
                <w:color w:val="auto"/>
              </w:rPr>
            </w:pPr>
            <w:r>
              <w:rPr>
                <w:rFonts w:ascii="Arial" w:cs="Arial" w:eastAsia="Arial" w:hAnsi="Arial"/>
                <w:sz w:val="13"/>
                <w:szCs w:val="13"/>
                <w:color w:val="auto"/>
              </w:rPr>
              <w:t>assets / other</w:t>
            </w:r>
          </w:p>
        </w:tc>
        <w:tc>
          <w:tcPr>
            <w:tcW w:w="3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ind w:left="20"/>
              <w:spacing w:after="0" w:line="124" w:lineRule="exact"/>
              <w:rPr>
                <w:sz w:val="20"/>
                <w:szCs w:val="20"/>
                <w:color w:val="auto"/>
              </w:rPr>
            </w:pPr>
            <w:r>
              <w:rPr>
                <w:rFonts w:ascii="Arial" w:cs="Arial" w:eastAsia="Arial" w:hAnsi="Arial"/>
                <w:sz w:val="13"/>
                <w:szCs w:val="13"/>
                <w:color w:val="auto"/>
              </w:rPr>
              <w:t>liabilities /</w:t>
            </w:r>
          </w:p>
        </w:tc>
        <w:tc>
          <w:tcPr>
            <w:tcW w:w="1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96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assets</w:t>
            </w:r>
          </w:p>
        </w:tc>
        <w:tc>
          <w:tcPr>
            <w:tcW w:w="3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liabilities</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9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Total derivatives not designated</w:t>
            </w: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1,796</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vMerge w:val="restart"/>
            <w:shd w:val="clear" w:color="auto" w:fill="CCEEFF"/>
          </w:tcPr>
          <w:p>
            <w:pPr>
              <w:ind w:left="820"/>
              <w:spacing w:after="0"/>
              <w:rPr>
                <w:sz w:val="20"/>
                <w:szCs w:val="20"/>
                <w:color w:val="auto"/>
              </w:rPr>
            </w:pPr>
            <w:r>
              <w:rPr>
                <w:rFonts w:ascii="Arial" w:cs="Arial" w:eastAsia="Arial" w:hAnsi="Arial"/>
                <w:sz w:val="13"/>
                <w:szCs w:val="13"/>
                <w:color w:val="auto"/>
                <w:w w:val="98"/>
              </w:rPr>
              <w:t>(117)</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1,679</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(16,667)</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3,473</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(13,194)</w:t>
            </w:r>
          </w:p>
        </w:tc>
        <w:tc>
          <w:tcPr>
            <w:tcW w:w="0" w:type="dxa"/>
            <w:vAlign w:val="bottom"/>
          </w:tcPr>
          <w:p>
            <w:pPr>
              <w:spacing w:after="0"/>
              <w:rPr>
                <w:sz w:val="1"/>
                <w:szCs w:val="1"/>
                <w:color w:val="auto"/>
              </w:rPr>
            </w:pPr>
          </w:p>
        </w:tc>
      </w:tr>
      <w:tr>
        <w:trPr>
          <w:trHeight w:val="152"/>
        </w:trPr>
        <w:tc>
          <w:tcPr>
            <w:tcW w:w="1960" w:type="dxa"/>
            <w:vAlign w:val="bottom"/>
            <w:tcBorders>
              <w:bottom w:val="single" w:sz="8" w:color="CCEEFF"/>
            </w:tcBorders>
            <w:shd w:val="clear" w:color="auto" w:fill="CCEEFF"/>
          </w:tcPr>
          <w:p>
            <w:pPr>
              <w:ind w:left="20"/>
              <w:spacing w:after="0" w:line="133" w:lineRule="exact"/>
              <w:rPr>
                <w:sz w:val="20"/>
                <w:szCs w:val="20"/>
                <w:color w:val="auto"/>
              </w:rPr>
            </w:pPr>
            <w:r>
              <w:rPr>
                <w:rFonts w:ascii="Arial" w:cs="Arial" w:eastAsia="Arial" w:hAnsi="Arial"/>
                <w:sz w:val="13"/>
                <w:szCs w:val="13"/>
                <w:color w:val="auto"/>
              </w:rPr>
              <w:t>as hedging instruments</w:t>
            </w: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8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vMerge w:val="continue"/>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00"/>
          </w:cols>
          <w:pgMar w:left="320" w:top="1128" w:right="379" w:bottom="1440" w:gutter="0" w:footer="0" w:header="0"/>
        </w:sectPr>
      </w:pPr>
    </w:p>
    <w:bookmarkStart w:id="22" w:name="page23"/>
    <w:bookmarkEnd w:id="22"/>
    <w:p>
      <w:pPr>
        <w:ind w:right="300" w:firstLine="597"/>
        <w:spacing w:after="0" w:line="250" w:lineRule="auto"/>
        <w:rPr>
          <w:sz w:val="20"/>
          <w:szCs w:val="20"/>
          <w:color w:val="auto"/>
        </w:rPr>
      </w:pPr>
      <w:r>
        <w:rPr>
          <w:rFonts w:ascii="Arial" w:cs="Arial" w:eastAsia="Arial" w:hAnsi="Arial"/>
          <w:sz w:val="17"/>
          <w:szCs w:val="17"/>
          <w:color w:val="auto"/>
        </w:rPr>
        <w:t>The following table presents the effect of our derivative financial instruments designated as hedging instruments and their classification within comprehensive income (loss) for the three and nine months ended March 31, 2022 and 2021</w:t>
      </w:r>
      <w:r>
        <w:rPr>
          <w:rFonts w:ascii="Arial" w:cs="Arial" w:eastAsia="Arial" w:hAnsi="Arial"/>
          <w:sz w:val="17"/>
          <w:szCs w:val="17"/>
          <w:i w:val="1"/>
          <w:iCs w:val="1"/>
          <w:color w:val="EE2724"/>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gridSpan w:val="9"/>
          </w:tcPr>
          <w:p>
            <w:pPr>
              <w:jc w:val="center"/>
              <w:ind w:left="8"/>
              <w:spacing w:after="0"/>
              <w:rPr>
                <w:sz w:val="20"/>
                <w:szCs w:val="20"/>
                <w:color w:val="auto"/>
              </w:rPr>
            </w:pPr>
            <w:r>
              <w:rPr>
                <w:rFonts w:ascii="Arial" w:cs="Arial" w:eastAsia="Arial" w:hAnsi="Arial"/>
                <w:sz w:val="12"/>
                <w:szCs w:val="12"/>
                <w:b w:val="1"/>
                <w:bCs w:val="1"/>
                <w:color w:val="auto"/>
                <w:w w:val="96"/>
              </w:rPr>
              <w:t>Amount of Net Gain (Loss) on Derivatives Recognized in Comprehensive Income</w:t>
            </w:r>
          </w:p>
        </w:tc>
        <w:tc>
          <w:tcPr>
            <w:tcW w:w="1020" w:type="dxa"/>
            <w:vAlign w:val="bottom"/>
            <w:tcBorders>
              <w:bottom w:val="single" w:sz="8" w:color="auto"/>
            </w:tcBorders>
          </w:tcPr>
          <w:p>
            <w:pPr>
              <w:spacing w:after="0"/>
              <w:rPr>
                <w:sz w:val="14"/>
                <w:szCs w:val="14"/>
                <w:color w:val="auto"/>
              </w:rPr>
            </w:pPr>
          </w:p>
        </w:tc>
      </w:tr>
      <w:tr>
        <w:trPr>
          <w:trHeight w:val="157"/>
        </w:trPr>
        <w:tc>
          <w:tcPr>
            <w:tcW w:w="462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2"/>
                <w:szCs w:val="12"/>
                <w:b w:val="1"/>
                <w:bCs w:val="1"/>
                <w:color w:val="auto"/>
              </w:rPr>
              <w:t>Three Months Ended March 31,</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4"/>
          </w:tcPr>
          <w:p>
            <w:pPr>
              <w:jc w:val="right"/>
              <w:ind w:right="788"/>
              <w:spacing w:after="0"/>
              <w:rPr>
                <w:sz w:val="20"/>
                <w:szCs w:val="20"/>
                <w:color w:val="auto"/>
              </w:rPr>
            </w:pPr>
            <w:r>
              <w:rPr>
                <w:rFonts w:ascii="Arial" w:cs="Arial" w:eastAsia="Arial" w:hAnsi="Arial"/>
                <w:sz w:val="12"/>
                <w:szCs w:val="12"/>
                <w:b w:val="1"/>
                <w:bCs w:val="1"/>
                <w:color w:val="auto"/>
              </w:rPr>
              <w:t>Nine Months Ended March 31,</w:t>
            </w:r>
          </w:p>
        </w:tc>
      </w:tr>
      <w:tr>
        <w:trPr>
          <w:trHeight w:val="154"/>
        </w:trPr>
        <w:tc>
          <w:tcPr>
            <w:tcW w:w="46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2021</w:t>
            </w:r>
          </w:p>
        </w:tc>
      </w:tr>
      <w:tr>
        <w:trPr>
          <w:trHeight w:val="159"/>
        </w:trPr>
        <w:tc>
          <w:tcPr>
            <w:tcW w:w="4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Derivatives in cash flow hedging relationships</w:t>
            </w:r>
          </w:p>
        </w:tc>
        <w:tc>
          <w:tcPr>
            <w:tcW w:w="9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96"/>
        </w:trPr>
        <w:tc>
          <w:tcPr>
            <w:tcW w:w="4620" w:type="dxa"/>
            <w:vAlign w:val="bottom"/>
          </w:tcPr>
          <w:p>
            <w:pPr>
              <w:ind w:left="20"/>
              <w:spacing w:after="0"/>
              <w:rPr>
                <w:sz w:val="20"/>
                <w:szCs w:val="20"/>
                <w:color w:val="auto"/>
              </w:rPr>
            </w:pPr>
            <w:r>
              <w:rPr>
                <w:rFonts w:ascii="Arial" w:cs="Arial" w:eastAsia="Arial" w:hAnsi="Arial"/>
                <w:sz w:val="15"/>
                <w:szCs w:val="15"/>
                <w:color w:val="auto"/>
              </w:rPr>
              <w:t>Interest rate swaps</w:t>
            </w:r>
          </w:p>
        </w:tc>
        <w:tc>
          <w:tcPr>
            <w:tcW w:w="940" w:type="dxa"/>
            <w:vAlign w:val="bottom"/>
          </w:tcPr>
          <w:p>
            <w:pPr>
              <w:jc w:val="right"/>
              <w:ind w:right="774"/>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ind w:right="8"/>
              <w:spacing w:after="0"/>
              <w:rPr>
                <w:sz w:val="20"/>
                <w:szCs w:val="20"/>
                <w:color w:val="auto"/>
              </w:rPr>
            </w:pPr>
            <w:r>
              <w:rPr>
                <w:rFonts w:ascii="Arial" w:cs="Arial" w:eastAsia="Arial" w:hAnsi="Arial"/>
                <w:sz w:val="15"/>
                <w:szCs w:val="15"/>
                <w:color w:val="auto"/>
              </w:rPr>
              <w:t>12,446</w:t>
            </w:r>
          </w:p>
        </w:tc>
        <w:tc>
          <w:tcPr>
            <w:tcW w:w="100" w:type="dxa"/>
            <w:vAlign w:val="bottom"/>
          </w:tcPr>
          <w:p>
            <w:pPr>
              <w:spacing w:after="0"/>
              <w:rPr>
                <w:sz w:val="17"/>
                <w:szCs w:val="17"/>
                <w:color w:val="auto"/>
              </w:rPr>
            </w:pPr>
          </w:p>
        </w:tc>
        <w:tc>
          <w:tcPr>
            <w:tcW w:w="940" w:type="dxa"/>
            <w:vAlign w:val="bottom"/>
          </w:tcPr>
          <w:p>
            <w:pPr>
              <w:jc w:val="right"/>
              <w:ind w:right="771"/>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6,244</w:t>
            </w:r>
          </w:p>
        </w:tc>
        <w:tc>
          <w:tcPr>
            <w:tcW w:w="100" w:type="dxa"/>
            <w:vAlign w:val="bottom"/>
          </w:tcPr>
          <w:p>
            <w:pPr>
              <w:spacing w:after="0"/>
              <w:rPr>
                <w:sz w:val="17"/>
                <w:szCs w:val="17"/>
                <w:color w:val="auto"/>
              </w:rPr>
            </w:pPr>
          </w:p>
        </w:tc>
        <w:tc>
          <w:tcPr>
            <w:tcW w:w="400" w:type="dxa"/>
            <w:vAlign w:val="bottom"/>
          </w:tcPr>
          <w:p>
            <w:pPr>
              <w:jc w:val="center"/>
              <w:ind w:right="205"/>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17,986</w:t>
            </w:r>
          </w:p>
        </w:tc>
        <w:tc>
          <w:tcPr>
            <w:tcW w:w="100" w:type="dxa"/>
            <w:vAlign w:val="bottom"/>
          </w:tcPr>
          <w:p>
            <w:pPr>
              <w:spacing w:after="0"/>
              <w:rPr>
                <w:sz w:val="17"/>
                <w:szCs w:val="17"/>
                <w:color w:val="auto"/>
              </w:rPr>
            </w:pPr>
          </w:p>
        </w:tc>
        <w:tc>
          <w:tcPr>
            <w:tcW w:w="620" w:type="dxa"/>
            <w:vAlign w:val="bottom"/>
          </w:tcPr>
          <w:p>
            <w:pPr>
              <w:jc w:val="right"/>
              <w:ind w:right="445"/>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7,386</w:t>
            </w:r>
          </w:p>
        </w:tc>
      </w:tr>
      <w:tr>
        <w:trPr>
          <w:trHeight w:val="202"/>
        </w:trPr>
        <w:tc>
          <w:tcPr>
            <w:tcW w:w="4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Cross-currency swaps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(5,224)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(15,187)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6,061</w:t>
            </w:r>
          </w:p>
        </w:tc>
      </w:tr>
      <w:tr>
        <w:trPr>
          <w:trHeight w:val="174"/>
        </w:trPr>
        <w:tc>
          <w:tcPr>
            <w:tcW w:w="4620" w:type="dxa"/>
            <w:vAlign w:val="bottom"/>
          </w:tcPr>
          <w:p>
            <w:pPr>
              <w:ind w:left="20"/>
              <w:spacing w:after="0"/>
              <w:rPr>
                <w:sz w:val="20"/>
                <w:szCs w:val="20"/>
                <w:color w:val="auto"/>
              </w:rPr>
            </w:pPr>
            <w:r>
              <w:rPr>
                <w:rFonts w:ascii="Arial" w:cs="Arial" w:eastAsia="Arial" w:hAnsi="Arial"/>
                <w:sz w:val="13"/>
                <w:szCs w:val="13"/>
                <w:b w:val="1"/>
                <w:bCs w:val="1"/>
                <w:color w:val="auto"/>
              </w:rPr>
              <w:t>Derivatives in net investment hedging relationships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9"/>
        </w:trPr>
        <w:tc>
          <w:tcPr>
            <w:tcW w:w="4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Intercompany loan</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2,515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19,901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Currency forward contracts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1,176</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8,064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7,590</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(16,768)</w:t>
            </w:r>
          </w:p>
        </w:tc>
      </w:tr>
      <w:tr>
        <w:trPr>
          <w:trHeight w:val="21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94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10,913</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13,873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ind w:right="20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30,290</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ind w:right="60" w:firstLine="597"/>
        <w:spacing w:after="0" w:line="250" w:lineRule="auto"/>
        <w:rPr>
          <w:sz w:val="20"/>
          <w:szCs w:val="20"/>
          <w:color w:val="auto"/>
        </w:rPr>
      </w:pPr>
      <w:r>
        <w:rPr>
          <w:rFonts w:ascii="Arial" w:cs="Arial" w:eastAsia="Arial" w:hAnsi="Arial"/>
          <w:sz w:val="17"/>
          <w:szCs w:val="17"/>
          <w:color w:val="auto"/>
        </w:rPr>
        <w:t>The following table presents reclassifications out of accumulated other comprehensive loss for the three and nine months ended March 31, 2022 and 2021:</w:t>
      </w:r>
    </w:p>
    <w:tbl>
      <w:tblPr>
        <w:tblLayout w:type="fixed"/>
        <w:tblInd w:w="20" w:type="dxa"/>
        <w:tblCellMar>
          <w:top w:w="0" w:type="dxa"/>
          <w:left w:w="0" w:type="dxa"/>
          <w:bottom w:w="0" w:type="dxa"/>
          <w:right w:w="0" w:type="dxa"/>
        </w:tblCellMar>
      </w:tblPr>
      <w:tr>
        <w:trPr>
          <w:trHeight w:val="129"/>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80" w:type="dxa"/>
            <w:vAlign w:val="bottom"/>
            <w:gridSpan w:val="11"/>
            <w:vMerge w:val="restart"/>
          </w:tcPr>
          <w:p>
            <w:pPr>
              <w:jc w:val="right"/>
              <w:ind w:right="148"/>
              <w:spacing w:after="0"/>
              <w:rPr>
                <w:sz w:val="20"/>
                <w:szCs w:val="20"/>
                <w:color w:val="auto"/>
              </w:rPr>
            </w:pPr>
            <w:r>
              <w:rPr>
                <w:rFonts w:ascii="Arial" w:cs="Arial" w:eastAsia="Arial" w:hAnsi="Arial"/>
                <w:sz w:val="12"/>
                <w:szCs w:val="12"/>
                <w:b w:val="1"/>
                <w:bCs w:val="1"/>
                <w:color w:val="auto"/>
                <w:w w:val="99"/>
              </w:rPr>
              <w:t>Amount of Net Gain (Loss) Reclassified from Accumulated Other Comprehensive Loss into Income</w:t>
            </w:r>
          </w:p>
        </w:tc>
        <w:tc>
          <w:tcPr>
            <w:tcW w:w="2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Affected line item in the</w:t>
            </w:r>
          </w:p>
        </w:tc>
        <w:tc>
          <w:tcPr>
            <w:tcW w:w="0" w:type="dxa"/>
            <w:vAlign w:val="bottom"/>
          </w:tcPr>
          <w:p>
            <w:pPr>
              <w:spacing w:after="0"/>
              <w:rPr>
                <w:sz w:val="1"/>
                <w:szCs w:val="1"/>
                <w:color w:val="auto"/>
              </w:rPr>
            </w:pPr>
          </w:p>
        </w:tc>
      </w:tr>
      <w:tr>
        <w:trPr>
          <w:trHeight w:val="157"/>
        </w:trPr>
        <w:tc>
          <w:tcPr>
            <w:tcW w:w="2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80" w:type="dxa"/>
            <w:vAlign w:val="bottom"/>
            <w:tcBorders>
              <w:bottom w:val="single" w:sz="8" w:color="auto"/>
            </w:tcBorders>
            <w:gridSpan w:val="11"/>
            <w:vMerge w:val="continue"/>
          </w:tcPr>
          <w:p>
            <w:pPr>
              <w:spacing w:after="0"/>
              <w:rPr>
                <w:sz w:val="13"/>
                <w:szCs w:val="13"/>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Statement of Operations</w:t>
            </w:r>
          </w:p>
        </w:tc>
        <w:tc>
          <w:tcPr>
            <w:tcW w:w="0" w:type="dxa"/>
            <w:vAlign w:val="bottom"/>
          </w:tcPr>
          <w:p>
            <w:pPr>
              <w:spacing w:after="0"/>
              <w:rPr>
                <w:sz w:val="1"/>
                <w:szCs w:val="1"/>
                <w:color w:val="auto"/>
              </w:rPr>
            </w:pPr>
          </w:p>
        </w:tc>
      </w:tr>
      <w:tr>
        <w:trPr>
          <w:trHeight w:val="154"/>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2"/>
                <w:szCs w:val="12"/>
                <w:b w:val="1"/>
                <w:bCs w:val="1"/>
                <w:color w:val="auto"/>
              </w:rPr>
              <w:t>Nine Months Ended March 31,</w:t>
            </w: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2"/>
                <w:szCs w:val="12"/>
                <w:b w:val="1"/>
                <w:bCs w:val="1"/>
                <w:color w:val="auto"/>
              </w:rPr>
              <w:t>2021</w:t>
            </w: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4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Derivatives in cash flow hedging</w:t>
            </w: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40" w:type="dxa"/>
            <w:vAlign w:val="bottom"/>
            <w:gridSpan w:val="2"/>
          </w:tcPr>
          <w:p>
            <w:pPr>
              <w:ind w:left="20"/>
              <w:spacing w:after="0"/>
              <w:rPr>
                <w:sz w:val="20"/>
                <w:szCs w:val="20"/>
                <w:color w:val="auto"/>
              </w:rPr>
            </w:pPr>
            <w:r>
              <w:rPr>
                <w:rFonts w:ascii="Arial" w:cs="Arial" w:eastAsia="Arial" w:hAnsi="Arial"/>
                <w:sz w:val="13"/>
                <w:szCs w:val="13"/>
                <w:b w:val="1"/>
                <w:bCs w:val="1"/>
                <w:color w:val="auto"/>
              </w:rPr>
              <w:t>relationships</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rate swaps</w:t>
            </w:r>
          </w:p>
        </w:tc>
        <w:tc>
          <w:tcPr>
            <w:tcW w:w="880" w:type="dxa"/>
            <w:vAlign w:val="bottom"/>
            <w:shd w:val="clear" w:color="auto" w:fill="CCEEFF"/>
          </w:tcPr>
          <w:p>
            <w:pPr>
              <w:jc w:val="right"/>
              <w:ind w:right="71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2,684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11"/>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227</w:t>
            </w:r>
          </w:p>
        </w:tc>
        <w:tc>
          <w:tcPr>
            <w:tcW w:w="2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Interest expense, net</w:t>
            </w:r>
          </w:p>
        </w:tc>
        <w:tc>
          <w:tcPr>
            <w:tcW w:w="0" w:type="dxa"/>
            <w:vAlign w:val="bottom"/>
          </w:tcPr>
          <w:p>
            <w:pPr>
              <w:spacing w:after="0"/>
              <w:rPr>
                <w:sz w:val="1"/>
                <w:szCs w:val="1"/>
                <w:color w:val="auto"/>
              </w:rPr>
            </w:pPr>
          </w:p>
        </w:tc>
      </w:tr>
      <w:tr>
        <w:trPr>
          <w:trHeight w:val="199"/>
        </w:trPr>
        <w:tc>
          <w:tcPr>
            <w:tcW w:w="26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Cross-currency swaps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2,538</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10,346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(9,631)</w:t>
            </w:r>
          </w:p>
        </w:tc>
        <w:tc>
          <w:tcPr>
            <w:tcW w:w="270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rPr>
              <w:t>Other income (expense), net</w:t>
            </w:r>
          </w:p>
        </w:tc>
        <w:tc>
          <w:tcPr>
            <w:tcW w:w="0" w:type="dxa"/>
            <w:vAlign w:val="bottom"/>
          </w:tcPr>
          <w:p>
            <w:pPr>
              <w:spacing w:after="0"/>
              <w:rPr>
                <w:sz w:val="1"/>
                <w:szCs w:val="1"/>
                <w:color w:val="auto"/>
              </w:rPr>
            </w:pPr>
          </w:p>
        </w:tc>
      </w:tr>
      <w:tr>
        <w:trPr>
          <w:trHeight w:val="192"/>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before income tax</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5,222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(9,404)</w:t>
            </w:r>
          </w:p>
        </w:tc>
        <w:tc>
          <w:tcPr>
            <w:tcW w:w="2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(Loss) income before income taxes</w:t>
            </w:r>
          </w:p>
        </w:tc>
        <w:tc>
          <w:tcPr>
            <w:tcW w:w="0" w:type="dxa"/>
            <w:vAlign w:val="bottom"/>
          </w:tcPr>
          <w:p>
            <w:pPr>
              <w:spacing w:after="0"/>
              <w:rPr>
                <w:sz w:val="1"/>
                <w:szCs w:val="1"/>
                <w:color w:val="auto"/>
              </w:rPr>
            </w:pPr>
          </w:p>
        </w:tc>
      </w:tr>
      <w:tr>
        <w:trPr>
          <w:trHeight w:val="199"/>
        </w:trPr>
        <w:tc>
          <w:tcPr>
            <w:tcW w:w="26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Income tax</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(821)</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1,022</w:t>
            </w:r>
          </w:p>
        </w:tc>
        <w:tc>
          <w:tcPr>
            <w:tcW w:w="270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rPr>
              <w:t>Income tax expense</w:t>
            </w:r>
          </w:p>
        </w:tc>
        <w:tc>
          <w:tcPr>
            <w:tcW w:w="0" w:type="dxa"/>
            <w:vAlign w:val="bottom"/>
          </w:tcPr>
          <w:p>
            <w:pPr>
              <w:spacing w:after="0"/>
              <w:rPr>
                <w:sz w:val="1"/>
                <w:szCs w:val="1"/>
                <w:color w:val="auto"/>
              </w:rPr>
            </w:pPr>
          </w:p>
        </w:tc>
      </w:tr>
      <w:tr>
        <w:trPr>
          <w:trHeight w:val="217"/>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88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4,401</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(8,382)</w:t>
            </w:r>
          </w:p>
        </w:tc>
        <w:tc>
          <w:tcPr>
            <w:tcW w:w="2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40" w:firstLine="597"/>
        <w:spacing w:after="0" w:line="247" w:lineRule="auto"/>
        <w:rPr>
          <w:sz w:val="20"/>
          <w:szCs w:val="20"/>
          <w:color w:val="auto"/>
        </w:rPr>
      </w:pPr>
      <w:r>
        <w:rPr>
          <w:rFonts w:ascii="Arial" w:cs="Arial" w:eastAsia="Arial" w:hAnsi="Arial"/>
          <w:sz w:val="17"/>
          <w:szCs w:val="17"/>
          <w:color w:val="auto"/>
        </w:rPr>
        <w:t>The following table presents the adjustment to fair value recorded within the consolidated statements of operations for the three and nine months ended March 31, 2022 and 2021 for derivative instruments for which we did not elect hedge accounting and de-designated derivative financial instruments that no longer qualify as hedging instruments.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6"/>
            <w:vMerge w:val="restart"/>
          </w:tcPr>
          <w:p>
            <w:pPr>
              <w:ind w:left="80"/>
              <w:spacing w:after="0"/>
              <w:rPr>
                <w:sz w:val="20"/>
                <w:szCs w:val="20"/>
                <w:color w:val="auto"/>
              </w:rPr>
            </w:pPr>
            <w:r>
              <w:rPr>
                <w:rFonts w:ascii="Arial" w:cs="Arial" w:eastAsia="Arial" w:hAnsi="Arial"/>
                <w:sz w:val="12"/>
                <w:szCs w:val="12"/>
                <w:b w:val="1"/>
                <w:bCs w:val="1"/>
                <w:color w:val="auto"/>
              </w:rPr>
              <w:t>Amount of Gain (Loss) Recognized in Net Loss</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Arial" w:cs="Arial" w:eastAsia="Arial" w:hAnsi="Arial"/>
                <w:sz w:val="12"/>
                <w:szCs w:val="12"/>
                <w:b w:val="1"/>
                <w:bCs w:val="1"/>
                <w:color w:val="auto"/>
                <w:w w:val="96"/>
              </w:rPr>
              <w:t>Affected line item in the</w:t>
            </w:r>
          </w:p>
        </w:tc>
        <w:tc>
          <w:tcPr>
            <w:tcW w:w="0" w:type="dxa"/>
            <w:vAlign w:val="bottom"/>
          </w:tcPr>
          <w:p>
            <w:pPr>
              <w:spacing w:after="0"/>
              <w:rPr>
                <w:sz w:val="1"/>
                <w:szCs w:val="1"/>
                <w:color w:val="auto"/>
              </w:rPr>
            </w:pPr>
          </w:p>
        </w:tc>
      </w:tr>
      <w:tr>
        <w:trPr>
          <w:trHeight w:val="157"/>
        </w:trPr>
        <w:tc>
          <w:tcPr>
            <w:tcW w:w="2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6"/>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Statement of Operations</w:t>
            </w:r>
          </w:p>
        </w:tc>
        <w:tc>
          <w:tcPr>
            <w:tcW w:w="0" w:type="dxa"/>
            <w:vAlign w:val="bottom"/>
          </w:tcPr>
          <w:p>
            <w:pPr>
              <w:spacing w:after="0"/>
              <w:rPr>
                <w:sz w:val="1"/>
                <w:szCs w:val="1"/>
                <w:color w:val="auto"/>
              </w:rPr>
            </w:pPr>
          </w:p>
        </w:tc>
      </w:tr>
      <w:tr>
        <w:trPr>
          <w:trHeight w:val="154"/>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2"/>
                <w:szCs w:val="12"/>
                <w:b w:val="1"/>
                <w:bCs w:val="1"/>
                <w:color w:val="auto"/>
              </w:rPr>
              <w:t>Nine Months Ended March 31,</w:t>
            </w: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2021</w:t>
            </w:r>
          </w:p>
        </w:tc>
        <w:tc>
          <w:tcPr>
            <w:tcW w:w="27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Currency contracts</w:t>
            </w: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4,630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(20,635)</w:t>
            </w:r>
          </w:p>
        </w:tc>
        <w:tc>
          <w:tcPr>
            <w:tcW w:w="2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Other income (expense), net</w:t>
            </w:r>
          </w:p>
        </w:tc>
        <w:tc>
          <w:tcPr>
            <w:tcW w:w="0" w:type="dxa"/>
            <w:vAlign w:val="bottom"/>
          </w:tcPr>
          <w:p>
            <w:pPr>
              <w:spacing w:after="0"/>
              <w:rPr>
                <w:sz w:val="1"/>
                <w:szCs w:val="1"/>
                <w:color w:val="auto"/>
              </w:rPr>
            </w:pPr>
          </w:p>
        </w:tc>
      </w:tr>
      <w:tr>
        <w:trPr>
          <w:trHeight w:val="199"/>
        </w:trPr>
        <w:tc>
          <w:tcPr>
            <w:tcW w:w="26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Interest rate swaps</w:t>
            </w:r>
          </w:p>
        </w:tc>
        <w:tc>
          <w:tcPr>
            <w:tcW w:w="8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6,580</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6,395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6,364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6,844</w:t>
            </w:r>
          </w:p>
        </w:tc>
        <w:tc>
          <w:tcPr>
            <w:tcW w:w="270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rPr>
              <w:t>Other income (expense), net</w:t>
            </w:r>
          </w:p>
        </w:tc>
        <w:tc>
          <w:tcPr>
            <w:tcW w:w="0" w:type="dxa"/>
            <w:vAlign w:val="bottom"/>
          </w:tcPr>
          <w:p>
            <w:pPr>
              <w:spacing w:after="0"/>
              <w:rPr>
                <w:sz w:val="1"/>
                <w:szCs w:val="1"/>
                <w:color w:val="auto"/>
              </w:rPr>
            </w:pPr>
          </w:p>
        </w:tc>
      </w:tr>
      <w:tr>
        <w:trPr>
          <w:trHeight w:val="217"/>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84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11,210</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7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18,724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31,017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(13,791)</w:t>
            </w:r>
          </w:p>
        </w:tc>
        <w:tc>
          <w:tcPr>
            <w:tcW w:w="2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5. Accumulated Other Comprehensive Loss</w:t>
      </w:r>
    </w:p>
    <w:p>
      <w:pPr>
        <w:spacing w:after="0" w:line="210" w:lineRule="exact"/>
        <w:rPr>
          <w:sz w:val="20"/>
          <w:szCs w:val="20"/>
          <w:color w:val="auto"/>
        </w:rPr>
      </w:pPr>
    </w:p>
    <w:p>
      <w:pPr>
        <w:ind w:right="100" w:firstLine="597"/>
        <w:spacing w:after="0" w:line="250" w:lineRule="auto"/>
        <w:rPr>
          <w:sz w:val="20"/>
          <w:szCs w:val="20"/>
          <w:color w:val="auto"/>
        </w:rPr>
      </w:pPr>
      <w:r>
        <w:rPr>
          <w:rFonts w:ascii="Arial" w:cs="Arial" w:eastAsia="Arial" w:hAnsi="Arial"/>
          <w:sz w:val="17"/>
          <w:szCs w:val="17"/>
          <w:color w:val="auto"/>
        </w:rPr>
        <w:t>The following table presents a roll forward of amounts recognized in accumulated other comprehensive loss by component, net of tax of $640, for the nine months ended March 31,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(Losses) gains on cash</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(Losses) gains on</w:t>
            </w:r>
          </w:p>
        </w:tc>
        <w:tc>
          <w:tcPr>
            <w:tcW w:w="120" w:type="dxa"/>
            <w:vAlign w:val="bottom"/>
          </w:tcPr>
          <w:p>
            <w:pPr>
              <w:spacing w:after="0"/>
              <w:rPr>
                <w:sz w:val="12"/>
                <w:szCs w:val="12"/>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Translation</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55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tcPr>
          <w:p>
            <w:pPr>
              <w:jc w:val="center"/>
              <w:ind w:right="240"/>
              <w:spacing w:after="0" w:line="112" w:lineRule="exact"/>
              <w:rPr>
                <w:sz w:val="20"/>
                <w:szCs w:val="20"/>
                <w:color w:val="auto"/>
              </w:rPr>
            </w:pPr>
            <w:r>
              <w:rPr>
                <w:rFonts w:ascii="Arial" w:cs="Arial" w:eastAsia="Arial" w:hAnsi="Arial"/>
                <w:sz w:val="12"/>
                <w:szCs w:val="12"/>
                <w:b w:val="1"/>
                <w:bCs w:val="1"/>
                <w:color w:val="auto"/>
                <w:w w:val="96"/>
              </w:rPr>
              <w:t>pension benefit</w:t>
            </w:r>
          </w:p>
        </w:tc>
        <w:tc>
          <w:tcPr>
            <w:tcW w:w="120" w:type="dxa"/>
            <w:vAlign w:val="bottom"/>
          </w:tcPr>
          <w:p>
            <w:pPr>
              <w:spacing w:after="0"/>
              <w:rPr>
                <w:sz w:val="9"/>
                <w:szCs w:val="9"/>
                <w:color w:val="auto"/>
              </w:rPr>
            </w:pPr>
          </w:p>
        </w:tc>
        <w:tc>
          <w:tcPr>
            <w:tcW w:w="1320" w:type="dxa"/>
            <w:vAlign w:val="bottom"/>
            <w:gridSpan w:val="2"/>
          </w:tcPr>
          <w:p>
            <w:pPr>
              <w:jc w:val="center"/>
              <w:ind w:right="220"/>
              <w:spacing w:after="0" w:line="112" w:lineRule="exact"/>
              <w:rPr>
                <w:sz w:val="20"/>
                <w:szCs w:val="20"/>
                <w:color w:val="auto"/>
              </w:rPr>
            </w:pPr>
            <w:r>
              <w:rPr>
                <w:rFonts w:ascii="Arial" w:cs="Arial" w:eastAsia="Arial" w:hAnsi="Arial"/>
                <w:sz w:val="12"/>
                <w:szCs w:val="12"/>
                <w:b w:val="1"/>
                <w:bCs w:val="1"/>
                <w:color w:val="auto"/>
                <w:w w:val="96"/>
              </w:rPr>
              <w:t>adjustments, net of</w:t>
            </w:r>
          </w:p>
        </w:tc>
        <w:tc>
          <w:tcPr>
            <w:tcW w:w="320" w:type="dxa"/>
            <w:vAlign w:val="bottom"/>
          </w:tcPr>
          <w:p>
            <w:pPr>
              <w:spacing w:after="0"/>
              <w:rPr>
                <w:sz w:val="9"/>
                <w:szCs w:val="9"/>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7"/>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flow hedges (1)</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obligation</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hedges (2)</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June 30, 2021</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(45,916)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(71,482)</w:t>
            </w: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Arial" w:cs="Arial" w:eastAsia="Arial" w:hAnsi="Arial"/>
                <w:sz w:val="15"/>
                <w:szCs w:val="15"/>
                <w:color w:val="auto"/>
              </w:rPr>
              <w:t>Other comprehensive income before reclassifications</w:t>
            </w:r>
          </w:p>
        </w:tc>
        <w:tc>
          <w:tcPr>
            <w:tcW w:w="18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5"/>
                <w:szCs w:val="15"/>
                <w:color w:val="auto"/>
              </w:rPr>
              <w:t>2,799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4,144</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Amounts reclassified from accumulated other comprehensive loss to net loss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17,715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17,715</w:t>
            </w:r>
          </w:p>
        </w:tc>
        <w:tc>
          <w:tcPr>
            <w:tcW w:w="0" w:type="dxa"/>
            <w:vAlign w:val="bottom"/>
          </w:tcPr>
          <w:p>
            <w:pPr>
              <w:spacing w:after="0"/>
              <w:rPr>
                <w:sz w:val="1"/>
                <w:szCs w:val="1"/>
                <w:color w:val="auto"/>
              </w:rPr>
            </w:pPr>
          </w:p>
        </w:tc>
      </w:tr>
      <w:tr>
        <w:trPr>
          <w:trHeight w:val="18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current period other comprehensive income</w:t>
            </w: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rPr>
              <w:t>20,514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444</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901</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21,859</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March 31, 2022</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(45,015)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(49,623)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w:t>
      </w:r>
    </w:p>
    <w:p>
      <w:pPr>
        <w:spacing w:after="0" w:line="110" w:lineRule="exact"/>
        <w:rPr>
          <w:sz w:val="20"/>
          <w:szCs w:val="20"/>
          <w:color w:val="auto"/>
        </w:rPr>
      </w:pPr>
    </w:p>
    <w:p>
      <w:pPr>
        <w:ind w:left="200" w:hanging="200"/>
        <w:spacing w:after="0"/>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(Losses) gains on cash flow hedges include our interest rate swap and cross-currency swap contracts designated in cash flow hedging relationships.</w:t>
      </w:r>
    </w:p>
    <w:p>
      <w:pPr>
        <w:ind w:left="220" w:right="200" w:hanging="220"/>
        <w:spacing w:after="0" w:line="256" w:lineRule="auto"/>
        <w:tabs>
          <w:tab w:leader="none" w:pos="195" w:val="left"/>
        </w:tabs>
        <w:numPr>
          <w:ilvl w:val="0"/>
          <w:numId w:val="8"/>
        </w:numPr>
        <w:rPr>
          <w:rFonts w:ascii="Arial" w:cs="Arial" w:eastAsia="Arial" w:hAnsi="Arial"/>
          <w:sz w:val="13"/>
          <w:szCs w:val="13"/>
          <w:color w:val="auto"/>
        </w:rPr>
      </w:pPr>
      <w:r>
        <w:rPr>
          <w:rFonts w:ascii="Arial" w:cs="Arial" w:eastAsia="Arial" w:hAnsi="Arial"/>
          <w:sz w:val="13"/>
          <w:szCs w:val="13"/>
          <w:color w:val="auto"/>
        </w:rPr>
        <w:t>As of March 31, 2022 and June 30, 2021, the translation adjustment is inclusive of the effects of our net investment hedges, of which unrealized gains of $11,561 and $1,457, respectively, net of tax, have been included in accumulated other comprehensive loss.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Goodwill</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carrying amount of goodwill by reportable segment as of March 31, 2022 and June 30, 2021 was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2"/>
                <w:szCs w:val="12"/>
                <w:b w:val="1"/>
                <w:bCs w:val="1"/>
                <w:color w:val="auto"/>
              </w:rPr>
              <w:t>Vista</w:t>
            </w:r>
          </w:p>
        </w:tc>
        <w:tc>
          <w:tcPr>
            <w:tcW w:w="7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PrintBrothers</w:t>
            </w:r>
          </w:p>
        </w:tc>
        <w:tc>
          <w:tcPr>
            <w:tcW w:w="7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The Print Group</w:t>
            </w:r>
          </w:p>
        </w:tc>
        <w:tc>
          <w:tcPr>
            <w:tcW w:w="2000" w:type="dxa"/>
            <w:vAlign w:val="bottom"/>
            <w:gridSpan w:val="3"/>
          </w:tcPr>
          <w:p>
            <w:pPr>
              <w:ind w:left="680"/>
              <w:spacing w:after="0"/>
              <w:rPr>
                <w:sz w:val="20"/>
                <w:szCs w:val="20"/>
                <w:color w:val="auto"/>
              </w:rPr>
            </w:pPr>
            <w:r>
              <w:rPr>
                <w:rFonts w:ascii="Arial" w:cs="Arial" w:eastAsia="Arial" w:hAnsi="Arial"/>
                <w:sz w:val="12"/>
                <w:szCs w:val="12"/>
                <w:b w:val="1"/>
                <w:bCs w:val="1"/>
                <w:color w:val="auto"/>
              </w:rPr>
              <w:t>All Other Businesses</w:t>
            </w:r>
          </w:p>
        </w:tc>
        <w:tc>
          <w:tcPr>
            <w:tcW w:w="9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1"/>
        </w:trPr>
        <w:tc>
          <w:tcPr>
            <w:tcW w:w="1460" w:type="dxa"/>
            <w:vAlign w:val="bottom"/>
            <w:tcBorders>
              <w:top w:val="single" w:sz="8" w:color="CCEEFF"/>
            </w:tcBorders>
            <w:shd w:val="clear" w:color="auto" w:fill="CCEEFF"/>
          </w:tcPr>
          <w:p>
            <w:pPr>
              <w:ind w:left="620"/>
              <w:spacing w:after="0" w:line="151" w:lineRule="exact"/>
              <w:rPr>
                <w:sz w:val="20"/>
                <w:szCs w:val="20"/>
                <w:color w:val="auto"/>
              </w:rPr>
            </w:pPr>
            <w:r>
              <w:rPr>
                <w:rFonts w:ascii="Arial" w:cs="Arial" w:eastAsia="Arial" w:hAnsi="Arial"/>
                <w:sz w:val="15"/>
                <w:szCs w:val="15"/>
                <w:color w:val="auto"/>
              </w:rPr>
              <w:t>Balance as</w:t>
            </w:r>
          </w:p>
        </w:tc>
        <w:tc>
          <w:tcPr>
            <w:tcW w:w="9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of June 30, 2021</w:t>
            </w:r>
          </w:p>
        </w:tc>
        <w:tc>
          <w:tcPr>
            <w:tcW w:w="9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225,147</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137,307</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164,220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31"/>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200,305</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726,979</w:t>
            </w:r>
          </w:p>
        </w:tc>
        <w:tc>
          <w:tcPr>
            <w:tcW w:w="0" w:type="dxa"/>
            <w:vAlign w:val="bottom"/>
          </w:tcPr>
          <w:p>
            <w:pPr>
              <w:spacing w:after="0"/>
              <w:rPr>
                <w:sz w:val="1"/>
                <w:szCs w:val="1"/>
                <w:color w:val="auto"/>
              </w:rPr>
            </w:pPr>
          </w:p>
        </w:tc>
      </w:tr>
      <w:tr>
        <w:trPr>
          <w:trHeight w:val="164"/>
        </w:trPr>
        <w:tc>
          <w:tcPr>
            <w:tcW w:w="1460" w:type="dxa"/>
            <w:vAlign w:val="bottom"/>
          </w:tcPr>
          <w:p>
            <w:pPr>
              <w:ind w:left="620"/>
              <w:spacing w:after="0" w:line="164" w:lineRule="exact"/>
              <w:rPr>
                <w:sz w:val="20"/>
                <w:szCs w:val="20"/>
                <w:color w:val="auto"/>
              </w:rPr>
            </w:pPr>
            <w:r>
              <w:rPr>
                <w:rFonts w:ascii="Arial" w:cs="Arial" w:eastAsia="Arial" w:hAnsi="Arial"/>
                <w:sz w:val="15"/>
                <w:szCs w:val="15"/>
                <w:color w:val="auto"/>
              </w:rPr>
              <w:t>Acquisitions</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20"/>
              <w:spacing w:after="0"/>
              <w:rPr>
                <w:sz w:val="20"/>
                <w:szCs w:val="20"/>
                <w:color w:val="auto"/>
              </w:rPr>
            </w:pPr>
            <w:r>
              <w:rPr>
                <w:rFonts w:ascii="Arial" w:cs="Arial" w:eastAsia="Arial" w:hAnsi="Arial"/>
                <w:sz w:val="15"/>
                <w:szCs w:val="15"/>
                <w:color w:val="auto"/>
              </w:rPr>
              <w:t>(1)</w:t>
            </w:r>
          </w:p>
        </w:tc>
        <w:tc>
          <w:tcPr>
            <w:tcW w:w="9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73,168</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5"/>
                <w:szCs w:val="15"/>
                <w:color w:val="auto"/>
              </w:rPr>
              <w:t>9,253</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82,421</w:t>
            </w:r>
          </w:p>
        </w:tc>
        <w:tc>
          <w:tcPr>
            <w:tcW w:w="0" w:type="dxa"/>
            <w:vAlign w:val="bottom"/>
          </w:tcPr>
          <w:p>
            <w:pPr>
              <w:spacing w:after="0"/>
              <w:rPr>
                <w:sz w:val="1"/>
                <w:szCs w:val="1"/>
                <w:color w:val="auto"/>
              </w:rPr>
            </w:pPr>
          </w:p>
        </w:tc>
      </w:tr>
      <w:tr>
        <w:trPr>
          <w:trHeight w:val="202"/>
        </w:trPr>
        <w:tc>
          <w:tcPr>
            <w:tcW w:w="1460" w:type="dxa"/>
            <w:vAlign w:val="bottom"/>
            <w:shd w:val="clear" w:color="auto" w:fill="CCEEFF"/>
          </w:tcPr>
          <w:p>
            <w:pPr>
              <w:ind w:left="620"/>
              <w:spacing w:after="0"/>
              <w:rPr>
                <w:sz w:val="20"/>
                <w:szCs w:val="20"/>
                <w:color w:val="auto"/>
              </w:rPr>
            </w:pPr>
            <w:r>
              <w:rPr>
                <w:rFonts w:ascii="Arial" w:cs="Arial" w:eastAsia="Arial" w:hAnsi="Arial"/>
                <w:sz w:val="15"/>
                <w:szCs w:val="15"/>
                <w:color w:val="auto"/>
                <w:w w:val="99"/>
              </w:rPr>
              <w:t>Adjustments</w:t>
            </w: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(821)</w:t>
            </w:r>
          </w:p>
        </w:tc>
        <w:tc>
          <w:tcPr>
            <w:tcW w:w="0" w:type="dxa"/>
            <w:vAlign w:val="bottom"/>
          </w:tcPr>
          <w:p>
            <w:pPr>
              <w:spacing w:after="0"/>
              <w:rPr>
                <w:sz w:val="1"/>
                <w:szCs w:val="1"/>
                <w:color w:val="auto"/>
              </w:rPr>
            </w:pPr>
          </w:p>
        </w:tc>
      </w:tr>
      <w:tr>
        <w:trPr>
          <w:trHeight w:val="164"/>
        </w:trPr>
        <w:tc>
          <w:tcPr>
            <w:tcW w:w="1460" w:type="dxa"/>
            <w:vAlign w:val="bottom"/>
          </w:tcPr>
          <w:p>
            <w:pPr>
              <w:ind w:left="620"/>
              <w:spacing w:after="0" w:line="164" w:lineRule="exact"/>
              <w:rPr>
                <w:sz w:val="20"/>
                <w:szCs w:val="20"/>
                <w:color w:val="auto"/>
              </w:rPr>
            </w:pPr>
            <w:r>
              <w:rPr>
                <w:rFonts w:ascii="Arial" w:cs="Arial" w:eastAsia="Arial" w:hAnsi="Arial"/>
                <w:sz w:val="15"/>
                <w:szCs w:val="15"/>
                <w:color w:val="auto"/>
              </w:rPr>
              <w:t>Effect of</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20"/>
              <w:spacing w:after="0" w:line="149" w:lineRule="exact"/>
              <w:rPr>
                <w:sz w:val="20"/>
                <w:szCs w:val="20"/>
                <w:color w:val="auto"/>
              </w:rPr>
            </w:pPr>
            <w:r>
              <w:rPr>
                <w:rFonts w:ascii="Arial" w:cs="Arial" w:eastAsia="Arial" w:hAnsi="Arial"/>
                <w:sz w:val="15"/>
                <w:szCs w:val="15"/>
                <w:color w:val="auto"/>
              </w:rPr>
              <w:t>currency translation</w:t>
            </w: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60" w:type="dxa"/>
            <w:vAlign w:val="bottom"/>
          </w:tcPr>
          <w:p>
            <w:pPr>
              <w:ind w:left="20"/>
              <w:spacing w:after="0"/>
              <w:rPr>
                <w:sz w:val="20"/>
                <w:szCs w:val="20"/>
                <w:color w:val="auto"/>
              </w:rPr>
            </w:pPr>
            <w:r>
              <w:rPr>
                <w:rFonts w:ascii="Arial" w:cs="Arial" w:eastAsia="Arial" w:hAnsi="Arial"/>
                <w:sz w:val="15"/>
                <w:szCs w:val="15"/>
                <w:color w:val="auto"/>
              </w:rPr>
              <w:t>adjustments (2)</w:t>
            </w:r>
          </w:p>
        </w:tc>
        <w:tc>
          <w:tcPr>
            <w:tcW w:w="9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(2,445)</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(8,356)</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(10,206)</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(21,007)</w:t>
            </w:r>
          </w:p>
        </w:tc>
        <w:tc>
          <w:tcPr>
            <w:tcW w:w="0" w:type="dxa"/>
            <w:vAlign w:val="bottom"/>
          </w:tcPr>
          <w:p>
            <w:pPr>
              <w:spacing w:after="0"/>
              <w:rPr>
                <w:sz w:val="1"/>
                <w:szCs w:val="1"/>
                <w:color w:val="auto"/>
              </w:rPr>
            </w:pPr>
          </w:p>
        </w:tc>
      </w:tr>
      <w:tr>
        <w:trPr>
          <w:trHeight w:val="146"/>
        </w:trPr>
        <w:tc>
          <w:tcPr>
            <w:tcW w:w="1460" w:type="dxa"/>
            <w:vAlign w:val="bottom"/>
            <w:tcBorders>
              <w:top w:val="single" w:sz="8" w:color="CCEEFF"/>
            </w:tcBorders>
            <w:shd w:val="clear" w:color="auto" w:fill="CCEEFF"/>
          </w:tcPr>
          <w:p>
            <w:pPr>
              <w:ind w:left="620"/>
              <w:spacing w:after="0" w:line="146" w:lineRule="exact"/>
              <w:rPr>
                <w:sz w:val="20"/>
                <w:szCs w:val="20"/>
                <w:color w:val="auto"/>
              </w:rPr>
            </w:pPr>
            <w:r>
              <w:rPr>
                <w:rFonts w:ascii="Arial" w:cs="Arial" w:eastAsia="Arial" w:hAnsi="Arial"/>
                <w:sz w:val="15"/>
                <w:szCs w:val="15"/>
                <w:color w:val="auto"/>
              </w:rPr>
              <w:t>Balance as</w:t>
            </w:r>
          </w:p>
        </w:tc>
        <w:tc>
          <w:tcPr>
            <w:tcW w:w="920" w:type="dxa"/>
            <w:vAlign w:val="bottom"/>
            <w:tcBorders>
              <w:top w:val="single" w:sz="8" w:color="auto"/>
            </w:tcBorders>
            <w:vMerge w:val="restart"/>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295,049</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5"/>
                <w:szCs w:val="15"/>
                <w:color w:val="auto"/>
              </w:rPr>
              <w:t>138,204</w:t>
            </w: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154,014</w:t>
            </w: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vMerge w:val="restart"/>
            <w:shd w:val="clear" w:color="auto" w:fill="CCEEFF"/>
          </w:tcPr>
          <w:p>
            <w:pPr>
              <w:jc w:val="right"/>
              <w:ind w:right="231"/>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200,305</w:t>
            </w: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vMerge w:val="restart"/>
            <w:shd w:val="clear" w:color="auto" w:fill="CCEEFF"/>
          </w:tcPr>
          <w:p>
            <w:pPr>
              <w:jc w:val="right"/>
              <w:ind w:right="145"/>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787,572</w:t>
            </w:r>
          </w:p>
        </w:tc>
        <w:tc>
          <w:tcPr>
            <w:tcW w:w="0" w:type="dxa"/>
            <w:vAlign w:val="bottom"/>
          </w:tcPr>
          <w:p>
            <w:pPr>
              <w:spacing w:after="0"/>
              <w:rPr>
                <w:sz w:val="1"/>
                <w:szCs w:val="1"/>
                <w:color w:val="auto"/>
              </w:rPr>
            </w:pPr>
          </w:p>
        </w:tc>
      </w:tr>
      <w:tr>
        <w:trPr>
          <w:trHeight w:val="180"/>
        </w:trPr>
        <w:tc>
          <w:tcPr>
            <w:tcW w:w="1460" w:type="dxa"/>
            <w:vAlign w:val="bottom"/>
            <w:tcBorders>
              <w:bottom w:val="single" w:sz="8" w:color="CCEEFF"/>
            </w:tcBorders>
            <w:shd w:val="clear" w:color="auto" w:fill="CCEEFF"/>
          </w:tcPr>
          <w:p>
            <w:pPr>
              <w:ind w:left="20"/>
              <w:spacing w:after="0" w:line="160" w:lineRule="exact"/>
              <w:rPr>
                <w:sz w:val="20"/>
                <w:szCs w:val="20"/>
                <w:color w:val="auto"/>
              </w:rPr>
            </w:pPr>
            <w:r>
              <w:rPr>
                <w:rFonts w:ascii="Arial" w:cs="Arial" w:eastAsia="Arial" w:hAnsi="Arial"/>
                <w:sz w:val="15"/>
                <w:szCs w:val="15"/>
                <w:color w:val="auto"/>
              </w:rPr>
              <w:t>of March 31, 2022</w:t>
            </w: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w:t>
      </w:r>
    </w:p>
    <w:p>
      <w:pPr>
        <w:spacing w:after="0" w:line="61" w:lineRule="exact"/>
        <w:rPr>
          <w:sz w:val="20"/>
          <w:szCs w:val="20"/>
          <w:color w:val="auto"/>
        </w:rPr>
      </w:pPr>
    </w:p>
    <w:p>
      <w:pPr>
        <w:ind w:left="220" w:right="260" w:hanging="220"/>
        <w:spacing w:after="0" w:line="256" w:lineRule="auto"/>
        <w:tabs>
          <w:tab w:leader="none" w:pos="195" w:val="left"/>
        </w:tabs>
        <w:numPr>
          <w:ilvl w:val="0"/>
          <w:numId w:val="9"/>
        </w:numPr>
        <w:rPr>
          <w:rFonts w:ascii="Arial" w:cs="Arial" w:eastAsia="Arial" w:hAnsi="Arial"/>
          <w:sz w:val="13"/>
          <w:szCs w:val="13"/>
          <w:color w:val="auto"/>
        </w:rPr>
      </w:pPr>
      <w:r>
        <w:rPr>
          <w:rFonts w:ascii="Arial" w:cs="Arial" w:eastAsia="Arial" w:hAnsi="Arial"/>
          <w:sz w:val="13"/>
          <w:szCs w:val="13"/>
          <w:color w:val="auto"/>
        </w:rPr>
        <w:t>On October 1, 2021, we acquired Depositphotos Inc., which is included in our Vista reportable segment. In the third quarter of fiscal 2022, we recognized goodwill related to an immaterial acquisition within our PrintBrothers reportable segment. Refer to Note 7 for additional details.</w:t>
      </w:r>
    </w:p>
    <w:p>
      <w:pPr>
        <w:spacing w:after="0" w:line="29" w:lineRule="exact"/>
        <w:rPr>
          <w:rFonts w:ascii="Arial" w:cs="Arial" w:eastAsia="Arial" w:hAnsi="Arial"/>
          <w:sz w:val="13"/>
          <w:szCs w:val="13"/>
          <w:color w:val="auto"/>
        </w:rPr>
      </w:pPr>
    </w:p>
    <w:p>
      <w:pPr>
        <w:ind w:left="200" w:hanging="200"/>
        <w:spacing w:after="0"/>
        <w:tabs>
          <w:tab w:leader="none" w:pos="20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Related to goodwill held by subsidiaries whose functional currency is not the U.S. dollar.</w:t>
      </w:r>
    </w:p>
    <w:p>
      <w:pPr>
        <w:spacing w:after="0" w:line="199" w:lineRule="exact"/>
        <w:rPr>
          <w:sz w:val="20"/>
          <w:szCs w:val="20"/>
          <w:color w:val="auto"/>
        </w:rPr>
      </w:pPr>
    </w:p>
    <w:p>
      <w:pPr>
        <w:ind w:right="8700"/>
        <w:spacing w:after="0" w:line="564" w:lineRule="auto"/>
        <w:tabs>
          <w:tab w:leader="none" w:pos="185"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 Acquisition of Depositphotos Inc.</w:t>
      </w:r>
    </w:p>
    <w:p>
      <w:pPr>
        <w:spacing w:after="0" w:line="1" w:lineRule="exact"/>
        <w:rPr>
          <w:sz w:val="20"/>
          <w:szCs w:val="20"/>
          <w:color w:val="auto"/>
        </w:rPr>
      </w:pPr>
    </w:p>
    <w:p>
      <w:pPr>
        <w:ind w:right="100" w:firstLine="597"/>
        <w:spacing w:after="0" w:line="245" w:lineRule="auto"/>
        <w:rPr>
          <w:sz w:val="20"/>
          <w:szCs w:val="20"/>
          <w:color w:val="auto"/>
        </w:rPr>
      </w:pPr>
      <w:r>
        <w:rPr>
          <w:rFonts w:ascii="Arial" w:cs="Arial" w:eastAsia="Arial" w:hAnsi="Arial"/>
          <w:sz w:val="17"/>
          <w:szCs w:val="17"/>
          <w:color w:val="auto"/>
        </w:rPr>
        <w:t>On October 1, 2021, we acquired Depositphotos Inc. and its subsidiaries ("Depositphotos"), a global creative platform for digital design. We acquired all outstanding shares of the company for a purchase price of $84,900, which included a post-closing adjustment based on acquired cash, debt, and working capital as of the closing date. We paid $76,119 in cash at closing, and the remaining purchase consideration, including the post-closing adjustment but net of any indemnifiable losses recoverable against the deferred amount, is payable in two separate deferred payments. The first payment of $609 was made in January 2022 and the $8,172 remaining deferred amount is due in October 2022.</w:t>
      </w:r>
    </w:p>
    <w:p>
      <w:pPr>
        <w:spacing w:after="0" w:line="222" w:lineRule="exact"/>
        <w:rPr>
          <w:sz w:val="20"/>
          <w:szCs w:val="20"/>
          <w:color w:val="auto"/>
        </w:rPr>
      </w:pPr>
    </w:p>
    <w:p>
      <w:pPr>
        <w:ind w:right="160" w:firstLine="597"/>
        <w:spacing w:after="0" w:line="245" w:lineRule="auto"/>
        <w:rPr>
          <w:sz w:val="20"/>
          <w:szCs w:val="20"/>
          <w:color w:val="auto"/>
        </w:rPr>
      </w:pPr>
      <w:r>
        <w:rPr>
          <w:rFonts w:ascii="Arial" w:cs="Arial" w:eastAsia="Arial" w:hAnsi="Arial"/>
          <w:sz w:val="17"/>
          <w:szCs w:val="17"/>
          <w:color w:val="auto"/>
        </w:rPr>
        <w:t>Depositphotos is managed within our Vista business and includes VistaCreate (formerly Crello), a rapidly growing leader in do-it-yourself (DIY) digital design, and the separately branded Depositphotos business, a platform for creators that includes images, videos and music that are developed by a large group of content contributors. We expect synergies to provide significant benefits to our Vista business as this represents another integral step toward providing a compelling, full-spectrum design offering to our customers, and also provides another vehicle for the acquisition of new customers, to whom we plan to cross-sell our other products and services.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340"/>
          </w:cols>
          <w:pgMar w:left="320" w:top="1077" w:right="239" w:bottom="1440" w:gutter="0" w:footer="0" w:header="0"/>
        </w:sectPr>
      </w:pPr>
    </w:p>
    <w:bookmarkStart w:id="24" w:name="page25"/>
    <w:bookmarkEnd w:id="24"/>
    <w:p>
      <w:pPr>
        <w:ind w:left="600"/>
        <w:spacing w:after="0"/>
        <w:rPr>
          <w:sz w:val="20"/>
          <w:szCs w:val="20"/>
          <w:color w:val="auto"/>
        </w:rPr>
      </w:pPr>
      <w:r>
        <w:rPr>
          <w:rFonts w:ascii="Arial" w:cs="Arial" w:eastAsia="Arial" w:hAnsi="Arial"/>
          <w:sz w:val="17"/>
          <w:szCs w:val="17"/>
          <w:color w:val="auto"/>
        </w:rPr>
        <w:t>The table below details the consideration transferred to acquire Depositphotos: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consideration (paid at closing)</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76,119</w:t>
            </w:r>
          </w:p>
        </w:tc>
      </w:tr>
      <w:tr>
        <w:trPr>
          <w:trHeight w:val="196"/>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Deferred payment</w:t>
            </w:r>
          </w:p>
        </w:tc>
        <w:tc>
          <w:tcPr>
            <w:tcW w:w="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8,781</w:t>
            </w:r>
          </w:p>
        </w:tc>
      </w:tr>
      <w:tr>
        <w:trPr>
          <w:trHeight w:val="219"/>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purchase price</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84,900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597"/>
        <w:spacing w:after="0" w:line="245" w:lineRule="auto"/>
        <w:rPr>
          <w:sz w:val="20"/>
          <w:szCs w:val="20"/>
          <w:color w:val="auto"/>
        </w:rPr>
      </w:pPr>
      <w:r>
        <w:rPr>
          <w:rFonts w:ascii="Arial" w:cs="Arial" w:eastAsia="Arial" w:hAnsi="Arial"/>
          <w:sz w:val="17"/>
          <w:szCs w:val="17"/>
          <w:color w:val="auto"/>
        </w:rPr>
        <w:t>We recognized the assets and liabilities on the basis of their fair values at the date of the acquisition with any excess of the purchase price paid over the fair value of the net assets recorded as goodwill, which is primarily attributable to the synergies that we expect to achieve through the acquisition. The goodwill balance has been attributed to the Vista reporting unit and none of the goodwill balance is deductible for tax purposes. Additionally, we identified and valued Depositphotos intangible assets, which include its trade name, customer relationships, owned content and developed technology.</w:t>
      </w:r>
    </w:p>
    <w:p>
      <w:pPr>
        <w:spacing w:after="0" w:line="222" w:lineRule="exact"/>
        <w:rPr>
          <w:sz w:val="20"/>
          <w:szCs w:val="20"/>
          <w:color w:val="auto"/>
        </w:rPr>
      </w:pPr>
    </w:p>
    <w:p>
      <w:pPr>
        <w:ind w:firstLine="597"/>
        <w:spacing w:after="0" w:line="246" w:lineRule="auto"/>
        <w:rPr>
          <w:sz w:val="20"/>
          <w:szCs w:val="20"/>
          <w:color w:val="auto"/>
        </w:rPr>
      </w:pPr>
      <w:r>
        <w:rPr>
          <w:rFonts w:ascii="Arial" w:cs="Arial" w:eastAsia="Arial" w:hAnsi="Arial"/>
          <w:sz w:val="17"/>
          <w:szCs w:val="17"/>
          <w:color w:val="auto"/>
        </w:rPr>
        <w:t>Our preliminary estimate of the fair value of specifically identifiable assets acquired and liabilities assumed as of the date of acquisition is subject to change upon finalizing our valuation analysis, including certain valuation assumptions and tax matters. The final determination, which is expected to be finalized before the end of fiscal year 2022, may result in changes in the fair value of certain assets and liabilities as compared to our preliminary estimates.</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fair value of the assets acquired and liabilities assumed was: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426"/>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rPr>
              <w:t>Weighted Average Useful Life in</w:t>
            </w:r>
          </w:p>
        </w:tc>
        <w:tc>
          <w:tcPr>
            <w:tcW w:w="0" w:type="dxa"/>
            <w:vAlign w:val="bottom"/>
          </w:tcPr>
          <w:p>
            <w:pPr>
              <w:spacing w:after="0"/>
              <w:rPr>
                <w:sz w:val="1"/>
                <w:szCs w:val="1"/>
                <w:color w:val="auto"/>
              </w:rPr>
            </w:pPr>
          </w:p>
        </w:tc>
      </w:tr>
      <w:tr>
        <w:trPr>
          <w:trHeight w:val="162"/>
        </w:trPr>
        <w:tc>
          <w:tcPr>
            <w:tcW w:w="74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0" w:type="dxa"/>
            <w:vAlign w:val="bottom"/>
          </w:tcPr>
          <w:p>
            <w:pPr>
              <w:spacing w:after="0"/>
              <w:rPr>
                <w:sz w:val="1"/>
                <w:szCs w:val="1"/>
                <w:color w:val="auto"/>
              </w:rPr>
            </w:pPr>
          </w:p>
        </w:tc>
      </w:tr>
      <w:tr>
        <w:trPr>
          <w:trHeight w:val="17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Tangible assets acquired and liabilities assumed:</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7,173</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Accounts receivable, net</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611</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5"/>
                <w:szCs w:val="15"/>
                <w:color w:val="auto"/>
              </w:rPr>
              <w:t>Operating lease assets, net</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383</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5"/>
                <w:szCs w:val="15"/>
                <w:color w:val="auto"/>
              </w:rPr>
              <w:t>Accounts payable</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(843)</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expenses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(5,009)</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5"/>
                <w:szCs w:val="15"/>
                <w:color w:val="auto"/>
              </w:rPr>
              <w:t>Deferred revenue</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(10,999)</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 current</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5"/>
                <w:szCs w:val="15"/>
                <w:color w:val="auto"/>
              </w:rPr>
              <w:t>Deferred tax liabilities (1)</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(4,402)</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 non-current</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6"/>
        </w:trPr>
        <w:tc>
          <w:tcPr>
            <w:tcW w:w="7400" w:type="dxa"/>
            <w:vAlign w:val="bottom"/>
          </w:tcPr>
          <w:p>
            <w:pPr>
              <w:ind w:left="20"/>
              <w:spacing w:after="0"/>
              <w:rPr>
                <w:sz w:val="20"/>
                <w:szCs w:val="20"/>
                <w:color w:val="auto"/>
              </w:rPr>
            </w:pPr>
            <w:r>
              <w:rPr>
                <w:rFonts w:ascii="Arial" w:cs="Arial" w:eastAsia="Arial" w:hAnsi="Arial"/>
                <w:sz w:val="15"/>
                <w:szCs w:val="15"/>
                <w:color w:val="auto"/>
              </w:rPr>
              <w:t>Identifiable intangible assets: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Customer relationships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11,600</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4 years</w:t>
            </w:r>
          </w:p>
        </w:tc>
        <w:tc>
          <w:tcPr>
            <w:tcW w:w="0" w:type="dxa"/>
            <w:vAlign w:val="bottom"/>
          </w:tcPr>
          <w:p>
            <w:pPr>
              <w:spacing w:after="0"/>
              <w:rPr>
                <w:sz w:val="1"/>
                <w:szCs w:val="1"/>
                <w:color w:val="auto"/>
              </w:rPr>
            </w:pPr>
          </w:p>
        </w:tc>
      </w:tr>
      <w:tr>
        <w:trPr>
          <w:trHeight w:val="196"/>
        </w:trPr>
        <w:tc>
          <w:tcPr>
            <w:tcW w:w="7400" w:type="dxa"/>
            <w:vAlign w:val="bottom"/>
          </w:tcPr>
          <w:p>
            <w:pPr>
              <w:ind w:left="120"/>
              <w:spacing w:after="0"/>
              <w:rPr>
                <w:sz w:val="20"/>
                <w:szCs w:val="20"/>
                <w:color w:val="auto"/>
              </w:rPr>
            </w:pPr>
            <w:r>
              <w:rPr>
                <w:rFonts w:ascii="Arial" w:cs="Arial" w:eastAsia="Arial" w:hAnsi="Arial"/>
                <w:sz w:val="15"/>
                <w:szCs w:val="15"/>
                <w:color w:val="auto"/>
              </w:rPr>
              <w:t>Trade name</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2,500</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5"/>
                <w:szCs w:val="15"/>
                <w:color w:val="auto"/>
              </w:rPr>
              <w:t>10 years</w:t>
            </w:r>
          </w:p>
        </w:tc>
        <w:tc>
          <w:tcPr>
            <w:tcW w:w="0" w:type="dxa"/>
            <w:vAlign w:val="bottom"/>
          </w:tcPr>
          <w:p>
            <w:pPr>
              <w:spacing w:after="0"/>
              <w:rPr>
                <w:sz w:val="1"/>
                <w:szCs w:val="1"/>
                <w:color w:val="auto"/>
              </w:rPr>
            </w:pPr>
          </w:p>
        </w:tc>
      </w:tr>
      <w:tr>
        <w:trPr>
          <w:trHeight w:val="202"/>
        </w:trPr>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Developed technology</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 years</w:t>
            </w:r>
          </w:p>
        </w:tc>
        <w:tc>
          <w:tcPr>
            <w:tcW w:w="0" w:type="dxa"/>
            <w:vAlign w:val="bottom"/>
          </w:tcPr>
          <w:p>
            <w:pPr>
              <w:spacing w:after="0"/>
              <w:rPr>
                <w:sz w:val="1"/>
                <w:szCs w:val="1"/>
                <w:color w:val="auto"/>
              </w:rPr>
            </w:pPr>
          </w:p>
        </w:tc>
      </w:tr>
      <w:tr>
        <w:trPr>
          <w:trHeight w:val="196"/>
        </w:trPr>
        <w:tc>
          <w:tcPr>
            <w:tcW w:w="7400" w:type="dxa"/>
            <w:vAlign w:val="bottom"/>
          </w:tcPr>
          <w:p>
            <w:pPr>
              <w:ind w:left="120"/>
              <w:spacing w:after="0"/>
              <w:rPr>
                <w:sz w:val="20"/>
                <w:szCs w:val="20"/>
                <w:color w:val="auto"/>
              </w:rPr>
            </w:pPr>
            <w:r>
              <w:rPr>
                <w:rFonts w:ascii="Arial" w:cs="Arial" w:eastAsia="Arial" w:hAnsi="Arial"/>
                <w:sz w:val="15"/>
                <w:szCs w:val="15"/>
                <w:color w:val="auto"/>
              </w:rPr>
              <w:t>Owned content</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7,700</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5"/>
                <w:szCs w:val="15"/>
                <w:color w:val="auto"/>
              </w:rPr>
              <w:t>10 years</w:t>
            </w:r>
          </w:p>
        </w:tc>
        <w:tc>
          <w:tcPr>
            <w:tcW w:w="0" w:type="dxa"/>
            <w:vAlign w:val="bottom"/>
          </w:tcPr>
          <w:p>
            <w:pPr>
              <w:spacing w:after="0"/>
              <w:rPr>
                <w:sz w:val="1"/>
                <w:szCs w:val="1"/>
                <w:color w:val="auto"/>
              </w:rPr>
            </w:pPr>
          </w:p>
        </w:tc>
      </w:tr>
      <w:tr>
        <w:trPr>
          <w:trHeight w:val="199"/>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 (1)</w:t>
            </w:r>
          </w:p>
        </w:tc>
        <w:tc>
          <w:tcPr>
            <w:tcW w:w="3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73,168</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94"/>
        </w:trPr>
        <w:tc>
          <w:tcPr>
            <w:tcW w:w="7400" w:type="dxa"/>
            <w:vAlign w:val="bottom"/>
          </w:tcPr>
          <w:p>
            <w:pPr>
              <w:ind w:left="20"/>
              <w:spacing w:after="0"/>
              <w:rPr>
                <w:sz w:val="20"/>
                <w:szCs w:val="20"/>
                <w:color w:val="auto"/>
              </w:rPr>
            </w:pPr>
            <w:r>
              <w:rPr>
                <w:rFonts w:ascii="Arial" w:cs="Arial" w:eastAsia="Arial" w:hAnsi="Arial"/>
                <w:sz w:val="15"/>
                <w:szCs w:val="15"/>
                <w:color w:val="auto"/>
              </w:rPr>
              <w:t>Total purchase price</w:t>
            </w:r>
          </w:p>
        </w:tc>
        <w:tc>
          <w:tcPr>
            <w:tcW w:w="30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84,900</w:t>
            </w:r>
          </w:p>
        </w:tc>
        <w:tc>
          <w:tcPr>
            <w:tcW w:w="10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(1) During the third quarter of fiscal year 2022, we recognized a measurement period adjustment resulting in an increase to deferred tax liabilities of $226 and an offsetting increase to goodwill.</w:t>
      </w:r>
    </w:p>
    <w:p>
      <w:pPr>
        <w:spacing w:after="0" w:line="219" w:lineRule="exact"/>
        <w:rPr>
          <w:sz w:val="20"/>
          <w:szCs w:val="20"/>
          <w:color w:val="auto"/>
        </w:rPr>
      </w:pPr>
    </w:p>
    <w:p>
      <w:pPr>
        <w:ind w:right="140" w:firstLine="597"/>
        <w:spacing w:after="0" w:line="246" w:lineRule="auto"/>
        <w:rPr>
          <w:sz w:val="20"/>
          <w:szCs w:val="20"/>
          <w:color w:val="auto"/>
        </w:rPr>
      </w:pPr>
      <w:r>
        <w:rPr>
          <w:rFonts w:ascii="Arial" w:cs="Arial" w:eastAsia="Arial" w:hAnsi="Arial"/>
          <w:sz w:val="17"/>
          <w:szCs w:val="17"/>
          <w:color w:val="auto"/>
        </w:rPr>
        <w:t>Depositphotos has been included in our consolidated financial statements starting on its acquisition date. The revenue and earnings of Depositphotos included in our consolidated financial statements for the three and nine months ended March 31, 2022 are not material, and therefore no proforma financial information is presented. We used our cash on hand to fund the acquisition. In connection with the acquisition, we incurred $887 in general and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5" w:name="page26"/>
    <w:bookmarkEnd w:id="25"/>
    <w:p>
      <w:pPr>
        <w:ind w:right="40"/>
        <w:spacing w:after="0" w:line="250" w:lineRule="auto"/>
        <w:rPr>
          <w:sz w:val="20"/>
          <w:szCs w:val="20"/>
          <w:color w:val="auto"/>
        </w:rPr>
      </w:pPr>
      <w:r>
        <w:rPr>
          <w:rFonts w:ascii="Arial" w:cs="Arial" w:eastAsia="Arial" w:hAnsi="Arial"/>
          <w:sz w:val="17"/>
          <w:szCs w:val="17"/>
          <w:color w:val="auto"/>
        </w:rPr>
        <w:t>administrative expenses, as part of our central and corporate costs during the nine months ended March 31, 2022 primarily related to legal, financial, and other professional services.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Acquisition</w:t>
      </w:r>
    </w:p>
    <w:p>
      <w:pPr>
        <w:spacing w:after="0" w:line="248" w:lineRule="exact"/>
        <w:rPr>
          <w:sz w:val="20"/>
          <w:szCs w:val="20"/>
          <w:color w:val="auto"/>
        </w:rPr>
      </w:pPr>
    </w:p>
    <w:p>
      <w:pPr>
        <w:ind w:right="80" w:firstLine="597"/>
        <w:spacing w:after="0" w:line="245" w:lineRule="auto"/>
        <w:rPr>
          <w:sz w:val="20"/>
          <w:szCs w:val="20"/>
          <w:color w:val="auto"/>
        </w:rPr>
      </w:pPr>
      <w:r>
        <w:rPr>
          <w:rFonts w:ascii="Arial" w:cs="Arial" w:eastAsia="Arial" w:hAnsi="Arial"/>
          <w:sz w:val="17"/>
          <w:szCs w:val="17"/>
          <w:color w:val="auto"/>
        </w:rPr>
        <w:t>On January 21, 2022, we completed an investment in a European company that is intended to support certain strategic initiatives within our PrintBrothers reportable segment. After giving effect to this investment, we have acquired approximately 75% of the company's shares for total cash and noncash consideration of $11,218. We recognized the assets, liabilities and noncontrolling interest on the basis of their fair values at the date of the acquisition, resulting in goodwill of $9,253 which is not deductible for tax purposes. The net assets recognized largely consist of the cash and deferred tax liability balances acquired. The revenue and earnings included in our consolidated financial statements for the three and nine months ended March 31, 2022 are not material. We utilized our available cash balance to finance the acquisition.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Other Balance Sheet Components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Accrued expenses included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2"/>
                <w:szCs w:val="12"/>
                <w:b w:val="1"/>
                <w:bCs w:val="1"/>
                <w:color w:val="auto"/>
              </w:rPr>
              <w:t>March 31, 2022</w:t>
            </w:r>
          </w:p>
        </w:tc>
        <w:tc>
          <w:tcPr>
            <w:tcW w:w="26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Arial" w:cs="Arial" w:eastAsia="Arial" w:hAnsi="Arial"/>
                <w:sz w:val="12"/>
                <w:szCs w:val="12"/>
                <w:b w:val="1"/>
                <w:bCs w:val="1"/>
                <w:color w:val="auto"/>
              </w:rPr>
              <w:t>June 30, 2021</w:t>
            </w:r>
          </w:p>
        </w:tc>
      </w:tr>
      <w:tr>
        <w:trPr>
          <w:trHeight w:val="19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Compensation costs</w:t>
            </w: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79,593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73,861</w:t>
            </w:r>
          </w:p>
        </w:tc>
      </w:tr>
      <w:tr>
        <w:trPr>
          <w:trHeight w:val="196"/>
        </w:trPr>
        <w:tc>
          <w:tcPr>
            <w:tcW w:w="7840" w:type="dxa"/>
            <w:vAlign w:val="bottom"/>
          </w:tcPr>
          <w:p>
            <w:pPr>
              <w:ind w:left="20"/>
              <w:spacing w:after="0"/>
              <w:rPr>
                <w:sz w:val="20"/>
                <w:szCs w:val="20"/>
                <w:color w:val="auto"/>
              </w:rPr>
            </w:pPr>
            <w:r>
              <w:rPr>
                <w:rFonts w:ascii="Arial" w:cs="Arial" w:eastAsia="Arial" w:hAnsi="Arial"/>
                <w:sz w:val="15"/>
                <w:szCs w:val="15"/>
                <w:color w:val="auto"/>
              </w:rPr>
              <w:t>Income and indirect taxes</w:t>
            </w:r>
          </w:p>
        </w:tc>
        <w:tc>
          <w:tcPr>
            <w:tcW w:w="260" w:type="dxa"/>
            <w:vAlign w:val="bottom"/>
          </w:tcPr>
          <w:p>
            <w:pPr>
              <w:spacing w:after="0"/>
              <w:rPr>
                <w:sz w:val="17"/>
                <w:szCs w:val="17"/>
                <w:color w:val="auto"/>
              </w:rPr>
            </w:pPr>
          </w:p>
        </w:tc>
        <w:tc>
          <w:tcPr>
            <w:tcW w:w="1400" w:type="dxa"/>
            <w:vAlign w:val="bottom"/>
          </w:tcPr>
          <w:p>
            <w:pPr>
              <w:jc w:val="right"/>
              <w:ind w:right="7"/>
              <w:spacing w:after="0"/>
              <w:rPr>
                <w:sz w:val="20"/>
                <w:szCs w:val="20"/>
                <w:color w:val="auto"/>
              </w:rPr>
            </w:pPr>
            <w:r>
              <w:rPr>
                <w:rFonts w:ascii="Arial" w:cs="Arial" w:eastAsia="Arial" w:hAnsi="Arial"/>
                <w:sz w:val="15"/>
                <w:szCs w:val="15"/>
                <w:color w:val="auto"/>
              </w:rPr>
              <w:t>50,793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46,074</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Advertising costs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24,217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35,093</w:t>
            </w:r>
          </w:p>
        </w:tc>
      </w:tr>
      <w:tr>
        <w:trPr>
          <w:trHeight w:val="196"/>
        </w:trPr>
        <w:tc>
          <w:tcPr>
            <w:tcW w:w="7840" w:type="dxa"/>
            <w:vAlign w:val="bottom"/>
          </w:tcPr>
          <w:p>
            <w:pPr>
              <w:ind w:left="20"/>
              <w:spacing w:after="0"/>
              <w:rPr>
                <w:sz w:val="20"/>
                <w:szCs w:val="20"/>
                <w:color w:val="auto"/>
              </w:rPr>
            </w:pPr>
            <w:r>
              <w:rPr>
                <w:rFonts w:ascii="Arial" w:cs="Arial" w:eastAsia="Arial" w:hAnsi="Arial"/>
                <w:sz w:val="15"/>
                <w:szCs w:val="15"/>
                <w:color w:val="auto"/>
              </w:rPr>
              <w:t>Shipping costs</w:t>
            </w:r>
          </w:p>
        </w:tc>
        <w:tc>
          <w:tcPr>
            <w:tcW w:w="260" w:type="dxa"/>
            <w:vAlign w:val="bottom"/>
          </w:tcPr>
          <w:p>
            <w:pPr>
              <w:spacing w:after="0"/>
              <w:rPr>
                <w:sz w:val="17"/>
                <w:szCs w:val="17"/>
                <w:color w:val="auto"/>
              </w:rPr>
            </w:pPr>
          </w:p>
        </w:tc>
        <w:tc>
          <w:tcPr>
            <w:tcW w:w="1400" w:type="dxa"/>
            <w:vAlign w:val="bottom"/>
          </w:tcPr>
          <w:p>
            <w:pPr>
              <w:jc w:val="right"/>
              <w:ind w:right="7"/>
              <w:spacing w:after="0"/>
              <w:rPr>
                <w:sz w:val="20"/>
                <w:szCs w:val="20"/>
                <w:color w:val="auto"/>
              </w:rPr>
            </w:pPr>
            <w:r>
              <w:rPr>
                <w:rFonts w:ascii="Arial" w:cs="Arial" w:eastAsia="Arial" w:hAnsi="Arial"/>
                <w:sz w:val="15"/>
                <w:szCs w:val="15"/>
                <w:color w:val="auto"/>
              </w:rPr>
              <w:t>9,617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9,401</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Third party manufacturing and digital content costs (1)</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15,465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6,881</w:t>
            </w:r>
          </w:p>
        </w:tc>
      </w:tr>
      <w:tr>
        <w:trPr>
          <w:trHeight w:val="196"/>
        </w:trPr>
        <w:tc>
          <w:tcPr>
            <w:tcW w:w="7840" w:type="dxa"/>
            <w:vAlign w:val="bottom"/>
          </w:tcPr>
          <w:p>
            <w:pPr>
              <w:ind w:left="20"/>
              <w:spacing w:after="0"/>
              <w:rPr>
                <w:sz w:val="20"/>
                <w:szCs w:val="20"/>
                <w:color w:val="auto"/>
              </w:rPr>
            </w:pPr>
            <w:r>
              <w:rPr>
                <w:rFonts w:ascii="Arial" w:cs="Arial" w:eastAsia="Arial" w:hAnsi="Arial"/>
                <w:sz w:val="15"/>
                <w:szCs w:val="15"/>
                <w:color w:val="auto"/>
              </w:rPr>
              <w:t>Sales returns</w:t>
            </w:r>
          </w:p>
        </w:tc>
        <w:tc>
          <w:tcPr>
            <w:tcW w:w="260" w:type="dxa"/>
            <w:vAlign w:val="bottom"/>
          </w:tcPr>
          <w:p>
            <w:pPr>
              <w:spacing w:after="0"/>
              <w:rPr>
                <w:sz w:val="17"/>
                <w:szCs w:val="17"/>
                <w:color w:val="auto"/>
              </w:rPr>
            </w:pPr>
          </w:p>
        </w:tc>
        <w:tc>
          <w:tcPr>
            <w:tcW w:w="1400" w:type="dxa"/>
            <w:vAlign w:val="bottom"/>
          </w:tcPr>
          <w:p>
            <w:pPr>
              <w:jc w:val="right"/>
              <w:ind w:right="7"/>
              <w:spacing w:after="0"/>
              <w:rPr>
                <w:sz w:val="20"/>
                <w:szCs w:val="20"/>
                <w:color w:val="auto"/>
              </w:rPr>
            </w:pPr>
            <w:r>
              <w:rPr>
                <w:rFonts w:ascii="Arial" w:cs="Arial" w:eastAsia="Arial" w:hAnsi="Arial"/>
                <w:sz w:val="15"/>
                <w:szCs w:val="15"/>
                <w:color w:val="auto"/>
              </w:rPr>
              <w:t>5,323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5,636</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2,174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1,110</w:t>
            </w:r>
          </w:p>
        </w:tc>
      </w:tr>
      <w:tr>
        <w:trPr>
          <w:trHeight w:val="196"/>
        </w:trPr>
        <w:tc>
          <w:tcPr>
            <w:tcW w:w="7840" w:type="dxa"/>
            <w:vAlign w:val="bottom"/>
          </w:tcPr>
          <w:p>
            <w:pPr>
              <w:ind w:left="20"/>
              <w:spacing w:after="0"/>
              <w:rPr>
                <w:sz w:val="20"/>
                <w:szCs w:val="20"/>
                <w:color w:val="auto"/>
              </w:rPr>
            </w:pPr>
            <w:r>
              <w:rPr>
                <w:rFonts w:ascii="Arial" w:cs="Arial" w:eastAsia="Arial" w:hAnsi="Arial"/>
                <w:sz w:val="15"/>
                <w:szCs w:val="15"/>
                <w:color w:val="auto"/>
              </w:rPr>
              <w:t>Professional fees</w:t>
            </w:r>
          </w:p>
        </w:tc>
        <w:tc>
          <w:tcPr>
            <w:tcW w:w="260" w:type="dxa"/>
            <w:vAlign w:val="bottom"/>
          </w:tcPr>
          <w:p>
            <w:pPr>
              <w:spacing w:after="0"/>
              <w:rPr>
                <w:sz w:val="17"/>
                <w:szCs w:val="17"/>
                <w:color w:val="auto"/>
              </w:rPr>
            </w:pPr>
          </w:p>
        </w:tc>
        <w:tc>
          <w:tcPr>
            <w:tcW w:w="1400" w:type="dxa"/>
            <w:vAlign w:val="bottom"/>
          </w:tcPr>
          <w:p>
            <w:pPr>
              <w:jc w:val="right"/>
              <w:ind w:right="7"/>
              <w:spacing w:after="0"/>
              <w:rPr>
                <w:sz w:val="20"/>
                <w:szCs w:val="20"/>
                <w:color w:val="auto"/>
              </w:rPr>
            </w:pPr>
            <w:r>
              <w:rPr>
                <w:rFonts w:ascii="Arial" w:cs="Arial" w:eastAsia="Arial" w:hAnsi="Arial"/>
                <w:sz w:val="15"/>
                <w:szCs w:val="15"/>
                <w:color w:val="auto"/>
              </w:rPr>
              <w:t>2,748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4,210</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payable (2)</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12,972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2,399</w:t>
            </w:r>
          </w:p>
        </w:tc>
      </w:tr>
      <w:tr>
        <w:trPr>
          <w:trHeight w:val="19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59,718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62,848</w:t>
            </w:r>
          </w:p>
        </w:tc>
      </w:tr>
      <w:tr>
        <w:trPr>
          <w:trHeight w:val="21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accrued expenses</w:t>
            </w: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262,620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247,513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w:t>
      </w:r>
    </w:p>
    <w:p>
      <w:pPr>
        <w:spacing w:after="0" w:line="98" w:lineRule="exact"/>
        <w:rPr>
          <w:sz w:val="20"/>
          <w:szCs w:val="20"/>
          <w:color w:val="auto"/>
        </w:rPr>
      </w:pPr>
    </w:p>
    <w:p>
      <w:pPr>
        <w:ind w:right="100"/>
        <w:spacing w:after="0" w:line="256" w:lineRule="auto"/>
        <w:tabs>
          <w:tab w:leader="none" w:pos="199"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increase in third party manufacturing and digital content costs from June 30, 2022 to March 31, 2022 is due to the acquisition of Depositphotos on October 1, 2021. Refer to Note 7 for additional details.</w:t>
      </w:r>
    </w:p>
    <w:p>
      <w:pPr>
        <w:spacing w:after="0" w:line="54" w:lineRule="exact"/>
        <w:rPr>
          <w:rFonts w:ascii="Arial" w:cs="Arial" w:eastAsia="Arial" w:hAnsi="Arial"/>
          <w:sz w:val="13"/>
          <w:szCs w:val="13"/>
          <w:color w:val="auto"/>
        </w:rPr>
      </w:pPr>
    </w:p>
    <w:p>
      <w:pPr>
        <w:ind w:right="60"/>
        <w:spacing w:after="0" w:line="256" w:lineRule="auto"/>
        <w:tabs>
          <w:tab w:leader="none" w:pos="199"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increase in interest payable as of March 31, 2022, is due to the interest on our 2026 Notes being payable semi-annually on June 15 and December 15 of each year. Refer to Note 9 for further detail.</w:t>
      </w:r>
    </w:p>
    <w:p>
      <w:pPr>
        <w:spacing w:after="0" w:line="37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Other current liabilities included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2"/>
                <w:szCs w:val="12"/>
                <w:b w:val="1"/>
                <w:bCs w:val="1"/>
                <w:color w:val="auto"/>
              </w:rPr>
              <w:t>March 31, 2022</w:t>
            </w:r>
          </w:p>
        </w:tc>
        <w:tc>
          <w:tcPr>
            <w:tcW w:w="860" w:type="dxa"/>
            <w:vAlign w:val="bottom"/>
          </w:tcPr>
          <w:p>
            <w:pPr>
              <w:spacing w:after="0"/>
              <w:rPr>
                <w:sz w:val="14"/>
                <w:szCs w:val="14"/>
                <w:color w:val="auto"/>
              </w:rPr>
            </w:pPr>
          </w:p>
        </w:tc>
        <w:tc>
          <w:tcPr>
            <w:tcW w:w="1340" w:type="dxa"/>
            <w:vAlign w:val="bottom"/>
          </w:tcPr>
          <w:p>
            <w:pPr>
              <w:jc w:val="right"/>
              <w:ind w:right="349"/>
              <w:spacing w:after="0"/>
              <w:rPr>
                <w:sz w:val="20"/>
                <w:szCs w:val="20"/>
                <w:color w:val="auto"/>
              </w:rPr>
            </w:pPr>
            <w:r>
              <w:rPr>
                <w:rFonts w:ascii="Arial" w:cs="Arial" w:eastAsia="Arial" w:hAnsi="Arial"/>
                <w:sz w:val="12"/>
                <w:szCs w:val="12"/>
                <w:b w:val="1"/>
                <w:bCs w:val="1"/>
                <w:color w:val="auto"/>
              </w:rPr>
              <w:t>June 30, 2021</w:t>
            </w:r>
          </w:p>
        </w:tc>
      </w:tr>
      <w:tr>
        <w:trPr>
          <w:trHeight w:val="196"/>
        </w:trPr>
        <w:tc>
          <w:tcPr>
            <w:tcW w:w="6760" w:type="dxa"/>
            <w:vAlign w:val="bottom"/>
          </w:tcPr>
          <w:p>
            <w:pPr>
              <w:ind w:left="620"/>
              <w:spacing w:after="0"/>
              <w:rPr>
                <w:sz w:val="20"/>
                <w:szCs w:val="20"/>
                <w:color w:val="auto"/>
              </w:rPr>
            </w:pPr>
            <w:r>
              <w:rPr>
                <w:rFonts w:ascii="Arial" w:cs="Arial" w:eastAsia="Arial" w:hAnsi="Arial"/>
                <w:sz w:val="15"/>
                <w:szCs w:val="15"/>
                <w:color w:val="auto"/>
              </w:rPr>
              <w:t>Current portion of finance lease obligations (1)</w:t>
            </w:r>
          </w:p>
        </w:tc>
        <w:tc>
          <w:tcPr>
            <w:tcW w:w="84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6,867</w:t>
            </w:r>
          </w:p>
        </w:tc>
        <w:tc>
          <w:tcPr>
            <w:tcW w:w="100" w:type="dxa"/>
            <w:vAlign w:val="bottom"/>
          </w:tcPr>
          <w:p>
            <w:pPr>
              <w:spacing w:after="0"/>
              <w:rPr>
                <w:sz w:val="17"/>
                <w:szCs w:val="17"/>
                <w:color w:val="auto"/>
              </w:rPr>
            </w:pPr>
          </w:p>
        </w:tc>
        <w:tc>
          <w:tcPr>
            <w:tcW w:w="86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32,314</w:t>
            </w:r>
          </w:p>
        </w:tc>
      </w:tr>
      <w:tr>
        <w:trPr>
          <w:trHeight w:val="202"/>
        </w:trPr>
        <w:tc>
          <w:tcPr>
            <w:tcW w:w="67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Short-term derivative liabilities (2)</w:t>
            </w:r>
          </w:p>
        </w:tc>
        <w:tc>
          <w:tcPr>
            <w:tcW w:w="8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20,530</w:t>
            </w:r>
          </w:p>
        </w:tc>
      </w:tr>
      <w:tr>
        <w:trPr>
          <w:trHeight w:val="196"/>
        </w:trPr>
        <w:tc>
          <w:tcPr>
            <w:tcW w:w="6760" w:type="dxa"/>
            <w:vAlign w:val="bottom"/>
            <w:tcBorders>
              <w:bottom w:val="single" w:sz="8" w:color="CCEEFF"/>
            </w:tcBorders>
          </w:tcPr>
          <w:p>
            <w:pPr>
              <w:ind w:left="620"/>
              <w:spacing w:after="0"/>
              <w:rPr>
                <w:sz w:val="20"/>
                <w:szCs w:val="20"/>
                <w:color w:val="auto"/>
              </w:rPr>
            </w:pPr>
            <w:r>
              <w:rPr>
                <w:rFonts w:ascii="Arial" w:cs="Arial" w:eastAsia="Arial" w:hAnsi="Arial"/>
                <w:sz w:val="15"/>
                <w:szCs w:val="15"/>
                <w:color w:val="auto"/>
              </w:rPr>
              <w:t>Other (3)</w:t>
            </w:r>
          </w:p>
        </w:tc>
        <w:tc>
          <w:tcPr>
            <w:tcW w:w="8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16,341</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50,671</w:t>
            </w:r>
          </w:p>
        </w:tc>
      </w:tr>
      <w:tr>
        <w:trPr>
          <w:trHeight w:val="219"/>
        </w:trPr>
        <w:tc>
          <w:tcPr>
            <w:tcW w:w="6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Total other current liabilities</w:t>
            </w:r>
          </w:p>
        </w:tc>
        <w:tc>
          <w:tcPr>
            <w:tcW w:w="8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27,206</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103,515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w:t>
      </w:r>
    </w:p>
    <w:p>
      <w:pPr>
        <w:spacing w:after="0" w:line="98" w:lineRule="exact"/>
        <w:rPr>
          <w:sz w:val="20"/>
          <w:szCs w:val="20"/>
          <w:color w:val="auto"/>
        </w:rPr>
      </w:pPr>
    </w:p>
    <w:p>
      <w:pPr>
        <w:ind w:right="220"/>
        <w:spacing w:after="0" w:line="248" w:lineRule="auto"/>
        <w:tabs>
          <w:tab w:leader="none" w:pos="199"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decrease in the current portion of our finance lease obligations is primarily due to the exercise of a purchase option for a previously leased facility that decreased our finance lease liability by $23,534. We immediately sold this facility to a third party and recognized a $3,324 gain on the sale of the asset during the nine months ended March 31, 2022. Refer to Note 2 for additional details.</w:t>
      </w:r>
    </w:p>
    <w:p>
      <w:pPr>
        <w:spacing w:after="0" w:line="71" w:lineRule="exact"/>
        <w:rPr>
          <w:rFonts w:ascii="Arial" w:cs="Arial" w:eastAsia="Arial" w:hAnsi="Arial"/>
          <w:sz w:val="13"/>
          <w:szCs w:val="13"/>
          <w:color w:val="auto"/>
        </w:rPr>
      </w:pPr>
    </w:p>
    <w:p>
      <w:pPr>
        <w:ind w:left="200" w:hanging="200"/>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decrease in short-term derivative liabilities is due to volatility in interest and foreign currency rates. Refer to Note 4 for additional details about our derivative financial instruments.</w:t>
      </w:r>
    </w:p>
    <w:p>
      <w:pPr>
        <w:spacing w:after="0" w:line="74" w:lineRule="exact"/>
        <w:rPr>
          <w:rFonts w:ascii="Arial" w:cs="Arial" w:eastAsia="Arial" w:hAnsi="Arial"/>
          <w:sz w:val="13"/>
          <w:szCs w:val="13"/>
          <w:color w:val="auto"/>
        </w:rPr>
      </w:pPr>
    </w:p>
    <w:p>
      <w:pPr>
        <w:ind w:left="200" w:hanging="200"/>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Other current liabilities decreased primarily due to the $43,647 payment made in February 2022 for our prior year acquisition of 99designs.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26" w:name="page27"/>
    <w:bookmarkEnd w:id="26"/>
    <w:p>
      <w:pPr>
        <w:ind w:left="600"/>
        <w:spacing w:after="0"/>
        <w:rPr>
          <w:sz w:val="20"/>
          <w:szCs w:val="20"/>
          <w:color w:val="auto"/>
        </w:rPr>
      </w:pPr>
      <w:r>
        <w:rPr>
          <w:rFonts w:ascii="Arial" w:cs="Arial" w:eastAsia="Arial" w:hAnsi="Arial"/>
          <w:sz w:val="17"/>
          <w:szCs w:val="17"/>
          <w:color w:val="auto"/>
        </w:rPr>
        <w:t>Other liabilities included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2"/>
                <w:szCs w:val="12"/>
                <w:b w:val="1"/>
                <w:bCs w:val="1"/>
                <w:color w:val="auto"/>
              </w:rPr>
              <w:t>March 31, 2022</w:t>
            </w:r>
          </w:p>
        </w:tc>
        <w:tc>
          <w:tcPr>
            <w:tcW w:w="260" w:type="dxa"/>
            <w:vAlign w:val="bottom"/>
          </w:tcPr>
          <w:p>
            <w:pPr>
              <w:spacing w:after="0"/>
              <w:rPr>
                <w:sz w:val="14"/>
                <w:szCs w:val="14"/>
                <w:color w:val="auto"/>
              </w:rPr>
            </w:pPr>
          </w:p>
        </w:tc>
        <w:tc>
          <w:tcPr>
            <w:tcW w:w="1380" w:type="dxa"/>
            <w:vAlign w:val="bottom"/>
          </w:tcPr>
          <w:p>
            <w:pPr>
              <w:jc w:val="right"/>
              <w:ind w:right="369"/>
              <w:spacing w:after="0"/>
              <w:rPr>
                <w:sz w:val="20"/>
                <w:szCs w:val="20"/>
                <w:color w:val="auto"/>
              </w:rPr>
            </w:pPr>
            <w:r>
              <w:rPr>
                <w:rFonts w:ascii="Arial" w:cs="Arial" w:eastAsia="Arial" w:hAnsi="Arial"/>
                <w:sz w:val="12"/>
                <w:szCs w:val="12"/>
                <w:b w:val="1"/>
                <w:bCs w:val="1"/>
                <w:color w:val="auto"/>
              </w:rPr>
              <w:t>June 30, 2021</w:t>
            </w:r>
          </w:p>
        </w:tc>
      </w:tr>
      <w:tr>
        <w:trPr>
          <w:trHeight w:val="196"/>
        </w:trPr>
        <w:tc>
          <w:tcPr>
            <w:tcW w:w="7840" w:type="dxa"/>
            <w:vAlign w:val="bottom"/>
          </w:tcPr>
          <w:p>
            <w:pPr>
              <w:ind w:left="20"/>
              <w:spacing w:after="0"/>
              <w:rPr>
                <w:sz w:val="20"/>
                <w:szCs w:val="20"/>
                <w:color w:val="auto"/>
              </w:rPr>
            </w:pPr>
            <w:r>
              <w:rPr>
                <w:rFonts w:ascii="Arial" w:cs="Arial" w:eastAsia="Arial" w:hAnsi="Arial"/>
                <w:sz w:val="15"/>
                <w:szCs w:val="15"/>
                <w:color w:val="auto"/>
              </w:rPr>
              <w:t>Long-term finance lease obligations</w:t>
            </w:r>
          </w:p>
        </w:tc>
        <w:tc>
          <w:tcPr>
            <w:tcW w:w="26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tcPr>
          <w:p>
            <w:pPr>
              <w:jc w:val="right"/>
              <w:ind w:right="9"/>
              <w:spacing w:after="0"/>
              <w:rPr>
                <w:sz w:val="20"/>
                <w:szCs w:val="20"/>
                <w:color w:val="auto"/>
              </w:rPr>
            </w:pPr>
            <w:r>
              <w:rPr>
                <w:rFonts w:ascii="Arial" w:cs="Arial" w:eastAsia="Arial" w:hAnsi="Arial"/>
                <w:sz w:val="15"/>
                <w:szCs w:val="15"/>
                <w:color w:val="auto"/>
              </w:rPr>
              <w:t>14,982</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18,528</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derivative liabilities (1)</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7,724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41,074</w:t>
            </w:r>
          </w:p>
        </w:tc>
      </w:tr>
      <w:tr>
        <w:trPr>
          <w:trHeight w:val="19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40,047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36,808</w:t>
            </w:r>
          </w:p>
        </w:tc>
      </w:tr>
      <w:tr>
        <w:trPr>
          <w:trHeight w:val="21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other liabilities</w:t>
            </w: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62,753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96,410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(1) The decrease in long-term derivative liabilities is due to volatility in interest and currency rates. Refer to Note 4 for additional details about our derivative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Debt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2"/>
                <w:szCs w:val="12"/>
                <w:b w:val="1"/>
                <w:bCs w:val="1"/>
                <w:color w:val="auto"/>
              </w:rPr>
              <w:t>March 31, 2022</w:t>
            </w:r>
          </w:p>
        </w:tc>
        <w:tc>
          <w:tcPr>
            <w:tcW w:w="260" w:type="dxa"/>
            <w:vAlign w:val="bottom"/>
          </w:tcPr>
          <w:p>
            <w:pPr>
              <w:spacing w:after="0"/>
              <w:rPr>
                <w:sz w:val="14"/>
                <w:szCs w:val="14"/>
                <w:color w:val="auto"/>
              </w:rPr>
            </w:pPr>
          </w:p>
        </w:tc>
        <w:tc>
          <w:tcPr>
            <w:tcW w:w="1380" w:type="dxa"/>
            <w:vAlign w:val="bottom"/>
          </w:tcPr>
          <w:p>
            <w:pPr>
              <w:jc w:val="right"/>
              <w:ind w:right="367"/>
              <w:spacing w:after="0"/>
              <w:rPr>
                <w:sz w:val="20"/>
                <w:szCs w:val="20"/>
                <w:color w:val="auto"/>
              </w:rPr>
            </w:pPr>
            <w:r>
              <w:rPr>
                <w:rFonts w:ascii="Arial" w:cs="Arial" w:eastAsia="Arial" w:hAnsi="Arial"/>
                <w:sz w:val="12"/>
                <w:szCs w:val="12"/>
                <w:b w:val="1"/>
                <w:bCs w:val="1"/>
                <w:color w:val="auto"/>
              </w:rPr>
              <w:t>June 30, 2021</w:t>
            </w:r>
          </w:p>
        </w:tc>
      </w:tr>
      <w:tr>
        <w:trPr>
          <w:trHeight w:val="19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7.0% Senior notes due 2026</w:t>
            </w: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600,000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600,000</w:t>
            </w:r>
          </w:p>
        </w:tc>
      </w:tr>
      <w:tr>
        <w:trPr>
          <w:trHeight w:val="196"/>
        </w:trPr>
        <w:tc>
          <w:tcPr>
            <w:tcW w:w="7840" w:type="dxa"/>
            <w:vAlign w:val="bottom"/>
          </w:tcPr>
          <w:p>
            <w:pPr>
              <w:ind w:left="20"/>
              <w:spacing w:after="0"/>
              <w:rPr>
                <w:sz w:val="20"/>
                <w:szCs w:val="20"/>
                <w:color w:val="auto"/>
              </w:rPr>
            </w:pPr>
            <w:r>
              <w:rPr>
                <w:rFonts w:ascii="Arial" w:cs="Arial" w:eastAsia="Arial" w:hAnsi="Arial"/>
                <w:sz w:val="15"/>
                <w:szCs w:val="15"/>
                <w:color w:val="auto"/>
              </w:rPr>
              <w:t>Senior secured credit facility</w:t>
            </w:r>
          </w:p>
        </w:tc>
        <w:tc>
          <w:tcPr>
            <w:tcW w:w="260" w:type="dxa"/>
            <w:vAlign w:val="bottom"/>
          </w:tcPr>
          <w:p>
            <w:pPr>
              <w:spacing w:after="0"/>
              <w:rPr>
                <w:sz w:val="17"/>
                <w:szCs w:val="17"/>
                <w:color w:val="auto"/>
              </w:rPr>
            </w:pPr>
          </w:p>
        </w:tc>
        <w:tc>
          <w:tcPr>
            <w:tcW w:w="1400" w:type="dxa"/>
            <w:vAlign w:val="bottom"/>
          </w:tcPr>
          <w:p>
            <w:pPr>
              <w:jc w:val="right"/>
              <w:ind w:right="7"/>
              <w:spacing w:after="0"/>
              <w:rPr>
                <w:sz w:val="20"/>
                <w:szCs w:val="20"/>
                <w:color w:val="auto"/>
              </w:rPr>
            </w:pPr>
            <w:r>
              <w:rPr>
                <w:rFonts w:ascii="Arial" w:cs="Arial" w:eastAsia="Arial" w:hAnsi="Arial"/>
                <w:sz w:val="15"/>
                <w:szCs w:val="15"/>
                <w:color w:val="auto"/>
              </w:rPr>
              <w:t>1,121,365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1,152,021</w:t>
            </w:r>
          </w:p>
        </w:tc>
      </w:tr>
      <w:tr>
        <w:trPr>
          <w:trHeight w:val="202"/>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9,285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12,835</w:t>
            </w:r>
          </w:p>
        </w:tc>
      </w:tr>
      <w:tr>
        <w:trPr>
          <w:trHeight w:val="19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Debt issuance costs and debt premiums (discounts)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(20,294)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(22,450)</w:t>
            </w:r>
          </w:p>
        </w:tc>
      </w:tr>
      <w:tr>
        <w:trPr>
          <w:trHeight w:val="194"/>
        </w:trPr>
        <w:tc>
          <w:tcPr>
            <w:tcW w:w="7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debt outstanding, net</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1,710,356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1,742,406</w:t>
            </w:r>
          </w:p>
        </w:tc>
      </w:tr>
      <w:tr>
        <w:trPr>
          <w:trHeight w:val="19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short-term debt (1)</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10,922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9,895</w:t>
            </w:r>
          </w:p>
        </w:tc>
      </w:tr>
      <w:tr>
        <w:trPr>
          <w:trHeight w:val="21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1,699,434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1,732,511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(1) Balances as of March 31, 2022 and June 30, 2021 are inclusive of short-term debt issuance costs, debt premiums and discounts of $3,499 and $3,435, respectively.</w:t>
      </w:r>
    </w:p>
    <w:p>
      <w:pPr>
        <w:spacing w:after="0" w:line="194" w:lineRule="exact"/>
        <w:rPr>
          <w:sz w:val="20"/>
          <w:szCs w:val="20"/>
          <w:color w:val="auto"/>
        </w:rPr>
      </w:pPr>
    </w:p>
    <w:p>
      <w:pPr>
        <w:ind w:right="100" w:firstLine="597"/>
        <w:spacing w:after="0" w:line="247" w:lineRule="auto"/>
        <w:rPr>
          <w:sz w:val="20"/>
          <w:szCs w:val="20"/>
          <w:color w:val="auto"/>
        </w:rPr>
      </w:pPr>
      <w:r>
        <w:rPr>
          <w:rFonts w:ascii="Arial" w:cs="Arial" w:eastAsia="Arial" w:hAnsi="Arial"/>
          <w:sz w:val="17"/>
          <w:szCs w:val="17"/>
          <w:color w:val="auto"/>
        </w:rPr>
        <w:t>Our various debt arrangements described below contain customary representations, warranties and events of default. As of March 31, 2022, we were in compliance with all covenants under our amended and restated senior secured credit agreement ("Restated Credit Agreement") and the indenture governing our 2026 Notes (as defined below).</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Credit Facility</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On May 17, 2021, we entered into a Restated Credit Agreement consisting of the following:</w:t>
      </w:r>
    </w:p>
    <w:p>
      <w:pPr>
        <w:spacing w:after="0" w:line="96" w:lineRule="exact"/>
        <w:rPr>
          <w:sz w:val="20"/>
          <w:szCs w:val="20"/>
          <w:color w:val="auto"/>
        </w:rPr>
      </w:pPr>
    </w:p>
    <w:p>
      <w:pPr>
        <w:ind w:left="580" w:hanging="28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7"/>
          <w:szCs w:val="17"/>
          <w:color w:val="auto"/>
        </w:rPr>
        <w:t>A senior secured Term Loan B with a maturity date of May 17, 2028 (the “Term Loan B”), consisting of:</w:t>
      </w:r>
    </w:p>
    <w:p>
      <w:pPr>
        <w:spacing w:after="0" w:line="41" w:lineRule="exact"/>
        <w:rPr>
          <w:rFonts w:ascii="Arial" w:cs="Arial" w:eastAsia="Arial" w:hAnsi="Arial"/>
          <w:sz w:val="18"/>
          <w:szCs w:val="18"/>
          <w:color w:val="auto"/>
        </w:rPr>
      </w:pPr>
    </w:p>
    <w:p>
      <w:pPr>
        <w:ind w:left="1180" w:hanging="285"/>
        <w:spacing w:after="0"/>
        <w:tabs>
          <w:tab w:leader="none" w:pos="1180" w:val="left"/>
        </w:tabs>
        <w:numPr>
          <w:ilvl w:val="1"/>
          <w:numId w:val="13"/>
        </w:numPr>
        <w:rPr>
          <w:rFonts w:ascii="Arial" w:cs="Arial" w:eastAsia="Arial" w:hAnsi="Arial"/>
          <w:sz w:val="18"/>
          <w:szCs w:val="18"/>
          <w:color w:val="auto"/>
        </w:rPr>
      </w:pPr>
      <w:r>
        <w:rPr>
          <w:rFonts w:ascii="Arial" w:cs="Arial" w:eastAsia="Arial" w:hAnsi="Arial"/>
          <w:sz w:val="17"/>
          <w:szCs w:val="17"/>
          <w:color w:val="auto"/>
        </w:rPr>
        <w:t>a $795,000 tranche that bears interest at LIBOR (with a LIBOR floor of 0.50%) plus 3.50%, and</w:t>
      </w:r>
    </w:p>
    <w:p>
      <w:pPr>
        <w:spacing w:after="0" w:line="41" w:lineRule="exact"/>
        <w:rPr>
          <w:rFonts w:ascii="Arial" w:cs="Arial" w:eastAsia="Arial" w:hAnsi="Arial"/>
          <w:sz w:val="18"/>
          <w:szCs w:val="18"/>
          <w:color w:val="auto"/>
        </w:rPr>
      </w:pPr>
    </w:p>
    <w:p>
      <w:pPr>
        <w:ind w:left="1180" w:hanging="285"/>
        <w:spacing w:after="0"/>
        <w:tabs>
          <w:tab w:leader="none" w:pos="1180" w:val="left"/>
        </w:tabs>
        <w:numPr>
          <w:ilvl w:val="1"/>
          <w:numId w:val="13"/>
        </w:numPr>
        <w:rPr>
          <w:rFonts w:ascii="Arial" w:cs="Arial" w:eastAsia="Arial" w:hAnsi="Arial"/>
          <w:sz w:val="18"/>
          <w:szCs w:val="18"/>
          <w:color w:val="auto"/>
        </w:rPr>
      </w:pPr>
      <w:r>
        <w:rPr>
          <w:rFonts w:ascii="Arial" w:cs="Arial" w:eastAsia="Arial" w:hAnsi="Arial"/>
          <w:sz w:val="17"/>
          <w:szCs w:val="17"/>
          <w:color w:val="auto"/>
        </w:rPr>
        <w:t>a €300,000 tranche that bears interest at EURIBOR (with a EURIBOR floor of 0%) plus 3.50%; and</w:t>
      </w:r>
    </w:p>
    <w:p>
      <w:pPr>
        <w:spacing w:after="0" w:line="48" w:lineRule="exact"/>
        <w:rPr>
          <w:rFonts w:ascii="Arial" w:cs="Arial" w:eastAsia="Arial" w:hAnsi="Arial"/>
          <w:sz w:val="18"/>
          <w:szCs w:val="18"/>
          <w:color w:val="auto"/>
        </w:rPr>
      </w:pPr>
    </w:p>
    <w:p>
      <w:pPr>
        <w:ind w:left="600" w:right="300" w:hanging="302"/>
        <w:spacing w:after="0" w:line="220" w:lineRule="auto"/>
        <w:tabs>
          <w:tab w:leader="none" w:pos="589" w:val="left"/>
        </w:tabs>
        <w:numPr>
          <w:ilvl w:val="0"/>
          <w:numId w:val="13"/>
        </w:numPr>
        <w:rPr>
          <w:rFonts w:ascii="Arial" w:cs="Arial" w:eastAsia="Arial" w:hAnsi="Arial"/>
          <w:sz w:val="18"/>
          <w:szCs w:val="18"/>
          <w:color w:val="auto"/>
        </w:rPr>
      </w:pPr>
      <w:r>
        <w:rPr>
          <w:rFonts w:ascii="Arial" w:cs="Arial" w:eastAsia="Arial" w:hAnsi="Arial"/>
          <w:sz w:val="17"/>
          <w:szCs w:val="17"/>
          <w:color w:val="auto"/>
        </w:rPr>
        <w:t>A $250,000 senior secured revolving credit facility with a maturity date of May 17, 2026 (the “Revolving Credit Facility”). Borrowings under the Revolving Credit Facility bear interest at LIBOR (with a LIBOR floor of 0%) plus 2.50% to 3.00% depending on the Company’s First Lien Leverage Ratio, a net leverage calculation, as defined in the Restated Credit Agreement.</w:t>
      </w:r>
    </w:p>
    <w:p>
      <w:pPr>
        <w:spacing w:after="0" w:line="261" w:lineRule="exact"/>
        <w:rPr>
          <w:sz w:val="20"/>
          <w:szCs w:val="20"/>
          <w:color w:val="auto"/>
        </w:rPr>
      </w:pPr>
    </w:p>
    <w:p>
      <w:pPr>
        <w:ind w:right="60" w:firstLine="597"/>
        <w:spacing w:after="0" w:line="232" w:lineRule="auto"/>
        <w:rPr>
          <w:sz w:val="20"/>
          <w:szCs w:val="20"/>
          <w:color w:val="auto"/>
        </w:rPr>
      </w:pPr>
      <w:r>
        <w:rPr>
          <w:rFonts w:ascii="Arial" w:cs="Arial" w:eastAsia="Arial" w:hAnsi="Arial"/>
          <w:sz w:val="17"/>
          <w:szCs w:val="17"/>
          <w:color w:val="auto"/>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w:t>
      </w:r>
    </w:p>
    <w:p>
      <w:pPr>
        <w:spacing w:after="0" w:line="188" w:lineRule="exact"/>
        <w:rPr>
          <w:sz w:val="20"/>
          <w:szCs w:val="20"/>
          <w:color w:val="auto"/>
        </w:rPr>
      </w:pPr>
    </w:p>
    <w:p>
      <w:pPr>
        <w:jc w:val="both"/>
        <w:ind w:right="120" w:firstLine="597"/>
        <w:spacing w:after="0" w:line="247" w:lineRule="auto"/>
        <w:rPr>
          <w:sz w:val="20"/>
          <w:szCs w:val="20"/>
          <w:color w:val="auto"/>
        </w:rPr>
      </w:pPr>
      <w:r>
        <w:rPr>
          <w:rFonts w:ascii="Arial" w:cs="Arial" w:eastAsia="Arial" w:hAnsi="Arial"/>
          <w:sz w:val="17"/>
          <w:szCs w:val="17"/>
          <w:color w:val="auto"/>
        </w:rPr>
        <w:t>As of March 31, 2022, we have borrowings under the Restated Credit Agreement of $1,121,365 consisting of the Term Loan B, which amortizes over the loan period, with a final maturity date of May 17, 2028. We have no outstanding borrowings under our Revolving Credit Facility as of March 31, 2022.</w:t>
      </w:r>
    </w:p>
    <w:p>
      <w:pPr>
        <w:spacing w:after="0" w:line="180" w:lineRule="exact"/>
        <w:rPr>
          <w:sz w:val="20"/>
          <w:szCs w:val="20"/>
          <w:color w:val="auto"/>
        </w:rPr>
      </w:pPr>
    </w:p>
    <w:p>
      <w:pPr>
        <w:ind w:right="80" w:firstLine="597"/>
        <w:spacing w:after="0" w:line="250" w:lineRule="auto"/>
        <w:rPr>
          <w:sz w:val="20"/>
          <w:szCs w:val="20"/>
          <w:color w:val="auto"/>
        </w:rPr>
      </w:pPr>
      <w:r>
        <w:rPr>
          <w:rFonts w:ascii="Arial" w:cs="Arial" w:eastAsia="Arial" w:hAnsi="Arial"/>
          <w:sz w:val="17"/>
          <w:szCs w:val="17"/>
          <w:color w:val="auto"/>
        </w:rPr>
        <w:t>As of March 31, 2022, the weighted-average interest rate on outstanding borrowings under the Restated Credit Agreement was 4.50%, inclusive of interest rate swap rates. We are also required to pay a commitment fee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27" w:name="page28"/>
    <w:bookmarkEnd w:id="27"/>
    <w:p>
      <w:pPr>
        <w:ind w:right="40"/>
        <w:spacing w:after="0" w:line="250" w:lineRule="auto"/>
        <w:rPr>
          <w:sz w:val="20"/>
          <w:szCs w:val="20"/>
          <w:color w:val="auto"/>
        </w:rPr>
      </w:pPr>
      <w:r>
        <w:rPr>
          <w:rFonts w:ascii="Arial" w:cs="Arial" w:eastAsia="Arial" w:hAnsi="Arial"/>
          <w:sz w:val="17"/>
          <w:szCs w:val="17"/>
          <w:color w:val="auto"/>
        </w:rPr>
        <w:t>for our Revolving Credit Facility on unused balances of 0.35% to 0.45% depending on our First Lien Leverage Ratio. We have pledged the assets and/or share capital of a number of our subsidiaries as collateral for our debt as of March 31, 2022.</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Unsecured Notes</w:t>
      </w:r>
    </w:p>
    <w:p>
      <w:pPr>
        <w:spacing w:after="0" w:line="221" w:lineRule="exact"/>
        <w:rPr>
          <w:sz w:val="20"/>
          <w:szCs w:val="20"/>
          <w:color w:val="auto"/>
        </w:rPr>
      </w:pPr>
    </w:p>
    <w:p>
      <w:pPr>
        <w:ind w:firstLine="597"/>
        <w:spacing w:after="0" w:line="247" w:lineRule="auto"/>
        <w:rPr>
          <w:sz w:val="20"/>
          <w:szCs w:val="20"/>
          <w:color w:val="auto"/>
        </w:rPr>
      </w:pPr>
      <w:r>
        <w:rPr>
          <w:rFonts w:ascii="Arial" w:cs="Arial" w:eastAsia="Arial" w:hAnsi="Arial"/>
          <w:sz w:val="17"/>
          <w:szCs w:val="17"/>
          <w:color w:val="auto"/>
        </w:rPr>
        <w:t>We have issued $ 600,000 in aggregate principal of 7.0% Senior Notes due 2026 (the "2026 Notes"), which are unsecured. We can redeem some or all of the 2026 Notes at the redemption prices specified in the indenture that governs the 2026 Notes, plus accrued and unpaid interest to, but not including, the redemption date. As of March 31, 2022, we have not redeemed any of the 2026 Notes.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Debt</w:t>
      </w:r>
    </w:p>
    <w:p>
      <w:pPr>
        <w:spacing w:after="0" w:line="208" w:lineRule="exact"/>
        <w:rPr>
          <w:sz w:val="20"/>
          <w:szCs w:val="20"/>
          <w:color w:val="auto"/>
        </w:rPr>
      </w:pPr>
    </w:p>
    <w:p>
      <w:pPr>
        <w:ind w:right="40" w:firstLine="597"/>
        <w:spacing w:after="0" w:line="250" w:lineRule="auto"/>
        <w:rPr>
          <w:sz w:val="20"/>
          <w:szCs w:val="20"/>
          <w:color w:val="auto"/>
        </w:rPr>
      </w:pPr>
      <w:r>
        <w:rPr>
          <w:rFonts w:ascii="Arial" w:cs="Arial" w:eastAsia="Arial" w:hAnsi="Arial"/>
          <w:sz w:val="17"/>
          <w:szCs w:val="17"/>
          <w:color w:val="auto"/>
        </w:rPr>
        <w:t>Other debt consists primarily of term loans acquired through our various acquisitions or used to fund certain capital investments. As of March 31, 2022 and June 30, 2021, we had $9,285 and $12,835, respectively, outstanding for those obligations that are payable through March 2027.</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185" w:lineRule="exact"/>
        <w:rPr>
          <w:sz w:val="20"/>
          <w:szCs w:val="20"/>
          <w:color w:val="auto"/>
        </w:rPr>
      </w:pPr>
    </w:p>
    <w:p>
      <w:pPr>
        <w:ind w:right="80" w:firstLine="597"/>
        <w:spacing w:after="0" w:line="245" w:lineRule="auto"/>
        <w:rPr>
          <w:sz w:val="20"/>
          <w:szCs w:val="20"/>
          <w:color w:val="auto"/>
        </w:rPr>
      </w:pPr>
      <w:r>
        <w:rPr>
          <w:rFonts w:ascii="Arial" w:cs="Arial" w:eastAsia="Arial" w:hAnsi="Arial"/>
          <w:sz w:val="17"/>
          <w:szCs w:val="17"/>
          <w:color w:val="auto"/>
        </w:rPr>
        <w:t>Our income tax expense was $29,529 and $56,208 for the three and nine months ended March 31, 2022, respectively, as compared to $3,927 and $23,675 for the three and nine months ended March 31, 2021, respectively. During the current quarter, we recorded a partial valuation allowance on Swiss deferred tax assets of $29,600 primarily related to Swiss tax reform benefits recognized in fiscal 2020 that we no longer expect to fully realize. Excluding the effect of discrete tax adjustments, our estimated annual effective tax rate is higher for fiscal 2022 as compared to fiscal 2021 primarily due to a less favorable mix of earnings. Our effective tax rate continues to be negatively impacted by losses in certain jurisdictions where we are unable to recognize a tax benefit in the current period.</w:t>
      </w:r>
    </w:p>
    <w:p>
      <w:pPr>
        <w:spacing w:after="0" w:line="221" w:lineRule="exact"/>
        <w:rPr>
          <w:sz w:val="20"/>
          <w:szCs w:val="20"/>
          <w:color w:val="auto"/>
        </w:rPr>
      </w:pPr>
    </w:p>
    <w:p>
      <w:pPr>
        <w:ind w:right="260" w:firstLine="597"/>
        <w:spacing w:after="0" w:line="266" w:lineRule="auto"/>
        <w:rPr>
          <w:sz w:val="20"/>
          <w:szCs w:val="20"/>
          <w:color w:val="auto"/>
        </w:rPr>
      </w:pPr>
      <w:r>
        <w:rPr>
          <w:rFonts w:ascii="Arial" w:cs="Arial" w:eastAsia="Arial" w:hAnsi="Arial"/>
          <w:sz w:val="16"/>
          <w:szCs w:val="16"/>
          <w:color w:val="auto"/>
        </w:rPr>
        <w:t>As of March 31, 2022 we had unrecognized tax benefits of $14,454, including accrued interest and penalties of $1,316. We recognize interest and, if applicable, penalties related to unrecognized tax benefits in the provision for income taxes. If recognized, $7,896 of unrecognized tax benefits would reduce our tax expense. It is reasonably possible that a reduction in unrecognized tax benefits may occur within the next twelve months in the range of $300 to $350 related to the lapse of applicable statutes of limitations. We believe we have appropriately provided for all tax uncertainties.</w:t>
      </w:r>
    </w:p>
    <w:p>
      <w:pPr>
        <w:spacing w:after="0" w:line="180" w:lineRule="exact"/>
        <w:rPr>
          <w:sz w:val="20"/>
          <w:szCs w:val="20"/>
          <w:color w:val="auto"/>
        </w:rPr>
      </w:pPr>
    </w:p>
    <w:p>
      <w:pPr>
        <w:ind w:right="200" w:firstLine="597"/>
        <w:spacing w:after="0" w:line="245" w:lineRule="auto"/>
        <w:rPr>
          <w:sz w:val="20"/>
          <w:szCs w:val="20"/>
          <w:color w:val="auto"/>
        </w:rPr>
      </w:pPr>
      <w:r>
        <w:rPr>
          <w:rFonts w:ascii="Arial" w:cs="Arial" w:eastAsia="Arial" w:hAnsi="Arial"/>
          <w:sz w:val="17"/>
          <w:szCs w:val="17"/>
          <w:color w:val="auto"/>
        </w:rPr>
        <w:t>We conduct business in a number of tax jurisdictions and, as such, are required to file income tax returns in multiple jurisdictions globally. The years 2015 through 2021 remain open for examination by the U.S. Internal Revenue Service and the years 2015 through 2021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Noncontrolling Interest</w:t>
      </w:r>
    </w:p>
    <w:p>
      <w:pPr>
        <w:spacing w:after="0" w:line="198" w:lineRule="exact"/>
        <w:rPr>
          <w:sz w:val="20"/>
          <w:szCs w:val="20"/>
          <w:color w:val="auto"/>
        </w:rPr>
      </w:pPr>
    </w:p>
    <w:p>
      <w:pPr>
        <w:ind w:right="360" w:firstLine="597"/>
        <w:spacing w:after="0" w:line="250" w:lineRule="auto"/>
        <w:rPr>
          <w:sz w:val="20"/>
          <w:szCs w:val="20"/>
          <w:color w:val="auto"/>
        </w:rPr>
      </w:pPr>
      <w:r>
        <w:rPr>
          <w:rFonts w:ascii="Arial" w:cs="Arial" w:eastAsia="Arial" w:hAnsi="Arial"/>
          <w:sz w:val="17"/>
          <w:szCs w:val="17"/>
          <w:color w:val="auto"/>
        </w:rPr>
        <w:t>For some of our subsidiaries, we own a controlling equity stake, and a third party or key member of the business' management team owns a minority portion of the equity.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PrintBrothers</w:t>
      </w:r>
    </w:p>
    <w:p>
      <w:pPr>
        <w:spacing w:after="0" w:line="196" w:lineRule="exact"/>
        <w:rPr>
          <w:sz w:val="20"/>
          <w:szCs w:val="20"/>
          <w:color w:val="auto"/>
        </w:rPr>
      </w:pPr>
    </w:p>
    <w:p>
      <w:pPr>
        <w:ind w:firstLine="597"/>
        <w:spacing w:after="0" w:line="245" w:lineRule="auto"/>
        <w:rPr>
          <w:sz w:val="20"/>
          <w:szCs w:val="20"/>
          <w:color w:val="auto"/>
        </w:rPr>
      </w:pPr>
      <w:r>
        <w:rPr>
          <w:rFonts w:ascii="Arial" w:cs="Arial" w:eastAsia="Arial" w:hAnsi="Arial"/>
          <w:sz w:val="17"/>
          <w:szCs w:val="17"/>
          <w:color w:val="auto"/>
        </w:rPr>
        <w:t>Members of the PrintBrothers management team hold a minority equity interest ranging from 11% to 12% in each of the three businesses within the segment. The put options associated with the redeemable noncontrolling interest have annual exercise windows for 90% of their minority equity interest to Cimpress in each quarter ending in December. The first window occurred in the second quarter of fiscal 2022 and no options were exercised. If the put options are exercised, then Cimpress may redeem the remaining 10% minority equity interest concurrently with the put option exercise or on the first, second, or third anniversary of the put option exercise. Cimpress has call options for the full amount of the minority equity interest with the first exercise window occurring during the second quarter of fiscal year 2027.</w:t>
      </w:r>
    </w:p>
    <w:p>
      <w:pPr>
        <w:spacing w:after="0" w:line="159" w:lineRule="exact"/>
        <w:rPr>
          <w:sz w:val="20"/>
          <w:szCs w:val="20"/>
          <w:color w:val="auto"/>
        </w:rPr>
      </w:pPr>
    </w:p>
    <w:p>
      <w:pPr>
        <w:ind w:right="140" w:firstLine="597"/>
        <w:spacing w:after="0" w:line="245" w:lineRule="auto"/>
        <w:rPr>
          <w:sz w:val="20"/>
          <w:szCs w:val="20"/>
          <w:color w:val="auto"/>
        </w:rPr>
      </w:pPr>
      <w:r>
        <w:rPr>
          <w:rFonts w:ascii="Arial" w:cs="Arial" w:eastAsia="Arial" w:hAnsi="Arial"/>
          <w:sz w:val="17"/>
          <w:szCs w:val="17"/>
          <w:color w:val="auto"/>
        </w:rPr>
        <w:t>During the nine months ended March 31, 2022, the redemption value of two PrintBrothers businesses increased above their carrying value due to strong financial performance during the current fiscal year as well as the lapping of a period where performance was more severely impacted by the pandemic. The increased redemption value resulted in an adjustment to redeemable noncontrolling interest of $45,072. We recognized $43,824 of the offsetting amount within retained earnings to accrete the carrying value up to redemption value for the amount which the noncontrolling interests' redemption values were below fair values. One of the noncontrolling interest's fair value exceeded its redemption value by $1,248; therefore this portion of the redeemable noncontrolling interest adjustment was recorded to net income attributable to noncontrolling interest in the consolidated statement of operations for the three and nine months ended March 31, 2022.</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the reconciliation of changes in our redeemable noncontrolling interests:</w:t>
      </w:r>
    </w:p>
    <w:p>
      <w:pPr>
        <w:spacing w:after="0" w:line="10" w:lineRule="exact"/>
        <w:rPr>
          <w:sz w:val="20"/>
          <w:szCs w:val="20"/>
          <w:color w:val="auto"/>
        </w:rPr>
      </w:pPr>
    </w:p>
    <w:p>
      <w:pPr>
        <w:jc w:val="right"/>
        <w:ind w:right="380"/>
        <w:spacing w:after="0"/>
        <w:rPr>
          <w:sz w:val="20"/>
          <w:szCs w:val="20"/>
          <w:color w:val="auto"/>
        </w:rPr>
      </w:pPr>
      <w:r>
        <w:rPr>
          <w:rFonts w:ascii="Arial" w:cs="Arial" w:eastAsia="Arial" w:hAnsi="Arial"/>
          <w:sz w:val="12"/>
          <w:szCs w:val="12"/>
          <w:b w:val="1"/>
          <w:bCs w:val="1"/>
          <w:color w:val="auto"/>
        </w:rPr>
        <w:t>Redeemable</w:t>
      </w:r>
    </w:p>
    <w:p>
      <w:pPr>
        <w:jc w:val="right"/>
        <w:ind w:right="360"/>
        <w:spacing w:after="0"/>
        <w:rPr>
          <w:sz w:val="20"/>
          <w:szCs w:val="20"/>
          <w:color w:val="auto"/>
        </w:rPr>
      </w:pPr>
      <w:r>
        <w:rPr>
          <w:rFonts w:ascii="Arial" w:cs="Arial" w:eastAsia="Arial" w:hAnsi="Arial"/>
          <w:sz w:val="12"/>
          <w:szCs w:val="12"/>
          <w:b w:val="1"/>
          <w:bCs w:val="1"/>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5839460</wp:posOffset>
            </wp:positionH>
            <wp:positionV relativeFrom="paragraph">
              <wp:posOffset>10795</wp:posOffset>
            </wp:positionV>
            <wp:extent cx="128778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7780" cy="7620"/>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p>
      <w:pPr>
        <w:spacing w:after="0" w:line="4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Balance as of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27240" cy="1263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7240" cy="126365"/>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Acquisition of noncontrolling interest (1)</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Accretion to redemption value recognized in retained earnings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27240" cy="1263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7240" cy="126365"/>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Accretion to redemption value recognized in net income attributable to noncontrolling interest (2)</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27240" cy="126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7240" cy="126365"/>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Distribution to noncontrolling interest</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Purchase of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27240" cy="126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7240" cy="126365"/>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Foreign currency translation</w:t>
      </w:r>
    </w:p>
    <w:p>
      <w:pPr>
        <w:spacing w:after="0" w:line="6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Balance as of March 31, 2022 (3)</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900" w:hanging="891"/>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71,120</w:t>
      </w:r>
    </w:p>
    <w:p>
      <w:pPr>
        <w:spacing w:after="0" w:line="26"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5"/>
          <w:szCs w:val="15"/>
          <w:color w:val="auto"/>
        </w:rPr>
        <w:t>4,453</w:t>
      </w:r>
    </w:p>
    <w:p>
      <w:pPr>
        <w:spacing w:after="0" w:line="27"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43,824</w:t>
      </w:r>
    </w:p>
    <w:p>
      <w:pPr>
        <w:spacing w:after="0" w:line="27"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1,248</w:t>
      </w:r>
    </w:p>
    <w:p>
      <w:pPr>
        <w:spacing w:after="0" w:line="27" w:lineRule="exact"/>
        <w:rPr>
          <w:sz w:val="20"/>
          <w:szCs w:val="20"/>
          <w:color w:val="auto"/>
        </w:rPr>
      </w:pPr>
    </w:p>
    <w:p>
      <w:pPr>
        <w:jc w:val="right"/>
        <w:ind w:right="80"/>
        <w:spacing w:after="0"/>
        <w:rPr>
          <w:sz w:val="20"/>
          <w:szCs w:val="20"/>
          <w:color w:val="auto"/>
        </w:rPr>
      </w:pPr>
      <w:r>
        <w:rPr>
          <w:rFonts w:ascii="Arial" w:cs="Arial" w:eastAsia="Arial" w:hAnsi="Arial"/>
          <w:sz w:val="15"/>
          <w:szCs w:val="15"/>
          <w:color w:val="auto"/>
        </w:rPr>
        <w:t>5,027</w:t>
      </w:r>
    </w:p>
    <w:p>
      <w:pPr>
        <w:spacing w:after="0" w:line="2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(3,963)</w:t>
      </w:r>
    </w:p>
    <w:p>
      <w:pPr>
        <w:spacing w:after="0" w:line="2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(52)</w:t>
      </w:r>
    </w:p>
    <w:p>
      <w:pPr>
        <w:spacing w:after="0" w:line="27"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(1,823)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7620</wp:posOffset>
            </wp:positionV>
            <wp:extent cx="128778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7780" cy="7620"/>
                    </a:xfrm>
                    <a:prstGeom prst="rect">
                      <a:avLst/>
                    </a:prstGeom>
                    <a:noFill/>
                  </pic:spPr>
                </pic:pic>
              </a:graphicData>
            </a:graphic>
          </wp:anchor>
        </w:drawing>
      </w:r>
    </w:p>
    <w:p>
      <w:pPr>
        <w:spacing w:after="0" w:line="19" w:lineRule="exact"/>
        <w:rPr>
          <w:sz w:val="20"/>
          <w:szCs w:val="20"/>
          <w:color w:val="auto"/>
        </w:rPr>
      </w:pPr>
    </w:p>
    <w:p>
      <w:pPr>
        <w:ind w:left="820" w:hanging="811"/>
        <w:spacing w:after="0"/>
        <w:tabs>
          <w:tab w:leader="none" w:pos="8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119,834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7620</wp:posOffset>
            </wp:positionV>
            <wp:extent cx="128778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7780" cy="7620"/>
                    </a:xfrm>
                    <a:prstGeom prst="rect">
                      <a:avLst/>
                    </a:prstGeom>
                    <a:noFill/>
                  </pic:spPr>
                </pic:pic>
              </a:graphicData>
            </a:graphic>
          </wp:anchor>
        </w:drawing>
        <w:drawing>
          <wp:anchor simplePos="0" relativeHeight="251657728" behindDoc="1" locked="0" layoutInCell="0" allowOverlap="1">
            <wp:simplePos x="0" y="0"/>
            <wp:positionH relativeFrom="column">
              <wp:posOffset>-383540</wp:posOffset>
            </wp:positionH>
            <wp:positionV relativeFrom="paragraph">
              <wp:posOffset>31750</wp:posOffset>
            </wp:positionV>
            <wp:extent cx="128778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7780" cy="7620"/>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9080" w:space="720"/>
            <w:col w:w="1440"/>
          </w:cols>
          <w:pgMar w:left="320" w:top="828" w:right="339" w:bottom="1440" w:gutter="0" w:footer="0" w:header="0"/>
          <w:type w:val="continuous"/>
        </w:sectPr>
      </w:pPr>
    </w:p>
    <w:p>
      <w:pPr>
        <w:ind w:left="220" w:right="260" w:hanging="220"/>
        <w:spacing w:after="0" w:line="256" w:lineRule="auto"/>
        <w:tabs>
          <w:tab w:leader="none" w:pos="195" w:val="left"/>
        </w:tabs>
        <w:numPr>
          <w:ilvl w:val="0"/>
          <w:numId w:val="16"/>
        </w:numPr>
        <w:rPr>
          <w:rFonts w:ascii="Arial" w:cs="Arial" w:eastAsia="Arial" w:hAnsi="Arial"/>
          <w:sz w:val="13"/>
          <w:szCs w:val="13"/>
          <w:color w:val="auto"/>
        </w:rPr>
      </w:pPr>
      <w:r>
        <w:rPr>
          <w:rFonts w:ascii="Arial" w:cs="Arial" w:eastAsia="Arial" w:hAnsi="Arial"/>
          <w:sz w:val="13"/>
          <w:szCs w:val="13"/>
          <w:color w:val="auto"/>
        </w:rPr>
        <w:t>On January 21, 2022, we completed a transaction that resulted in our acquisition of a 75% interest in a company that is included in the PrintBrothers reportable segment. The remaining 25% is considered a redeemable noncontrolling interest which was recognized at fair value as of the acquisition date.</w:t>
      </w:r>
    </w:p>
    <w:p>
      <w:pPr>
        <w:spacing w:after="0" w:line="54" w:lineRule="exact"/>
        <w:rPr>
          <w:rFonts w:ascii="Arial" w:cs="Arial" w:eastAsia="Arial" w:hAnsi="Arial"/>
          <w:sz w:val="13"/>
          <w:szCs w:val="13"/>
          <w:color w:val="auto"/>
        </w:rPr>
      </w:pPr>
    </w:p>
    <w:p>
      <w:pPr>
        <w:ind w:left="220" w:right="40" w:hanging="220"/>
        <w:spacing w:after="0" w:line="248" w:lineRule="auto"/>
        <w:tabs>
          <w:tab w:leader="none" w:pos="195" w:val="left"/>
        </w:tabs>
        <w:numPr>
          <w:ilvl w:val="0"/>
          <w:numId w:val="16"/>
        </w:numPr>
        <w:rPr>
          <w:rFonts w:ascii="Arial" w:cs="Arial" w:eastAsia="Arial" w:hAnsi="Arial"/>
          <w:sz w:val="13"/>
          <w:szCs w:val="13"/>
          <w:color w:val="auto"/>
        </w:rPr>
      </w:pPr>
      <w:r>
        <w:rPr>
          <w:rFonts w:ascii="Arial" w:cs="Arial" w:eastAsia="Arial" w:hAnsi="Arial"/>
          <w:sz w:val="13"/>
          <w:szCs w:val="13"/>
          <w:color w:val="auto"/>
        </w:rPr>
        <w:t>Accretion of redeemable noncontrolling interests to redemption value recognized in retained earnings is the result of the estimated redemption amount being greater than carrying value but less than fair value. Accretion recognized in net income attributable to noncontrolling interest is the result of the estimated redemption value being greater than both the carrying and fair value. Refer above for additional details.</w:t>
      </w:r>
    </w:p>
    <w:p>
      <w:pPr>
        <w:spacing w:after="0" w:line="71" w:lineRule="exact"/>
        <w:rPr>
          <w:rFonts w:ascii="Arial" w:cs="Arial" w:eastAsia="Arial" w:hAnsi="Arial"/>
          <w:sz w:val="13"/>
          <w:szCs w:val="13"/>
          <w:color w:val="auto"/>
        </w:rPr>
      </w:pPr>
    </w:p>
    <w:p>
      <w:pPr>
        <w:ind w:left="200" w:hanging="200"/>
        <w:spacing w:after="0"/>
        <w:tabs>
          <w:tab w:leader="none" w:pos="2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 addition to those described above, we have several immaterial noncontrolling interests across a number of our businesses.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Segment Information</w:t>
      </w:r>
    </w:p>
    <w:p>
      <w:pPr>
        <w:spacing w:after="0" w:line="198" w:lineRule="exact"/>
        <w:rPr>
          <w:sz w:val="20"/>
          <w:szCs w:val="20"/>
          <w:color w:val="auto"/>
        </w:rPr>
      </w:pPr>
    </w:p>
    <w:p>
      <w:pPr>
        <w:jc w:val="both"/>
        <w:ind w:right="200" w:firstLine="597"/>
        <w:spacing w:after="0" w:line="247" w:lineRule="auto"/>
        <w:rPr>
          <w:sz w:val="20"/>
          <w:szCs w:val="20"/>
          <w:color w:val="auto"/>
        </w:rPr>
      </w:pPr>
      <w:r>
        <w:rPr>
          <w:rFonts w:ascii="Arial" w:cs="Arial" w:eastAsia="Arial" w:hAnsi="Arial"/>
          <w:sz w:val="17"/>
          <w:szCs w:val="17"/>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type w:val="continuous"/>
        </w:sectPr>
      </w:pPr>
    </w:p>
    <w:bookmarkStart w:id="29" w:name="page30"/>
    <w:bookmarkEnd w:id="29"/>
    <w:p>
      <w:pPr>
        <w:ind w:right="40" w:firstLine="597"/>
        <w:spacing w:after="0" w:line="250" w:lineRule="auto"/>
        <w:rPr>
          <w:sz w:val="20"/>
          <w:szCs w:val="20"/>
          <w:color w:val="auto"/>
        </w:rPr>
      </w:pPr>
      <w:r>
        <w:rPr>
          <w:rFonts w:ascii="Arial" w:cs="Arial" w:eastAsia="Arial" w:hAnsi="Arial"/>
          <w:sz w:val="17"/>
          <w:szCs w:val="17"/>
          <w:color w:val="auto"/>
        </w:rPr>
        <w:t>As of March 31, 2022, we have numerous operating segments under our management reporting structure which are reported in the following five reportable segments:</w:t>
      </w:r>
    </w:p>
    <w:p>
      <w:pPr>
        <w:spacing w:after="0" w:line="160" w:lineRule="exact"/>
        <w:rPr>
          <w:sz w:val="20"/>
          <w:szCs w:val="20"/>
          <w:color w:val="auto"/>
        </w:rPr>
      </w:pPr>
    </w:p>
    <w:p>
      <w:pPr>
        <w:ind w:left="600" w:right="120" w:hanging="302"/>
        <w:spacing w:after="0" w:line="253"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Vista - </w:t>
      </w:r>
      <w:r>
        <w:rPr>
          <w:rFonts w:ascii="Arial" w:cs="Arial" w:eastAsia="Arial" w:hAnsi="Arial"/>
          <w:sz w:val="17"/>
          <w:szCs w:val="17"/>
          <w:color w:val="auto"/>
        </w:rPr>
        <w:t>Vista is the parent brand of multiple offerings including VistaPrint, VistaCreate, 99designs by Vista, and Vista Corporate Solutions, which</w:t>
      </w:r>
      <w:r>
        <w:rPr>
          <w:rFonts w:ascii="Arial" w:cs="Arial" w:eastAsia="Arial" w:hAnsi="Arial"/>
          <w:sz w:val="17"/>
          <w:szCs w:val="17"/>
          <w:i w:val="1"/>
          <w:iCs w:val="1"/>
          <w:color w:val="auto"/>
        </w:rPr>
        <w:t xml:space="preserve"> </w:t>
      </w:r>
      <w:r>
        <w:rPr>
          <w:rFonts w:ascii="Arial" w:cs="Arial" w:eastAsia="Arial" w:hAnsi="Arial"/>
          <w:sz w:val="17"/>
          <w:szCs w:val="17"/>
          <w:color w:val="auto"/>
        </w:rPr>
        <w:t>together represent a full-service design, digital and print solution, elevating small businesses’ presence in physical and digital spaces and empowering them to achieve success. This segment also includes our recently acquired Depositphotos business, whose subsidiary, Crello, was rebranded to VistaCreate soon after the acquisition.</w:t>
      </w:r>
    </w:p>
    <w:p>
      <w:pPr>
        <w:spacing w:after="0" w:line="146" w:lineRule="exact"/>
        <w:rPr>
          <w:rFonts w:ascii="Arial" w:cs="Arial" w:eastAsia="Arial" w:hAnsi="Arial"/>
          <w:sz w:val="17"/>
          <w:szCs w:val="17"/>
          <w:color w:val="auto"/>
        </w:rPr>
      </w:pPr>
    </w:p>
    <w:p>
      <w:pPr>
        <w:ind w:left="600" w:hanging="30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PrintBrothers </w:t>
      </w:r>
      <w:r>
        <w:rPr>
          <w:rFonts w:ascii="Arial" w:cs="Arial" w:eastAsia="Arial" w:hAnsi="Arial"/>
          <w:sz w:val="17"/>
          <w:szCs w:val="17"/>
          <w:color w:val="auto"/>
        </w:rPr>
        <w:t>- Includes the results of our druck.at, Printdeal, and WIRmachenDRUCK businesses.</w:t>
      </w:r>
    </w:p>
    <w:p>
      <w:pPr>
        <w:spacing w:after="0" w:line="190" w:lineRule="exact"/>
        <w:rPr>
          <w:rFonts w:ascii="Arial" w:cs="Arial" w:eastAsia="Arial" w:hAnsi="Arial"/>
          <w:sz w:val="17"/>
          <w:szCs w:val="17"/>
          <w:color w:val="auto"/>
        </w:rPr>
      </w:pPr>
    </w:p>
    <w:p>
      <w:pPr>
        <w:ind w:left="600" w:hanging="30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The Print Group </w:t>
      </w:r>
      <w:r>
        <w:rPr>
          <w:rFonts w:ascii="Arial" w:cs="Arial" w:eastAsia="Arial" w:hAnsi="Arial"/>
          <w:sz w:val="17"/>
          <w:szCs w:val="17"/>
          <w:color w:val="auto"/>
        </w:rPr>
        <w:t>- Includes the results of our Easyflyer, Exaprint, Pixartprinting, and Tradeprint businesses.</w:t>
      </w:r>
    </w:p>
    <w:p>
      <w:pPr>
        <w:spacing w:after="0" w:line="190" w:lineRule="exact"/>
        <w:rPr>
          <w:rFonts w:ascii="Arial" w:cs="Arial" w:eastAsia="Arial" w:hAnsi="Arial"/>
          <w:sz w:val="17"/>
          <w:szCs w:val="17"/>
          <w:color w:val="auto"/>
        </w:rPr>
      </w:pPr>
    </w:p>
    <w:p>
      <w:pPr>
        <w:ind w:left="600" w:right="320" w:hanging="302"/>
        <w:spacing w:after="0" w:line="272"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National Pen </w:t>
      </w:r>
      <w:r>
        <w:rPr>
          <w:rFonts w:ascii="Arial" w:cs="Arial" w:eastAsia="Arial" w:hAnsi="Arial"/>
          <w:sz w:val="17"/>
          <w:szCs w:val="17"/>
          <w:color w:val="auto"/>
        </w:rPr>
        <w:t>- Includes the global operations of our National Pen business, which manufactures and markets custom writing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promotional products, apparel and gifts.</w:t>
      </w:r>
    </w:p>
    <w:p>
      <w:pPr>
        <w:spacing w:after="0" w:line="129" w:lineRule="exact"/>
        <w:rPr>
          <w:rFonts w:ascii="Arial" w:cs="Arial" w:eastAsia="Arial" w:hAnsi="Arial"/>
          <w:sz w:val="17"/>
          <w:szCs w:val="17"/>
          <w:color w:val="auto"/>
        </w:rPr>
      </w:pPr>
    </w:p>
    <w:p>
      <w:pPr>
        <w:ind w:left="600" w:right="60" w:hanging="302"/>
        <w:spacing w:after="0" w:line="280" w:lineRule="auto"/>
        <w:tabs>
          <w:tab w:leader="none" w:pos="596"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All Other Businesses </w:t>
      </w:r>
      <w:r>
        <w:rPr>
          <w:rFonts w:ascii="Arial" w:cs="Arial" w:eastAsia="Arial" w:hAnsi="Arial"/>
          <w:sz w:val="16"/>
          <w:szCs w:val="16"/>
          <w:color w:val="auto"/>
        </w:rPr>
        <w:t>- Includes a collection of businesses grouped together based on materiality. In addition to BuildASign, which is a larger and</w:t>
      </w:r>
      <w:r>
        <w:rPr>
          <w:rFonts w:ascii="Arial" w:cs="Arial" w:eastAsia="Arial" w:hAnsi="Arial"/>
          <w:sz w:val="16"/>
          <w:szCs w:val="16"/>
          <w:i w:val="1"/>
          <w:iCs w:val="1"/>
          <w:color w:val="auto"/>
        </w:rPr>
        <w:t xml:space="preserve"> </w:t>
      </w:r>
      <w:r>
        <w:rPr>
          <w:rFonts w:ascii="Arial" w:cs="Arial" w:eastAsia="Arial" w:hAnsi="Arial"/>
          <w:sz w:val="16"/>
          <w:szCs w:val="16"/>
          <w:color w:val="auto"/>
        </w:rPr>
        <w:t>profitable business, the All Other Businesses reportable segment consists of two smaller businesses that we continue to manage at a relatively modest operating loss and a recently acquired company that provides production expertise and sells into a growing product category.</w:t>
      </w:r>
    </w:p>
    <w:p>
      <w:pPr>
        <w:spacing w:after="0" w:line="21" w:lineRule="exact"/>
        <w:rPr>
          <w:rFonts w:ascii="Arial" w:cs="Arial" w:eastAsia="Arial" w:hAnsi="Arial"/>
          <w:sz w:val="16"/>
          <w:szCs w:val="16"/>
          <w:i w:val="1"/>
          <w:iCs w:val="1"/>
          <w:color w:val="auto"/>
        </w:rPr>
      </w:pPr>
    </w:p>
    <w:p>
      <w:pPr>
        <w:ind w:left="1200" w:right="160" w:hanging="305"/>
        <w:spacing w:after="0" w:line="250" w:lineRule="auto"/>
        <w:tabs>
          <w:tab w:leader="none" w:pos="1196" w:val="left"/>
        </w:tabs>
        <w:numPr>
          <w:ilvl w:val="1"/>
          <w:numId w:val="17"/>
        </w:numPr>
        <w:rPr>
          <w:rFonts w:ascii="Arial" w:cs="Arial" w:eastAsia="Arial" w:hAnsi="Arial"/>
          <w:sz w:val="17"/>
          <w:szCs w:val="17"/>
          <w:b w:val="1"/>
          <w:bCs w:val="1"/>
          <w:color w:val="auto"/>
        </w:rPr>
      </w:pPr>
      <w:r>
        <w:rPr>
          <w:rFonts w:ascii="Arial" w:cs="Arial" w:eastAsia="Arial" w:hAnsi="Arial"/>
          <w:sz w:val="17"/>
          <w:szCs w:val="17"/>
          <w:color w:val="auto"/>
        </w:rPr>
        <w:t>BuildASign is an internet-based provider of canvas-print wall décor, business signage and other large-format printed products, based in Austin, Texas.</w:t>
      </w:r>
    </w:p>
    <w:p>
      <w:pPr>
        <w:spacing w:after="0" w:line="40" w:lineRule="exact"/>
        <w:rPr>
          <w:rFonts w:ascii="Arial" w:cs="Arial" w:eastAsia="Arial" w:hAnsi="Arial"/>
          <w:sz w:val="17"/>
          <w:szCs w:val="17"/>
          <w:b w:val="1"/>
          <w:bCs w:val="1"/>
          <w:color w:val="auto"/>
        </w:rPr>
      </w:pPr>
    </w:p>
    <w:p>
      <w:pPr>
        <w:ind w:left="1200" w:right="280" w:hanging="305"/>
        <w:spacing w:after="0" w:line="250" w:lineRule="auto"/>
        <w:tabs>
          <w:tab w:leader="none" w:pos="1196" w:val="left"/>
        </w:tabs>
        <w:numPr>
          <w:ilvl w:val="1"/>
          <w:numId w:val="17"/>
        </w:numPr>
        <w:rPr>
          <w:rFonts w:ascii="Arial" w:cs="Arial" w:eastAsia="Arial" w:hAnsi="Arial"/>
          <w:sz w:val="17"/>
          <w:szCs w:val="17"/>
          <w:color w:val="auto"/>
        </w:rPr>
      </w:pPr>
      <w:r>
        <w:rPr>
          <w:rFonts w:ascii="Arial" w:cs="Arial" w:eastAsia="Arial" w:hAnsi="Arial"/>
          <w:sz w:val="17"/>
          <w:szCs w:val="17"/>
          <w:color w:val="auto"/>
        </w:rPr>
        <w:t>Printi is an online printing leader in Brazil, which offers a superior customer experience with transparent and attractive pricing, reliable service and quality.</w:t>
      </w:r>
    </w:p>
    <w:p>
      <w:pPr>
        <w:spacing w:after="0" w:line="40" w:lineRule="exact"/>
        <w:rPr>
          <w:rFonts w:ascii="Arial" w:cs="Arial" w:eastAsia="Arial" w:hAnsi="Arial"/>
          <w:sz w:val="17"/>
          <w:szCs w:val="17"/>
          <w:color w:val="auto"/>
        </w:rPr>
      </w:pPr>
    </w:p>
    <w:p>
      <w:pPr>
        <w:ind w:left="1200" w:right="240" w:hanging="305"/>
        <w:spacing w:after="0" w:line="247" w:lineRule="auto"/>
        <w:tabs>
          <w:tab w:leader="none" w:pos="1196" w:val="left"/>
        </w:tabs>
        <w:numPr>
          <w:ilvl w:val="1"/>
          <w:numId w:val="17"/>
        </w:numPr>
        <w:rPr>
          <w:rFonts w:ascii="Arial" w:cs="Arial" w:eastAsia="Arial" w:hAnsi="Arial"/>
          <w:sz w:val="17"/>
          <w:szCs w:val="17"/>
          <w:color w:val="auto"/>
        </w:rPr>
      </w:pPr>
      <w:r>
        <w:rPr>
          <w:rFonts w:ascii="Arial" w:cs="Arial" w:eastAsia="Arial" w:hAnsi="Arial"/>
          <w:sz w:val="17"/>
          <w:szCs w:val="17"/>
          <w:color w:val="auto"/>
        </w:rPr>
        <w:t>YSD is a startup operation that provides end-to-end mass customization solutions to brands and intellectual property owners in China, supporting multiple channels including retail stores, websites, WeChat and e-commerce platforms to enhance brand awareness and competitiveness and develop new markets.</w:t>
      </w:r>
    </w:p>
    <w:p>
      <w:pPr>
        <w:spacing w:after="0" w:line="180" w:lineRule="exact"/>
        <w:rPr>
          <w:sz w:val="20"/>
          <w:szCs w:val="20"/>
          <w:color w:val="auto"/>
        </w:rPr>
      </w:pPr>
    </w:p>
    <w:p>
      <w:pPr>
        <w:ind w:right="160" w:firstLine="597"/>
        <w:spacing w:after="0" w:line="24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84" w:lineRule="exact"/>
        <w:rPr>
          <w:sz w:val="20"/>
          <w:szCs w:val="20"/>
          <w:color w:val="auto"/>
        </w:rPr>
      </w:pPr>
    </w:p>
    <w:p>
      <w:pPr>
        <w:ind w:right="100" w:firstLine="597"/>
        <w:spacing w:after="0" w:line="246" w:lineRule="auto"/>
        <w:rPr>
          <w:sz w:val="20"/>
          <w:szCs w:val="20"/>
          <w:color w:val="auto"/>
        </w:rPr>
      </w:pPr>
      <w:r>
        <w:rPr>
          <w:rFonts w:ascii="Arial" w:cs="Arial" w:eastAsia="Arial" w:hAnsi="Arial"/>
          <w:sz w:val="17"/>
          <w:szCs w:val="17"/>
          <w:color w:val="auto"/>
        </w:rPr>
        <w:t>The expense value of our PSU awards is based on a Monte Carlo fair value analysis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w:t>
      </w:r>
    </w:p>
    <w:p>
      <w:pPr>
        <w:spacing w:after="0" w:line="169" w:lineRule="exact"/>
        <w:rPr>
          <w:sz w:val="20"/>
          <w:szCs w:val="20"/>
          <w:color w:val="auto"/>
        </w:rPr>
      </w:pPr>
    </w:p>
    <w:p>
      <w:pPr>
        <w:ind w:firstLine="597"/>
        <w:spacing w:after="0" w:line="245" w:lineRule="auto"/>
        <w:rPr>
          <w:sz w:val="20"/>
          <w:szCs w:val="20"/>
          <w:color w:val="auto"/>
        </w:rPr>
      </w:pPr>
      <w:r>
        <w:rPr>
          <w:rFonts w:ascii="Arial" w:cs="Arial" w:eastAsia="Arial" w:hAnsi="Arial"/>
          <w:sz w:val="17"/>
          <w:szCs w:val="17"/>
          <w:color w:val="auto"/>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spacing w:after="0" w:line="184" w:lineRule="exact"/>
        <w:rPr>
          <w:sz w:val="20"/>
          <w:szCs w:val="20"/>
          <w:color w:val="auto"/>
        </w:rPr>
      </w:pPr>
    </w:p>
    <w:p>
      <w:pPr>
        <w:jc w:val="both"/>
        <w:ind w:right="540" w:firstLine="597"/>
        <w:spacing w:after="0" w:line="247" w:lineRule="auto"/>
        <w:rPr>
          <w:sz w:val="20"/>
          <w:szCs w:val="20"/>
          <w:color w:val="auto"/>
        </w:rPr>
      </w:pPr>
      <w:r>
        <w:rPr>
          <w:rFonts w:ascii="Arial" w:cs="Arial" w:eastAsia="Arial" w:hAnsi="Arial"/>
          <w:sz w:val="17"/>
          <w:szCs w:val="17"/>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0" w:name="page31"/>
    <w:bookmarkEnd w:id="30"/>
    <w:p>
      <w:pPr>
        <w:jc w:val="both"/>
        <w:ind w:right="440" w:firstLine="597"/>
        <w:spacing w:after="0" w:line="280" w:lineRule="auto"/>
        <w:rPr>
          <w:sz w:val="20"/>
          <w:szCs w:val="20"/>
          <w:color w:val="auto"/>
        </w:rPr>
      </w:pPr>
      <w:r>
        <w:rPr>
          <w:rFonts w:ascii="Arial" w:cs="Arial" w:eastAsia="Arial" w:hAnsi="Arial"/>
          <w:sz w:val="16"/>
          <w:szCs w:val="16"/>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2"/>
                <w:szCs w:val="12"/>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767"/>
              <w:spacing w:after="0"/>
              <w:rPr>
                <w:sz w:val="20"/>
                <w:szCs w:val="20"/>
                <w:color w:val="auto"/>
              </w:rPr>
            </w:pPr>
            <w:r>
              <w:rPr>
                <w:rFonts w:ascii="Arial" w:cs="Arial" w:eastAsia="Arial" w:hAnsi="Arial"/>
                <w:sz w:val="12"/>
                <w:szCs w:val="12"/>
                <w:b w:val="1"/>
                <w:bCs w:val="1"/>
                <w:color w:val="auto"/>
              </w:rPr>
              <w:t>Nine Months Ended March 31,</w:t>
            </w:r>
          </w:p>
        </w:tc>
      </w:tr>
      <w:tr>
        <w:trPr>
          <w:trHeight w:val="157"/>
        </w:trPr>
        <w:tc>
          <w:tcPr>
            <w:tcW w:w="44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29"/>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2021</w:t>
            </w: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6"/>
        </w:trPr>
        <w:tc>
          <w:tcPr>
            <w:tcW w:w="4480" w:type="dxa"/>
            <w:vAlign w:val="bottom"/>
          </w:tcPr>
          <w:p>
            <w:pPr>
              <w:ind w:left="320"/>
              <w:spacing w:after="0"/>
              <w:rPr>
                <w:sz w:val="20"/>
                <w:szCs w:val="20"/>
                <w:color w:val="auto"/>
              </w:rPr>
            </w:pPr>
            <w:r>
              <w:rPr>
                <w:rFonts w:ascii="Arial" w:cs="Arial" w:eastAsia="Arial" w:hAnsi="Arial"/>
                <w:sz w:val="15"/>
                <w:szCs w:val="15"/>
                <w:color w:val="auto"/>
              </w:rPr>
              <w:t>Vista (1)</w:t>
            </w:r>
          </w:p>
        </w:tc>
        <w:tc>
          <w:tcPr>
            <w:tcW w:w="980" w:type="dxa"/>
            <w:vAlign w:val="bottom"/>
          </w:tcPr>
          <w:p>
            <w:pPr>
              <w:jc w:val="right"/>
              <w:ind w:right="814"/>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349,216</w:t>
            </w:r>
          </w:p>
        </w:tc>
        <w:tc>
          <w:tcPr>
            <w:tcW w:w="100" w:type="dxa"/>
            <w:vAlign w:val="bottom"/>
          </w:tcPr>
          <w:p>
            <w:pPr>
              <w:spacing w:after="0"/>
              <w:rPr>
                <w:sz w:val="17"/>
                <w:szCs w:val="17"/>
                <w:color w:val="auto"/>
              </w:rPr>
            </w:pPr>
          </w:p>
        </w:tc>
        <w:tc>
          <w:tcPr>
            <w:tcW w:w="980" w:type="dxa"/>
            <w:vAlign w:val="bottom"/>
          </w:tcPr>
          <w:p>
            <w:pPr>
              <w:jc w:val="right"/>
              <w:ind w:right="811"/>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5"/>
              <w:spacing w:after="0"/>
              <w:rPr>
                <w:sz w:val="20"/>
                <w:szCs w:val="20"/>
                <w:color w:val="auto"/>
              </w:rPr>
            </w:pPr>
            <w:r>
              <w:rPr>
                <w:rFonts w:ascii="Arial" w:cs="Arial" w:eastAsia="Arial" w:hAnsi="Arial"/>
                <w:sz w:val="15"/>
                <w:szCs w:val="15"/>
                <w:color w:val="auto"/>
                <w:w w:val="99"/>
              </w:rPr>
              <w:t>321,965</w:t>
            </w:r>
          </w:p>
        </w:tc>
        <w:tc>
          <w:tcPr>
            <w:tcW w:w="80" w:type="dxa"/>
            <w:vAlign w:val="bottom"/>
          </w:tcPr>
          <w:p>
            <w:pPr>
              <w:spacing w:after="0"/>
              <w:rPr>
                <w:sz w:val="17"/>
                <w:szCs w:val="17"/>
                <w:color w:val="auto"/>
              </w:rPr>
            </w:pPr>
          </w:p>
        </w:tc>
        <w:tc>
          <w:tcPr>
            <w:tcW w:w="400" w:type="dxa"/>
            <w:vAlign w:val="bottom"/>
          </w:tcPr>
          <w:p>
            <w:pPr>
              <w:jc w:val="right"/>
              <w:ind w:right="225"/>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9"/>
              <w:spacing w:after="0"/>
              <w:rPr>
                <w:sz w:val="20"/>
                <w:szCs w:val="20"/>
                <w:color w:val="auto"/>
              </w:rPr>
            </w:pPr>
            <w:r>
              <w:rPr>
                <w:rFonts w:ascii="Arial" w:cs="Arial" w:eastAsia="Arial" w:hAnsi="Arial"/>
                <w:sz w:val="15"/>
                <w:szCs w:val="15"/>
                <w:color w:val="auto"/>
              </w:rPr>
              <w:t>1,146,810</w:t>
            </w:r>
          </w:p>
        </w:tc>
        <w:tc>
          <w:tcPr>
            <w:tcW w:w="80" w:type="dxa"/>
            <w:vAlign w:val="bottom"/>
          </w:tcPr>
          <w:p>
            <w:pPr>
              <w:spacing w:after="0"/>
              <w:rPr>
                <w:sz w:val="17"/>
                <w:szCs w:val="17"/>
                <w:color w:val="auto"/>
              </w:rPr>
            </w:pPr>
          </w:p>
        </w:tc>
        <w:tc>
          <w:tcPr>
            <w:tcW w:w="400" w:type="dxa"/>
            <w:vAlign w:val="bottom"/>
          </w:tcPr>
          <w:p>
            <w:pPr>
              <w:jc w:val="right"/>
              <w:ind w:right="225"/>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1,082,332</w:t>
            </w:r>
          </w:p>
        </w:tc>
      </w:tr>
      <w:tr>
        <w:trPr>
          <w:trHeight w:val="202"/>
        </w:trPr>
        <w:tc>
          <w:tcPr>
            <w:tcW w:w="4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PrintBrothers</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119,960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93,997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383,011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315,915</w:t>
            </w:r>
          </w:p>
        </w:tc>
      </w:tr>
      <w:tr>
        <w:trPr>
          <w:trHeight w:val="196"/>
        </w:trPr>
        <w:tc>
          <w:tcPr>
            <w:tcW w:w="4480" w:type="dxa"/>
            <w:vAlign w:val="bottom"/>
          </w:tcPr>
          <w:p>
            <w:pPr>
              <w:ind w:left="320"/>
              <w:spacing w:after="0"/>
              <w:rPr>
                <w:sz w:val="20"/>
                <w:szCs w:val="20"/>
                <w:color w:val="auto"/>
              </w:rPr>
            </w:pPr>
            <w:r>
              <w:rPr>
                <w:rFonts w:ascii="Arial" w:cs="Arial" w:eastAsia="Arial" w:hAnsi="Arial"/>
                <w:sz w:val="15"/>
                <w:szCs w:val="15"/>
                <w:color w:val="auto"/>
              </w:rPr>
              <w:t>The Print Group</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75,361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jc w:val="right"/>
              <w:ind w:right="5"/>
              <w:spacing w:after="0"/>
              <w:rPr>
                <w:sz w:val="20"/>
                <w:szCs w:val="20"/>
                <w:color w:val="auto"/>
              </w:rPr>
            </w:pPr>
            <w:r>
              <w:rPr>
                <w:rFonts w:ascii="Arial" w:cs="Arial" w:eastAsia="Arial" w:hAnsi="Arial"/>
                <w:sz w:val="15"/>
                <w:szCs w:val="15"/>
                <w:color w:val="auto"/>
              </w:rPr>
              <w:t>59,945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Arial" w:cs="Arial" w:eastAsia="Arial" w:hAnsi="Arial"/>
                <w:sz w:val="15"/>
                <w:szCs w:val="15"/>
                <w:color w:val="auto"/>
              </w:rPr>
              <w:t>238,311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202,586</w:t>
            </w:r>
          </w:p>
        </w:tc>
      </w:tr>
      <w:tr>
        <w:trPr>
          <w:trHeight w:val="202"/>
        </w:trPr>
        <w:tc>
          <w:tcPr>
            <w:tcW w:w="4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National Pen</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72,243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62,220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266,224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244,561</w:t>
            </w:r>
          </w:p>
        </w:tc>
      </w:tr>
      <w:tr>
        <w:trPr>
          <w:trHeight w:val="196"/>
        </w:trPr>
        <w:tc>
          <w:tcPr>
            <w:tcW w:w="44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All Other Businesses</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48,486</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44,062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154,076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142,905</w:t>
            </w:r>
          </w:p>
        </w:tc>
      </w:tr>
      <w:tr>
        <w:trPr>
          <w:trHeight w:val="194"/>
        </w:trPr>
        <w:tc>
          <w:tcPr>
            <w:tcW w:w="448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 segment revenue</w:t>
            </w: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665,266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9"/>
              </w:rPr>
              <w:t>582,189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2,188,432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1,988,299</w:t>
            </w:r>
          </w:p>
        </w:tc>
      </w:tr>
      <w:tr>
        <w:trPr>
          <w:trHeight w:val="196"/>
        </w:trPr>
        <w:tc>
          <w:tcPr>
            <w:tcW w:w="44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Inter-segment eliminations (2)</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(7,854)</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(8,827)</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(23,705)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(47,533)</w:t>
            </w:r>
          </w:p>
        </w:tc>
      </w:tr>
      <w:tr>
        <w:trPr>
          <w:trHeight w:val="219"/>
        </w:trPr>
        <w:tc>
          <w:tcPr>
            <w:tcW w:w="4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Total consolidated revenue</w:t>
            </w: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657,412</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9"/>
              </w:rPr>
              <w:t>573,362</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2,164,727</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1,940,766</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w:t>
      </w:r>
    </w:p>
    <w:p>
      <w:pPr>
        <w:spacing w:after="0" w:line="58" w:lineRule="exact"/>
        <w:rPr>
          <w:sz w:val="20"/>
          <w:szCs w:val="20"/>
          <w:color w:val="auto"/>
        </w:rPr>
      </w:pPr>
    </w:p>
    <w:p>
      <w:pPr>
        <w:ind w:left="220" w:right="180" w:hanging="220"/>
        <w:spacing w:after="0" w:line="238" w:lineRule="auto"/>
        <w:tabs>
          <w:tab w:leader="none" w:pos="195" w:val="left"/>
        </w:tabs>
        <w:numPr>
          <w:ilvl w:val="0"/>
          <w:numId w:val="18"/>
        </w:numPr>
        <w:rPr>
          <w:rFonts w:ascii="Arial" w:cs="Arial" w:eastAsia="Arial" w:hAnsi="Arial"/>
          <w:sz w:val="13"/>
          <w:szCs w:val="13"/>
          <w:color w:val="auto"/>
        </w:rPr>
      </w:pPr>
      <w:r>
        <w:rPr>
          <w:rFonts w:ascii="Arial" w:cs="Arial" w:eastAsia="Arial" w:hAnsi="Arial"/>
          <w:sz w:val="13"/>
          <w:szCs w:val="13"/>
          <w:color w:val="auto"/>
        </w:rPr>
        <w:t>During the first quarter of fiscal year 2022, we identified an immaterial error and revised our previously reported results to decrease Vista segment revenue by $5,489 and $10,730 for the three and nine months ended March 31, 2022. Refer to Note 2 for additional details.</w:t>
      </w:r>
    </w:p>
    <w:p>
      <w:pPr>
        <w:spacing w:after="0" w:line="39" w:lineRule="exact"/>
        <w:rPr>
          <w:rFonts w:ascii="Arial" w:cs="Arial" w:eastAsia="Arial" w:hAnsi="Arial"/>
          <w:sz w:val="13"/>
          <w:szCs w:val="13"/>
          <w:color w:val="auto"/>
        </w:rPr>
      </w:pPr>
    </w:p>
    <w:p>
      <w:pPr>
        <w:ind w:left="220" w:right="60" w:hanging="220"/>
        <w:spacing w:after="0" w:line="248" w:lineRule="auto"/>
        <w:tabs>
          <w:tab w:leader="none" w:pos="195"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Refer to the "Revenue by Geographic Region" tables below for detail of the inter-segment revenue within each respective segment. The decrease of inter-segment eliminations is the result of significant cross-business transactions during the three and nine months ended March 31, 2022 associated with the fulfillment of masks in response to the pandemic. Demand for this product was far lower in the current periods.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rPr>
              <w:t>Three Months Ended March 31, 2022</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57"/>
        </w:trPr>
        <w:tc>
          <w:tcPr>
            <w:tcW w:w="3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Vista</w:t>
            </w:r>
          </w:p>
        </w:tc>
        <w:tc>
          <w:tcPr>
            <w:tcW w:w="16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National Pen</w:t>
            </w:r>
          </w:p>
        </w:tc>
        <w:tc>
          <w:tcPr>
            <w:tcW w:w="22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60" w:type="dxa"/>
            <w:vAlign w:val="bottom"/>
          </w:tcPr>
          <w:p>
            <w:pPr>
              <w:spacing w:after="0"/>
              <w:rPr>
                <w:sz w:val="13"/>
                <w:szCs w:val="13"/>
                <w:color w:val="auto"/>
              </w:rPr>
            </w:pPr>
          </w:p>
        </w:tc>
        <w:tc>
          <w:tcPr>
            <w:tcW w:w="880" w:type="dxa"/>
            <w:vAlign w:val="bottom"/>
          </w:tcPr>
          <w:p>
            <w:pPr>
              <w:jc w:val="right"/>
              <w:ind w:right="347"/>
              <w:spacing w:after="0"/>
              <w:rPr>
                <w:sz w:val="20"/>
                <w:szCs w:val="20"/>
                <w:color w:val="auto"/>
              </w:rPr>
            </w:pPr>
            <w:r>
              <w:rPr>
                <w:rFonts w:ascii="Arial" w:cs="Arial" w:eastAsia="Arial" w:hAnsi="Arial"/>
                <w:sz w:val="12"/>
                <w:szCs w:val="12"/>
                <w:b w:val="1"/>
                <w:bCs w:val="1"/>
                <w:color w:val="auto"/>
              </w:rPr>
              <w:t>Total</w:t>
            </w:r>
          </w:p>
        </w:tc>
      </w:tr>
      <w:tr>
        <w:trPr>
          <w:trHeight w:val="18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 by Geographic Region:</w:t>
            </w: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196"/>
        </w:trPr>
        <w:tc>
          <w:tcPr>
            <w:tcW w:w="3900" w:type="dxa"/>
            <w:vAlign w:val="bottom"/>
          </w:tcPr>
          <w:p>
            <w:pPr>
              <w:ind w:left="20"/>
              <w:spacing w:after="0"/>
              <w:rPr>
                <w:sz w:val="20"/>
                <w:szCs w:val="20"/>
                <w:color w:val="auto"/>
              </w:rPr>
            </w:pPr>
            <w:r>
              <w:rPr>
                <w:rFonts w:ascii="Arial" w:cs="Arial" w:eastAsia="Arial" w:hAnsi="Arial"/>
                <w:sz w:val="15"/>
                <w:szCs w:val="15"/>
                <w:color w:val="auto"/>
              </w:rPr>
              <w:t>North America</w:t>
            </w:r>
          </w:p>
        </w:tc>
        <w:tc>
          <w:tcPr>
            <w:tcW w:w="28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236,751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43,483</w:t>
            </w:r>
          </w:p>
        </w:tc>
        <w:tc>
          <w:tcPr>
            <w:tcW w:w="100" w:type="dxa"/>
            <w:vAlign w:val="bottom"/>
          </w:tcPr>
          <w:p>
            <w:pPr>
              <w:spacing w:after="0"/>
              <w:rPr>
                <w:sz w:val="17"/>
                <w:szCs w:val="17"/>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42,047</w:t>
            </w:r>
          </w:p>
        </w:tc>
        <w:tc>
          <w:tcPr>
            <w:tcW w:w="100" w:type="dxa"/>
            <w:vAlign w:val="bottom"/>
          </w:tcPr>
          <w:p>
            <w:pPr>
              <w:spacing w:after="0"/>
              <w:rPr>
                <w:sz w:val="17"/>
                <w:szCs w:val="17"/>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322,281</w:t>
            </w:r>
          </w:p>
        </w:tc>
      </w:tr>
      <w:tr>
        <w:trPr>
          <w:trHeight w:val="202"/>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Europe</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119,353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21,876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293,250</w:t>
            </w:r>
          </w:p>
        </w:tc>
      </w:tr>
      <w:tr>
        <w:trPr>
          <w:trHeight w:val="196"/>
        </w:trPr>
        <w:tc>
          <w:tcPr>
            <w:tcW w:w="3900" w:type="dxa"/>
            <w:vAlign w:val="bottom"/>
          </w:tcPr>
          <w:p>
            <w:pPr>
              <w:ind w:left="20"/>
              <w:spacing w:after="0"/>
              <w:rPr>
                <w:sz w:val="20"/>
                <w:szCs w:val="20"/>
                <w:color w:val="auto"/>
              </w:rPr>
            </w:pPr>
            <w:r>
              <w:rPr>
                <w:rFonts w:ascii="Arial" w:cs="Arial" w:eastAsia="Arial" w:hAnsi="Arial"/>
                <w:sz w:val="15"/>
                <w:szCs w:val="15"/>
                <w:color w:val="auto"/>
              </w:rPr>
              <w:t>Other</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32,779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5,361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41,881</w:t>
            </w:r>
          </w:p>
        </w:tc>
      </w:tr>
      <w:tr>
        <w:trPr>
          <w:trHeight w:val="199"/>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Inter-segment</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607</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7,854</w:t>
            </w:r>
          </w:p>
        </w:tc>
      </w:tr>
      <w:tr>
        <w:trPr>
          <w:trHeight w:val="192"/>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Total segment revenue</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349,216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119,960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75,361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72,243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48,486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665,266</w:t>
            </w:r>
          </w:p>
        </w:tc>
      </w:tr>
      <w:tr>
        <w:trPr>
          <w:trHeight w:val="192"/>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inter-segment elimination</w:t>
            </w: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(7,854)</w:t>
            </w:r>
          </w:p>
        </w:tc>
      </w:tr>
      <w:tr>
        <w:trPr>
          <w:trHeight w:val="194"/>
        </w:trPr>
        <w:tc>
          <w:tcPr>
            <w:tcW w:w="3900" w:type="dxa"/>
            <w:vAlign w:val="bottom"/>
          </w:tcPr>
          <w:p>
            <w:pPr>
              <w:ind w:left="20"/>
              <w:spacing w:after="0"/>
              <w:rPr>
                <w:sz w:val="20"/>
                <w:szCs w:val="20"/>
                <w:color w:val="auto"/>
              </w:rPr>
            </w:pPr>
            <w:r>
              <w:rPr>
                <w:rFonts w:ascii="Arial" w:cs="Arial" w:eastAsia="Arial" w:hAnsi="Arial"/>
                <w:sz w:val="15"/>
                <w:szCs w:val="15"/>
                <w:color w:val="auto"/>
              </w:rPr>
              <w:t>Total external revenue</w:t>
            </w:r>
          </w:p>
        </w:tc>
        <w:tc>
          <w:tcPr>
            <w:tcW w:w="40" w:type="dxa"/>
            <w:vAlign w:val="bottom"/>
          </w:tcPr>
          <w:p>
            <w:pPr>
              <w:spacing w:after="0"/>
              <w:rPr>
                <w:sz w:val="16"/>
                <w:szCs w:val="16"/>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347,666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119,353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73,885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69,100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47,408</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657,412</w:t>
            </w:r>
          </w:p>
        </w:tc>
      </w:tr>
      <w:tr>
        <w:trPr>
          <w:trHeight w:val="20"/>
        </w:trPr>
        <w:tc>
          <w:tcPr>
            <w:tcW w:w="3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6"/>
        </w:trPr>
        <w:tc>
          <w:tcPr>
            <w:tcW w:w="39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rPr>
              <w:t>Nine Months Ended March 31, 2022</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157"/>
        </w:trPr>
        <w:tc>
          <w:tcPr>
            <w:tcW w:w="3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6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National Pen</w:t>
            </w:r>
          </w:p>
        </w:tc>
        <w:tc>
          <w:tcPr>
            <w:tcW w:w="22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60" w:type="dxa"/>
            <w:vAlign w:val="bottom"/>
          </w:tcPr>
          <w:p>
            <w:pPr>
              <w:spacing w:after="0"/>
              <w:rPr>
                <w:sz w:val="13"/>
                <w:szCs w:val="13"/>
                <w:color w:val="auto"/>
              </w:rPr>
            </w:pPr>
          </w:p>
        </w:tc>
        <w:tc>
          <w:tcPr>
            <w:tcW w:w="880" w:type="dxa"/>
            <w:vAlign w:val="bottom"/>
          </w:tcPr>
          <w:p>
            <w:pPr>
              <w:jc w:val="right"/>
              <w:ind w:right="347"/>
              <w:spacing w:after="0"/>
              <w:rPr>
                <w:sz w:val="20"/>
                <w:szCs w:val="20"/>
                <w:color w:val="auto"/>
              </w:rPr>
            </w:pPr>
            <w:r>
              <w:rPr>
                <w:rFonts w:ascii="Arial" w:cs="Arial" w:eastAsia="Arial" w:hAnsi="Arial"/>
                <w:sz w:val="12"/>
                <w:szCs w:val="12"/>
                <w:b w:val="1"/>
                <w:bCs w:val="1"/>
                <w:color w:val="auto"/>
              </w:rPr>
              <w:t>Total</w:t>
            </w:r>
          </w:p>
        </w:tc>
      </w:tr>
      <w:tr>
        <w:trPr>
          <w:trHeight w:val="18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 by Geographic Region:</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196"/>
        </w:trPr>
        <w:tc>
          <w:tcPr>
            <w:tcW w:w="3900" w:type="dxa"/>
            <w:vAlign w:val="bottom"/>
          </w:tcPr>
          <w:p>
            <w:pPr>
              <w:ind w:left="20"/>
              <w:spacing w:after="0"/>
              <w:rPr>
                <w:sz w:val="20"/>
                <w:szCs w:val="20"/>
                <w:color w:val="auto"/>
              </w:rPr>
            </w:pPr>
            <w:r>
              <w:rPr>
                <w:rFonts w:ascii="Arial" w:cs="Arial" w:eastAsia="Arial" w:hAnsi="Arial"/>
                <w:sz w:val="15"/>
                <w:szCs w:val="15"/>
                <w:color w:val="auto"/>
              </w:rPr>
              <w:t>North America</w:t>
            </w:r>
          </w:p>
        </w:tc>
        <w:tc>
          <w:tcPr>
            <w:tcW w:w="280" w:type="dxa"/>
            <w:vAlign w:val="bottom"/>
            <w:gridSpan w:val="2"/>
          </w:tcPr>
          <w:p>
            <w:pPr>
              <w:jc w:val="right"/>
              <w:ind w:right="105"/>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770,815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142,497</w:t>
            </w:r>
          </w:p>
        </w:tc>
        <w:tc>
          <w:tcPr>
            <w:tcW w:w="100" w:type="dxa"/>
            <w:vAlign w:val="bottom"/>
          </w:tcPr>
          <w:p>
            <w:pPr>
              <w:spacing w:after="0"/>
              <w:rPr>
                <w:sz w:val="17"/>
                <w:szCs w:val="17"/>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134,390</w:t>
            </w:r>
          </w:p>
        </w:tc>
        <w:tc>
          <w:tcPr>
            <w:tcW w:w="100" w:type="dxa"/>
            <w:vAlign w:val="bottom"/>
          </w:tcPr>
          <w:p>
            <w:pPr>
              <w:spacing w:after="0"/>
              <w:rPr>
                <w:sz w:val="17"/>
                <w:szCs w:val="17"/>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1,047,702</w:t>
            </w:r>
          </w:p>
        </w:tc>
      </w:tr>
      <w:tr>
        <w:trPr>
          <w:trHeight w:val="202"/>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Europe</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267,296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381,654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232,636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978,110</w:t>
            </w:r>
          </w:p>
        </w:tc>
      </w:tr>
      <w:tr>
        <w:trPr>
          <w:trHeight w:val="196"/>
        </w:trPr>
        <w:tc>
          <w:tcPr>
            <w:tcW w:w="3900" w:type="dxa"/>
            <w:vAlign w:val="bottom"/>
          </w:tcPr>
          <w:p>
            <w:pPr>
              <w:ind w:left="20"/>
              <w:spacing w:after="0"/>
              <w:rPr>
                <w:sz w:val="20"/>
                <w:szCs w:val="20"/>
                <w:color w:val="auto"/>
              </w:rPr>
            </w:pPr>
            <w:r>
              <w:rPr>
                <w:rFonts w:ascii="Arial" w:cs="Arial" w:eastAsia="Arial" w:hAnsi="Arial"/>
                <w:sz w:val="15"/>
                <w:szCs w:val="15"/>
                <w:color w:val="auto"/>
              </w:rPr>
              <w:t>Other</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105,342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16,503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17,070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138,915</w:t>
            </w:r>
          </w:p>
        </w:tc>
      </w:tr>
      <w:tr>
        <w:trPr>
          <w:trHeight w:val="199"/>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Inter-segment</w:t>
            </w:r>
          </w:p>
        </w:tc>
        <w:tc>
          <w:tcPr>
            <w:tcW w:w="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23,705</w:t>
            </w:r>
          </w:p>
        </w:tc>
      </w:tr>
      <w:tr>
        <w:trPr>
          <w:trHeight w:val="192"/>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Total segment revenue</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1,146,810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383,011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238,311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266,224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154,076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2,188,432</w:t>
            </w:r>
          </w:p>
        </w:tc>
      </w:tr>
      <w:tr>
        <w:trPr>
          <w:trHeight w:val="192"/>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inter-segment elimination</w:t>
            </w:r>
          </w:p>
        </w:tc>
        <w:tc>
          <w:tcPr>
            <w:tcW w:w="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(10,700)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(23,705)</w:t>
            </w:r>
          </w:p>
        </w:tc>
      </w:tr>
      <w:tr>
        <w:trPr>
          <w:trHeight w:val="194"/>
        </w:trPr>
        <w:tc>
          <w:tcPr>
            <w:tcW w:w="3900" w:type="dxa"/>
            <w:vAlign w:val="bottom"/>
          </w:tcPr>
          <w:p>
            <w:pPr>
              <w:ind w:left="20"/>
              <w:spacing w:after="0"/>
              <w:rPr>
                <w:sz w:val="20"/>
                <w:szCs w:val="20"/>
                <w:color w:val="auto"/>
              </w:rPr>
            </w:pPr>
            <w:r>
              <w:rPr>
                <w:rFonts w:ascii="Arial" w:cs="Arial" w:eastAsia="Arial" w:hAnsi="Arial"/>
                <w:sz w:val="15"/>
                <w:szCs w:val="15"/>
                <w:color w:val="auto"/>
              </w:rPr>
              <w:t>Total external revenue</w:t>
            </w:r>
          </w:p>
        </w:tc>
        <w:tc>
          <w:tcPr>
            <w:tcW w:w="28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1,143,453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381,654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232,636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255,524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151,460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2,164,727</w:t>
            </w:r>
          </w:p>
        </w:tc>
      </w:tr>
      <w:tr>
        <w:trPr>
          <w:trHeight w:val="20"/>
        </w:trPr>
        <w:tc>
          <w:tcPr>
            <w:tcW w:w="3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b w:val="1"/>
                <w:bCs w:val="1"/>
                <w:color w:val="auto"/>
              </w:rPr>
              <w:t>Three Months Ended March 31, 2021</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57"/>
        </w:trPr>
        <w:tc>
          <w:tcPr>
            <w:tcW w:w="3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Vista</w:t>
            </w:r>
          </w:p>
        </w:tc>
        <w:tc>
          <w:tcPr>
            <w:tcW w:w="16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National Pen</w:t>
            </w:r>
          </w:p>
        </w:tc>
        <w:tc>
          <w:tcPr>
            <w:tcW w:w="22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60" w:type="dxa"/>
            <w:vAlign w:val="bottom"/>
          </w:tcPr>
          <w:p>
            <w:pPr>
              <w:spacing w:after="0"/>
              <w:rPr>
                <w:sz w:val="13"/>
                <w:szCs w:val="13"/>
                <w:color w:val="auto"/>
              </w:rPr>
            </w:pPr>
          </w:p>
        </w:tc>
        <w:tc>
          <w:tcPr>
            <w:tcW w:w="880" w:type="dxa"/>
            <w:vAlign w:val="bottom"/>
          </w:tcPr>
          <w:p>
            <w:pPr>
              <w:jc w:val="right"/>
              <w:ind w:right="347"/>
              <w:spacing w:after="0"/>
              <w:rPr>
                <w:sz w:val="20"/>
                <w:szCs w:val="20"/>
                <w:color w:val="auto"/>
              </w:rPr>
            </w:pPr>
            <w:r>
              <w:rPr>
                <w:rFonts w:ascii="Arial" w:cs="Arial" w:eastAsia="Arial" w:hAnsi="Arial"/>
                <w:sz w:val="12"/>
                <w:szCs w:val="12"/>
                <w:b w:val="1"/>
                <w:bCs w:val="1"/>
                <w:color w:val="auto"/>
              </w:rPr>
              <w:t>Total</w:t>
            </w:r>
          </w:p>
        </w:tc>
      </w:tr>
      <w:tr>
        <w:trPr>
          <w:trHeight w:val="18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 by Geographic Region:</w:t>
            </w: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196"/>
        </w:trPr>
        <w:tc>
          <w:tcPr>
            <w:tcW w:w="3900" w:type="dxa"/>
            <w:vAlign w:val="bottom"/>
          </w:tcPr>
          <w:p>
            <w:pPr>
              <w:ind w:left="20"/>
              <w:spacing w:after="0"/>
              <w:rPr>
                <w:sz w:val="20"/>
                <w:szCs w:val="20"/>
                <w:color w:val="auto"/>
              </w:rPr>
            </w:pPr>
            <w:r>
              <w:rPr>
                <w:rFonts w:ascii="Arial" w:cs="Arial" w:eastAsia="Arial" w:hAnsi="Arial"/>
                <w:sz w:val="15"/>
                <w:szCs w:val="15"/>
                <w:color w:val="auto"/>
              </w:rPr>
              <w:t>North America</w:t>
            </w:r>
          </w:p>
        </w:tc>
        <w:tc>
          <w:tcPr>
            <w:tcW w:w="280" w:type="dxa"/>
            <w:vAlign w:val="bottom"/>
            <w:gridSpan w:val="2"/>
          </w:tcPr>
          <w:p>
            <w:pPr>
              <w:jc w:val="right"/>
              <w:ind w:right="65"/>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214,663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33,398</w:t>
            </w:r>
          </w:p>
        </w:tc>
        <w:tc>
          <w:tcPr>
            <w:tcW w:w="100" w:type="dxa"/>
            <w:vAlign w:val="bottom"/>
          </w:tcPr>
          <w:p>
            <w:pPr>
              <w:spacing w:after="0"/>
              <w:rPr>
                <w:sz w:val="17"/>
                <w:szCs w:val="17"/>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39,407</w:t>
            </w:r>
          </w:p>
        </w:tc>
        <w:tc>
          <w:tcPr>
            <w:tcW w:w="100" w:type="dxa"/>
            <w:vAlign w:val="bottom"/>
          </w:tcPr>
          <w:p>
            <w:pPr>
              <w:spacing w:after="0"/>
              <w:rPr>
                <w:sz w:val="17"/>
                <w:szCs w:val="17"/>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287,468</w:t>
            </w:r>
          </w:p>
        </w:tc>
      </w:tr>
      <w:tr>
        <w:trPr>
          <w:trHeight w:val="202"/>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Europe</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73,524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93,831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244,622</w:t>
            </w:r>
          </w:p>
        </w:tc>
      </w:tr>
      <w:tr>
        <w:trPr>
          <w:trHeight w:val="196"/>
        </w:trPr>
        <w:tc>
          <w:tcPr>
            <w:tcW w:w="3900" w:type="dxa"/>
            <w:vAlign w:val="bottom"/>
          </w:tcPr>
          <w:p>
            <w:pPr>
              <w:ind w:left="20"/>
              <w:spacing w:after="0"/>
              <w:rPr>
                <w:sz w:val="20"/>
                <w:szCs w:val="20"/>
                <w:color w:val="auto"/>
              </w:rPr>
            </w:pPr>
            <w:r>
              <w:rPr>
                <w:rFonts w:ascii="Arial" w:cs="Arial" w:eastAsia="Arial" w:hAnsi="Arial"/>
                <w:sz w:val="15"/>
                <w:szCs w:val="15"/>
                <w:color w:val="auto"/>
              </w:rPr>
              <w:t>Other</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33,167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4,012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41,272</w:t>
            </w:r>
          </w:p>
        </w:tc>
      </w:tr>
      <w:tr>
        <w:trPr>
          <w:trHeight w:val="199"/>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Inter-segment</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5,079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8,827</w:t>
            </w:r>
          </w:p>
        </w:tc>
      </w:tr>
      <w:tr>
        <w:trPr>
          <w:trHeight w:val="192"/>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Total segment revenue</w:t>
            </w: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321,965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93,997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59,945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62,220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44,062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582,189</w:t>
            </w:r>
          </w:p>
        </w:tc>
      </w:tr>
      <w:tr>
        <w:trPr>
          <w:trHeight w:val="192"/>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inter-segment elimination</w:t>
            </w: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(5,079)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(8,827)</w:t>
            </w:r>
          </w:p>
        </w:tc>
      </w:tr>
      <w:tr>
        <w:trPr>
          <w:trHeight w:val="194"/>
        </w:trPr>
        <w:tc>
          <w:tcPr>
            <w:tcW w:w="3900" w:type="dxa"/>
            <w:vAlign w:val="bottom"/>
          </w:tcPr>
          <w:p>
            <w:pPr>
              <w:ind w:left="20"/>
              <w:spacing w:after="0"/>
              <w:rPr>
                <w:sz w:val="20"/>
                <w:szCs w:val="20"/>
                <w:color w:val="auto"/>
              </w:rPr>
            </w:pPr>
            <w:r>
              <w:rPr>
                <w:rFonts w:ascii="Arial" w:cs="Arial" w:eastAsia="Arial" w:hAnsi="Arial"/>
                <w:sz w:val="15"/>
                <w:szCs w:val="15"/>
                <w:color w:val="auto"/>
              </w:rPr>
              <w:t>Total external revenue</w:t>
            </w:r>
          </w:p>
        </w:tc>
        <w:tc>
          <w:tcPr>
            <w:tcW w:w="40" w:type="dxa"/>
            <w:vAlign w:val="bottom"/>
          </w:tcPr>
          <w:p>
            <w:pPr>
              <w:spacing w:after="0"/>
              <w:rPr>
                <w:sz w:val="16"/>
                <w:szCs w:val="16"/>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321,354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93,831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57,536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57,141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43,500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573,362</w:t>
            </w:r>
          </w:p>
        </w:tc>
      </w:tr>
      <w:tr>
        <w:trPr>
          <w:trHeight w:val="20"/>
        </w:trPr>
        <w:tc>
          <w:tcPr>
            <w:tcW w:w="3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06"/>
        </w:trPr>
        <w:tc>
          <w:tcPr>
            <w:tcW w:w="39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rPr>
              <w:t>Nine Months Ended March 31, 2021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57"/>
        </w:trPr>
        <w:tc>
          <w:tcPr>
            <w:tcW w:w="3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6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PrintBrothers</w:t>
            </w:r>
          </w:p>
        </w:tc>
        <w:tc>
          <w:tcPr>
            <w:tcW w:w="1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National Pen</w:t>
            </w:r>
          </w:p>
        </w:tc>
        <w:tc>
          <w:tcPr>
            <w:tcW w:w="22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60" w:type="dxa"/>
            <w:vAlign w:val="bottom"/>
          </w:tcPr>
          <w:p>
            <w:pPr>
              <w:spacing w:after="0"/>
              <w:rPr>
                <w:sz w:val="13"/>
                <w:szCs w:val="13"/>
                <w:color w:val="auto"/>
              </w:rPr>
            </w:pPr>
          </w:p>
        </w:tc>
        <w:tc>
          <w:tcPr>
            <w:tcW w:w="880" w:type="dxa"/>
            <w:vAlign w:val="bottom"/>
          </w:tcPr>
          <w:p>
            <w:pPr>
              <w:jc w:val="right"/>
              <w:ind w:right="347"/>
              <w:spacing w:after="0"/>
              <w:rPr>
                <w:sz w:val="20"/>
                <w:szCs w:val="20"/>
                <w:color w:val="auto"/>
              </w:rPr>
            </w:pPr>
            <w:r>
              <w:rPr>
                <w:rFonts w:ascii="Arial" w:cs="Arial" w:eastAsia="Arial" w:hAnsi="Arial"/>
                <w:sz w:val="12"/>
                <w:szCs w:val="12"/>
                <w:b w:val="1"/>
                <w:bCs w:val="1"/>
                <w:color w:val="auto"/>
              </w:rPr>
              <w:t>Total</w:t>
            </w:r>
          </w:p>
        </w:tc>
      </w:tr>
      <w:tr>
        <w:trPr>
          <w:trHeight w:val="18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 by Geographic Region:</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r>
      <w:tr>
        <w:trPr>
          <w:trHeight w:val="196"/>
        </w:trPr>
        <w:tc>
          <w:tcPr>
            <w:tcW w:w="3900" w:type="dxa"/>
            <w:vAlign w:val="bottom"/>
          </w:tcPr>
          <w:p>
            <w:pPr>
              <w:ind w:left="20"/>
              <w:spacing w:after="0"/>
              <w:rPr>
                <w:sz w:val="20"/>
                <w:szCs w:val="20"/>
                <w:color w:val="auto"/>
              </w:rPr>
            </w:pPr>
            <w:r>
              <w:rPr>
                <w:rFonts w:ascii="Arial" w:cs="Arial" w:eastAsia="Arial" w:hAnsi="Arial"/>
                <w:sz w:val="15"/>
                <w:szCs w:val="15"/>
                <w:color w:val="auto"/>
              </w:rPr>
              <w:t>North America</w:t>
            </w:r>
          </w:p>
        </w:tc>
        <w:tc>
          <w:tcPr>
            <w:tcW w:w="280" w:type="dxa"/>
            <w:vAlign w:val="bottom"/>
            <w:gridSpan w:val="2"/>
          </w:tcPr>
          <w:p>
            <w:pPr>
              <w:jc w:val="right"/>
              <w:ind w:right="105"/>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715,494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112,397</w:t>
            </w:r>
          </w:p>
        </w:tc>
        <w:tc>
          <w:tcPr>
            <w:tcW w:w="100" w:type="dxa"/>
            <w:vAlign w:val="bottom"/>
          </w:tcPr>
          <w:p>
            <w:pPr>
              <w:spacing w:after="0"/>
              <w:rPr>
                <w:sz w:val="17"/>
                <w:szCs w:val="17"/>
                <w:color w:val="auto"/>
              </w:rPr>
            </w:pP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128,013</w:t>
            </w:r>
          </w:p>
        </w:tc>
        <w:tc>
          <w:tcPr>
            <w:tcW w:w="100" w:type="dxa"/>
            <w:vAlign w:val="bottom"/>
          </w:tcPr>
          <w:p>
            <w:pPr>
              <w:spacing w:after="0"/>
              <w:rPr>
                <w:sz w:val="17"/>
                <w:szCs w:val="17"/>
                <w:color w:val="auto"/>
              </w:rPr>
            </w:pPr>
          </w:p>
        </w:tc>
        <w:tc>
          <w:tcPr>
            <w:tcW w:w="260" w:type="dxa"/>
            <w:vAlign w:val="bottom"/>
          </w:tcPr>
          <w:p>
            <w:pPr>
              <w:jc w:val="right"/>
              <w:ind w:right="85"/>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955,904</w:t>
            </w:r>
          </w:p>
        </w:tc>
      </w:tr>
      <w:tr>
        <w:trPr>
          <w:trHeight w:val="202"/>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Europe</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277,649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315,336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187,257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868,155</w:t>
            </w:r>
          </w:p>
        </w:tc>
      </w:tr>
      <w:tr>
        <w:trPr>
          <w:trHeight w:val="196"/>
        </w:trPr>
        <w:tc>
          <w:tcPr>
            <w:tcW w:w="3900" w:type="dxa"/>
            <w:vAlign w:val="bottom"/>
          </w:tcPr>
          <w:p>
            <w:pPr>
              <w:ind w:left="20"/>
              <w:spacing w:after="0"/>
              <w:rPr>
                <w:sz w:val="20"/>
                <w:szCs w:val="20"/>
                <w:color w:val="auto"/>
              </w:rPr>
            </w:pPr>
            <w:r>
              <w:rPr>
                <w:rFonts w:ascii="Arial" w:cs="Arial" w:eastAsia="Arial" w:hAnsi="Arial"/>
                <w:sz w:val="15"/>
                <w:szCs w:val="15"/>
                <w:color w:val="auto"/>
              </w:rPr>
              <w:t>Other</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87,485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16,359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12,863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116,707</w:t>
            </w:r>
          </w:p>
        </w:tc>
      </w:tr>
      <w:tr>
        <w:trPr>
          <w:trHeight w:val="199"/>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Inter-segment</w:t>
            </w:r>
          </w:p>
        </w:tc>
        <w:tc>
          <w:tcPr>
            <w:tcW w:w="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15,329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27,892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47,533</w:t>
            </w:r>
          </w:p>
        </w:tc>
      </w:tr>
      <w:tr>
        <w:trPr>
          <w:trHeight w:val="192"/>
        </w:trPr>
        <w:tc>
          <w:tcPr>
            <w:tcW w:w="39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Total segment revenue</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1,082,332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315,915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202,586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244,561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142,905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1,988,299</w:t>
            </w:r>
          </w:p>
        </w:tc>
      </w:tr>
      <w:tr>
        <w:trPr>
          <w:trHeight w:val="192"/>
        </w:trPr>
        <w:tc>
          <w:tcPr>
            <w:tcW w:w="3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inter-segment elimination</w:t>
            </w:r>
          </w:p>
        </w:tc>
        <w:tc>
          <w:tcPr>
            <w:tcW w:w="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(15,329)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(27,892)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(47,533)</w:t>
            </w:r>
          </w:p>
        </w:tc>
      </w:tr>
      <w:tr>
        <w:trPr>
          <w:trHeight w:val="194"/>
        </w:trPr>
        <w:tc>
          <w:tcPr>
            <w:tcW w:w="3900" w:type="dxa"/>
            <w:vAlign w:val="bottom"/>
          </w:tcPr>
          <w:p>
            <w:pPr>
              <w:ind w:left="20"/>
              <w:spacing w:after="0"/>
              <w:rPr>
                <w:sz w:val="20"/>
                <w:szCs w:val="20"/>
                <w:color w:val="auto"/>
              </w:rPr>
            </w:pPr>
            <w:r>
              <w:rPr>
                <w:rFonts w:ascii="Arial" w:cs="Arial" w:eastAsia="Arial" w:hAnsi="Arial"/>
                <w:sz w:val="15"/>
                <w:szCs w:val="15"/>
                <w:color w:val="auto"/>
              </w:rPr>
              <w:t>Total external revenue</w:t>
            </w:r>
          </w:p>
        </w:tc>
        <w:tc>
          <w:tcPr>
            <w:tcW w:w="28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1,080,628</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315,336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187,257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216,669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140,876</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1,940,766</w:t>
            </w:r>
          </w:p>
        </w:tc>
      </w:tr>
      <w:tr>
        <w:trPr>
          <w:trHeight w:val="20"/>
        </w:trPr>
        <w:tc>
          <w:tcPr>
            <w:tcW w:w="3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includes segment EBITDA by reportable segment, total (loss) income from operations and total (loss) income before income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taxes: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2"/>
                <w:szCs w:val="12"/>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766"/>
              <w:spacing w:after="0"/>
              <w:rPr>
                <w:sz w:val="20"/>
                <w:szCs w:val="20"/>
                <w:color w:val="auto"/>
              </w:rPr>
            </w:pPr>
            <w:r>
              <w:rPr>
                <w:rFonts w:ascii="Arial" w:cs="Arial" w:eastAsia="Arial" w:hAnsi="Arial"/>
                <w:sz w:val="12"/>
                <w:szCs w:val="12"/>
                <w:b w:val="1"/>
                <w:bCs w:val="1"/>
                <w:color w:val="auto"/>
              </w:rPr>
              <w:t>Nine Months Ended March 31,</w:t>
            </w:r>
          </w:p>
        </w:tc>
      </w:tr>
      <w:tr>
        <w:trPr>
          <w:trHeight w:val="157"/>
        </w:trPr>
        <w:tc>
          <w:tcPr>
            <w:tcW w:w="44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2021</w:t>
            </w:r>
          </w:p>
        </w:tc>
      </w:tr>
      <w:tr>
        <w:trPr>
          <w:trHeight w:val="183"/>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Segment EBITDA:</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6"/>
        </w:trPr>
        <w:tc>
          <w:tcPr>
            <w:tcW w:w="4440" w:type="dxa"/>
            <w:vAlign w:val="bottom"/>
          </w:tcPr>
          <w:p>
            <w:pPr>
              <w:ind w:left="320"/>
              <w:spacing w:after="0"/>
              <w:rPr>
                <w:sz w:val="20"/>
                <w:szCs w:val="20"/>
                <w:color w:val="auto"/>
              </w:rPr>
            </w:pPr>
            <w:r>
              <w:rPr>
                <w:rFonts w:ascii="Arial" w:cs="Arial" w:eastAsia="Arial" w:hAnsi="Arial"/>
                <w:sz w:val="15"/>
                <w:szCs w:val="15"/>
                <w:color w:val="auto"/>
              </w:rPr>
              <w:t>Vista</w:t>
            </w:r>
          </w:p>
        </w:tc>
        <w:tc>
          <w:tcPr>
            <w:tcW w:w="980" w:type="dxa"/>
            <w:vAlign w:val="bottom"/>
          </w:tcPr>
          <w:p>
            <w:pPr>
              <w:jc w:val="right"/>
              <w:ind w:right="814"/>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27,386</w:t>
            </w:r>
          </w:p>
        </w:tc>
        <w:tc>
          <w:tcPr>
            <w:tcW w:w="100" w:type="dxa"/>
            <w:vAlign w:val="bottom"/>
          </w:tcPr>
          <w:p>
            <w:pPr>
              <w:spacing w:after="0"/>
              <w:rPr>
                <w:sz w:val="17"/>
                <w:szCs w:val="17"/>
                <w:color w:val="auto"/>
              </w:rPr>
            </w:pPr>
          </w:p>
        </w:tc>
        <w:tc>
          <w:tcPr>
            <w:tcW w:w="1000" w:type="dxa"/>
            <w:vAlign w:val="bottom"/>
          </w:tcPr>
          <w:p>
            <w:pPr>
              <w:jc w:val="right"/>
              <w:ind w:right="831"/>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64,333</w:t>
            </w:r>
          </w:p>
        </w:tc>
        <w:tc>
          <w:tcPr>
            <w:tcW w:w="100" w:type="dxa"/>
            <w:vAlign w:val="bottom"/>
          </w:tcPr>
          <w:p>
            <w:pPr>
              <w:spacing w:after="0"/>
              <w:rPr>
                <w:sz w:val="17"/>
                <w:szCs w:val="17"/>
                <w:color w:val="auto"/>
              </w:rPr>
            </w:pPr>
          </w:p>
        </w:tc>
        <w:tc>
          <w:tcPr>
            <w:tcW w:w="400" w:type="dxa"/>
            <w:vAlign w:val="bottom"/>
          </w:tcPr>
          <w:p>
            <w:pPr>
              <w:jc w:val="right"/>
              <w:ind w:right="225"/>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188,114</w:t>
            </w:r>
          </w:p>
        </w:tc>
        <w:tc>
          <w:tcPr>
            <w:tcW w:w="100" w:type="dxa"/>
            <w:vAlign w:val="bottom"/>
          </w:tcPr>
          <w:p>
            <w:pPr>
              <w:spacing w:after="0"/>
              <w:rPr>
                <w:sz w:val="17"/>
                <w:szCs w:val="17"/>
                <w:color w:val="auto"/>
              </w:rPr>
            </w:pPr>
          </w:p>
        </w:tc>
        <w:tc>
          <w:tcPr>
            <w:tcW w:w="400" w:type="dxa"/>
            <w:vAlign w:val="bottom"/>
          </w:tcPr>
          <w:p>
            <w:pPr>
              <w:jc w:val="right"/>
              <w:ind w:right="225"/>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266,821</w:t>
            </w:r>
          </w:p>
        </w:tc>
      </w:tr>
      <w:tr>
        <w:trPr>
          <w:trHeight w:val="202"/>
        </w:trPr>
        <w:tc>
          <w:tcPr>
            <w:tcW w:w="4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PrintBrothers</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12,392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47,280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33,732</w:t>
            </w:r>
          </w:p>
        </w:tc>
      </w:tr>
      <w:tr>
        <w:trPr>
          <w:trHeight w:val="196"/>
        </w:trPr>
        <w:tc>
          <w:tcPr>
            <w:tcW w:w="4440" w:type="dxa"/>
            <w:vAlign w:val="bottom"/>
          </w:tcPr>
          <w:p>
            <w:pPr>
              <w:ind w:left="320"/>
              <w:spacing w:after="0"/>
              <w:rPr>
                <w:sz w:val="20"/>
                <w:szCs w:val="20"/>
                <w:color w:val="auto"/>
              </w:rPr>
            </w:pPr>
            <w:r>
              <w:rPr>
                <w:rFonts w:ascii="Arial" w:cs="Arial" w:eastAsia="Arial" w:hAnsi="Arial"/>
                <w:sz w:val="15"/>
                <w:szCs w:val="15"/>
                <w:color w:val="auto"/>
              </w:rPr>
              <w:t>The Print Group</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11,923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6,475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42,670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31,227</w:t>
            </w:r>
          </w:p>
        </w:tc>
      </w:tr>
      <w:tr>
        <w:trPr>
          <w:trHeight w:val="202"/>
        </w:trPr>
        <w:tc>
          <w:tcPr>
            <w:tcW w:w="4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National Pen</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22,653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4,733</w:t>
            </w:r>
          </w:p>
        </w:tc>
      </w:tr>
      <w:tr>
        <w:trPr>
          <w:trHeight w:val="196"/>
        </w:trPr>
        <w:tc>
          <w:tcPr>
            <w:tcW w:w="4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All Other Businesses</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6,044</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6,515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17,199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25,781</w:t>
            </w:r>
          </w:p>
        </w:tc>
      </w:tr>
      <w:tr>
        <w:trPr>
          <w:trHeight w:val="192"/>
        </w:trPr>
        <w:tc>
          <w:tcPr>
            <w:tcW w:w="44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segment EBITDA</w:t>
            </w:r>
          </w:p>
        </w:tc>
        <w:tc>
          <w:tcPr>
            <w:tcW w:w="9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56,847</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81,559</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317,916</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362,294</w:t>
            </w:r>
          </w:p>
        </w:tc>
      </w:tr>
      <w:tr>
        <w:trPr>
          <w:trHeight w:val="192"/>
        </w:trPr>
        <w:tc>
          <w:tcPr>
            <w:tcW w:w="4440" w:type="dxa"/>
            <w:vAlign w:val="bottom"/>
          </w:tcPr>
          <w:p>
            <w:pPr>
              <w:ind w:left="320"/>
              <w:spacing w:after="0"/>
              <w:rPr>
                <w:sz w:val="20"/>
                <w:szCs w:val="20"/>
                <w:color w:val="auto"/>
              </w:rPr>
            </w:pPr>
            <w:r>
              <w:rPr>
                <w:rFonts w:ascii="Arial" w:cs="Arial" w:eastAsia="Arial" w:hAnsi="Arial"/>
                <w:sz w:val="15"/>
                <w:szCs w:val="15"/>
                <w:color w:val="auto"/>
              </w:rPr>
              <w:t>Central and corporate costs</w:t>
            </w:r>
          </w:p>
        </w:tc>
        <w:tc>
          <w:tcPr>
            <w:tcW w:w="9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(37,936)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(34,144)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(109,834)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(96,148)</w:t>
            </w:r>
          </w:p>
        </w:tc>
      </w:tr>
      <w:tr>
        <w:trPr>
          <w:trHeight w:val="202"/>
        </w:trPr>
        <w:tc>
          <w:tcPr>
            <w:tcW w:w="4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Depreciation and amortization</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(43,651)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(42,809)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(133,397)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(128,696)</w:t>
            </w:r>
          </w:p>
        </w:tc>
      </w:tr>
      <w:tr>
        <w:trPr>
          <w:trHeight w:val="196"/>
        </w:trPr>
        <w:tc>
          <w:tcPr>
            <w:tcW w:w="4440" w:type="dxa"/>
            <w:vAlign w:val="bottom"/>
          </w:tcPr>
          <w:p>
            <w:pPr>
              <w:ind w:left="320"/>
              <w:spacing w:after="0"/>
              <w:rPr>
                <w:sz w:val="20"/>
                <w:szCs w:val="20"/>
                <w:color w:val="auto"/>
              </w:rPr>
            </w:pPr>
            <w:r>
              <w:rPr>
                <w:rFonts w:ascii="Arial" w:cs="Arial" w:eastAsia="Arial" w:hAnsi="Arial"/>
                <w:sz w:val="15"/>
                <w:szCs w:val="15"/>
                <w:color w:val="auto"/>
              </w:rPr>
              <w:t>Proceeds from insurance</w:t>
            </w:r>
          </w:p>
        </w:tc>
        <w:tc>
          <w:tcPr>
            <w:tcW w:w="9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202"/>
        </w:trPr>
        <w:tc>
          <w:tcPr>
            <w:tcW w:w="4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Certain impairments and other adjustments</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(20,563)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(21,131)</w:t>
            </w:r>
          </w:p>
        </w:tc>
      </w:tr>
      <w:tr>
        <w:trPr>
          <w:trHeight w:val="196"/>
        </w:trPr>
        <w:tc>
          <w:tcPr>
            <w:tcW w:w="44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Restructuring-related charges</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(3,420)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(1,714)</w:t>
            </w:r>
          </w:p>
        </w:tc>
      </w:tr>
      <w:tr>
        <w:trPr>
          <w:trHeight w:val="192"/>
        </w:trPr>
        <w:tc>
          <w:tcPr>
            <w:tcW w:w="4440" w:type="dxa"/>
            <w:vAlign w:val="bottom"/>
            <w:shd w:val="clear" w:color="auto" w:fill="CCEEFF"/>
          </w:tcPr>
          <w:p>
            <w:pPr>
              <w:ind w:left="620"/>
              <w:spacing w:after="0"/>
              <w:rPr>
                <w:sz w:val="20"/>
                <w:szCs w:val="20"/>
                <w:color w:val="auto"/>
              </w:rPr>
            </w:pPr>
            <w:r>
              <w:rPr>
                <w:rFonts w:ascii="Arial" w:cs="Arial" w:eastAsia="Arial" w:hAnsi="Arial"/>
                <w:sz w:val="15"/>
                <w:szCs w:val="15"/>
                <w:color w:val="auto"/>
              </w:rPr>
              <w:t>Total (loss) income from operations</w:t>
            </w:r>
          </w:p>
        </w:tc>
        <w:tc>
          <w:tcPr>
            <w:tcW w:w="9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(28,437)</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(15,697)</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74,483</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114,483</w:t>
            </w:r>
          </w:p>
        </w:tc>
      </w:tr>
      <w:tr>
        <w:trPr>
          <w:trHeight w:val="192"/>
        </w:trPr>
        <w:tc>
          <w:tcPr>
            <w:tcW w:w="4440" w:type="dxa"/>
            <w:vAlign w:val="bottom"/>
          </w:tcPr>
          <w:p>
            <w:pPr>
              <w:ind w:left="320"/>
              <w:spacing w:after="0"/>
              <w:rPr>
                <w:sz w:val="20"/>
                <w:szCs w:val="20"/>
                <w:color w:val="auto"/>
              </w:rPr>
            </w:pPr>
            <w:r>
              <w:rPr>
                <w:rFonts w:ascii="Arial" w:cs="Arial" w:eastAsia="Arial" w:hAnsi="Arial"/>
                <w:sz w:val="15"/>
                <w:szCs w:val="15"/>
                <w:color w:val="auto"/>
              </w:rPr>
              <w:t>Other income (expense), net</w:t>
            </w:r>
          </w:p>
        </w:tc>
        <w:tc>
          <w:tcPr>
            <w:tcW w:w="9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12,321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9,785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38,330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(16,167)</w:t>
            </w:r>
          </w:p>
        </w:tc>
      </w:tr>
      <w:tr>
        <w:trPr>
          <w:trHeight w:val="199"/>
        </w:trPr>
        <w:tc>
          <w:tcPr>
            <w:tcW w:w="4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Interest expense, net</w:t>
            </w:r>
          </w:p>
        </w:tc>
        <w:tc>
          <w:tcPr>
            <w:tcW w:w="9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(24,247)</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(29,002)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(75,304)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(89,659)</w:t>
            </w:r>
          </w:p>
        </w:tc>
      </w:tr>
      <w:tr>
        <w:trPr>
          <w:trHeight w:val="194"/>
        </w:trPr>
        <w:tc>
          <w:tcPr>
            <w:tcW w:w="4440" w:type="dxa"/>
            <w:vAlign w:val="bottom"/>
          </w:tcPr>
          <w:p>
            <w:pPr>
              <w:ind w:left="620"/>
              <w:spacing w:after="0"/>
              <w:rPr>
                <w:sz w:val="20"/>
                <w:szCs w:val="20"/>
                <w:color w:val="auto"/>
              </w:rPr>
            </w:pPr>
            <w:r>
              <w:rPr>
                <w:rFonts w:ascii="Arial" w:cs="Arial" w:eastAsia="Arial" w:hAnsi="Arial"/>
                <w:sz w:val="15"/>
                <w:szCs w:val="15"/>
                <w:color w:val="auto"/>
              </w:rPr>
              <w:t>(Loss) income before income taxes</w:t>
            </w:r>
          </w:p>
        </w:tc>
        <w:tc>
          <w:tcPr>
            <w:tcW w:w="980" w:type="dxa"/>
            <w:vAlign w:val="bottom"/>
            <w:tcBorders>
              <w:bottom w:val="single" w:sz="8" w:color="auto"/>
            </w:tcBorders>
          </w:tcPr>
          <w:p>
            <w:pPr>
              <w:jc w:val="right"/>
              <w:ind w:right="81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(40,363)</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31"/>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(34,914)</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37,509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8,657</w:t>
            </w:r>
          </w:p>
        </w:tc>
      </w:tr>
      <w:tr>
        <w:trPr>
          <w:trHeight w:val="20"/>
        </w:trPr>
        <w:tc>
          <w:tcPr>
            <w:tcW w:w="4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b w:val="1"/>
                <w:bCs w:val="1"/>
                <w:color w:val="auto"/>
              </w:rPr>
              <w:t>Three Months Ended 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Borders>
              <w:bottom w:val="single" w:sz="8" w:color="auto"/>
            </w:tcBorders>
            <w:gridSpan w:val="4"/>
          </w:tcPr>
          <w:p>
            <w:pPr>
              <w:ind w:left="700"/>
              <w:spacing w:after="0"/>
              <w:rPr>
                <w:sz w:val="20"/>
                <w:szCs w:val="20"/>
                <w:color w:val="auto"/>
              </w:rPr>
            </w:pPr>
            <w:r>
              <w:rPr>
                <w:rFonts w:ascii="Arial" w:cs="Arial" w:eastAsia="Arial" w:hAnsi="Arial"/>
                <w:sz w:val="12"/>
                <w:szCs w:val="12"/>
                <w:b w:val="1"/>
                <w:bCs w:val="1"/>
                <w:color w:val="auto"/>
              </w:rPr>
              <w:t>Nine Months Ended March 31,</w:t>
            </w:r>
          </w:p>
        </w:tc>
        <w:tc>
          <w:tcPr>
            <w:tcW w:w="680" w:type="dxa"/>
            <w:vAlign w:val="bottom"/>
            <w:tcBorders>
              <w:bottom w:val="single" w:sz="8" w:color="auto"/>
            </w:tcBorders>
          </w:tcPr>
          <w:p>
            <w:pPr>
              <w:spacing w:after="0"/>
              <w:rPr>
                <w:sz w:val="14"/>
                <w:szCs w:val="14"/>
                <w:color w:val="auto"/>
              </w:rPr>
            </w:pPr>
          </w:p>
        </w:tc>
      </w:tr>
      <w:tr>
        <w:trPr>
          <w:trHeight w:val="157"/>
        </w:trPr>
        <w:tc>
          <w:tcPr>
            <w:tcW w:w="1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jc w:val="right"/>
              <w:ind w:right="82"/>
              <w:spacing w:after="0"/>
              <w:rPr>
                <w:sz w:val="20"/>
                <w:szCs w:val="20"/>
                <w:color w:val="auto"/>
              </w:rPr>
            </w:pPr>
            <w:r>
              <w:rPr>
                <w:rFonts w:ascii="Arial" w:cs="Arial" w:eastAsia="Arial" w:hAnsi="Arial"/>
                <w:sz w:val="12"/>
                <w:szCs w:val="12"/>
                <w:b w:val="1"/>
                <w:bCs w:val="1"/>
                <w:color w:val="auto"/>
              </w:rPr>
              <w:t>2022</w:t>
            </w:r>
          </w:p>
        </w:tc>
        <w:tc>
          <w:tcPr>
            <w:tcW w:w="16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2021</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2"/>
              <w:spacing w:after="0"/>
              <w:rPr>
                <w:sz w:val="20"/>
                <w:szCs w:val="20"/>
                <w:color w:val="auto"/>
              </w:rPr>
            </w:pPr>
            <w:r>
              <w:rPr>
                <w:rFonts w:ascii="Arial" w:cs="Arial" w:eastAsia="Arial" w:hAnsi="Arial"/>
                <w:sz w:val="12"/>
                <w:szCs w:val="12"/>
                <w:b w:val="1"/>
                <w:bCs w:val="1"/>
                <w:color w:val="auto"/>
              </w:rPr>
              <w:t>2022</w:t>
            </w:r>
          </w:p>
        </w:tc>
        <w:tc>
          <w:tcPr>
            <w:tcW w:w="1700" w:type="dxa"/>
            <w:vAlign w:val="bottom"/>
            <w:gridSpan w:val="3"/>
          </w:tcPr>
          <w:p>
            <w:pPr>
              <w:ind w:left="1340"/>
              <w:spacing w:after="0"/>
              <w:rPr>
                <w:sz w:val="20"/>
                <w:szCs w:val="20"/>
                <w:color w:val="auto"/>
              </w:rPr>
            </w:pPr>
            <w:r>
              <w:rPr>
                <w:rFonts w:ascii="Arial" w:cs="Arial" w:eastAsia="Arial" w:hAnsi="Arial"/>
                <w:sz w:val="12"/>
                <w:szCs w:val="12"/>
                <w:b w:val="1"/>
                <w:bCs w:val="1"/>
                <w:color w:val="auto"/>
              </w:rPr>
              <w:t>2021</w:t>
            </w:r>
          </w:p>
        </w:tc>
        <w:tc>
          <w:tcPr>
            <w:tcW w:w="680" w:type="dxa"/>
            <w:vAlign w:val="bottom"/>
          </w:tcPr>
          <w:p>
            <w:pPr>
              <w:spacing w:after="0"/>
              <w:rPr>
                <w:sz w:val="13"/>
                <w:szCs w:val="13"/>
                <w:color w:val="auto"/>
              </w:rPr>
            </w:pPr>
          </w:p>
        </w:tc>
      </w:tr>
      <w:tr>
        <w:trPr>
          <w:trHeight w:val="183"/>
        </w:trPr>
        <w:tc>
          <w:tcPr>
            <w:tcW w:w="100" w:type="dxa"/>
            <w:vAlign w:val="bottom"/>
          </w:tcPr>
          <w:p>
            <w:pPr>
              <w:spacing w:after="0"/>
              <w:rPr>
                <w:sz w:val="15"/>
                <w:szCs w:val="15"/>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epreciation and amortization:</w:t>
            </w:r>
          </w:p>
        </w:tc>
        <w:tc>
          <w:tcPr>
            <w:tcW w:w="9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r>
      <w:tr>
        <w:trPr>
          <w:trHeight w:val="196"/>
        </w:trPr>
        <w:tc>
          <w:tcPr>
            <w:tcW w:w="100" w:type="dxa"/>
            <w:vAlign w:val="bottom"/>
          </w:tcPr>
          <w:p>
            <w:pPr>
              <w:spacing w:after="0"/>
              <w:rPr>
                <w:sz w:val="17"/>
                <w:szCs w:val="17"/>
                <w:color w:val="auto"/>
              </w:rPr>
            </w:pPr>
          </w:p>
        </w:tc>
        <w:tc>
          <w:tcPr>
            <w:tcW w:w="3420" w:type="dxa"/>
            <w:vAlign w:val="bottom"/>
          </w:tcPr>
          <w:p>
            <w:pPr>
              <w:ind w:left="100"/>
              <w:spacing w:after="0"/>
              <w:rPr>
                <w:sz w:val="20"/>
                <w:szCs w:val="20"/>
                <w:color w:val="auto"/>
              </w:rPr>
            </w:pPr>
            <w:r>
              <w:rPr>
                <w:rFonts w:ascii="Arial" w:cs="Arial" w:eastAsia="Arial" w:hAnsi="Arial"/>
                <w:sz w:val="15"/>
                <w:szCs w:val="15"/>
                <w:color w:val="auto"/>
              </w:rPr>
              <w:t>Vista</w:t>
            </w: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15,791$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14,881$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Arial" w:cs="Arial" w:eastAsia="Arial" w:hAnsi="Arial"/>
                <w:sz w:val="15"/>
                <w:szCs w:val="15"/>
                <w:color w:val="auto"/>
                <w:w w:val="95"/>
              </w:rPr>
              <w:t>49,757$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43,420</w:t>
            </w:r>
          </w:p>
        </w:tc>
      </w:tr>
      <w:tr>
        <w:trPr>
          <w:trHeight w:val="202"/>
        </w:trPr>
        <w:tc>
          <w:tcPr>
            <w:tcW w:w="100" w:type="dxa"/>
            <w:vAlign w:val="bottom"/>
          </w:tcPr>
          <w:p>
            <w:pPr>
              <w:spacing w:after="0"/>
              <w:rPr>
                <w:sz w:val="17"/>
                <w:szCs w:val="17"/>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PrintBrothers</w:t>
            </w: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5,466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15,806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16,464</w:t>
            </w:r>
          </w:p>
        </w:tc>
      </w:tr>
      <w:tr>
        <w:trPr>
          <w:trHeight w:val="196"/>
        </w:trPr>
        <w:tc>
          <w:tcPr>
            <w:tcW w:w="100" w:type="dxa"/>
            <w:vAlign w:val="bottom"/>
          </w:tcPr>
          <w:p>
            <w:pPr>
              <w:spacing w:after="0"/>
              <w:rPr>
                <w:sz w:val="17"/>
                <w:szCs w:val="17"/>
                <w:color w:val="auto"/>
              </w:rPr>
            </w:pPr>
          </w:p>
        </w:tc>
        <w:tc>
          <w:tcPr>
            <w:tcW w:w="3420" w:type="dxa"/>
            <w:vAlign w:val="bottom"/>
          </w:tcPr>
          <w:p>
            <w:pPr>
              <w:ind w:left="100"/>
              <w:spacing w:after="0"/>
              <w:rPr>
                <w:sz w:val="20"/>
                <w:szCs w:val="20"/>
                <w:color w:val="auto"/>
              </w:rPr>
            </w:pPr>
            <w:r>
              <w:rPr>
                <w:rFonts w:ascii="Arial" w:cs="Arial" w:eastAsia="Arial" w:hAnsi="Arial"/>
                <w:sz w:val="15"/>
                <w:szCs w:val="15"/>
                <w:color w:val="auto"/>
              </w:rPr>
              <w:t>The Print Group</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6,459</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6,630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Arial" w:cs="Arial" w:eastAsia="Arial" w:hAnsi="Arial"/>
                <w:sz w:val="15"/>
                <w:szCs w:val="15"/>
                <w:color w:val="auto"/>
              </w:rPr>
              <w:t>19,655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19,852</w:t>
            </w:r>
          </w:p>
        </w:tc>
      </w:tr>
      <w:tr>
        <w:trPr>
          <w:trHeight w:val="202"/>
        </w:trPr>
        <w:tc>
          <w:tcPr>
            <w:tcW w:w="100" w:type="dxa"/>
            <w:vAlign w:val="bottom"/>
          </w:tcPr>
          <w:p>
            <w:pPr>
              <w:spacing w:after="0"/>
              <w:rPr>
                <w:sz w:val="17"/>
                <w:szCs w:val="17"/>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National Pen</w:t>
            </w: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18,061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18,626</w:t>
            </w:r>
          </w:p>
        </w:tc>
      </w:tr>
      <w:tr>
        <w:trPr>
          <w:trHeight w:val="196"/>
        </w:trPr>
        <w:tc>
          <w:tcPr>
            <w:tcW w:w="100" w:type="dxa"/>
            <w:vAlign w:val="bottom"/>
          </w:tcPr>
          <w:p>
            <w:pPr>
              <w:spacing w:after="0"/>
              <w:rPr>
                <w:sz w:val="17"/>
                <w:szCs w:val="17"/>
                <w:color w:val="auto"/>
              </w:rPr>
            </w:pPr>
          </w:p>
        </w:tc>
        <w:tc>
          <w:tcPr>
            <w:tcW w:w="3420" w:type="dxa"/>
            <w:vAlign w:val="bottom"/>
          </w:tcPr>
          <w:p>
            <w:pPr>
              <w:ind w:left="100"/>
              <w:spacing w:after="0"/>
              <w:rPr>
                <w:sz w:val="20"/>
                <w:szCs w:val="20"/>
                <w:color w:val="auto"/>
              </w:rPr>
            </w:pPr>
            <w:r>
              <w:rPr>
                <w:rFonts w:ascii="Arial" w:cs="Arial" w:eastAsia="Arial" w:hAnsi="Arial"/>
                <w:sz w:val="15"/>
                <w:szCs w:val="15"/>
                <w:color w:val="auto"/>
              </w:rPr>
              <w:t>All Other Businesses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4,519</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4,524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Arial" w:cs="Arial" w:eastAsia="Arial" w:hAnsi="Arial"/>
                <w:sz w:val="15"/>
                <w:szCs w:val="15"/>
                <w:color w:val="auto"/>
              </w:rPr>
              <w:t>13,942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14,783</w:t>
            </w:r>
          </w:p>
        </w:tc>
      </w:tr>
      <w:tr>
        <w:trPr>
          <w:trHeight w:val="199"/>
        </w:trPr>
        <w:tc>
          <w:tcPr>
            <w:tcW w:w="100" w:type="dxa"/>
            <w:vAlign w:val="bottom"/>
          </w:tcPr>
          <w:p>
            <w:pPr>
              <w:spacing w:after="0"/>
              <w:rPr>
                <w:sz w:val="17"/>
                <w:szCs w:val="17"/>
                <w:color w:val="auto"/>
              </w:rPr>
            </w:pPr>
          </w:p>
        </w:tc>
        <w:tc>
          <w:tcPr>
            <w:tcW w:w="34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Central and corporate costs</w:t>
            </w:r>
          </w:p>
        </w:tc>
        <w:tc>
          <w:tcPr>
            <w:tcW w:w="9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5,483</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4,977</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16,176</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15,551</w:t>
            </w:r>
          </w:p>
        </w:tc>
      </w:tr>
      <w:tr>
        <w:trPr>
          <w:trHeight w:val="194"/>
        </w:trPr>
        <w:tc>
          <w:tcPr>
            <w:tcW w:w="100" w:type="dxa"/>
            <w:vAlign w:val="bottom"/>
          </w:tcPr>
          <w:p>
            <w:pPr>
              <w:spacing w:after="0"/>
              <w:rPr>
                <w:sz w:val="16"/>
                <w:szCs w:val="16"/>
                <w:color w:val="auto"/>
              </w:rPr>
            </w:pPr>
          </w:p>
        </w:tc>
        <w:tc>
          <w:tcPr>
            <w:tcW w:w="3420" w:type="dxa"/>
            <w:vAlign w:val="bottom"/>
          </w:tcPr>
          <w:p>
            <w:pPr>
              <w:ind w:left="380"/>
              <w:spacing w:after="0"/>
              <w:rPr>
                <w:sz w:val="20"/>
                <w:szCs w:val="20"/>
                <w:color w:val="auto"/>
              </w:rPr>
            </w:pPr>
            <w:r>
              <w:rPr>
                <w:rFonts w:ascii="Arial" w:cs="Arial" w:eastAsia="Arial" w:hAnsi="Arial"/>
                <w:sz w:val="15"/>
                <w:szCs w:val="15"/>
                <w:color w:val="auto"/>
              </w:rPr>
              <w:t>Total depreciation and amortization</w:t>
            </w:r>
          </w:p>
        </w:tc>
        <w:tc>
          <w:tcPr>
            <w:tcW w:w="94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43,651$</w:t>
            </w: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42,809$</w:t>
            </w: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w w:val="95"/>
              </w:rPr>
              <w:t>133,397$</w:t>
            </w: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128,696</w:t>
            </w:r>
          </w:p>
        </w:tc>
      </w:tr>
      <w:tr>
        <w:trPr>
          <w:trHeight w:val="20"/>
        </w:trPr>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gridSpan w:val="10"/>
          </w:tcPr>
          <w:p>
            <w:pPr>
              <w:ind w:left="820"/>
              <w:spacing w:after="0"/>
              <w:rPr>
                <w:sz w:val="20"/>
                <w:szCs w:val="20"/>
                <w:color w:val="auto"/>
              </w:rPr>
            </w:pPr>
            <w:r>
              <w:rPr>
                <w:rFonts w:ascii="Arial" w:cs="Arial" w:eastAsia="Arial" w:hAnsi="Arial"/>
                <w:sz w:val="12"/>
                <w:szCs w:val="12"/>
                <w:b w:val="1"/>
                <w:bCs w:val="1"/>
                <w:color w:val="auto"/>
              </w:rPr>
              <w:t>Three Months Ended March 31,</w:t>
            </w:r>
          </w:p>
        </w:tc>
        <w:tc>
          <w:tcPr>
            <w:tcW w:w="240" w:type="dxa"/>
            <w:vAlign w:val="bottom"/>
          </w:tcPr>
          <w:p>
            <w:pPr>
              <w:spacing w:after="0"/>
              <w:rPr>
                <w:sz w:val="14"/>
                <w:szCs w:val="14"/>
                <w:color w:val="auto"/>
              </w:rPr>
            </w:pPr>
          </w:p>
        </w:tc>
        <w:tc>
          <w:tcPr>
            <w:tcW w:w="3100" w:type="dxa"/>
            <w:vAlign w:val="bottom"/>
            <w:gridSpan w:val="7"/>
          </w:tcPr>
          <w:p>
            <w:pPr>
              <w:jc w:val="right"/>
              <w:ind w:right="840"/>
              <w:spacing w:after="0"/>
              <w:rPr>
                <w:sz w:val="20"/>
                <w:szCs w:val="20"/>
                <w:color w:val="auto"/>
              </w:rPr>
            </w:pPr>
            <w:r>
              <w:rPr>
                <w:rFonts w:ascii="Arial" w:cs="Arial" w:eastAsia="Arial" w:hAnsi="Arial"/>
                <w:sz w:val="12"/>
                <w:szCs w:val="12"/>
                <w:b w:val="1"/>
                <w:bCs w:val="1"/>
                <w:color w:val="auto"/>
              </w:rPr>
              <w:t>Nine Months Ended March 31,</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41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w w:val="89"/>
              </w:rPr>
              <w:t>2021</w:t>
            </w:r>
          </w:p>
        </w:tc>
        <w:tc>
          <w:tcPr>
            <w:tcW w:w="1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property, plant and equipment: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5"/>
                <w:szCs w:val="15"/>
                <w:color w:val="auto"/>
              </w:rPr>
              <w:t>Vista</w:t>
            </w:r>
          </w:p>
        </w:tc>
        <w:tc>
          <w:tcPr>
            <w:tcW w:w="1280" w:type="dxa"/>
            <w:vAlign w:val="bottom"/>
            <w:gridSpan w:val="3"/>
          </w:tcPr>
          <w:p>
            <w:pPr>
              <w:jc w:val="right"/>
              <w:ind w:right="798"/>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4,132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511"/>
              <w:spacing w:after="0"/>
              <w:rPr>
                <w:sz w:val="20"/>
                <w:szCs w:val="20"/>
                <w:color w:val="auto"/>
              </w:rPr>
            </w:pPr>
            <w:r>
              <w:rPr>
                <w:rFonts w:ascii="Arial" w:cs="Arial" w:eastAsia="Arial" w:hAnsi="Arial"/>
                <w:sz w:val="15"/>
                <w:szCs w:val="15"/>
                <w:color w:val="auto"/>
                <w:w w:val="95"/>
              </w:rPr>
              <w:t>$</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2,411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1400" w:type="dxa"/>
            <w:vAlign w:val="bottom"/>
            <w:gridSpan w:val="3"/>
          </w:tcPr>
          <w:p>
            <w:pPr>
              <w:jc w:val="right"/>
              <w:ind w:right="80"/>
              <w:spacing w:after="0"/>
              <w:rPr>
                <w:sz w:val="20"/>
                <w:szCs w:val="20"/>
                <w:color w:val="auto"/>
              </w:rPr>
            </w:pPr>
            <w:r>
              <w:rPr>
                <w:rFonts w:ascii="Arial" w:cs="Arial" w:eastAsia="Arial" w:hAnsi="Arial"/>
                <w:sz w:val="15"/>
                <w:szCs w:val="15"/>
                <w:color w:val="auto"/>
              </w:rPr>
              <w:t>14,491</w:t>
            </w:r>
          </w:p>
        </w:tc>
        <w:tc>
          <w:tcPr>
            <w:tcW w:w="80" w:type="dxa"/>
            <w:vAlign w:val="bottom"/>
          </w:tcPr>
          <w:p>
            <w:pPr>
              <w:spacing w:after="0"/>
              <w:rPr>
                <w:sz w:val="17"/>
                <w:szCs w:val="17"/>
                <w:color w:val="auto"/>
              </w:rPr>
            </w:pPr>
          </w:p>
        </w:tc>
        <w:tc>
          <w:tcPr>
            <w:tcW w:w="240" w:type="dxa"/>
            <w:vAlign w:val="bottom"/>
          </w:tcPr>
          <w:p>
            <w:pPr>
              <w:jc w:val="right"/>
              <w:ind w:right="65"/>
              <w:spacing w:after="0"/>
              <w:rPr>
                <w:sz w:val="20"/>
                <w:szCs w:val="20"/>
                <w:color w:val="auto"/>
              </w:rPr>
            </w:pPr>
            <w:r>
              <w:rPr>
                <w:rFonts w:ascii="Arial" w:cs="Arial" w:eastAsia="Arial" w:hAnsi="Arial"/>
                <w:sz w:val="15"/>
                <w:szCs w:val="15"/>
                <w:color w:val="auto"/>
                <w:w w:val="95"/>
              </w:rPr>
              <w:t>$</w:t>
            </w: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6,860</w:t>
            </w: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PrintBrothers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665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3,381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1,424</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5"/>
                <w:szCs w:val="15"/>
                <w:color w:val="auto"/>
              </w:rPr>
              <w:t>The Print Group</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7,560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980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5"/>
                <w:szCs w:val="15"/>
                <w:color w:val="auto"/>
              </w:rPr>
              <w:t>14,237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6,910</w:t>
            </w: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National Pen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644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679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2,855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3,503</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140" w:type="dxa"/>
            <w:vAlign w:val="bottom"/>
          </w:tcPr>
          <w:p>
            <w:pPr>
              <w:ind w:left="320"/>
              <w:spacing w:after="0"/>
              <w:rPr>
                <w:sz w:val="20"/>
                <w:szCs w:val="20"/>
                <w:color w:val="auto"/>
              </w:rPr>
            </w:pPr>
            <w:r>
              <w:rPr>
                <w:rFonts w:ascii="Arial" w:cs="Arial" w:eastAsia="Arial" w:hAnsi="Arial"/>
                <w:sz w:val="15"/>
                <w:szCs w:val="15"/>
                <w:color w:val="auto"/>
              </w:rPr>
              <w:t>All Other Businesses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2,130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744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5"/>
                <w:szCs w:val="15"/>
                <w:color w:val="auto"/>
              </w:rPr>
              <w:t>5,802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2,712</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Central and corporate costs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472</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846</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1,376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1,327</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4140" w:type="dxa"/>
            <w:vAlign w:val="bottom"/>
          </w:tcPr>
          <w:p>
            <w:pPr>
              <w:ind w:left="620"/>
              <w:spacing w:after="0"/>
              <w:rPr>
                <w:sz w:val="20"/>
                <w:szCs w:val="20"/>
                <w:color w:val="auto"/>
              </w:rPr>
            </w:pPr>
            <w:r>
              <w:rPr>
                <w:rFonts w:ascii="Arial" w:cs="Arial" w:eastAsia="Arial" w:hAnsi="Arial"/>
                <w:sz w:val="15"/>
                <w:szCs w:val="15"/>
                <w:color w:val="auto"/>
              </w:rPr>
              <w:t>Total purchases of property, plant and equipment</w:t>
            </w:r>
          </w:p>
        </w:tc>
        <w:tc>
          <w:tcPr>
            <w:tcW w:w="320" w:type="dxa"/>
            <w:vAlign w:val="bottom"/>
            <w:gridSpan w:val="2"/>
          </w:tcPr>
          <w:p>
            <w:pPr>
              <w:spacing w:after="0"/>
              <w:rPr>
                <w:sz w:val="16"/>
                <w:szCs w:val="16"/>
                <w:color w:val="auto"/>
              </w:rPr>
            </w:pPr>
          </w:p>
        </w:tc>
        <w:tc>
          <w:tcPr>
            <w:tcW w:w="960" w:type="dxa"/>
            <w:vAlign w:val="bottom"/>
            <w:tcBorders>
              <w:bottom w:val="single" w:sz="8" w:color="auto"/>
            </w:tcBorders>
          </w:tcPr>
          <w:p>
            <w:pPr>
              <w:jc w:val="right"/>
              <w:ind w:right="798"/>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15,603</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ind w:right="511"/>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5,946</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color w:val="auto"/>
              </w:rPr>
              <w:t>42,142</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22,736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6"/>
          </w:tcPr>
          <w:p>
            <w:pPr>
              <w:jc w:val="right"/>
              <w:ind w:right="51"/>
              <w:spacing w:after="0"/>
              <w:rPr>
                <w:sz w:val="20"/>
                <w:szCs w:val="20"/>
                <w:color w:val="auto"/>
              </w:rPr>
            </w:pPr>
            <w:r>
              <w:rPr>
                <w:rFonts w:ascii="Arial" w:cs="Arial" w:eastAsia="Arial" w:hAnsi="Arial"/>
                <w:sz w:val="12"/>
                <w:szCs w:val="12"/>
                <w:b w:val="1"/>
                <w:bCs w:val="1"/>
                <w:color w:val="auto"/>
              </w:rPr>
              <w:t>Three Months Ended March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7"/>
          </w:tcPr>
          <w:p>
            <w:pPr>
              <w:jc w:val="right"/>
              <w:ind w:right="1140"/>
              <w:spacing w:after="0"/>
              <w:rPr>
                <w:sz w:val="20"/>
                <w:szCs w:val="20"/>
                <w:color w:val="auto"/>
              </w:rPr>
            </w:pPr>
            <w:r>
              <w:rPr>
                <w:rFonts w:ascii="Arial" w:cs="Arial" w:eastAsia="Arial" w:hAnsi="Arial"/>
                <w:sz w:val="12"/>
                <w:szCs w:val="12"/>
                <w:b w:val="1"/>
                <w:bCs w:val="1"/>
                <w:color w:val="auto"/>
              </w:rPr>
              <w:t>Nine Months Ended March 31,</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41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ind w:right="198"/>
              <w:spacing w:after="0"/>
              <w:rPr>
                <w:sz w:val="20"/>
                <w:szCs w:val="20"/>
                <w:color w:val="auto"/>
              </w:rPr>
            </w:pPr>
            <w:r>
              <w:rPr>
                <w:rFonts w:ascii="Arial" w:cs="Arial" w:eastAsia="Arial" w:hAnsi="Arial"/>
                <w:sz w:val="12"/>
                <w:szCs w:val="12"/>
                <w:b w:val="1"/>
                <w:bCs w:val="1"/>
                <w:color w:val="auto"/>
              </w:rPr>
              <w:t>2022</w:t>
            </w: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7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709"/>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707"/>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apitalization of software and website development costs: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Arial" w:cs="Arial" w:eastAsia="Arial" w:hAnsi="Arial"/>
                <w:sz w:val="15"/>
                <w:szCs w:val="15"/>
                <w:color w:val="auto"/>
              </w:rPr>
              <w:t>Vista</w:t>
            </w:r>
          </w:p>
        </w:tc>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8,235$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10,414$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24,425$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21,830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1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PrintBrothers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829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Arial" w:cs="Arial" w:eastAsia="Arial" w:hAnsi="Arial"/>
                <w:sz w:val="15"/>
                <w:szCs w:val="15"/>
                <w:color w:val="auto"/>
              </w:rPr>
              <w:t>The Print Group</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790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Arial" w:cs="Arial" w:eastAsia="Arial" w:hAnsi="Arial"/>
                <w:sz w:val="15"/>
                <w:szCs w:val="15"/>
                <w:color w:val="auto"/>
              </w:rPr>
              <w:t>1,735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1,061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1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National Pen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2,608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4140" w:type="dxa"/>
            <w:vAlign w:val="bottom"/>
          </w:tcPr>
          <w:p>
            <w:pPr>
              <w:ind w:left="100"/>
              <w:spacing w:after="0"/>
              <w:rPr>
                <w:sz w:val="20"/>
                <w:szCs w:val="20"/>
                <w:color w:val="auto"/>
              </w:rPr>
            </w:pPr>
            <w:r>
              <w:rPr>
                <w:rFonts w:ascii="Arial" w:cs="Arial" w:eastAsia="Arial" w:hAnsi="Arial"/>
                <w:sz w:val="15"/>
                <w:szCs w:val="15"/>
                <w:color w:val="auto"/>
              </w:rPr>
              <w:t>All Other Businesses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981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897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Arial" w:cs="Arial" w:eastAsia="Arial" w:hAnsi="Arial"/>
                <w:sz w:val="15"/>
                <w:szCs w:val="15"/>
                <w:color w:val="auto"/>
              </w:rPr>
              <w:t>3,248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2,639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1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Central and corporate costs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6,497</w:t>
            </w: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6,184</w:t>
            </w:r>
          </w:p>
        </w:tc>
        <w:tc>
          <w:tcPr>
            <w:tcW w:w="10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17,030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17,148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4140" w:type="dxa"/>
            <w:vAlign w:val="bottom"/>
          </w:tcPr>
          <w:p>
            <w:pPr>
              <w:ind w:left="380"/>
              <w:spacing w:after="0" w:line="144" w:lineRule="exact"/>
              <w:rPr>
                <w:sz w:val="20"/>
                <w:szCs w:val="20"/>
                <w:color w:val="auto"/>
              </w:rPr>
            </w:pPr>
            <w:r>
              <w:rPr>
                <w:rFonts w:ascii="Arial" w:cs="Arial" w:eastAsia="Arial" w:hAnsi="Arial"/>
                <w:sz w:val="15"/>
                <w:szCs w:val="15"/>
                <w:color w:val="auto"/>
                <w:w w:val="99"/>
              </w:rPr>
              <w:t>Total capitalization of software and website development</w:t>
            </w:r>
          </w:p>
        </w:tc>
        <w:tc>
          <w:tcPr>
            <w:tcW w:w="220" w:type="dxa"/>
            <w:vAlign w:val="bottom"/>
            <w:vMerge w:val="restart"/>
          </w:tcPr>
          <w:p>
            <w:pPr>
              <w:jc w:val="right"/>
              <w:ind w:right="45"/>
              <w:spacing w:after="0"/>
              <w:rPr>
                <w:sz w:val="20"/>
                <w:szCs w:val="20"/>
                <w:color w:val="auto"/>
              </w:rPr>
            </w:pPr>
            <w:r>
              <w:rPr>
                <w:rFonts w:ascii="Arial" w:cs="Arial" w:eastAsia="Arial" w:hAnsi="Arial"/>
                <w:sz w:val="15"/>
                <w:szCs w:val="15"/>
                <w:color w:val="auto"/>
                <w:w w:val="95"/>
              </w:rPr>
              <w: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w w:val="88"/>
              </w:rPr>
              <w:t>17,741$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18,876$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49,875$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45,321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4140" w:type="dxa"/>
            <w:vAlign w:val="bottom"/>
          </w:tcPr>
          <w:p>
            <w:pPr>
              <w:ind w:left="620"/>
              <w:spacing w:after="0" w:line="160" w:lineRule="exact"/>
              <w:rPr>
                <w:sz w:val="20"/>
                <w:szCs w:val="20"/>
                <w:color w:val="auto"/>
              </w:rPr>
            </w:pPr>
            <w:r>
              <w:rPr>
                <w:rFonts w:ascii="Arial" w:cs="Arial" w:eastAsia="Arial" w:hAnsi="Arial"/>
                <w:sz w:val="15"/>
                <w:szCs w:val="15"/>
                <w:color w:val="auto"/>
              </w:rPr>
              <w:t>costs</w:t>
            </w:r>
          </w:p>
        </w:tc>
        <w:tc>
          <w:tcPr>
            <w:tcW w:w="22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53340</wp:posOffset>
            </wp:positionV>
            <wp:extent cx="716851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340"/>
          </w:cols>
          <w:pgMar w:left="220" w:top="1227" w:right="339" w:bottom="1440" w:gutter="0" w:footer="0" w:header="0"/>
        </w:sectPr>
      </w:pPr>
    </w:p>
    <w:bookmarkStart w:id="33" w:name="page34"/>
    <w:bookmarkEnd w:id="33"/>
    <w:p>
      <w:pPr>
        <w:ind w:left="60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2"/>
                <w:szCs w:val="12"/>
                <w:b w:val="1"/>
                <w:bCs w:val="1"/>
                <w:color w:val="auto"/>
              </w:rPr>
              <w:t>March 31, 2022</w:t>
            </w:r>
          </w:p>
        </w:tc>
        <w:tc>
          <w:tcPr>
            <w:tcW w:w="260" w:type="dxa"/>
            <w:vAlign w:val="bottom"/>
          </w:tcPr>
          <w:p>
            <w:pPr>
              <w:spacing w:after="0"/>
              <w:rPr>
                <w:sz w:val="14"/>
                <w:szCs w:val="14"/>
                <w:color w:val="auto"/>
              </w:rPr>
            </w:pPr>
          </w:p>
        </w:tc>
        <w:tc>
          <w:tcPr>
            <w:tcW w:w="1320" w:type="dxa"/>
            <w:vAlign w:val="bottom"/>
          </w:tcPr>
          <w:p>
            <w:pPr>
              <w:jc w:val="right"/>
              <w:ind w:right="327"/>
              <w:spacing w:after="0"/>
              <w:rPr>
                <w:sz w:val="20"/>
                <w:szCs w:val="20"/>
                <w:color w:val="auto"/>
              </w:rPr>
            </w:pPr>
            <w:r>
              <w:rPr>
                <w:rFonts w:ascii="Arial" w:cs="Arial" w:eastAsia="Arial" w:hAnsi="Arial"/>
                <w:sz w:val="12"/>
                <w:szCs w:val="12"/>
                <w:b w:val="1"/>
                <w:bCs w:val="1"/>
                <w:color w:val="auto"/>
              </w:rPr>
              <w:t>June 30, 2021</w:t>
            </w:r>
          </w:p>
        </w:tc>
      </w:tr>
      <w:tr>
        <w:trPr>
          <w:trHeight w:val="196"/>
        </w:trPr>
        <w:tc>
          <w:tcPr>
            <w:tcW w:w="7980" w:type="dxa"/>
            <w:vAlign w:val="bottom"/>
          </w:tcPr>
          <w:p>
            <w:pPr>
              <w:ind w:left="20"/>
              <w:spacing w:after="0"/>
              <w:rPr>
                <w:sz w:val="20"/>
                <w:szCs w:val="20"/>
                <w:color w:val="auto"/>
              </w:rPr>
            </w:pPr>
            <w:r>
              <w:rPr>
                <w:rFonts w:ascii="Arial" w:cs="Arial" w:eastAsia="Arial" w:hAnsi="Arial"/>
                <w:sz w:val="15"/>
                <w:szCs w:val="15"/>
                <w:color w:val="auto"/>
              </w:rPr>
              <w:t>Long-lived assets (1):</w:t>
            </w: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02"/>
        </w:trPr>
        <w:tc>
          <w:tcPr>
            <w:tcW w:w="7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United States</w:t>
            </w: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92,469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87,136</w:t>
            </w:r>
          </w:p>
        </w:tc>
      </w:tr>
      <w:tr>
        <w:trPr>
          <w:trHeight w:val="196"/>
        </w:trPr>
        <w:tc>
          <w:tcPr>
            <w:tcW w:w="7980" w:type="dxa"/>
            <w:vAlign w:val="bottom"/>
          </w:tcPr>
          <w:p>
            <w:pPr>
              <w:ind w:left="320"/>
              <w:spacing w:after="0"/>
              <w:rPr>
                <w:sz w:val="20"/>
                <w:szCs w:val="20"/>
                <w:color w:val="auto"/>
              </w:rPr>
            </w:pPr>
            <w:r>
              <w:rPr>
                <w:rFonts w:ascii="Arial" w:cs="Arial" w:eastAsia="Arial" w:hAnsi="Arial"/>
                <w:sz w:val="15"/>
                <w:szCs w:val="15"/>
                <w:color w:val="auto"/>
              </w:rPr>
              <w:t>Netherlands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70,700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76,449</w:t>
            </w:r>
          </w:p>
        </w:tc>
      </w:tr>
      <w:tr>
        <w:trPr>
          <w:trHeight w:val="202"/>
        </w:trPr>
        <w:tc>
          <w:tcPr>
            <w:tcW w:w="7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Canada</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60,494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57,685</w:t>
            </w:r>
          </w:p>
        </w:tc>
      </w:tr>
      <w:tr>
        <w:trPr>
          <w:trHeight w:val="196"/>
        </w:trPr>
        <w:tc>
          <w:tcPr>
            <w:tcW w:w="7980" w:type="dxa"/>
            <w:vAlign w:val="bottom"/>
          </w:tcPr>
          <w:p>
            <w:pPr>
              <w:ind w:left="320"/>
              <w:spacing w:after="0"/>
              <w:rPr>
                <w:sz w:val="20"/>
                <w:szCs w:val="20"/>
                <w:color w:val="auto"/>
              </w:rPr>
            </w:pPr>
            <w:r>
              <w:rPr>
                <w:rFonts w:ascii="Arial" w:cs="Arial" w:eastAsia="Arial" w:hAnsi="Arial"/>
                <w:sz w:val="15"/>
                <w:szCs w:val="15"/>
                <w:color w:val="auto"/>
              </w:rPr>
              <w:t>Switzerland</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73,467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65,269</w:t>
            </w:r>
          </w:p>
        </w:tc>
      </w:tr>
      <w:tr>
        <w:trPr>
          <w:trHeight w:val="202"/>
        </w:trPr>
        <w:tc>
          <w:tcPr>
            <w:tcW w:w="7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Italy</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46,540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46,559</w:t>
            </w:r>
          </w:p>
        </w:tc>
      </w:tr>
      <w:tr>
        <w:trPr>
          <w:trHeight w:val="196"/>
        </w:trPr>
        <w:tc>
          <w:tcPr>
            <w:tcW w:w="7980" w:type="dxa"/>
            <w:vAlign w:val="bottom"/>
          </w:tcPr>
          <w:p>
            <w:pPr>
              <w:ind w:left="320"/>
              <w:spacing w:after="0"/>
              <w:rPr>
                <w:sz w:val="20"/>
                <w:szCs w:val="20"/>
                <w:color w:val="auto"/>
              </w:rPr>
            </w:pPr>
            <w:r>
              <w:rPr>
                <w:rFonts w:ascii="Arial" w:cs="Arial" w:eastAsia="Arial" w:hAnsi="Arial"/>
                <w:sz w:val="15"/>
                <w:szCs w:val="15"/>
                <w:color w:val="auto"/>
              </w:rPr>
              <w:t>France</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26,005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20,802</w:t>
            </w:r>
          </w:p>
        </w:tc>
      </w:tr>
      <w:tr>
        <w:trPr>
          <w:trHeight w:val="202"/>
        </w:trPr>
        <w:tc>
          <w:tcPr>
            <w:tcW w:w="7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Jamaica</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21,060</w:t>
            </w:r>
          </w:p>
        </w:tc>
      </w:tr>
      <w:tr>
        <w:trPr>
          <w:trHeight w:val="196"/>
        </w:trPr>
        <w:tc>
          <w:tcPr>
            <w:tcW w:w="7980" w:type="dxa"/>
            <w:vAlign w:val="bottom"/>
          </w:tcPr>
          <w:p>
            <w:pPr>
              <w:ind w:left="320"/>
              <w:spacing w:after="0"/>
              <w:rPr>
                <w:sz w:val="20"/>
                <w:szCs w:val="20"/>
                <w:color w:val="auto"/>
              </w:rPr>
            </w:pPr>
            <w:r>
              <w:rPr>
                <w:rFonts w:ascii="Arial" w:cs="Arial" w:eastAsia="Arial" w:hAnsi="Arial"/>
                <w:sz w:val="15"/>
                <w:szCs w:val="15"/>
                <w:color w:val="auto"/>
              </w:rPr>
              <w:t>Australia</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20,043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25,564</w:t>
            </w:r>
          </w:p>
        </w:tc>
      </w:tr>
      <w:tr>
        <w:trPr>
          <w:trHeight w:val="202"/>
        </w:trPr>
        <w:tc>
          <w:tcPr>
            <w:tcW w:w="79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Japan</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15,168</w:t>
            </w:r>
          </w:p>
        </w:tc>
      </w:tr>
      <w:tr>
        <w:trPr>
          <w:trHeight w:val="196"/>
        </w:trPr>
        <w:tc>
          <w:tcPr>
            <w:tcW w:w="79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85,647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96,964</w:t>
            </w:r>
          </w:p>
        </w:tc>
      </w:tr>
      <w:tr>
        <w:trPr>
          <w:trHeight w:val="219"/>
        </w:trPr>
        <w:tc>
          <w:tcPr>
            <w:tcW w:w="79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507,503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512,656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w:t>
      </w:r>
    </w:p>
    <w:p>
      <w:pPr>
        <w:spacing w:after="0" w:line="87" w:lineRule="exact"/>
        <w:rPr>
          <w:sz w:val="20"/>
          <w:szCs w:val="20"/>
          <w:color w:val="auto"/>
        </w:rPr>
      </w:pPr>
    </w:p>
    <w:p>
      <w:pPr>
        <w:ind w:left="220" w:right="220" w:hanging="220"/>
        <w:spacing w:after="0" w:line="256" w:lineRule="auto"/>
        <w:tabs>
          <w:tab w:leader="none" w:pos="195" w:val="left"/>
        </w:tabs>
        <w:numPr>
          <w:ilvl w:val="0"/>
          <w:numId w:val="19"/>
        </w:numPr>
        <w:rPr>
          <w:rFonts w:ascii="Arial" w:cs="Arial" w:eastAsia="Arial" w:hAnsi="Arial"/>
          <w:sz w:val="13"/>
          <w:szCs w:val="13"/>
          <w:color w:val="auto"/>
        </w:rPr>
      </w:pPr>
      <w:r>
        <w:rPr>
          <w:rFonts w:ascii="Arial" w:cs="Arial" w:eastAsia="Arial" w:hAnsi="Arial"/>
          <w:sz w:val="13"/>
          <w:szCs w:val="13"/>
          <w:color w:val="auto"/>
        </w:rPr>
        <w:t>Excludes goodwill of $787,572 and $726,979, intangible assets, net of $171,813 and $186,744, deferred tax assets of $113,059 and $149,618, and marketable securities, non-current of $12,116 and $50,713 as of March 31, 2022 and June 30, 2021, respectively.</w:t>
      </w:r>
    </w:p>
    <w:p>
      <w:pPr>
        <w:spacing w:after="0" w:line="241" w:lineRule="exact"/>
        <w:rPr>
          <w:sz w:val="20"/>
          <w:szCs w:val="20"/>
          <w:color w:val="auto"/>
        </w:rPr>
      </w:pPr>
    </w:p>
    <w:p>
      <w:pPr>
        <w:ind w:right="8320"/>
        <w:spacing w:after="0" w:line="396" w:lineRule="auto"/>
        <w:tabs>
          <w:tab w:leader="none" w:pos="277"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Purchase Obligations</w:t>
      </w:r>
    </w:p>
    <w:p>
      <w:pPr>
        <w:spacing w:after="0" w:line="47" w:lineRule="exact"/>
        <w:rPr>
          <w:sz w:val="20"/>
          <w:szCs w:val="20"/>
          <w:color w:val="auto"/>
        </w:rPr>
      </w:pPr>
    </w:p>
    <w:p>
      <w:pPr>
        <w:jc w:val="both"/>
        <w:ind w:right="160" w:firstLine="597"/>
        <w:spacing w:after="0" w:line="247" w:lineRule="auto"/>
        <w:rPr>
          <w:sz w:val="20"/>
          <w:szCs w:val="20"/>
          <w:color w:val="auto"/>
        </w:rPr>
      </w:pPr>
      <w:r>
        <w:rPr>
          <w:rFonts w:ascii="Arial" w:cs="Arial" w:eastAsia="Arial" w:hAnsi="Arial"/>
          <w:sz w:val="17"/>
          <w:szCs w:val="17"/>
          <w:color w:val="auto"/>
        </w:rPr>
        <w:t>At March 31, 2022, we had unrecorded commitments under contract of $207,455, including third-party web services of $ 106,614, inventory and third-party fulfillment purchase commitments of $58,879, advertising of $20,657, production and computer equipment purchases of $4,812, software of $3,912, professional and consulting fees of $3,375, and other unrecorded purchase commitments of $9,206.</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Obligations</w:t>
      </w:r>
    </w:p>
    <w:p>
      <w:pPr>
        <w:spacing w:after="0" w:line="233" w:lineRule="exact"/>
        <w:rPr>
          <w:sz w:val="20"/>
          <w:szCs w:val="20"/>
          <w:color w:val="auto"/>
        </w:rPr>
      </w:pPr>
    </w:p>
    <w:p>
      <w:pPr>
        <w:ind w:right="380" w:firstLine="597"/>
        <w:spacing w:after="0" w:line="280" w:lineRule="auto"/>
        <w:rPr>
          <w:sz w:val="20"/>
          <w:szCs w:val="20"/>
          <w:color w:val="auto"/>
        </w:rPr>
      </w:pPr>
      <w:r>
        <w:rPr>
          <w:rFonts w:ascii="Arial" w:cs="Arial" w:eastAsia="Arial" w:hAnsi="Arial"/>
          <w:sz w:val="16"/>
          <w:szCs w:val="16"/>
          <w:color w:val="auto"/>
        </w:rPr>
        <w:t>We deferred payments for several of our acquisitions resulting in the recognition of a liability of $8,555 as of March 31, 2022, which primarily relates to a deferred payment for our acquisition of Depositphotos that is payable in October 2022. Refer to Note 7 for additional details.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208" w:lineRule="exact"/>
        <w:rPr>
          <w:sz w:val="20"/>
          <w:szCs w:val="20"/>
          <w:color w:val="auto"/>
        </w:rPr>
      </w:pPr>
    </w:p>
    <w:p>
      <w:pPr>
        <w:ind w:firstLine="597"/>
        <w:spacing w:after="0" w:line="245" w:lineRule="auto"/>
        <w:rPr>
          <w:sz w:val="20"/>
          <w:szCs w:val="20"/>
          <w:color w:val="auto"/>
        </w:rPr>
      </w:pPr>
      <w:r>
        <w:rPr>
          <w:rFonts w:ascii="Arial" w:cs="Arial" w:eastAsia="Arial" w:hAnsi="Arial"/>
          <w:sz w:val="17"/>
          <w:szCs w:val="17"/>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Restructuring Charges</w:t>
      </w:r>
    </w:p>
    <w:p>
      <w:pPr>
        <w:spacing w:after="0" w:line="248" w:lineRule="exact"/>
        <w:rPr>
          <w:sz w:val="20"/>
          <w:szCs w:val="20"/>
          <w:color w:val="auto"/>
        </w:rPr>
      </w:pPr>
    </w:p>
    <w:p>
      <w:pPr>
        <w:ind w:right="40" w:firstLine="597"/>
        <w:spacing w:after="0" w:line="245" w:lineRule="auto"/>
        <w:rPr>
          <w:sz w:val="20"/>
          <w:szCs w:val="20"/>
          <w:color w:val="auto"/>
        </w:rPr>
      </w:pPr>
      <w:r>
        <w:rPr>
          <w:rFonts w:ascii="Arial" w:cs="Arial" w:eastAsia="Arial" w:hAnsi="Arial"/>
          <w:sz w:val="17"/>
          <w:szCs w:val="17"/>
          <w:color w:val="auto"/>
        </w:rPr>
        <w:t>Restructuring costs include one-time employee termination benefits, acceleration of share-based compensation, write-off of assets and other related costs including third-party professional and outplacement services. During the three and nine months ended March 31, 2022, we recognized restructuring charges of $3,420 and $3,418, respectively, primarily due to the decision made in our National Pen business to move its European production operations from Ireland to the Czech Republic, which will improve the speed and cost of delivery to European customers when the move is complete. We expect to recognize additional charges associated with these actions over the next twelve months as impacted employees continue to vest in additional termination benefits, but we do not expect those additional costs to be material. There were also immaterial adjustments to restructuring expense during this period due to changes in prior period estimates within The Print Group reportable segment.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4" w:name="page35"/>
    <w:bookmarkEnd w:id="34"/>
    <w:p>
      <w:pPr>
        <w:ind w:right="420" w:firstLine="597"/>
        <w:spacing w:after="0" w:line="250" w:lineRule="auto"/>
        <w:rPr>
          <w:sz w:val="20"/>
          <w:szCs w:val="20"/>
          <w:color w:val="auto"/>
        </w:rPr>
      </w:pPr>
      <w:r>
        <w:rPr>
          <w:rFonts w:ascii="Arial" w:cs="Arial" w:eastAsia="Arial" w:hAnsi="Arial"/>
          <w:sz w:val="17"/>
          <w:szCs w:val="17"/>
          <w:color w:val="auto"/>
        </w:rPr>
        <w:t>The following table summarizes the restructuring activity during the nine months ended March 31, 2022. All activity was related to employee termination benefits.</w:t>
      </w:r>
    </w:p>
    <w:p>
      <w:pPr>
        <w:sectPr>
          <w:pgSz w:w="11900" w:h="16838" w:orient="portrait"/>
          <w:cols w:equalWidth="0" w:num="1">
            <w:col w:w="11240"/>
          </w:cols>
          <w:pgMar w:left="320" w:top="848" w:right="339" w:bottom="1440" w:gutter="0" w:footer="0" w:header="0"/>
        </w:sect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Balance as of June 30, 2021</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Restructuring charges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Cash payments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5"/>
          <w:szCs w:val="15"/>
          <w:color w:val="auto"/>
        </w:rPr>
        <w:t>Non-cash charges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March 31, 2022</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right"/>
              <w:ind w:right="288"/>
              <w:spacing w:after="0"/>
              <w:rPr>
                <w:sz w:val="20"/>
                <w:szCs w:val="20"/>
                <w:color w:val="auto"/>
              </w:rPr>
            </w:pPr>
            <w:r>
              <w:rPr>
                <w:rFonts w:ascii="Arial" w:cs="Arial" w:eastAsia="Arial" w:hAnsi="Arial"/>
                <w:sz w:val="12"/>
                <w:szCs w:val="12"/>
                <w:b w:val="1"/>
                <w:bCs w:val="1"/>
                <w:color w:val="auto"/>
              </w:rPr>
              <w:t>Accrued restructuring liability</w:t>
            </w:r>
          </w:p>
        </w:tc>
      </w:tr>
      <w:tr>
        <w:trPr>
          <w:trHeight w:val="193"/>
        </w:trPr>
        <w:tc>
          <w:tcPr>
            <w:tcW w:w="220" w:type="dxa"/>
            <w:vAlign w:val="bottom"/>
          </w:tcPr>
          <w:p>
            <w:pPr>
              <w:jc w:val="right"/>
              <w:ind w:right="45"/>
              <w:spacing w:after="0"/>
              <w:rPr>
                <w:sz w:val="20"/>
                <w:szCs w:val="20"/>
                <w:color w:val="auto"/>
              </w:rPr>
            </w:pPr>
            <w:r>
              <w:rPr>
                <w:rFonts w:ascii="Arial" w:cs="Arial" w:eastAsia="Arial" w:hAnsi="Arial"/>
                <w:sz w:val="15"/>
                <w:szCs w:val="15"/>
                <w:color w:val="auto"/>
                <w:w w:val="95"/>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402</w:t>
            </w:r>
          </w:p>
        </w:tc>
      </w:tr>
      <w:tr>
        <w:trPr>
          <w:trHeight w:val="199"/>
        </w:trPr>
        <w:tc>
          <w:tcPr>
            <w:tcW w:w="2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3,418</w:t>
            </w:r>
          </w:p>
        </w:tc>
      </w:tr>
      <w:tr>
        <w:trPr>
          <w:trHeight w:val="199"/>
        </w:trPr>
        <w:tc>
          <w:tcPr>
            <w:tcW w:w="2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5"/>
                <w:szCs w:val="15"/>
                <w:color w:val="auto"/>
              </w:rPr>
              <w:t>(244)</w:t>
            </w:r>
          </w:p>
        </w:tc>
      </w:tr>
      <w:tr>
        <w:trPr>
          <w:trHeight w:val="202"/>
        </w:trPr>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r>
      <w:tr>
        <w:trPr>
          <w:trHeight w:val="192"/>
        </w:trPr>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95"/>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-5638165</wp:posOffset>
            </wp:positionH>
            <wp:positionV relativeFrom="paragraph">
              <wp:posOffset>-678815</wp:posOffset>
            </wp:positionV>
            <wp:extent cx="7143115" cy="134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115" cy="13462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-418465</wp:posOffset>
            </wp:positionV>
            <wp:extent cx="7143115" cy="1263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115" cy="126365"/>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-165100</wp:posOffset>
            </wp:positionV>
            <wp:extent cx="7143115" cy="1498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11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60" w:space="720"/>
            <w:col w:w="2360"/>
          </w:cols>
          <w:pgMar w:left="320" w:top="8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6851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55" w:lineRule="exact"/>
        <w:rPr>
          <w:sz w:val="20"/>
          <w:szCs w:val="20"/>
          <w:color w:val="auto"/>
        </w:rPr>
      </w:pPr>
    </w:p>
    <w:p>
      <w:pPr>
        <w:ind w:right="20" w:firstLine="597"/>
        <w:spacing w:after="0" w:line="262" w:lineRule="auto"/>
        <w:rPr>
          <w:sz w:val="20"/>
          <w:szCs w:val="20"/>
          <w:color w:val="auto"/>
        </w:rPr>
      </w:pPr>
      <w:r>
        <w:rPr>
          <w:rFonts w:ascii="Arial" w:cs="Arial" w:eastAsia="Arial" w:hAnsi="Arial"/>
          <w:sz w:val="16"/>
          <w:szCs w:val="16"/>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continued global supply chain disruptions and the expected impacts of those disruptions on our business, our expectations with respect to National Pen's move from Ireland to the Czech Republic, our expectations with respect to our competitive position and market share, sufficiency of our liquidity position, legal proceedings, currency volatility, and sufficiency of our tax reserves.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the COVID-19 pandemic and the timing and pace of economic recovery; our failure to anticipate and react to the effects of the pandemic on our customers, supply chain, markets, team members, and business; our inability to make the investments that we plan to make or the failure of those investments to achieve the results we expect; our failure to execute on the transformation of the Vista business; loss or unavailability of key personnel or our inability to recruit talented personnel to drive performance of our businesses; the failure of businesses we acquire or invest in to perform as expected, including possible impacts of the conflict in Ukraine on Depositphotos' operations; unanticipated changes in our markets, customers, or businesses; changes in the laws and regulations, or in the interpretation of laws and regulations, that affect our businesses; our failure to manage the growth and complexity of our business and expand our operations; our failure to maintain compliance with the covenants in our debt documents or to pay our debts when due; competitive pressures; general economic conditions; and other factors described in the documents that we periodically file with the SEC.</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Overview</w:t>
      </w:r>
    </w:p>
    <w:p>
      <w:pPr>
        <w:spacing w:after="0" w:line="173" w:lineRule="exact"/>
        <w:rPr>
          <w:sz w:val="20"/>
          <w:szCs w:val="20"/>
          <w:color w:val="auto"/>
        </w:rPr>
      </w:pPr>
    </w:p>
    <w:p>
      <w:pPr>
        <w:ind w:right="40" w:firstLine="597"/>
        <w:spacing w:after="0" w:line="245" w:lineRule="auto"/>
        <w:rPr>
          <w:sz w:val="20"/>
          <w:szCs w:val="20"/>
          <w:color w:val="auto"/>
        </w:rPr>
      </w:pPr>
      <w:r>
        <w:rPr>
          <w:rFonts w:ascii="Arial" w:cs="Arial" w:eastAsia="Arial" w:hAnsi="Arial"/>
          <w:sz w:val="17"/>
          <w:szCs w:val="17"/>
          <w:color w:val="auto"/>
        </w:rPr>
        <w:t>Cimpress is a strategically focused group of more than a dozen businesses that specialize in mass customization, via which we deliver large volumes of individually small-sized customized orders for a broad spectrum of print, signage, photo merchandise, invitations and announcements, writing instruments, packaging, apparel and other categories. We invest in and build customer-focused, entrepreneurial mass customization businesses for the long term, which we manage in a decentralized, autonomous manner. We drive competitive advantage across Cimpress through a select few shared strategic capabilities that have the greatest potential to create Cimpress-wide value. We limit all other central activities to only those which absolutely must be performed centrally.</w:t>
      </w:r>
    </w:p>
    <w:p>
      <w:pPr>
        <w:spacing w:after="0" w:line="159" w:lineRule="exact"/>
        <w:rPr>
          <w:sz w:val="20"/>
          <w:szCs w:val="20"/>
          <w:color w:val="auto"/>
        </w:rPr>
      </w:pPr>
    </w:p>
    <w:p>
      <w:pPr>
        <w:ind w:right="60" w:firstLine="597"/>
        <w:spacing w:after="0" w:line="245" w:lineRule="auto"/>
        <w:rPr>
          <w:sz w:val="20"/>
          <w:szCs w:val="20"/>
          <w:color w:val="auto"/>
        </w:rPr>
      </w:pPr>
      <w:r>
        <w:rPr>
          <w:rFonts w:ascii="Arial" w:cs="Arial" w:eastAsia="Arial" w:hAnsi="Arial"/>
          <w:sz w:val="17"/>
          <w:szCs w:val="17"/>
          <w:color w:val="auto"/>
        </w:rPr>
        <w:t>In October 2021 our Vistaprint business and reportable segment introduced a new parent brand "Vista", reflecting the business' ongoing transformation into the expert design and marketing partner for small businesses around the world. This new parent brand encompasses VistaPrint, 99designs by Vista, VistaCreate, and Vista Corporate Solutions. This move should help open customers' minds to allow us to serve a broader set of their needs across a wide range of products and solutions that includes design, social media and web presence as well as print. No changes were made to our internal organizational and reporting structure as a result of this rebranding, but we will refer to this reportable segment as "Vista" from here forward and throughout this document.</w:t>
      </w:r>
    </w:p>
    <w:p>
      <w:pPr>
        <w:spacing w:after="0" w:line="184" w:lineRule="exact"/>
        <w:rPr>
          <w:sz w:val="20"/>
          <w:szCs w:val="20"/>
          <w:color w:val="auto"/>
        </w:rPr>
      </w:pPr>
    </w:p>
    <w:p>
      <w:pPr>
        <w:ind w:right="80" w:firstLine="597"/>
        <w:spacing w:after="0" w:line="247" w:lineRule="auto"/>
        <w:rPr>
          <w:sz w:val="20"/>
          <w:szCs w:val="20"/>
          <w:color w:val="auto"/>
        </w:rPr>
      </w:pPr>
      <w:r>
        <w:rPr>
          <w:rFonts w:ascii="Arial" w:cs="Arial" w:eastAsia="Arial" w:hAnsi="Arial"/>
          <w:sz w:val="17"/>
          <w:szCs w:val="17"/>
          <w:color w:val="auto"/>
        </w:rPr>
        <w:t>As of March 31, 2022, we have numerous operating segments under our management reporting structure that are reported in the following five reportable segments: Vista, PrintBrothers, The Print Group, National Pen, and All Other Businesses. Refer to Note 12 in our accompanying consolidated financial statements for additional information relating to our reportable segments and our segment financial measures.</w:t>
      </w:r>
    </w:p>
    <w:p>
      <w:pPr>
        <w:spacing w:after="0" w:line="168" w:lineRule="exact"/>
        <w:rPr>
          <w:sz w:val="20"/>
          <w:szCs w:val="20"/>
          <w:color w:val="auto"/>
        </w:rPr>
      </w:pPr>
    </w:p>
    <w:p>
      <w:pPr>
        <w:ind w:firstLine="597"/>
        <w:spacing w:after="0" w:line="246" w:lineRule="auto"/>
        <w:rPr>
          <w:sz w:val="20"/>
          <w:szCs w:val="20"/>
          <w:color w:val="auto"/>
        </w:rPr>
      </w:pPr>
      <w:r>
        <w:rPr>
          <w:rFonts w:ascii="Arial" w:cs="Arial" w:eastAsia="Arial" w:hAnsi="Arial"/>
          <w:sz w:val="17"/>
          <w:szCs w:val="17"/>
          <w:color w:val="auto"/>
        </w:rPr>
        <w:t>The effects of the pandemic on Cimpress have continued to diminish in terms of its impact on demand, but we continue to experience volatility as COVID-19 variants emerge and government restrictions are put in place. Our businesses continue to experience supply chain challenges as a facet of pandemic impacts which has created both difficulties and opportunities for Cimpress businesses. Each of our reportable segments has seen material cost increases of product substrates like paper, production materials like aluminum plates, freight and shipping charges,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36" w:name="page37"/>
    <w:bookmarkEnd w:id="36"/>
    <w:p>
      <w:pPr>
        <w:ind w:right="300"/>
        <w:spacing w:after="0" w:line="247" w:lineRule="auto"/>
        <w:rPr>
          <w:sz w:val="20"/>
          <w:szCs w:val="20"/>
          <w:color w:val="auto"/>
        </w:rPr>
      </w:pPr>
      <w:r>
        <w:rPr>
          <w:rFonts w:ascii="Arial" w:cs="Arial" w:eastAsia="Arial" w:hAnsi="Arial"/>
          <w:sz w:val="17"/>
          <w:szCs w:val="17"/>
          <w:color w:val="auto"/>
        </w:rPr>
        <w:t>energy costs and higher compensation costs due to a more competitive labor market. Our scale-based shared strategic capabilities and supplier relationships provide competitive advantages for our businesses to weather these challenges. Through data capabilities, our businesses are regularly testing new pricing approaches, and in all businesses there have been pricing increases that are partially offsetting the increased costs.</w:t>
      </w:r>
    </w:p>
    <w:p>
      <w:pPr>
        <w:spacing w:after="0" w:line="168" w:lineRule="exact"/>
        <w:rPr>
          <w:sz w:val="20"/>
          <w:szCs w:val="20"/>
          <w:color w:val="auto"/>
        </w:rPr>
      </w:pPr>
    </w:p>
    <w:p>
      <w:pPr>
        <w:ind w:right="640" w:firstLine="597"/>
        <w:spacing w:after="0" w:line="250" w:lineRule="auto"/>
        <w:rPr>
          <w:sz w:val="20"/>
          <w:szCs w:val="20"/>
          <w:color w:val="auto"/>
        </w:rPr>
      </w:pPr>
      <w:r>
        <w:rPr>
          <w:rFonts w:ascii="Arial" w:cs="Arial" w:eastAsia="Arial" w:hAnsi="Arial"/>
          <w:sz w:val="17"/>
          <w:szCs w:val="17"/>
          <w:color w:val="auto"/>
        </w:rPr>
        <w:t>We continue to hire talent and make investments in technology, data, new product introduction, customer experience improvements, and branding, especially in our Vista business, that are designed to build on our competitive advantages and drive sustainable growth.</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Summary</w:t>
      </w:r>
    </w:p>
    <w:p>
      <w:pPr>
        <w:spacing w:after="0" w:line="198" w:lineRule="exact"/>
        <w:rPr>
          <w:sz w:val="20"/>
          <w:szCs w:val="20"/>
          <w:color w:val="auto"/>
        </w:rPr>
      </w:pPr>
    </w:p>
    <w:p>
      <w:pPr>
        <w:ind w:firstLine="597"/>
        <w:spacing w:after="0" w:line="245" w:lineRule="auto"/>
        <w:rPr>
          <w:sz w:val="20"/>
          <w:szCs w:val="20"/>
          <w:color w:val="auto"/>
        </w:rPr>
      </w:pPr>
      <w:r>
        <w:rPr>
          <w:rFonts w:ascii="Arial" w:cs="Arial" w:eastAsia="Arial" w:hAnsi="Arial"/>
          <w:sz w:val="17"/>
          <w:szCs w:val="17"/>
          <w:color w:val="auto"/>
        </w:rPr>
        <w:t>The primary financial metric by which we set quarterly and annual budgets both for individual businesses and Cimpress wide is our adjusted free cash flow before cash interest expense; however, in evaluating the financial condition and operating performance of our business, management considers a number of metrics including revenue growth, organic constant-currency revenue growth, operating income,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three and nine months ended March 31, 2022 as compared to the three and nine months ended March 31, 2021 follows: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Third Quarter Fiscal Year 2022</w:t>
      </w:r>
    </w:p>
    <w:p>
      <w:pPr>
        <w:spacing w:after="0" w:line="103" w:lineRule="exact"/>
        <w:rPr>
          <w:sz w:val="20"/>
          <w:szCs w:val="20"/>
          <w:color w:val="auto"/>
        </w:rPr>
      </w:pPr>
    </w:p>
    <w:p>
      <w:pPr>
        <w:ind w:left="900" w:hanging="303"/>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Revenue increased by 15% to $657.4 million.</w:t>
      </w:r>
    </w:p>
    <w:p>
      <w:pPr>
        <w:spacing w:after="0" w:line="103" w:lineRule="exact"/>
        <w:rPr>
          <w:rFonts w:ascii="Arial" w:cs="Arial" w:eastAsia="Arial" w:hAnsi="Arial"/>
          <w:sz w:val="17"/>
          <w:szCs w:val="17"/>
          <w:color w:val="auto"/>
        </w:rPr>
      </w:pPr>
    </w:p>
    <w:p>
      <w:pPr>
        <w:ind w:left="900" w:right="260" w:hanging="303"/>
        <w:spacing w:after="0" w:line="250" w:lineRule="auto"/>
        <w:tabs>
          <w:tab w:leader="none" w:pos="896" w:val="left"/>
        </w:tabs>
        <w:numPr>
          <w:ilvl w:val="0"/>
          <w:numId w:val="21"/>
        </w:numPr>
        <w:rPr>
          <w:rFonts w:ascii="Arial" w:cs="Arial" w:eastAsia="Arial" w:hAnsi="Arial"/>
          <w:sz w:val="17"/>
          <w:szCs w:val="17"/>
          <w:i w:val="1"/>
          <w:iCs w:val="1"/>
          <w:color w:val="auto"/>
        </w:rPr>
      </w:pPr>
      <w:r>
        <w:rPr>
          <w:rFonts w:ascii="Arial" w:cs="Arial" w:eastAsia="Arial" w:hAnsi="Arial"/>
          <w:sz w:val="17"/>
          <w:szCs w:val="17"/>
          <w:color w:val="auto"/>
        </w:rPr>
        <w:t>Constant-currency revenue (a non-GAAP financial measure) increased by 19% and by 17% when excluding acquisitions completed in the last four quarters.</w:t>
      </w:r>
    </w:p>
    <w:p>
      <w:pPr>
        <w:spacing w:after="0" w:line="90" w:lineRule="exact"/>
        <w:rPr>
          <w:rFonts w:ascii="Arial" w:cs="Arial" w:eastAsia="Arial" w:hAnsi="Arial"/>
          <w:sz w:val="17"/>
          <w:szCs w:val="17"/>
          <w:i w:val="1"/>
          <w:iCs w:val="1"/>
          <w:color w:val="auto"/>
        </w:rPr>
      </w:pPr>
    </w:p>
    <w:p>
      <w:pPr>
        <w:ind w:left="900" w:hanging="303"/>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Operating loss increased by $12.7 million from $(15.7) million to $(28.4) million.</w:t>
      </w:r>
    </w:p>
    <w:p>
      <w:pPr>
        <w:spacing w:after="0" w:line="103" w:lineRule="exact"/>
        <w:rPr>
          <w:rFonts w:ascii="Arial" w:cs="Arial" w:eastAsia="Arial" w:hAnsi="Arial"/>
          <w:sz w:val="17"/>
          <w:szCs w:val="17"/>
          <w:color w:val="auto"/>
        </w:rPr>
      </w:pPr>
    </w:p>
    <w:p>
      <w:pPr>
        <w:ind w:left="900" w:hanging="303"/>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EBITDA (a non-GAAP financial measure) decreased by $21.4 million to $33.6 million.</w:t>
      </w:r>
    </w:p>
    <w:p>
      <w:pPr>
        <w:spacing w:after="0" w:line="103" w:lineRule="exact"/>
        <w:rPr>
          <w:rFonts w:ascii="Arial" w:cs="Arial" w:eastAsia="Arial" w:hAnsi="Arial"/>
          <w:sz w:val="17"/>
          <w:szCs w:val="17"/>
          <w:color w:val="auto"/>
        </w:rPr>
      </w:pPr>
    </w:p>
    <w:p>
      <w:pPr>
        <w:ind w:left="900" w:hanging="303"/>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Diluted net loss per share attributable to Cimpress plc increased to $(2.75) from $(1.50) in the comparative period.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Year to Date Fiscal Year 2022</w:t>
      </w:r>
    </w:p>
    <w:p>
      <w:pPr>
        <w:spacing w:after="0" w:line="103" w:lineRule="exact"/>
        <w:rPr>
          <w:sz w:val="20"/>
          <w:szCs w:val="20"/>
          <w:color w:val="auto"/>
        </w:rPr>
      </w:pPr>
    </w:p>
    <w:p>
      <w:pPr>
        <w:ind w:left="900" w:hanging="303"/>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Revenue increased by 12% to $2,164.7 million.</w:t>
      </w:r>
    </w:p>
    <w:p>
      <w:pPr>
        <w:spacing w:after="0" w:line="103" w:lineRule="exact"/>
        <w:rPr>
          <w:rFonts w:ascii="Arial" w:cs="Arial" w:eastAsia="Arial" w:hAnsi="Arial"/>
          <w:sz w:val="17"/>
          <w:szCs w:val="17"/>
          <w:color w:val="auto"/>
        </w:rPr>
      </w:pPr>
    </w:p>
    <w:p>
      <w:pPr>
        <w:ind w:left="900" w:right="260" w:hanging="303"/>
        <w:spacing w:after="0" w:line="250" w:lineRule="auto"/>
        <w:tabs>
          <w:tab w:leader="none" w:pos="8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Constant-currency revenue (a non-GAAP financial measure) increased by 13% and by 11% when excluding acquisitions completed in the last four quarters.</w:t>
      </w:r>
    </w:p>
    <w:p>
      <w:pPr>
        <w:spacing w:after="0" w:line="90" w:lineRule="exact"/>
        <w:rPr>
          <w:rFonts w:ascii="Arial" w:cs="Arial" w:eastAsia="Arial" w:hAnsi="Arial"/>
          <w:sz w:val="17"/>
          <w:szCs w:val="17"/>
          <w:color w:val="auto"/>
        </w:rPr>
      </w:pPr>
    </w:p>
    <w:p>
      <w:pPr>
        <w:ind w:left="900" w:hanging="303"/>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Operating income decreased by $40.0 million to $74.5 million.</w:t>
      </w:r>
    </w:p>
    <w:p>
      <w:pPr>
        <w:spacing w:after="0" w:line="103" w:lineRule="exact"/>
        <w:rPr>
          <w:rFonts w:ascii="Arial" w:cs="Arial" w:eastAsia="Arial" w:hAnsi="Arial"/>
          <w:sz w:val="17"/>
          <w:szCs w:val="17"/>
          <w:color w:val="auto"/>
        </w:rPr>
      </w:pPr>
    </w:p>
    <w:p>
      <w:pPr>
        <w:ind w:left="900" w:hanging="303"/>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Adjusted EBITDA (a non-GAAP financial measure) decreased by $43.6 million to $243.3 million.</w:t>
      </w:r>
    </w:p>
    <w:p>
      <w:pPr>
        <w:spacing w:after="0" w:line="103" w:lineRule="exact"/>
        <w:rPr>
          <w:rFonts w:ascii="Arial" w:cs="Arial" w:eastAsia="Arial" w:hAnsi="Arial"/>
          <w:sz w:val="17"/>
          <w:szCs w:val="17"/>
          <w:color w:val="auto"/>
        </w:rPr>
      </w:pPr>
    </w:p>
    <w:p>
      <w:pPr>
        <w:ind w:left="900" w:hanging="303"/>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Diluted net loss per share attributable to Cimpress plc increased to $(0.91) from $(0.67) in the comparative period.</w:t>
      </w:r>
    </w:p>
    <w:p>
      <w:pPr>
        <w:spacing w:after="0" w:line="103" w:lineRule="exact"/>
        <w:rPr>
          <w:rFonts w:ascii="Arial" w:cs="Arial" w:eastAsia="Arial" w:hAnsi="Arial"/>
          <w:sz w:val="17"/>
          <w:szCs w:val="17"/>
          <w:color w:val="auto"/>
        </w:rPr>
      </w:pPr>
    </w:p>
    <w:p>
      <w:pPr>
        <w:ind w:left="900" w:hanging="303"/>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Cash provided by operating activities decreased by $87.2 million to $131.7 million.</w:t>
      </w:r>
    </w:p>
    <w:p>
      <w:pPr>
        <w:spacing w:after="0" w:line="103" w:lineRule="exact"/>
        <w:rPr>
          <w:rFonts w:ascii="Arial" w:cs="Arial" w:eastAsia="Arial" w:hAnsi="Arial"/>
          <w:sz w:val="17"/>
          <w:szCs w:val="17"/>
          <w:color w:val="auto"/>
        </w:rPr>
      </w:pPr>
    </w:p>
    <w:p>
      <w:pPr>
        <w:ind w:left="900" w:hanging="303"/>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Adjusted free cash flow (a non-GAAP financial measure) decreased by $111.2 million to $39.7 million.</w:t>
      </w:r>
    </w:p>
    <w:p>
      <w:pPr>
        <w:spacing w:after="0" w:line="178" w:lineRule="exact"/>
        <w:rPr>
          <w:sz w:val="20"/>
          <w:szCs w:val="20"/>
          <w:color w:val="auto"/>
        </w:rPr>
      </w:pPr>
    </w:p>
    <w:p>
      <w:pPr>
        <w:ind w:right="160" w:firstLine="597"/>
        <w:spacing w:after="0" w:line="264" w:lineRule="auto"/>
        <w:rPr>
          <w:sz w:val="20"/>
          <w:szCs w:val="20"/>
          <w:color w:val="auto"/>
        </w:rPr>
      </w:pPr>
      <w:r>
        <w:rPr>
          <w:rFonts w:ascii="Arial" w:cs="Arial" w:eastAsia="Arial" w:hAnsi="Arial"/>
          <w:sz w:val="16"/>
          <w:szCs w:val="16"/>
          <w:color w:val="auto"/>
        </w:rPr>
        <w:t>For the third quarter of fiscal year 2022, the increase in reported revenue was primarily due to the continued recovery of demand. Reported revenue benefited from the addition of revenue from Depositphotos, which was acquired on October 1, 2021 and is included in our Vista business. Revenue also benefited from pricing changes in many of our businesses, which continued to be one tool we used to mitigate inflationary cost pressures that have arisen from ongoing supply chain challenges. Revenue for customized face masks was much lower as compared to the prior year because demand for pandemic-related products has diminished. Currency exchange fluctuations also had a negative effect during the current quarter.</w:t>
      </w:r>
    </w:p>
    <w:p>
      <w:pPr>
        <w:spacing w:after="0" w:line="170" w:lineRule="exact"/>
        <w:rPr>
          <w:sz w:val="20"/>
          <w:szCs w:val="20"/>
          <w:color w:val="auto"/>
        </w:rPr>
      </w:pPr>
    </w:p>
    <w:p>
      <w:pPr>
        <w:ind w:right="20" w:firstLine="597"/>
        <w:spacing w:after="0" w:line="245" w:lineRule="auto"/>
        <w:rPr>
          <w:sz w:val="20"/>
          <w:szCs w:val="20"/>
          <w:color w:val="auto"/>
        </w:rPr>
      </w:pPr>
      <w:r>
        <w:rPr>
          <w:rFonts w:ascii="Arial" w:cs="Arial" w:eastAsia="Arial" w:hAnsi="Arial"/>
          <w:sz w:val="17"/>
          <w:szCs w:val="17"/>
          <w:color w:val="auto"/>
        </w:rPr>
        <w:t>For the three months ended March 31, 2022, the increase in operating loss was primarily due to increased investments in our Vista business. These investments include hiring across several strategic initiatives, as well as increased advertising spend driven by mid- and upper-funnel advertising and higher performance advertising driven by expanded payback thresholds. The current quarter was also negatively impacted by inflationary cost pressures, which were not fully mitigated through price increases in certain businesses and product categories. Share based compensation expense also increased year over year largely because the comparative period's annual grant cycle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7" w:name="page38"/>
    <w:bookmarkEnd w:id="37"/>
    <w:p>
      <w:pPr>
        <w:jc w:val="both"/>
        <w:ind w:right="80"/>
        <w:spacing w:after="0" w:line="247" w:lineRule="auto"/>
        <w:rPr>
          <w:sz w:val="20"/>
          <w:szCs w:val="20"/>
          <w:color w:val="auto"/>
        </w:rPr>
      </w:pPr>
      <w:r>
        <w:rPr>
          <w:rFonts w:ascii="Arial" w:cs="Arial" w:eastAsia="Arial" w:hAnsi="Arial"/>
          <w:sz w:val="17"/>
          <w:szCs w:val="17"/>
          <w:color w:val="auto"/>
        </w:rPr>
        <w:t>was delayed until the middle of the third quarter of fiscal year 2021 while the current period's grants occurred during the first quarter of fiscal year 2022. Profit improvement in The Print Group, PrintBrothers, and National Pen segments driven by strong revenue growth, as well as the non-recurrence of a $19.9 million impairment in the year-ago period partially offset the items described above.</w:t>
      </w:r>
    </w:p>
    <w:p>
      <w:pPr>
        <w:spacing w:after="0" w:line="168" w:lineRule="exact"/>
        <w:rPr>
          <w:sz w:val="20"/>
          <w:szCs w:val="20"/>
          <w:color w:val="auto"/>
        </w:rPr>
      </w:pPr>
    </w:p>
    <w:p>
      <w:pPr>
        <w:ind w:right="120" w:firstLine="597"/>
        <w:spacing w:after="0" w:line="246" w:lineRule="auto"/>
        <w:rPr>
          <w:sz w:val="20"/>
          <w:szCs w:val="20"/>
          <w:color w:val="auto"/>
        </w:rPr>
      </w:pPr>
      <w:r>
        <w:rPr>
          <w:rFonts w:ascii="Arial" w:cs="Arial" w:eastAsia="Arial" w:hAnsi="Arial"/>
          <w:sz w:val="17"/>
          <w:szCs w:val="17"/>
          <w:color w:val="auto"/>
        </w:rPr>
        <w:t>Adjusted EBITDA decreased year over year, primarily for the same reasons operating income decreased. Adjusted EBITDA excludes restructuring charges, share-based compensation expense, and non-cash gains on the sale of assets, and includes the realized gains or losses on our currency derivatives intended to hedge adjusted EBITDA. The net year-over-year impact of currency on consolidated adjusted EBITDA was approximately $2.9 million for the current quarter.</w:t>
      </w:r>
    </w:p>
    <w:p>
      <w:pPr>
        <w:spacing w:after="0" w:line="182" w:lineRule="exact"/>
        <w:rPr>
          <w:sz w:val="20"/>
          <w:szCs w:val="20"/>
          <w:color w:val="auto"/>
        </w:rPr>
      </w:pPr>
    </w:p>
    <w:p>
      <w:pPr>
        <w:ind w:right="100" w:firstLine="597"/>
        <w:spacing w:after="0" w:line="246" w:lineRule="auto"/>
        <w:rPr>
          <w:sz w:val="20"/>
          <w:szCs w:val="20"/>
          <w:color w:val="auto"/>
        </w:rPr>
      </w:pPr>
      <w:r>
        <w:rPr>
          <w:rFonts w:ascii="Arial" w:cs="Arial" w:eastAsia="Arial" w:hAnsi="Arial"/>
          <w:sz w:val="17"/>
          <w:szCs w:val="17"/>
          <w:color w:val="auto"/>
        </w:rPr>
        <w:t>Diluted net loss per share attributable to Cimpress plc increased for the three months ended March 31, 2022 due to the items described above and increased income tax expense driven by the establishment of a partial valuation allowance on deferred tax assets primarily related to Swiss tax reform benefits recognized in fiscal year 2020 that we no longer expect to fully realize. This was partially offset by unrealized currency gains caused by exchange rate volatility and decreased interest expense due to our debt refinancing during the fourth quarter of fiscal 2021.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Revenue</w:t>
      </w:r>
    </w:p>
    <w:p>
      <w:pPr>
        <w:spacing w:after="0" w:line="148" w:lineRule="exact"/>
        <w:rPr>
          <w:sz w:val="20"/>
          <w:szCs w:val="20"/>
          <w:color w:val="auto"/>
        </w:rPr>
      </w:pPr>
    </w:p>
    <w:p>
      <w:pPr>
        <w:ind w:firstLine="597"/>
        <w:spacing w:after="0" w:line="246" w:lineRule="auto"/>
        <w:rPr>
          <w:sz w:val="20"/>
          <w:szCs w:val="20"/>
          <w:color w:val="auto"/>
        </w:rPr>
      </w:pPr>
      <w:r>
        <w:rPr>
          <w:rFonts w:ascii="Arial" w:cs="Arial" w:eastAsia="Arial" w:hAnsi="Arial"/>
          <w:sz w:val="17"/>
          <w:szCs w:val="17"/>
          <w:color w:val="auto"/>
        </w:rPr>
        <w:t>Our businesses generate revenue primarily from the sale and shipment of customized manufactured products. We also generate revenue, to a much lesser extent (and primarily in our Vista business), from digital services, graphic design services, website design and hosting, and email marketing services, as well as a small percentage of revenue from order referral fees and other third-party offerings. For additional discussion relating to segment revenue results, refer to the "Reportable Segment Results" section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40"/>
          </w:cols>
          <w:pgMar w:left="320" w:top="1035" w:right="439" w:bottom="1440" w:gutter="0" w:footer="0" w:header="0"/>
        </w:sectPr>
      </w:pPr>
    </w:p>
    <w:bookmarkStart w:id="38" w:name="page39"/>
    <w:bookmarkEnd w:id="38"/>
    <w:p>
      <w:pPr>
        <w:ind w:right="520" w:firstLine="597"/>
        <w:spacing w:after="0" w:line="250" w:lineRule="auto"/>
        <w:rPr>
          <w:sz w:val="20"/>
          <w:szCs w:val="20"/>
          <w:color w:val="auto"/>
        </w:rPr>
      </w:pPr>
      <w:r>
        <w:rPr>
          <w:rFonts w:ascii="Arial" w:cs="Arial" w:eastAsia="Arial" w:hAnsi="Arial"/>
          <w:sz w:val="17"/>
          <w:szCs w:val="17"/>
          <w:color w:val="auto"/>
        </w:rPr>
        <w:t>Total revenue and revenue growth by reportable segment for the three and nine months ended March 31, 2022 and 2021 are shown in the following table:</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20" w:type="dxa"/>
            <w:vAlign w:val="bottom"/>
            <w:gridSpan w:val="2"/>
          </w:tcPr>
          <w:p>
            <w:pPr>
              <w:ind w:left="20"/>
              <w:spacing w:after="0"/>
              <w:rPr>
                <w:sz w:val="20"/>
                <w:szCs w:val="20"/>
                <w:color w:val="auto"/>
              </w:rPr>
            </w:pPr>
            <w:r>
              <w:rPr>
                <w:rFonts w:ascii="Arial" w:cs="Arial" w:eastAsia="Arial" w:hAnsi="Arial"/>
                <w:sz w:val="15"/>
                <w:szCs w:val="15"/>
                <w:color w:val="auto"/>
              </w:rPr>
              <w:t>In thousands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8"/>
            <w:vMerge w:val="restart"/>
          </w:tcPr>
          <w:p>
            <w:pPr>
              <w:ind w:left="120"/>
              <w:spacing w:after="0"/>
              <w:rPr>
                <w:sz w:val="20"/>
                <w:szCs w:val="20"/>
                <w:color w:val="auto"/>
              </w:rPr>
            </w:pPr>
            <w:r>
              <w:rPr>
                <w:rFonts w:ascii="Arial" w:cs="Arial" w:eastAsia="Arial" w:hAnsi="Arial"/>
                <w:sz w:val="12"/>
                <w:szCs w:val="12"/>
                <w:b w:val="1"/>
                <w:bCs w:val="1"/>
                <w:color w:val="auto"/>
              </w:rPr>
              <w:t>Three Months Ended March 31,</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4"/>
              </w:rPr>
              <w:t>Currency</w:t>
            </w:r>
          </w:p>
        </w:tc>
        <w:tc>
          <w:tcPr>
            <w:tcW w:w="6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6"/>
              </w:rPr>
              <w:t>Constant-</w:t>
            </w:r>
          </w:p>
        </w:tc>
        <w:tc>
          <w:tcPr>
            <w:tcW w:w="60" w:type="dxa"/>
            <w:vAlign w:val="bottom"/>
          </w:tcPr>
          <w:p>
            <w:pPr>
              <w:spacing w:after="0"/>
              <w:rPr>
                <w:sz w:val="14"/>
                <w:szCs w:val="14"/>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7"/>
              </w:rPr>
              <w:t>Impact of</w:t>
            </w:r>
          </w:p>
        </w:tc>
        <w:tc>
          <w:tcPr>
            <w:tcW w:w="4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Constant- Currency</w:t>
            </w: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gridSpan w:val="8"/>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gridSpan w:val="3"/>
          </w:tcPr>
          <w:p>
            <w:pPr>
              <w:jc w:val="center"/>
              <w:ind w:right="160"/>
              <w:spacing w:after="0" w:line="125" w:lineRule="exact"/>
              <w:rPr>
                <w:sz w:val="20"/>
                <w:szCs w:val="20"/>
                <w:color w:val="auto"/>
              </w:rPr>
            </w:pPr>
            <w:r>
              <w:rPr>
                <w:rFonts w:ascii="Arial" w:cs="Arial" w:eastAsia="Arial" w:hAnsi="Arial"/>
                <w:sz w:val="12"/>
                <w:szCs w:val="12"/>
                <w:b w:val="1"/>
                <w:bCs w:val="1"/>
                <w:color w:val="auto"/>
                <w:w w:val="98"/>
              </w:rPr>
              <w:t>Impact:</w:t>
            </w:r>
          </w:p>
        </w:tc>
        <w:tc>
          <w:tcPr>
            <w:tcW w:w="60" w:type="dxa"/>
            <w:vAlign w:val="bottom"/>
          </w:tcPr>
          <w:p>
            <w:pPr>
              <w:spacing w:after="0"/>
              <w:rPr>
                <w:sz w:val="10"/>
                <w:szCs w:val="10"/>
                <w:color w:val="auto"/>
              </w:rPr>
            </w:pPr>
          </w:p>
        </w:tc>
        <w:tc>
          <w:tcPr>
            <w:tcW w:w="1040" w:type="dxa"/>
            <w:vAlign w:val="bottom"/>
            <w:gridSpan w:val="3"/>
          </w:tcPr>
          <w:p>
            <w:pPr>
              <w:jc w:val="center"/>
              <w:ind w:right="160"/>
              <w:spacing w:after="0" w:line="125" w:lineRule="exact"/>
              <w:rPr>
                <w:sz w:val="20"/>
                <w:szCs w:val="20"/>
                <w:color w:val="auto"/>
              </w:rPr>
            </w:pPr>
            <w:r>
              <w:rPr>
                <w:rFonts w:ascii="Arial" w:cs="Arial" w:eastAsia="Arial" w:hAnsi="Arial"/>
                <w:sz w:val="12"/>
                <w:szCs w:val="12"/>
                <w:b w:val="1"/>
                <w:bCs w:val="1"/>
                <w:color w:val="auto"/>
                <w:w w:val="98"/>
              </w:rPr>
              <w:t>Currency</w:t>
            </w:r>
          </w:p>
        </w:tc>
        <w:tc>
          <w:tcPr>
            <w:tcW w:w="1580" w:type="dxa"/>
            <w:vAlign w:val="bottom"/>
            <w:gridSpan w:val="4"/>
          </w:tcPr>
          <w:p>
            <w:pPr>
              <w:jc w:val="center"/>
              <w:ind w:right="100"/>
              <w:spacing w:after="0" w:line="125" w:lineRule="exact"/>
              <w:rPr>
                <w:sz w:val="20"/>
                <w:szCs w:val="20"/>
                <w:color w:val="auto"/>
              </w:rPr>
            </w:pPr>
            <w:r>
              <w:rPr>
                <w:rFonts w:ascii="Arial" w:cs="Arial" w:eastAsia="Arial" w:hAnsi="Arial"/>
                <w:sz w:val="12"/>
                <w:szCs w:val="12"/>
                <w:b w:val="1"/>
                <w:bCs w:val="1"/>
                <w:color w:val="auto"/>
                <w:w w:val="97"/>
              </w:rPr>
              <w:t>Acquisitions/Divestitures:</w:t>
            </w:r>
          </w:p>
        </w:tc>
        <w:tc>
          <w:tcPr>
            <w:tcW w:w="40" w:type="dxa"/>
            <w:vAlign w:val="bottom"/>
          </w:tcPr>
          <w:p>
            <w:pPr>
              <w:spacing w:after="0"/>
              <w:rPr>
                <w:sz w:val="10"/>
                <w:szCs w:val="10"/>
                <w:color w:val="auto"/>
              </w:rPr>
            </w:pPr>
          </w:p>
        </w:tc>
        <w:tc>
          <w:tcPr>
            <w:tcW w:w="144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6"/>
              </w:rPr>
              <w:t>Revenue Growth</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gridSpan w:val="3"/>
            <w:vMerge w:val="restart"/>
          </w:tcPr>
          <w:p>
            <w:pPr>
              <w:jc w:val="center"/>
              <w:ind w:right="160"/>
              <w:spacing w:after="0"/>
              <w:rPr>
                <w:sz w:val="20"/>
                <w:szCs w:val="20"/>
                <w:color w:val="auto"/>
              </w:rPr>
            </w:pPr>
            <w:r>
              <w:rPr>
                <w:rFonts w:ascii="Arial" w:cs="Arial" w:eastAsia="Arial" w:hAnsi="Arial"/>
                <w:sz w:val="12"/>
                <w:szCs w:val="12"/>
                <w:b w:val="1"/>
                <w:bCs w:val="1"/>
                <w:color w:val="auto"/>
                <w:w w:val="95"/>
              </w:rPr>
              <w:t>Revenue</w:t>
            </w: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2"/>
          </w:tcPr>
          <w:p>
            <w:pPr>
              <w:jc w:val="center"/>
              <w:ind w:right="120"/>
              <w:spacing w:after="0" w:line="92" w:lineRule="exact"/>
              <w:rPr>
                <w:sz w:val="20"/>
                <w:szCs w:val="20"/>
                <w:color w:val="auto"/>
              </w:rPr>
            </w:pPr>
            <w:r>
              <w:rPr>
                <w:rFonts w:ascii="Arial" w:cs="Arial" w:eastAsia="Arial" w:hAnsi="Arial"/>
                <w:sz w:val="10"/>
                <w:szCs w:val="10"/>
                <w:b w:val="1"/>
                <w:bCs w:val="1"/>
                <w:color w:val="auto"/>
              </w:rPr>
              <w:t>Excluding</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2022</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vMerge w:val="restart"/>
          </w:tcPr>
          <w:p>
            <w:pPr>
              <w:jc w:val="right"/>
              <w:ind w:right="407"/>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auto"/>
                <w:w w:val="97"/>
              </w:rPr>
              <w:t>(Favorable)/Unfavorable</w:t>
            </w:r>
          </w:p>
        </w:tc>
        <w:tc>
          <w:tcPr>
            <w:tcW w:w="6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gridSpan w:val="3"/>
            <w:vMerge w:val="restart"/>
          </w:tcPr>
          <w:p>
            <w:pPr>
              <w:jc w:val="center"/>
              <w:ind w:right="160"/>
              <w:spacing w:after="0"/>
              <w:rPr>
                <w:sz w:val="20"/>
                <w:szCs w:val="20"/>
                <w:color w:val="auto"/>
              </w:rPr>
            </w:pPr>
            <w:r>
              <w:rPr>
                <w:rFonts w:ascii="Arial" w:cs="Arial" w:eastAsia="Arial" w:hAnsi="Arial"/>
                <w:sz w:val="12"/>
                <w:szCs w:val="12"/>
                <w:b w:val="1"/>
                <w:bCs w:val="1"/>
                <w:color w:val="auto"/>
                <w:w w:val="96"/>
              </w:rPr>
              <w:t>(Favorable)/Unfavorable</w:t>
            </w:r>
          </w:p>
        </w:tc>
        <w:tc>
          <w:tcPr>
            <w:tcW w:w="1480" w:type="dxa"/>
            <w:vAlign w:val="bottom"/>
            <w:gridSpan w:val="3"/>
          </w:tcPr>
          <w:p>
            <w:pPr>
              <w:jc w:val="center"/>
              <w:ind w:right="80"/>
              <w:spacing w:after="0" w:line="112" w:lineRule="exact"/>
              <w:rPr>
                <w:sz w:val="20"/>
                <w:szCs w:val="20"/>
                <w:color w:val="auto"/>
              </w:rPr>
            </w:pPr>
            <w:r>
              <w:rPr>
                <w:rFonts w:ascii="Arial" w:cs="Arial" w:eastAsia="Arial" w:hAnsi="Arial"/>
                <w:sz w:val="12"/>
                <w:szCs w:val="12"/>
                <w:b w:val="1"/>
                <w:bCs w:val="1"/>
                <w:color w:val="auto"/>
                <w:w w:val="97"/>
              </w:rPr>
              <w:t>Acquisitions/Divestitures</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Change</w:t>
            </w:r>
          </w:p>
        </w:tc>
        <w:tc>
          <w:tcPr>
            <w:tcW w:w="148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6"/>
              </w:rPr>
              <w:t>Growth (1)</w:t>
            </w:r>
          </w:p>
        </w:tc>
        <w:tc>
          <w:tcPr>
            <w:tcW w:w="60" w:type="dxa"/>
            <w:vAlign w:val="bottom"/>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14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Vista</w:t>
            </w: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349,216</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321,965</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5"/>
                <w:szCs w:val="15"/>
                <w:color w:val="auto"/>
                <w:w w:val="92"/>
              </w:rPr>
              <w:t>8%</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gridSpan w:val="2"/>
            <w:shd w:val="clear" w:color="auto" w:fill="CCEEFF"/>
          </w:tcPr>
          <w:p>
            <w:pPr>
              <w:jc w:val="right"/>
              <w:ind w:right="519"/>
              <w:spacing w:after="0"/>
              <w:rPr>
                <w:sz w:val="20"/>
                <w:szCs w:val="20"/>
                <w:color w:val="auto"/>
              </w:rPr>
            </w:pPr>
            <w:r>
              <w:rPr>
                <w:rFonts w:ascii="Arial" w:cs="Arial" w:eastAsia="Arial" w:hAnsi="Arial"/>
                <w:sz w:val="15"/>
                <w:szCs w:val="15"/>
                <w:color w:val="auto"/>
              </w:rPr>
              <w:t>2%</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5"/>
                <w:szCs w:val="15"/>
                <w:color w:val="auto"/>
                <w:w w:val="99"/>
              </w:rPr>
              <w:t>10%</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5"/>
                <w:szCs w:val="15"/>
                <w:color w:val="auto"/>
              </w:rPr>
              <w:t>(2)%</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5"/>
                <w:szCs w:val="15"/>
                <w:color w:val="auto"/>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gridSpan w:val="2"/>
          </w:tcPr>
          <w:p>
            <w:pPr>
              <w:ind w:left="20"/>
              <w:spacing w:after="0"/>
              <w:rPr>
                <w:sz w:val="20"/>
                <w:szCs w:val="20"/>
                <w:color w:val="auto"/>
              </w:rPr>
            </w:pPr>
            <w:r>
              <w:rPr>
                <w:rFonts w:ascii="Arial" w:cs="Arial" w:eastAsia="Arial" w:hAnsi="Arial"/>
                <w:sz w:val="15"/>
                <w:szCs w:val="15"/>
                <w:color w:val="auto"/>
              </w:rPr>
              <w:t>PrintBrothers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119,960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93,997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Arial" w:cs="Arial" w:eastAsia="Arial" w:hAnsi="Arial"/>
                <w:sz w:val="15"/>
                <w:szCs w:val="15"/>
                <w:color w:val="auto"/>
                <w:w w:val="99"/>
              </w:rPr>
              <w:t>28%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2"/>
          </w:tcPr>
          <w:p>
            <w:pPr>
              <w:jc w:val="right"/>
              <w:ind w:right="519"/>
              <w:spacing w:after="0"/>
              <w:rPr>
                <w:sz w:val="20"/>
                <w:szCs w:val="20"/>
                <w:color w:val="auto"/>
              </w:rPr>
            </w:pPr>
            <w:r>
              <w:rPr>
                <w:rFonts w:ascii="Arial" w:cs="Arial" w:eastAsia="Arial" w:hAnsi="Arial"/>
                <w:sz w:val="15"/>
                <w:szCs w:val="15"/>
                <w:color w:val="auto"/>
              </w:rPr>
              <w:t>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5"/>
                <w:szCs w:val="15"/>
                <w:color w:val="auto"/>
                <w:w w:val="99"/>
              </w:rPr>
              <w:t>37%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Arial" w:cs="Arial" w:eastAsia="Arial" w:hAnsi="Arial"/>
                <w:sz w:val="15"/>
                <w:szCs w:val="15"/>
                <w:color w:val="auto"/>
                <w:w w:val="99"/>
              </w:rPr>
              <w:t>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The Print Group</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75,361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59,945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9"/>
              </w:rPr>
              <w:t>26%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19"/>
              <w:spacing w:after="0"/>
              <w:rPr>
                <w:sz w:val="20"/>
                <w:szCs w:val="20"/>
                <w:color w:val="auto"/>
              </w:rPr>
            </w:pPr>
            <w:r>
              <w:rPr>
                <w:rFonts w:ascii="Arial" w:cs="Arial" w:eastAsia="Arial" w:hAnsi="Arial"/>
                <w:sz w:val="15"/>
                <w:szCs w:val="15"/>
                <w:color w:val="auto"/>
              </w:rPr>
              <w:t>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9"/>
              </w:rPr>
              <w:t>35%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8"/>
              </w:rPr>
              <w:t>—%</w:t>
            </w: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9"/>
              </w:rPr>
              <w:t>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gridSpan w:val="2"/>
          </w:tcPr>
          <w:p>
            <w:pPr>
              <w:ind w:left="20"/>
              <w:spacing w:after="0"/>
              <w:rPr>
                <w:sz w:val="20"/>
                <w:szCs w:val="20"/>
                <w:color w:val="auto"/>
              </w:rPr>
            </w:pPr>
            <w:r>
              <w:rPr>
                <w:rFonts w:ascii="Arial" w:cs="Arial" w:eastAsia="Arial" w:hAnsi="Arial"/>
                <w:sz w:val="15"/>
                <w:szCs w:val="15"/>
                <w:color w:val="auto"/>
              </w:rPr>
              <w:t>National Pen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72,243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62,220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center"/>
              <w:spacing w:after="0"/>
              <w:rPr>
                <w:sz w:val="20"/>
                <w:szCs w:val="20"/>
                <w:color w:val="auto"/>
              </w:rPr>
            </w:pPr>
            <w:r>
              <w:rPr>
                <w:rFonts w:ascii="Arial" w:cs="Arial" w:eastAsia="Arial" w:hAnsi="Arial"/>
                <w:sz w:val="15"/>
                <w:szCs w:val="15"/>
                <w:color w:val="auto"/>
                <w:w w:val="99"/>
              </w:rPr>
              <w:t>16%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2"/>
          </w:tcPr>
          <w:p>
            <w:pPr>
              <w:jc w:val="right"/>
              <w:ind w:right="519"/>
              <w:spacing w:after="0"/>
              <w:rPr>
                <w:sz w:val="20"/>
                <w:szCs w:val="20"/>
                <w:color w:val="auto"/>
              </w:rPr>
            </w:pPr>
            <w:r>
              <w:rPr>
                <w:rFonts w:ascii="Arial" w:cs="Arial" w:eastAsia="Arial" w:hAnsi="Arial"/>
                <w:sz w:val="15"/>
                <w:szCs w:val="15"/>
                <w:color w:val="auto"/>
              </w:rPr>
              <w:t>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5"/>
                <w:szCs w:val="15"/>
                <w:color w:val="auto"/>
                <w:w w:val="99"/>
              </w:rPr>
              <w:t>19%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5"/>
                <w:szCs w:val="15"/>
                <w:color w:val="auto"/>
                <w:w w:val="98"/>
              </w:rPr>
              <w:t>—%</w:t>
            </w:r>
          </w:p>
        </w:tc>
        <w:tc>
          <w:tcPr>
            <w:tcW w:w="1420" w:type="dxa"/>
            <w:vAlign w:val="bottom"/>
            <w:gridSpan w:val="2"/>
          </w:tcPr>
          <w:p>
            <w:pPr>
              <w:jc w:val="center"/>
              <w:spacing w:after="0"/>
              <w:rPr>
                <w:sz w:val="20"/>
                <w:szCs w:val="20"/>
                <w:color w:val="auto"/>
              </w:rPr>
            </w:pPr>
            <w:r>
              <w:rPr>
                <w:rFonts w:ascii="Arial" w:cs="Arial" w:eastAsia="Arial" w:hAnsi="Arial"/>
                <w:sz w:val="15"/>
                <w:szCs w:val="15"/>
                <w:color w:val="auto"/>
                <w:w w:val="99"/>
              </w:rPr>
              <w:t>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All Other Businesses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48,486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44,062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9"/>
              </w:rPr>
              <w:t>10%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79"/>
              <w:spacing w:after="0"/>
              <w:rPr>
                <w:sz w:val="20"/>
                <w:szCs w:val="20"/>
                <w:color w:val="auto"/>
              </w:rPr>
            </w:pPr>
            <w:r>
              <w:rPr>
                <w:rFonts w:ascii="Arial" w:cs="Arial" w:eastAsia="Arial" w:hAnsi="Arial"/>
                <w:sz w:val="15"/>
                <w:szCs w:val="15"/>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2"/>
              </w:rPr>
              <w:t>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tcPr>
          <w:p>
            <w:pPr>
              <w:ind w:left="80"/>
              <w:spacing w:after="0"/>
              <w:rPr>
                <w:sz w:val="20"/>
                <w:szCs w:val="20"/>
                <w:color w:val="auto"/>
              </w:rPr>
            </w:pPr>
            <w:r>
              <w:rPr>
                <w:rFonts w:ascii="Arial" w:cs="Arial" w:eastAsia="Arial" w:hAnsi="Arial"/>
                <w:sz w:val="15"/>
                <w:szCs w:val="15"/>
                <w:color w:val="auto"/>
              </w:rPr>
              <w:t>Inter-segment eliminations</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(7,854)</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(8,827)</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657,412</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573,362</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color w:val="auto"/>
                <w:w w:val="99"/>
              </w:rPr>
              <w:t>15%</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519"/>
              <w:spacing w:after="0"/>
              <w:rPr>
                <w:sz w:val="20"/>
                <w:szCs w:val="20"/>
                <w:color w:val="auto"/>
              </w:rPr>
            </w:pPr>
            <w:r>
              <w:rPr>
                <w:rFonts w:ascii="Arial" w:cs="Arial" w:eastAsia="Arial" w:hAnsi="Arial"/>
                <w:sz w:val="15"/>
                <w:szCs w:val="15"/>
                <w:color w:val="auto"/>
              </w:rPr>
              <w:t>4%</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color w:val="auto"/>
                <w:w w:val="99"/>
              </w:rPr>
              <w:t>19%</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color w:val="auto"/>
              </w:rPr>
              <w:t>(2)%</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color w:val="auto"/>
                <w:w w:val="99"/>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i w:val="1"/>
                <w:iCs w:val="1"/>
                <w:color w:val="auto"/>
              </w:rPr>
              <w:t>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gridSpan w:val="3"/>
            <w:vMerge w:val="restart"/>
          </w:tcPr>
          <w:p>
            <w:pPr>
              <w:jc w:val="center"/>
              <w:ind w:right="40"/>
              <w:spacing w:after="0"/>
              <w:rPr>
                <w:sz w:val="20"/>
                <w:szCs w:val="20"/>
                <w:color w:val="auto"/>
              </w:rPr>
            </w:pPr>
            <w:r>
              <w:rPr>
                <w:rFonts w:ascii="Arial" w:cs="Arial" w:eastAsia="Arial" w:hAnsi="Arial"/>
                <w:sz w:val="12"/>
                <w:szCs w:val="12"/>
                <w:b w:val="1"/>
                <w:bCs w:val="1"/>
                <w:color w:val="auto"/>
                <w:w w:val="94"/>
              </w:rPr>
              <w:t>Currency</w:t>
            </w: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3"/>
            <w:vMerge w:val="restart"/>
          </w:tcPr>
          <w:p>
            <w:pPr>
              <w:jc w:val="center"/>
              <w:ind w:right="60"/>
              <w:spacing w:after="0"/>
              <w:rPr>
                <w:sz w:val="20"/>
                <w:szCs w:val="20"/>
                <w:color w:val="auto"/>
              </w:rPr>
            </w:pPr>
            <w:r>
              <w:rPr>
                <w:rFonts w:ascii="Arial" w:cs="Arial" w:eastAsia="Arial" w:hAnsi="Arial"/>
                <w:sz w:val="12"/>
                <w:szCs w:val="12"/>
                <w:b w:val="1"/>
                <w:bCs w:val="1"/>
                <w:color w:val="auto"/>
                <w:w w:val="96"/>
              </w:rPr>
              <w:t>Constant-</w:t>
            </w:r>
          </w:p>
        </w:tc>
        <w:tc>
          <w:tcPr>
            <w:tcW w:w="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7"/>
              </w:rPr>
              <w:t>Impact of</w:t>
            </w:r>
          </w:p>
        </w:tc>
        <w:tc>
          <w:tcPr>
            <w:tcW w:w="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2"/>
                <w:szCs w:val="12"/>
                <w:b w:val="1"/>
                <w:bCs w:val="1"/>
                <w:color w:val="auto"/>
                <w:w w:val="98"/>
              </w:rPr>
              <w:t>Constant- Currency</w:t>
            </w: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8"/>
            <w:vMerge w:val="restart"/>
          </w:tcPr>
          <w:p>
            <w:pPr>
              <w:ind w:left="200"/>
              <w:spacing w:after="0"/>
              <w:rPr>
                <w:sz w:val="20"/>
                <w:szCs w:val="20"/>
                <w:color w:val="auto"/>
              </w:rPr>
            </w:pPr>
            <w:r>
              <w:rPr>
                <w:rFonts w:ascii="Arial" w:cs="Arial" w:eastAsia="Arial" w:hAnsi="Arial"/>
                <w:sz w:val="12"/>
                <w:szCs w:val="12"/>
                <w:b w:val="1"/>
                <w:bCs w:val="1"/>
                <w:color w:val="auto"/>
              </w:rPr>
              <w:t>Nine Months Ended March 31,</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gridSpan w:val="8"/>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20" w:type="dxa"/>
            <w:vAlign w:val="bottom"/>
            <w:gridSpan w:val="3"/>
          </w:tcPr>
          <w:p>
            <w:pPr>
              <w:jc w:val="center"/>
              <w:ind w:right="40"/>
              <w:spacing w:after="0" w:line="125" w:lineRule="exact"/>
              <w:rPr>
                <w:sz w:val="20"/>
                <w:szCs w:val="20"/>
                <w:color w:val="auto"/>
              </w:rPr>
            </w:pPr>
            <w:r>
              <w:rPr>
                <w:rFonts w:ascii="Arial" w:cs="Arial" w:eastAsia="Arial" w:hAnsi="Arial"/>
                <w:sz w:val="12"/>
                <w:szCs w:val="12"/>
                <w:b w:val="1"/>
                <w:bCs w:val="1"/>
                <w:color w:val="auto"/>
                <w:w w:val="98"/>
              </w:rPr>
              <w:t>Impact:</w:t>
            </w:r>
          </w:p>
        </w:tc>
        <w:tc>
          <w:tcPr>
            <w:tcW w:w="60" w:type="dxa"/>
            <w:vAlign w:val="bottom"/>
          </w:tcPr>
          <w:p>
            <w:pPr>
              <w:spacing w:after="0"/>
              <w:rPr>
                <w:sz w:val="10"/>
                <w:szCs w:val="10"/>
                <w:color w:val="auto"/>
              </w:rPr>
            </w:pPr>
          </w:p>
        </w:tc>
        <w:tc>
          <w:tcPr>
            <w:tcW w:w="1040" w:type="dxa"/>
            <w:vAlign w:val="bottom"/>
            <w:gridSpan w:val="3"/>
          </w:tcPr>
          <w:p>
            <w:pPr>
              <w:jc w:val="center"/>
              <w:ind w:right="60"/>
              <w:spacing w:after="0" w:line="125" w:lineRule="exact"/>
              <w:rPr>
                <w:sz w:val="20"/>
                <w:szCs w:val="20"/>
                <w:color w:val="auto"/>
              </w:rPr>
            </w:pPr>
            <w:r>
              <w:rPr>
                <w:rFonts w:ascii="Arial" w:cs="Arial" w:eastAsia="Arial" w:hAnsi="Arial"/>
                <w:sz w:val="12"/>
                <w:szCs w:val="12"/>
                <w:b w:val="1"/>
                <w:bCs w:val="1"/>
                <w:color w:val="auto"/>
                <w:w w:val="94"/>
              </w:rPr>
              <w:t>Currency</w:t>
            </w:r>
          </w:p>
        </w:tc>
        <w:tc>
          <w:tcPr>
            <w:tcW w:w="60" w:type="dxa"/>
            <w:vAlign w:val="bottom"/>
          </w:tcPr>
          <w:p>
            <w:pPr>
              <w:spacing w:after="0"/>
              <w:rPr>
                <w:sz w:val="10"/>
                <w:szCs w:val="10"/>
                <w:color w:val="auto"/>
              </w:rPr>
            </w:pPr>
          </w:p>
        </w:tc>
        <w:tc>
          <w:tcPr>
            <w:tcW w:w="1520" w:type="dxa"/>
            <w:vAlign w:val="bottom"/>
            <w:gridSpan w:val="3"/>
          </w:tcPr>
          <w:p>
            <w:pPr>
              <w:jc w:val="center"/>
              <w:ind w:right="80"/>
              <w:spacing w:after="0" w:line="125" w:lineRule="exact"/>
              <w:rPr>
                <w:sz w:val="20"/>
                <w:szCs w:val="20"/>
                <w:color w:val="auto"/>
              </w:rPr>
            </w:pPr>
            <w:r>
              <w:rPr>
                <w:rFonts w:ascii="Arial" w:cs="Arial" w:eastAsia="Arial" w:hAnsi="Arial"/>
                <w:sz w:val="12"/>
                <w:szCs w:val="12"/>
                <w:b w:val="1"/>
                <w:bCs w:val="1"/>
                <w:color w:val="auto"/>
                <w:w w:val="97"/>
              </w:rPr>
              <w:t>Acquisitions/Divestitures:</w:t>
            </w:r>
          </w:p>
        </w:tc>
        <w:tc>
          <w:tcPr>
            <w:tcW w:w="40" w:type="dxa"/>
            <w:vAlign w:val="bottom"/>
          </w:tcPr>
          <w:p>
            <w:pPr>
              <w:spacing w:after="0"/>
              <w:rPr>
                <w:sz w:val="10"/>
                <w:szCs w:val="10"/>
                <w:color w:val="auto"/>
              </w:rPr>
            </w:pPr>
          </w:p>
        </w:tc>
        <w:tc>
          <w:tcPr>
            <w:tcW w:w="1440" w:type="dxa"/>
            <w:vAlign w:val="bottom"/>
            <w:gridSpan w:val="2"/>
          </w:tcPr>
          <w:p>
            <w:pPr>
              <w:jc w:val="center"/>
              <w:ind w:right="20"/>
              <w:spacing w:after="0" w:line="125" w:lineRule="exact"/>
              <w:rPr>
                <w:sz w:val="20"/>
                <w:szCs w:val="20"/>
                <w:color w:val="auto"/>
              </w:rPr>
            </w:pPr>
            <w:r>
              <w:rPr>
                <w:rFonts w:ascii="Arial" w:cs="Arial" w:eastAsia="Arial" w:hAnsi="Arial"/>
                <w:sz w:val="12"/>
                <w:szCs w:val="12"/>
                <w:b w:val="1"/>
                <w:bCs w:val="1"/>
                <w:color w:val="auto"/>
                <w:w w:val="98"/>
              </w:rPr>
              <w:t>Revenue Growth</w:t>
            </w:r>
          </w:p>
        </w:tc>
        <w:tc>
          <w:tcPr>
            <w:tcW w:w="0" w:type="dxa"/>
            <w:vAlign w:val="bottom"/>
          </w:tcPr>
          <w:p>
            <w:pPr>
              <w:spacing w:after="0"/>
              <w:rPr>
                <w:sz w:val="1"/>
                <w:szCs w:val="1"/>
                <w:color w:val="auto"/>
              </w:rPr>
            </w:pPr>
          </w:p>
        </w:tc>
      </w:tr>
      <w:tr>
        <w:trPr>
          <w:trHeight w:val="92"/>
        </w:trPr>
        <w:tc>
          <w:tcPr>
            <w:tcW w:w="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jc w:val="center"/>
              <w:ind w:left="28"/>
              <w:spacing w:after="0"/>
              <w:rPr>
                <w:sz w:val="20"/>
                <w:szCs w:val="20"/>
                <w:color w:val="auto"/>
              </w:rPr>
            </w:pPr>
            <w:r>
              <w:rPr>
                <w:rFonts w:ascii="Arial" w:cs="Arial" w:eastAsia="Arial" w:hAnsi="Arial"/>
                <w:sz w:val="12"/>
                <w:szCs w:val="12"/>
                <w:b w:val="1"/>
                <w:bCs w:val="1"/>
                <w:color w:val="auto"/>
                <w:w w:val="93"/>
              </w:rPr>
              <w: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gridSpan w:val="3"/>
            <w:vMerge w:val="restart"/>
          </w:tcPr>
          <w:p>
            <w:pPr>
              <w:jc w:val="center"/>
              <w:ind w:right="60"/>
              <w:spacing w:after="0"/>
              <w:rPr>
                <w:sz w:val="20"/>
                <w:szCs w:val="20"/>
                <w:color w:val="auto"/>
              </w:rPr>
            </w:pPr>
            <w:r>
              <w:rPr>
                <w:rFonts w:ascii="Arial" w:cs="Arial" w:eastAsia="Arial" w:hAnsi="Arial"/>
                <w:sz w:val="12"/>
                <w:szCs w:val="12"/>
                <w:b w:val="1"/>
                <w:bCs w:val="1"/>
                <w:color w:val="auto"/>
                <w:w w:val="99"/>
              </w:rPr>
              <w:t>Revenue</w:t>
            </w:r>
          </w:p>
        </w:tc>
        <w:tc>
          <w:tcPr>
            <w:tcW w:w="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40" w:type="dxa"/>
            <w:vAlign w:val="bottom"/>
            <w:gridSpan w:val="2"/>
          </w:tcPr>
          <w:p>
            <w:pPr>
              <w:jc w:val="center"/>
              <w:ind w:right="20"/>
              <w:spacing w:after="0" w:line="92" w:lineRule="exact"/>
              <w:rPr>
                <w:sz w:val="20"/>
                <w:szCs w:val="20"/>
                <w:color w:val="auto"/>
              </w:rPr>
            </w:pPr>
            <w:r>
              <w:rPr>
                <w:rFonts w:ascii="Arial" w:cs="Arial" w:eastAsia="Arial" w:hAnsi="Arial"/>
                <w:sz w:val="10"/>
                <w:szCs w:val="10"/>
                <w:b w:val="1"/>
                <w:bCs w:val="1"/>
                <w:color w:val="auto"/>
              </w:rPr>
              <w:t>Excluding</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2022</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vMerge w:val="restart"/>
          </w:tcPr>
          <w:p>
            <w:pPr>
              <w:jc w:val="right"/>
              <w:ind w:right="367"/>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7"/>
              </w:rPr>
              <w:t>(Favorable)/Unfavorable</w:t>
            </w:r>
          </w:p>
        </w:tc>
        <w:tc>
          <w:tcPr>
            <w:tcW w:w="4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auto"/>
                <w:w w:val="96"/>
              </w:rPr>
              <w:t>(Favorable)/Unfavorable</w:t>
            </w:r>
          </w:p>
        </w:tc>
        <w:tc>
          <w:tcPr>
            <w:tcW w:w="6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gridSpan w:val="2"/>
          </w:tcPr>
          <w:p>
            <w:pPr>
              <w:jc w:val="center"/>
              <w:ind w:right="20"/>
              <w:spacing w:after="0" w:line="112" w:lineRule="exact"/>
              <w:rPr>
                <w:sz w:val="20"/>
                <w:szCs w:val="20"/>
                <w:color w:val="auto"/>
              </w:rPr>
            </w:pPr>
            <w:r>
              <w:rPr>
                <w:rFonts w:ascii="Arial" w:cs="Arial" w:eastAsia="Arial" w:hAnsi="Arial"/>
                <w:sz w:val="12"/>
                <w:szCs w:val="12"/>
                <w:b w:val="1"/>
                <w:bCs w:val="1"/>
                <w:color w:val="auto"/>
                <w:w w:val="95"/>
              </w:rPr>
              <w:t>Acquisitions/Divestitures</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2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Change</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CCEEFF"/>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2"/>
                <w:szCs w:val="12"/>
                <w:b w:val="1"/>
                <w:bCs w:val="1"/>
                <w:color w:val="auto"/>
                <w:w w:val="96"/>
              </w:rPr>
              <w:t>Growth (1)</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Vista</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1,146,810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1,082,332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left="28"/>
              <w:spacing w:after="0"/>
              <w:rPr>
                <w:sz w:val="20"/>
                <w:szCs w:val="20"/>
                <w:color w:val="auto"/>
              </w:rPr>
            </w:pPr>
            <w:r>
              <w:rPr>
                <w:rFonts w:ascii="Arial" w:cs="Arial" w:eastAsia="Arial" w:hAnsi="Arial"/>
                <w:sz w:val="15"/>
                <w:szCs w:val="15"/>
                <w:color w:val="auto"/>
              </w:rPr>
              <w:t>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left="47"/>
              <w:spacing w:after="0"/>
              <w:rPr>
                <w:sz w:val="20"/>
                <w:szCs w:val="20"/>
                <w:color w:val="auto"/>
              </w:rPr>
            </w:pPr>
            <w:r>
              <w:rPr>
                <w:rFonts w:ascii="Arial" w:cs="Arial" w:eastAsia="Arial" w:hAnsi="Arial"/>
                <w:sz w:val="15"/>
                <w:szCs w:val="15"/>
                <w:color w:val="auto"/>
              </w:rPr>
              <w:t>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rPr>
              <w:t>7%</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left="8"/>
              <w:spacing w:after="0"/>
              <w:rPr>
                <w:sz w:val="20"/>
                <w:szCs w:val="20"/>
                <w:color w:val="auto"/>
              </w:rPr>
            </w:pPr>
            <w:r>
              <w:rPr>
                <w:rFonts w:ascii="Arial" w:cs="Arial" w:eastAsia="Arial" w:hAnsi="Arial"/>
                <w:sz w:val="15"/>
                <w:szCs w:val="15"/>
                <w:color w:val="auto"/>
              </w:rPr>
              <w:t>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80" w:type="dxa"/>
            <w:vAlign w:val="bottom"/>
          </w:tcPr>
          <w:p>
            <w:pPr>
              <w:ind w:left="20"/>
              <w:spacing w:after="0"/>
              <w:rPr>
                <w:sz w:val="20"/>
                <w:szCs w:val="20"/>
                <w:color w:val="auto"/>
              </w:rPr>
            </w:pPr>
            <w:r>
              <w:rPr>
                <w:rFonts w:ascii="Arial" w:cs="Arial" w:eastAsia="Arial" w:hAnsi="Arial"/>
                <w:sz w:val="15"/>
                <w:szCs w:val="15"/>
                <w:color w:val="auto"/>
              </w:rPr>
              <w:t>PrintBrothers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383,011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315,915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center"/>
              <w:ind w:left="28"/>
              <w:spacing w:after="0"/>
              <w:rPr>
                <w:sz w:val="20"/>
                <w:szCs w:val="20"/>
                <w:color w:val="auto"/>
              </w:rPr>
            </w:pPr>
            <w:r>
              <w:rPr>
                <w:rFonts w:ascii="Arial" w:cs="Arial" w:eastAsia="Arial" w:hAnsi="Arial"/>
                <w:sz w:val="15"/>
                <w:szCs w:val="15"/>
                <w:color w:val="auto"/>
                <w:w w:val="99"/>
              </w:rPr>
              <w:t>21%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2"/>
          </w:tcPr>
          <w:p>
            <w:pPr>
              <w:jc w:val="center"/>
              <w:ind w:left="47"/>
              <w:spacing w:after="0"/>
              <w:rPr>
                <w:sz w:val="20"/>
                <w:szCs w:val="20"/>
                <w:color w:val="auto"/>
              </w:rPr>
            </w:pPr>
            <w:r>
              <w:rPr>
                <w:rFonts w:ascii="Arial" w:cs="Arial" w:eastAsia="Arial" w:hAnsi="Arial"/>
                <w:sz w:val="15"/>
                <w:szCs w:val="15"/>
                <w:color w:val="auto"/>
              </w:rPr>
              <w:t>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center"/>
              <w:ind w:left="25"/>
              <w:spacing w:after="0"/>
              <w:rPr>
                <w:sz w:val="20"/>
                <w:szCs w:val="20"/>
                <w:color w:val="auto"/>
              </w:rPr>
            </w:pPr>
            <w:r>
              <w:rPr>
                <w:rFonts w:ascii="Arial" w:cs="Arial" w:eastAsia="Arial" w:hAnsi="Arial"/>
                <w:sz w:val="15"/>
                <w:szCs w:val="15"/>
                <w:color w:val="auto"/>
                <w:w w:val="99"/>
              </w:rPr>
              <w:t>26%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2"/>
          </w:tcPr>
          <w:p>
            <w:pPr>
              <w:jc w:val="center"/>
              <w:ind w:left="7"/>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gridSpan w:val="2"/>
          </w:tcPr>
          <w:p>
            <w:pPr>
              <w:jc w:val="center"/>
              <w:ind w:left="8"/>
              <w:spacing w:after="0"/>
              <w:rPr>
                <w:sz w:val="20"/>
                <w:szCs w:val="20"/>
                <w:color w:val="auto"/>
              </w:rPr>
            </w:pPr>
            <w:r>
              <w:rPr>
                <w:rFonts w:ascii="Arial" w:cs="Arial" w:eastAsia="Arial" w:hAnsi="Arial"/>
                <w:sz w:val="15"/>
                <w:szCs w:val="15"/>
                <w:color w:val="auto"/>
                <w:w w:val="99"/>
              </w:rPr>
              <w:t>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Print Group</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238,311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202,586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left="28"/>
              <w:spacing w:after="0"/>
              <w:rPr>
                <w:sz w:val="20"/>
                <w:szCs w:val="20"/>
                <w:color w:val="auto"/>
              </w:rPr>
            </w:pPr>
            <w:r>
              <w:rPr>
                <w:rFonts w:ascii="Arial" w:cs="Arial" w:eastAsia="Arial" w:hAnsi="Arial"/>
                <w:sz w:val="15"/>
                <w:szCs w:val="15"/>
                <w:color w:val="auto"/>
                <w:w w:val="99"/>
              </w:rPr>
              <w:t>18%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left="47"/>
              <w:spacing w:after="0"/>
              <w:rPr>
                <w:sz w:val="20"/>
                <w:szCs w:val="20"/>
                <w:color w:val="auto"/>
              </w:rPr>
            </w:pPr>
            <w:r>
              <w:rPr>
                <w:rFonts w:ascii="Arial" w:cs="Arial" w:eastAsia="Arial" w:hAnsi="Arial"/>
                <w:sz w:val="15"/>
                <w:szCs w:val="15"/>
                <w:color w:val="auto"/>
              </w:rPr>
              <w:t>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w w:val="99"/>
              </w:rPr>
              <w:t>22%</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center"/>
              <w:ind w:right="80"/>
              <w:spacing w:after="0"/>
              <w:rPr>
                <w:sz w:val="20"/>
                <w:szCs w:val="20"/>
                <w:color w:val="auto"/>
              </w:rPr>
            </w:pPr>
            <w:r>
              <w:rPr>
                <w:rFonts w:ascii="Arial" w:cs="Arial" w:eastAsia="Arial" w:hAnsi="Arial"/>
                <w:sz w:val="15"/>
                <w:szCs w:val="15"/>
                <w:color w:val="auto"/>
                <w:w w:val="98"/>
              </w:rPr>
              <w:t>—%</w:t>
            </w:r>
          </w:p>
        </w:tc>
        <w:tc>
          <w:tcPr>
            <w:tcW w:w="1420" w:type="dxa"/>
            <w:vAlign w:val="bottom"/>
            <w:gridSpan w:val="2"/>
            <w:shd w:val="clear" w:color="auto" w:fill="CCEEFF"/>
          </w:tcPr>
          <w:p>
            <w:pPr>
              <w:jc w:val="center"/>
              <w:ind w:left="8"/>
              <w:spacing w:after="0"/>
              <w:rPr>
                <w:sz w:val="20"/>
                <w:szCs w:val="20"/>
                <w:color w:val="auto"/>
              </w:rPr>
            </w:pPr>
            <w:r>
              <w:rPr>
                <w:rFonts w:ascii="Arial" w:cs="Arial" w:eastAsia="Arial" w:hAnsi="Arial"/>
                <w:sz w:val="15"/>
                <w:szCs w:val="15"/>
                <w:color w:val="auto"/>
                <w:w w:val="99"/>
              </w:rPr>
              <w:t>22%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80" w:type="dxa"/>
            <w:vAlign w:val="bottom"/>
          </w:tcPr>
          <w:p>
            <w:pPr>
              <w:ind w:left="20"/>
              <w:spacing w:after="0"/>
              <w:rPr>
                <w:sz w:val="20"/>
                <w:szCs w:val="20"/>
                <w:color w:val="auto"/>
              </w:rPr>
            </w:pPr>
            <w:r>
              <w:rPr>
                <w:rFonts w:ascii="Arial" w:cs="Arial" w:eastAsia="Arial" w:hAnsi="Arial"/>
                <w:sz w:val="15"/>
                <w:szCs w:val="15"/>
                <w:color w:val="auto"/>
              </w:rPr>
              <w:t>National Pen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266,224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244,561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center"/>
              <w:ind w:left="28"/>
              <w:spacing w:after="0"/>
              <w:rPr>
                <w:sz w:val="20"/>
                <w:szCs w:val="20"/>
                <w:color w:val="auto"/>
              </w:rPr>
            </w:pPr>
            <w:r>
              <w:rPr>
                <w:rFonts w:ascii="Arial" w:cs="Arial" w:eastAsia="Arial" w:hAnsi="Arial"/>
                <w:sz w:val="15"/>
                <w:szCs w:val="15"/>
                <w:color w:val="auto"/>
              </w:rPr>
              <w:t>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2"/>
          </w:tcPr>
          <w:p>
            <w:pPr>
              <w:jc w:val="center"/>
              <w:ind w:left="47"/>
              <w:spacing w:after="0"/>
              <w:rPr>
                <w:sz w:val="20"/>
                <w:szCs w:val="20"/>
                <w:color w:val="auto"/>
              </w:rPr>
            </w:pPr>
            <w:r>
              <w:rPr>
                <w:rFonts w:ascii="Arial" w:cs="Arial" w:eastAsia="Arial" w:hAnsi="Arial"/>
                <w:sz w:val="15"/>
                <w:szCs w:val="15"/>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center"/>
              <w:ind w:left="25"/>
              <w:spacing w:after="0"/>
              <w:rPr>
                <w:sz w:val="20"/>
                <w:szCs w:val="20"/>
                <w:color w:val="auto"/>
              </w:rPr>
            </w:pPr>
            <w:r>
              <w:rPr>
                <w:rFonts w:ascii="Arial" w:cs="Arial" w:eastAsia="Arial" w:hAnsi="Arial"/>
                <w:sz w:val="15"/>
                <w:szCs w:val="15"/>
                <w:color w:val="auto"/>
                <w:w w:val="99"/>
              </w:rPr>
              <w:t>10%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5"/>
                <w:szCs w:val="15"/>
                <w:color w:val="auto"/>
                <w:w w:val="98"/>
              </w:rPr>
              <w:t>—%</w:t>
            </w:r>
          </w:p>
        </w:tc>
        <w:tc>
          <w:tcPr>
            <w:tcW w:w="1420" w:type="dxa"/>
            <w:vAlign w:val="bottom"/>
            <w:gridSpan w:val="2"/>
          </w:tcPr>
          <w:p>
            <w:pPr>
              <w:jc w:val="center"/>
              <w:ind w:left="8"/>
              <w:spacing w:after="0"/>
              <w:rPr>
                <w:sz w:val="20"/>
                <w:szCs w:val="20"/>
                <w:color w:val="auto"/>
              </w:rPr>
            </w:pPr>
            <w:r>
              <w:rPr>
                <w:rFonts w:ascii="Arial" w:cs="Arial" w:eastAsia="Arial" w:hAnsi="Arial"/>
                <w:sz w:val="15"/>
                <w:szCs w:val="15"/>
                <w:color w:val="auto"/>
                <w:w w:val="99"/>
              </w:rPr>
              <w:t>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All Other Businesses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154,076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142,905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left="28"/>
              <w:spacing w:after="0"/>
              <w:rPr>
                <w:sz w:val="20"/>
                <w:szCs w:val="20"/>
                <w:color w:val="auto"/>
              </w:rPr>
            </w:pPr>
            <w:r>
              <w:rPr>
                <w:rFonts w:ascii="Arial" w:cs="Arial" w:eastAsia="Arial" w:hAnsi="Arial"/>
                <w:sz w:val="15"/>
                <w:szCs w:val="15"/>
                <w:color w:val="auto"/>
              </w:rPr>
              <w:t>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center"/>
              <w:ind w:right="60"/>
              <w:spacing w:after="0"/>
              <w:rPr>
                <w:sz w:val="20"/>
                <w:szCs w:val="20"/>
                <w:color w:val="auto"/>
              </w:rPr>
            </w:pPr>
            <w:r>
              <w:rPr>
                <w:rFonts w:ascii="Arial" w:cs="Arial" w:eastAsia="Arial" w:hAnsi="Arial"/>
                <w:sz w:val="15"/>
                <w:szCs w:val="15"/>
                <w:color w:val="auto"/>
                <w:w w:val="98"/>
              </w:rPr>
              <w:t>—%</w:t>
            </w:r>
          </w:p>
        </w:tc>
        <w:tc>
          <w:tcPr>
            <w:tcW w:w="100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rPr>
              <w:t>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left="8"/>
              <w:spacing w:after="0"/>
              <w:rPr>
                <w:sz w:val="20"/>
                <w:szCs w:val="20"/>
                <w:color w:val="auto"/>
              </w:rPr>
            </w:pPr>
            <w:r>
              <w:rPr>
                <w:rFonts w:ascii="Arial" w:cs="Arial" w:eastAsia="Arial" w:hAnsi="Arial"/>
                <w:sz w:val="15"/>
                <w:szCs w:val="15"/>
                <w:color w:val="auto"/>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8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Inter-segment eliminations</w:t>
            </w: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(23,705)</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(47,533)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2,164,727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1,940,766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28"/>
              <w:spacing w:after="0"/>
              <w:rPr>
                <w:sz w:val="20"/>
                <w:szCs w:val="20"/>
                <w:color w:val="auto"/>
              </w:rPr>
            </w:pPr>
            <w:r>
              <w:rPr>
                <w:rFonts w:ascii="Arial" w:cs="Arial" w:eastAsia="Arial" w:hAnsi="Arial"/>
                <w:sz w:val="15"/>
                <w:szCs w:val="15"/>
                <w:color w:val="auto"/>
                <w:w w:val="99"/>
              </w:rPr>
              <w:t>12%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left="47"/>
              <w:spacing w:after="0"/>
              <w:rPr>
                <w:sz w:val="20"/>
                <w:szCs w:val="20"/>
                <w:color w:val="auto"/>
              </w:rPr>
            </w:pPr>
            <w:r>
              <w:rPr>
                <w:rFonts w:ascii="Arial" w:cs="Arial" w:eastAsia="Arial" w:hAnsi="Arial"/>
                <w:sz w:val="15"/>
                <w:szCs w:val="15"/>
                <w:color w:val="auto"/>
              </w:rPr>
              <w:t>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w w:val="99"/>
              </w:rPr>
              <w:t>13%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left="8"/>
              <w:spacing w:after="0"/>
              <w:rPr>
                <w:sz w:val="20"/>
                <w:szCs w:val="20"/>
                <w:color w:val="auto"/>
              </w:rPr>
            </w:pPr>
            <w:r>
              <w:rPr>
                <w:rFonts w:ascii="Arial" w:cs="Arial" w:eastAsia="Arial" w:hAnsi="Arial"/>
                <w:sz w:val="15"/>
                <w:szCs w:val="15"/>
                <w:color w:val="auto"/>
                <w:w w:val="99"/>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w:t>
      </w:r>
    </w:p>
    <w:p>
      <w:pPr>
        <w:spacing w:after="0" w:line="25" w:lineRule="exact"/>
        <w:rPr>
          <w:sz w:val="20"/>
          <w:szCs w:val="20"/>
          <w:color w:val="auto"/>
        </w:rPr>
      </w:pPr>
    </w:p>
    <w:p>
      <w:pPr>
        <w:jc w:val="both"/>
        <w:ind w:left="220" w:right="80" w:hanging="220"/>
        <w:spacing w:after="0" w:line="248" w:lineRule="auto"/>
        <w:tabs>
          <w:tab w:leader="none" w:pos="195"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21" w:lineRule="exact"/>
        <w:rPr>
          <w:rFonts w:ascii="Arial" w:cs="Arial" w:eastAsia="Arial" w:hAnsi="Arial"/>
          <w:sz w:val="13"/>
          <w:szCs w:val="13"/>
          <w:color w:val="auto"/>
        </w:rPr>
      </w:pPr>
    </w:p>
    <w:p>
      <w:pPr>
        <w:ind w:left="220" w:hanging="220"/>
        <w:spacing w:after="0" w:line="243" w:lineRule="auto"/>
        <w:tabs>
          <w:tab w:leader="none" w:pos="195"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 For example, revenue from 99designs, which we acquired on October 1, 2020 in Q2 2021, is excluded from revenue growth in Q1 of fiscal year 2022 since there are no full quarter results in the comparable period, but revenue is included in revenue growth for Q2 through Q4 of fiscal year 2022. Our reportable segments-related growth is inclusive of inter-segment revenues, which are eliminated in our consolidated results.</w:t>
      </w:r>
    </w:p>
    <w:p>
      <w:pPr>
        <w:spacing w:after="0" w:line="27" w:lineRule="exact"/>
        <w:rPr>
          <w:sz w:val="20"/>
          <w:szCs w:val="20"/>
          <w:color w:val="auto"/>
        </w:rPr>
      </w:pPr>
    </w:p>
    <w:p>
      <w:pPr>
        <w:jc w:val="both"/>
        <w:ind w:left="220" w:right="40"/>
        <w:spacing w:after="0" w:line="248" w:lineRule="auto"/>
        <w:rPr>
          <w:sz w:val="20"/>
          <w:szCs w:val="20"/>
          <w:color w:val="auto"/>
        </w:rPr>
      </w:pPr>
      <w:r>
        <w:rPr>
          <w:rFonts w:ascii="Arial" w:cs="Arial" w:eastAsia="Arial" w:hAnsi="Arial"/>
          <w:sz w:val="13"/>
          <w:szCs w:val="13"/>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Consolidated Cost of Revenue</w:t>
      </w:r>
    </w:p>
    <w:p>
      <w:pPr>
        <w:spacing w:after="0" w:line="198" w:lineRule="exact"/>
        <w:rPr>
          <w:sz w:val="20"/>
          <w:szCs w:val="20"/>
          <w:color w:val="auto"/>
        </w:rPr>
      </w:pPr>
    </w:p>
    <w:p>
      <w:pPr>
        <w:ind w:right="100" w:firstLine="597"/>
        <w:spacing w:after="0" w:line="270" w:lineRule="auto"/>
        <w:rPr>
          <w:sz w:val="20"/>
          <w:szCs w:val="20"/>
          <w:color w:val="auto"/>
        </w:rPr>
      </w:pPr>
      <w:r>
        <w:rPr>
          <w:rFonts w:ascii="Arial" w:cs="Arial" w:eastAsia="Arial" w:hAnsi="Arial"/>
          <w:sz w:val="16"/>
          <w:szCs w:val="16"/>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180" w:type="dxa"/>
            <w:vAlign w:val="bottom"/>
          </w:tcPr>
          <w:p>
            <w:pPr>
              <w:ind w:left="6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Pr>
          <w:p>
            <w:pPr>
              <w:spacing w:after="0"/>
              <w:rPr>
                <w:sz w:val="17"/>
                <w:szCs w:val="17"/>
                <w:color w:val="auto"/>
              </w:rPr>
            </w:pPr>
          </w:p>
        </w:tc>
        <w:tc>
          <w:tcPr>
            <w:tcW w:w="3160" w:type="dxa"/>
            <w:vAlign w:val="bottom"/>
            <w:gridSpan w:val="5"/>
          </w:tcPr>
          <w:p>
            <w:pPr>
              <w:ind w:left="480"/>
              <w:spacing w:after="0"/>
              <w:rPr>
                <w:sz w:val="20"/>
                <w:szCs w:val="20"/>
                <w:color w:val="auto"/>
              </w:rPr>
            </w:pPr>
            <w:r>
              <w:rPr>
                <w:rFonts w:ascii="Arial" w:cs="Arial" w:eastAsia="Arial" w:hAnsi="Arial"/>
                <w:sz w:val="12"/>
                <w:szCs w:val="12"/>
                <w:b w:val="1"/>
                <w:bCs w:val="1"/>
                <w:color w:val="auto"/>
              </w:rPr>
              <w:t>Three Months Ended March 31,</w:t>
            </w:r>
          </w:p>
        </w:tc>
        <w:tc>
          <w:tcPr>
            <w:tcW w:w="400" w:type="dxa"/>
            <w:vAlign w:val="bottom"/>
          </w:tcPr>
          <w:p>
            <w:pPr>
              <w:spacing w:after="0"/>
              <w:rPr>
                <w:sz w:val="17"/>
                <w:szCs w:val="17"/>
                <w:color w:val="auto"/>
              </w:rPr>
            </w:pPr>
          </w:p>
        </w:tc>
        <w:tc>
          <w:tcPr>
            <w:tcW w:w="3060" w:type="dxa"/>
            <w:vAlign w:val="bottom"/>
            <w:gridSpan w:val="4"/>
          </w:tcPr>
          <w:p>
            <w:pPr>
              <w:jc w:val="right"/>
              <w:ind w:right="831"/>
              <w:spacing w:after="0"/>
              <w:rPr>
                <w:sz w:val="20"/>
                <w:szCs w:val="20"/>
                <w:color w:val="auto"/>
              </w:rPr>
            </w:pPr>
            <w:r>
              <w:rPr>
                <w:rFonts w:ascii="Arial" w:cs="Arial" w:eastAsia="Arial" w:hAnsi="Arial"/>
                <w:sz w:val="12"/>
                <w:szCs w:val="12"/>
                <w:b w:val="1"/>
                <w:bCs w:val="1"/>
                <w:color w:val="auto"/>
              </w:rPr>
              <w:t>Nine Months Ended March 31,</w:t>
            </w:r>
          </w:p>
        </w:tc>
      </w:tr>
      <w:tr>
        <w:trPr>
          <w:trHeight w:val="153"/>
        </w:trPr>
        <w:tc>
          <w:tcPr>
            <w:tcW w:w="418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2021</w:t>
            </w:r>
          </w:p>
        </w:tc>
      </w:tr>
      <w:tr>
        <w:trPr>
          <w:trHeight w:val="196"/>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Cost of revenue</w:t>
            </w:r>
          </w:p>
        </w:tc>
        <w:tc>
          <w:tcPr>
            <w:tcW w:w="40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5"/>
                <w:szCs w:val="15"/>
                <w:color w:val="auto"/>
              </w:rPr>
              <w:t>347,452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5"/>
                <w:szCs w:val="15"/>
                <w:color w:val="auto"/>
              </w:rPr>
              <w:t>296,533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rPr>
              <w:t>1,110,378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5"/>
                <w:szCs w:val="15"/>
                <w:color w:val="auto"/>
              </w:rPr>
              <w:t>976,115</w:t>
            </w:r>
          </w:p>
        </w:tc>
      </w:tr>
      <w:tr>
        <w:trPr>
          <w:trHeight w:val="195"/>
        </w:trPr>
        <w:tc>
          <w:tcPr>
            <w:tcW w:w="4180" w:type="dxa"/>
            <w:vAlign w:val="bottom"/>
          </w:tcPr>
          <w:p>
            <w:pPr>
              <w:ind w:left="20"/>
              <w:spacing w:after="0"/>
              <w:rPr>
                <w:sz w:val="20"/>
                <w:szCs w:val="20"/>
                <w:color w:val="auto"/>
              </w:rPr>
            </w:pPr>
            <w:r>
              <w:rPr>
                <w:rFonts w:ascii="Arial" w:cs="Arial" w:eastAsia="Arial" w:hAnsi="Arial"/>
                <w:sz w:val="15"/>
                <w:szCs w:val="15"/>
                <w:i w:val="1"/>
                <w:iCs w:val="1"/>
                <w:color w:val="auto"/>
              </w:rPr>
              <w:t>%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i w:val="1"/>
                <w:iCs w:val="1"/>
                <w:color w:val="auto"/>
              </w:rPr>
              <w:t>52.9 %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i w:val="1"/>
                <w:iCs w:val="1"/>
                <w:color w:val="auto"/>
              </w:rPr>
              <w:t>51.7 %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i w:val="1"/>
                <w:iCs w:val="1"/>
                <w:color w:val="auto"/>
              </w:rPr>
              <w:t>51.3 %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i w:val="1"/>
                <w:iCs w:val="1"/>
                <w:color w:val="auto"/>
              </w:rPr>
              <w:t>50.3 %</w:t>
            </w:r>
          </w:p>
        </w:tc>
      </w:tr>
    </w:tbl>
    <w:p>
      <w:pPr>
        <w:spacing w:after="0" w:line="200" w:lineRule="exact"/>
        <w:rPr>
          <w:sz w:val="20"/>
          <w:szCs w:val="20"/>
          <w:color w:val="auto"/>
        </w:rPr>
      </w:pPr>
    </w:p>
    <w:p>
      <w:pPr>
        <w:spacing w:after="0" w:line="313" w:lineRule="exact"/>
        <w:rPr>
          <w:sz w:val="20"/>
          <w:szCs w:val="20"/>
          <w:color w:val="auto"/>
        </w:rPr>
      </w:pPr>
    </w:p>
    <w:p>
      <w:pPr>
        <w:ind w:right="40" w:firstLine="597"/>
        <w:spacing w:after="0" w:line="245" w:lineRule="auto"/>
        <w:rPr>
          <w:sz w:val="20"/>
          <w:szCs w:val="20"/>
          <w:color w:val="auto"/>
        </w:rPr>
      </w:pPr>
      <w:r>
        <w:rPr>
          <w:rFonts w:ascii="Arial" w:cs="Arial" w:eastAsia="Arial" w:hAnsi="Arial"/>
          <w:sz w:val="17"/>
          <w:szCs w:val="17"/>
          <w:color w:val="auto"/>
        </w:rPr>
        <w:t>For the three and nine months ended March 31, 2022, cost of revenue increased by $50.9 million and $134.3 million, respectively, primarily due to demand-dependent cost of goods sold, including third-party fulfillment, material and shipping costs. During the current fiscal year, we've experienced increasing impacts from global supply chain challenges that resulted in increased costs for product substrates like paper, production materials like aluminum plates, freight and shipping charges, and energy costs. Compensation costs are also higher due to a more competitive labor market. The overall impact of increased costs, net of pricing and manufacturing efficiencies, had varying impacts on our businesses during the three and nine months ended March 31, 2022. It remains a challenging environment, and we expect higher input costs and supply constraints to persist, although we are unable to predict for how long. We believe we are advantaged in this environment versus smaller competitors because our scale provides us with a stronger supplier negotiation position for both costs and availability of supply.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Operating Expenses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our comparative operating expenses for the following periods: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6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60" w:type="dxa"/>
            <w:vAlign w:val="bottom"/>
          </w:tcPr>
          <w:p>
            <w:pPr>
              <w:spacing w:after="0"/>
              <w:rPr>
                <w:sz w:val="17"/>
                <w:szCs w:val="17"/>
                <w:color w:val="auto"/>
              </w:rPr>
            </w:pPr>
          </w:p>
        </w:tc>
        <w:tc>
          <w:tcPr>
            <w:tcW w:w="2820" w:type="dxa"/>
            <w:vAlign w:val="bottom"/>
            <w:gridSpan w:val="5"/>
          </w:tcPr>
          <w:p>
            <w:pPr>
              <w:ind w:left="380"/>
              <w:spacing w:after="0"/>
              <w:rPr>
                <w:sz w:val="20"/>
                <w:szCs w:val="20"/>
                <w:color w:val="auto"/>
              </w:rPr>
            </w:pPr>
            <w:r>
              <w:rPr>
                <w:rFonts w:ascii="Arial" w:cs="Arial" w:eastAsia="Arial" w:hAnsi="Arial"/>
                <w:sz w:val="12"/>
                <w:szCs w:val="12"/>
                <w:b w:val="1"/>
                <w:bCs w:val="1"/>
                <w:color w:val="auto"/>
              </w:rPr>
              <w:t>Three Months Ended March 31,</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360"/>
              <w:spacing w:after="0"/>
              <w:rPr>
                <w:sz w:val="20"/>
                <w:szCs w:val="20"/>
                <w:color w:val="auto"/>
              </w:rPr>
            </w:pPr>
            <w:r>
              <w:rPr>
                <w:rFonts w:ascii="Arial" w:cs="Arial" w:eastAsia="Arial" w:hAnsi="Arial"/>
                <w:sz w:val="12"/>
                <w:szCs w:val="12"/>
                <w:b w:val="1"/>
                <w:bCs w:val="1"/>
                <w:color w:val="auto"/>
              </w:rPr>
              <w:t>Nine Months Ended March 31,</w:t>
            </w:r>
          </w:p>
        </w:tc>
        <w:tc>
          <w:tcPr>
            <w:tcW w:w="1060" w:type="dxa"/>
            <w:vAlign w:val="bottom"/>
          </w:tcPr>
          <w:p>
            <w:pPr>
              <w:spacing w:after="0"/>
              <w:rPr>
                <w:sz w:val="17"/>
                <w:szCs w:val="17"/>
                <w:color w:val="auto"/>
              </w:rPr>
            </w:pPr>
          </w:p>
        </w:tc>
      </w:tr>
      <w:tr>
        <w:trPr>
          <w:trHeight w:val="153"/>
        </w:trPr>
        <w:tc>
          <w:tcPr>
            <w:tcW w:w="26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2022 vs. 2021</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2022 vs. 2021</w:t>
            </w:r>
          </w:p>
        </w:tc>
      </w:tr>
      <w:tr>
        <w:trPr>
          <w:trHeight w:val="134"/>
        </w:trPr>
        <w:tc>
          <w:tcPr>
            <w:tcW w:w="266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b w:val="1"/>
                <w:bCs w:val="1"/>
                <w:color w:val="auto"/>
              </w:rPr>
              <w:t>Technology and development</w:t>
            </w: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99"/>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expense</w:t>
            </w: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75,291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62,572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212,835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186,097</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14%</w:t>
            </w:r>
          </w:p>
        </w:tc>
      </w:tr>
      <w:tr>
        <w:trPr>
          <w:trHeight w:val="197"/>
        </w:trPr>
        <w:tc>
          <w:tcPr>
            <w:tcW w:w="2660" w:type="dxa"/>
            <w:vAlign w:val="bottom"/>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i w:val="1"/>
                <w:iCs w:val="1"/>
                <w:color w:val="auto"/>
              </w:rPr>
              <w:t>11.5 %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i w:val="1"/>
                <w:iCs w:val="1"/>
                <w:color w:val="auto"/>
              </w:rPr>
              <w:t>10.9 %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i w:val="1"/>
                <w:iCs w:val="1"/>
                <w:color w:val="auto"/>
              </w:rPr>
              <w:t>9.8 %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i w:val="1"/>
                <w:iCs w:val="1"/>
                <w:color w:val="auto"/>
              </w:rPr>
              <w:t>9.6 %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Marketing and selling expense</w:t>
            </w: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194,618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154,472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577,931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474,944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22%</w:t>
            </w:r>
          </w:p>
        </w:tc>
      </w:tr>
      <w:tr>
        <w:trPr>
          <w:trHeight w:val="197"/>
        </w:trPr>
        <w:tc>
          <w:tcPr>
            <w:tcW w:w="2660" w:type="dxa"/>
            <w:vAlign w:val="bottom"/>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i w:val="1"/>
                <w:iCs w:val="1"/>
                <w:color w:val="auto"/>
              </w:rPr>
              <w:t>29.6 %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i w:val="1"/>
                <w:iCs w:val="1"/>
                <w:color w:val="auto"/>
              </w:rPr>
              <w:t>26.9 %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i w:val="1"/>
                <w:iCs w:val="1"/>
                <w:color w:val="auto"/>
              </w:rPr>
              <w:t>26.7 %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24.5 %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General and administrative expense</w:t>
            </w: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50,888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62,358</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(18)%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144,162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147,149</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w:t>
            </w:r>
          </w:p>
        </w:tc>
      </w:tr>
      <w:tr>
        <w:trPr>
          <w:trHeight w:val="197"/>
        </w:trPr>
        <w:tc>
          <w:tcPr>
            <w:tcW w:w="2660" w:type="dxa"/>
            <w:vAlign w:val="bottom"/>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i w:val="1"/>
                <w:iCs w:val="1"/>
                <w:color w:val="auto"/>
              </w:rPr>
              <w:t>7.7 %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i w:val="1"/>
                <w:iCs w:val="1"/>
                <w:color w:val="auto"/>
              </w:rPr>
              <w:t>10.9 %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i w:val="1"/>
                <w:iCs w:val="1"/>
                <w:color w:val="auto"/>
              </w:rPr>
              <w:t>6.7 %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i w:val="1"/>
                <w:iCs w:val="1"/>
                <w:color w:val="auto"/>
              </w:rPr>
              <w:t>7.6 %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51"/>
        </w:trPr>
        <w:tc>
          <w:tcPr>
            <w:tcW w:w="266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b w:val="1"/>
                <w:bCs w:val="1"/>
                <w:color w:val="auto"/>
              </w:rPr>
              <w:t>Amortization of acquired intangible</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99"/>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14,180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13,506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41,520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40,264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3%</w:t>
            </w:r>
          </w:p>
        </w:tc>
      </w:tr>
      <w:tr>
        <w:trPr>
          <w:trHeight w:val="197"/>
        </w:trPr>
        <w:tc>
          <w:tcPr>
            <w:tcW w:w="2660" w:type="dxa"/>
            <w:vAlign w:val="bottom"/>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i w:val="1"/>
                <w:iCs w:val="1"/>
                <w:color w:val="auto"/>
              </w:rPr>
              <w:t>2.2 %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i w:val="1"/>
                <w:iCs w:val="1"/>
                <w:color w:val="auto"/>
              </w:rPr>
              <w:t>2.4 %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i w:val="1"/>
                <w:iCs w:val="1"/>
                <w:color w:val="auto"/>
              </w:rPr>
              <w:t>1.9 %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Restructuring expense (1)</w:t>
            </w: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3,420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(382)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(995)%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rPr>
              <w:t>3,418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1,714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99%</w:t>
            </w:r>
          </w:p>
        </w:tc>
      </w:tr>
      <w:tr>
        <w:trPr>
          <w:trHeight w:val="195"/>
        </w:trPr>
        <w:tc>
          <w:tcPr>
            <w:tcW w:w="2660" w:type="dxa"/>
            <w:vAlign w:val="bottom"/>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i w:val="1"/>
                <w:iCs w:val="1"/>
                <w:color w:val="auto"/>
              </w:rPr>
              <w:t>0.5 %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i w:val="1"/>
                <w:iCs w:val="1"/>
                <w:color w:val="auto"/>
              </w:rPr>
              <w:t>(0.1)%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i w:val="1"/>
                <w:iCs w:val="1"/>
                <w:color w:val="auto"/>
              </w:rPr>
              <w:t>0.2 %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i w:val="1"/>
                <w:iCs w:val="1"/>
                <w:color w:val="auto"/>
              </w:rPr>
              <w:t>0.1 %</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(1) Refer to Note 14 in our accompanying consolidated financial statements for additional details relating to restructuring expense.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development expense</w:t>
      </w:r>
    </w:p>
    <w:p>
      <w:pPr>
        <w:spacing w:after="0" w:line="196" w:lineRule="exact"/>
        <w:rPr>
          <w:sz w:val="20"/>
          <w:szCs w:val="20"/>
          <w:color w:val="auto"/>
        </w:rPr>
      </w:pPr>
    </w:p>
    <w:p>
      <w:pPr>
        <w:ind w:right="20" w:firstLine="597"/>
        <w:spacing w:after="0" w:line="266" w:lineRule="auto"/>
        <w:rPr>
          <w:sz w:val="20"/>
          <w:szCs w:val="20"/>
          <w:color w:val="auto"/>
        </w:rPr>
      </w:pPr>
      <w:r>
        <w:rPr>
          <w:rFonts w:ascii="Arial" w:cs="Arial" w:eastAsia="Arial" w:hAnsi="Arial"/>
          <w:sz w:val="16"/>
          <w:szCs w:val="16"/>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118" w:lineRule="exact"/>
        <w:rPr>
          <w:sz w:val="20"/>
          <w:szCs w:val="20"/>
          <w:color w:val="auto"/>
        </w:rPr>
      </w:pPr>
    </w:p>
    <w:p>
      <w:pPr>
        <w:ind w:right="20" w:firstLine="597"/>
        <w:spacing w:after="0" w:line="224" w:lineRule="auto"/>
        <w:rPr>
          <w:sz w:val="20"/>
          <w:szCs w:val="20"/>
          <w:color w:val="auto"/>
        </w:rPr>
      </w:pPr>
      <w:r>
        <w:rPr>
          <w:rFonts w:ascii="Arial" w:cs="Arial" w:eastAsia="Arial" w:hAnsi="Arial"/>
          <w:sz w:val="17"/>
          <w:szCs w:val="17"/>
          <w:color w:val="auto"/>
        </w:rPr>
        <w:t>Technology and development expenses increased by $12.7 million and $26.7 million, respectively, for the three and nine months ended March 31, 2022, as compared to the prior comparative periods. This increase is primarily driven by higher compensation costs due to increased investment from hiring, the timing of our annual</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40" w:name="page41"/>
    <w:bookmarkEnd w:id="40"/>
    <w:p>
      <w:pPr>
        <w:ind w:right="680"/>
        <w:spacing w:after="0" w:line="229" w:lineRule="auto"/>
        <w:rPr>
          <w:sz w:val="20"/>
          <w:szCs w:val="20"/>
          <w:color w:val="auto"/>
        </w:rPr>
      </w:pPr>
      <w:r>
        <w:rPr>
          <w:rFonts w:ascii="Arial" w:cs="Arial" w:eastAsia="Arial" w:hAnsi="Arial"/>
          <w:sz w:val="17"/>
          <w:szCs w:val="17"/>
          <w:color w:val="auto"/>
        </w:rPr>
        <w:t>merit cycle and prior-year delay of our share-based compensation grants to the middle of the third quarter of fiscal year 2021, mainly in the Vista business and our central technology group. Other operating costs also increased in part due to increases in demand.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and selling expense</w:t>
      </w:r>
    </w:p>
    <w:p>
      <w:pPr>
        <w:spacing w:after="0" w:line="196" w:lineRule="exact"/>
        <w:rPr>
          <w:sz w:val="20"/>
          <w:szCs w:val="20"/>
          <w:color w:val="auto"/>
        </w:rPr>
      </w:pPr>
    </w:p>
    <w:p>
      <w:pPr>
        <w:ind w:right="60" w:firstLine="597"/>
        <w:spacing w:after="0" w:line="246" w:lineRule="auto"/>
        <w:rPr>
          <w:sz w:val="20"/>
          <w:szCs w:val="20"/>
          <w:color w:val="auto"/>
        </w:rPr>
      </w:pPr>
      <w:r>
        <w:rPr>
          <w:rFonts w:ascii="Arial" w:cs="Arial" w:eastAsia="Arial" w:hAnsi="Arial"/>
          <w:sz w:val="17"/>
          <w:szCs w:val="17"/>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spacing w:after="0" w:line="182" w:lineRule="exact"/>
        <w:rPr>
          <w:sz w:val="20"/>
          <w:szCs w:val="20"/>
          <w:color w:val="auto"/>
        </w:rPr>
      </w:pPr>
    </w:p>
    <w:p>
      <w:pPr>
        <w:ind w:right="300" w:firstLine="597"/>
        <w:spacing w:after="0" w:line="245" w:lineRule="auto"/>
        <w:rPr>
          <w:sz w:val="20"/>
          <w:szCs w:val="20"/>
          <w:color w:val="auto"/>
        </w:rPr>
      </w:pPr>
      <w:r>
        <w:rPr>
          <w:rFonts w:ascii="Arial" w:cs="Arial" w:eastAsia="Arial" w:hAnsi="Arial"/>
          <w:sz w:val="17"/>
          <w:szCs w:val="17"/>
          <w:color w:val="auto"/>
        </w:rPr>
        <w:t>For the three and nine months ended March 31, 2022, marketing and selling expenses increased by $40.1 million and $103.0 million, respectively, as compared to the prior periods. The largest increase in marketing and selling expenses was in our Vista business, which increased by $34.5 million and $81.0 million, respectively. The increase in Vista was primarily driven by higher headcount in areas such as user experience design, brand and data &amp; analytics as well as higher mid- and upper-funnel advertising and performance advertising from expanded payback thresholds. Advertising expense also increased for our remaining businesses in total by $ 2.6 million and $13.6 million, respectively, for the three and nine months ended March 31, 2022, due to higher demand and more normalized payback thresholds in the current periods.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96" w:lineRule="exact"/>
        <w:rPr>
          <w:sz w:val="20"/>
          <w:szCs w:val="20"/>
          <w:color w:val="auto"/>
        </w:rPr>
      </w:pPr>
    </w:p>
    <w:p>
      <w:pPr>
        <w:ind w:right="360" w:firstLine="597"/>
        <w:spacing w:after="0" w:line="250"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78" w:lineRule="exact"/>
        <w:rPr>
          <w:sz w:val="20"/>
          <w:szCs w:val="20"/>
          <w:color w:val="auto"/>
        </w:rPr>
      </w:pPr>
    </w:p>
    <w:p>
      <w:pPr>
        <w:ind w:right="20" w:firstLine="597"/>
        <w:spacing w:after="0" w:line="245" w:lineRule="auto"/>
        <w:rPr>
          <w:sz w:val="20"/>
          <w:szCs w:val="20"/>
          <w:color w:val="auto"/>
        </w:rPr>
      </w:pPr>
      <w:r>
        <w:rPr>
          <w:rFonts w:ascii="Arial" w:cs="Arial" w:eastAsia="Arial" w:hAnsi="Arial"/>
          <w:sz w:val="17"/>
          <w:szCs w:val="17"/>
          <w:color w:val="auto"/>
        </w:rPr>
        <w:t>For the three and nine months ended March 31, 2022, general and administrative expenses decreased by $11.5 million and $ 3.0 million, respectively, as compared to the prior-year periods, due to the non-recurrence of lease-related impairment and abandonment charges that were recognized in the third quarter of fiscal year 2021 of $19.9 million. This was partially offset by increases to share-based compensation costs due to the prior year's delayed timing of the annual grant cycle, mainly in our Vista business and our central teams. The non-recurrence of temporary cost-control measures from the year-ago nine month period also drove a year-over-year increase in corporate costs. The current fiscal year benefited from a non-cash gain of $3.3 million recognized during the second fiscal quarter as a result of our purchase and sale of a previously leased facility. Refer to Note 2 of the accompanying consolidated financial statements for additional details.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Consolidated Results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08" w:lineRule="exact"/>
        <w:rPr>
          <w:sz w:val="20"/>
          <w:szCs w:val="20"/>
          <w:color w:val="auto"/>
        </w:rPr>
      </w:pPr>
    </w:p>
    <w:p>
      <w:pPr>
        <w:ind w:right="100" w:firstLine="597"/>
        <w:spacing w:after="0" w:line="245" w:lineRule="auto"/>
        <w:rPr>
          <w:sz w:val="20"/>
          <w:szCs w:val="20"/>
          <w:color w:val="auto"/>
        </w:rPr>
      </w:pPr>
      <w:r>
        <w:rPr>
          <w:rFonts w:ascii="Arial" w:cs="Arial" w:eastAsia="Arial" w:hAnsi="Arial"/>
          <w:sz w:val="17"/>
          <w:szCs w:val="17"/>
          <w:color w:val="auto"/>
        </w:rPr>
        <w:t>Other income (expense),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the components of other income (expense), net:</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42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5"/>
          </w:tcPr>
          <w:p>
            <w:pPr>
              <w:ind w:left="460"/>
              <w:spacing w:after="0"/>
              <w:rPr>
                <w:sz w:val="20"/>
                <w:szCs w:val="20"/>
                <w:color w:val="auto"/>
              </w:rPr>
            </w:pPr>
            <w:r>
              <w:rPr>
                <w:rFonts w:ascii="Arial" w:cs="Arial" w:eastAsia="Arial" w:hAnsi="Arial"/>
                <w:sz w:val="12"/>
                <w:szCs w:val="12"/>
                <w:b w:val="1"/>
                <w:bCs w:val="1"/>
                <w:color w:val="auto"/>
              </w:rPr>
              <w:t>Three Months Ended March 31,</w:t>
            </w:r>
          </w:p>
        </w:tc>
        <w:tc>
          <w:tcPr>
            <w:tcW w:w="3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789"/>
              <w:spacing w:after="0"/>
              <w:rPr>
                <w:sz w:val="20"/>
                <w:szCs w:val="20"/>
                <w:color w:val="auto"/>
              </w:rPr>
            </w:pPr>
            <w:r>
              <w:rPr>
                <w:rFonts w:ascii="Arial" w:cs="Arial" w:eastAsia="Arial" w:hAnsi="Arial"/>
                <w:sz w:val="12"/>
                <w:szCs w:val="12"/>
                <w:b w:val="1"/>
                <w:bCs w:val="1"/>
                <w:color w:val="auto"/>
              </w:rPr>
              <w:t>Nine Months Ended March 31,</w:t>
            </w:r>
          </w:p>
        </w:tc>
      </w:tr>
      <w:tr>
        <w:trPr>
          <w:trHeight w:val="153"/>
        </w:trPr>
        <w:tc>
          <w:tcPr>
            <w:tcW w:w="44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9"/>
              <w:spacing w:after="0"/>
              <w:rPr>
                <w:sz w:val="20"/>
                <w:szCs w:val="20"/>
                <w:color w:val="auto"/>
              </w:rPr>
            </w:pPr>
            <w:r>
              <w:rPr>
                <w:rFonts w:ascii="Arial" w:cs="Arial" w:eastAsia="Arial" w:hAnsi="Arial"/>
                <w:sz w:val="12"/>
                <w:szCs w:val="12"/>
                <w:b w:val="1"/>
                <w:bCs w:val="1"/>
                <w:color w:val="auto"/>
              </w:rPr>
              <w:t>2021</w:t>
            </w:r>
          </w:p>
        </w:tc>
      </w:tr>
      <w:tr>
        <w:trPr>
          <w:trHeight w:val="148"/>
        </w:trPr>
        <w:tc>
          <w:tcPr>
            <w:tcW w:w="4420" w:type="dxa"/>
            <w:vAlign w:val="bottom"/>
            <w:shd w:val="clear" w:color="auto" w:fill="CCEEFF"/>
          </w:tcPr>
          <w:p>
            <w:pPr>
              <w:spacing w:after="0" w:line="148" w:lineRule="exact"/>
              <w:rPr>
                <w:sz w:val="20"/>
                <w:szCs w:val="20"/>
                <w:color w:val="auto"/>
              </w:rPr>
            </w:pPr>
            <w:r>
              <w:rPr>
                <w:rFonts w:ascii="Arial" w:cs="Arial" w:eastAsia="Arial" w:hAnsi="Arial"/>
                <w:sz w:val="15"/>
                <w:szCs w:val="15"/>
                <w:color w:val="auto"/>
              </w:rPr>
              <w:t>Gains (losses) on derivatives not designated as hedging</w:t>
            </w:r>
          </w:p>
        </w:tc>
        <w:tc>
          <w:tcPr>
            <w:tcW w:w="4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85"/>
        </w:trPr>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instruments</w:t>
            </w:r>
          </w:p>
        </w:tc>
        <w:tc>
          <w:tcPr>
            <w:tcW w:w="40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11,210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18,724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31,017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(13,791)</w:t>
            </w:r>
          </w:p>
        </w:tc>
      </w:tr>
      <w:tr>
        <w:trPr>
          <w:trHeight w:val="196"/>
        </w:trPr>
        <w:tc>
          <w:tcPr>
            <w:tcW w:w="4420" w:type="dxa"/>
            <w:vAlign w:val="bottom"/>
          </w:tcPr>
          <w:p>
            <w:pPr>
              <w:spacing w:after="0"/>
              <w:rPr>
                <w:sz w:val="20"/>
                <w:szCs w:val="20"/>
                <w:color w:val="auto"/>
              </w:rPr>
            </w:pPr>
            <w:r>
              <w:rPr>
                <w:rFonts w:ascii="Arial" w:cs="Arial" w:eastAsia="Arial" w:hAnsi="Arial"/>
                <w:sz w:val="15"/>
                <w:szCs w:val="15"/>
                <w:color w:val="auto"/>
              </w:rPr>
              <w:t>Currency-related gains, net</w:t>
            </w: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(672)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(8,841)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5,202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(2,957)</w:t>
            </w:r>
          </w:p>
        </w:tc>
      </w:tr>
      <w:tr>
        <w:trPr>
          <w:trHeight w:val="199"/>
        </w:trPr>
        <w:tc>
          <w:tcPr>
            <w:tcW w:w="4420" w:type="dxa"/>
            <w:vAlign w:val="bottom"/>
            <w:shd w:val="clear" w:color="auto" w:fill="CCEEFF"/>
          </w:tcPr>
          <w:p>
            <w:pPr>
              <w:spacing w:after="0"/>
              <w:rPr>
                <w:sz w:val="20"/>
                <w:szCs w:val="20"/>
                <w:color w:val="auto"/>
              </w:rPr>
            </w:pPr>
            <w:r>
              <w:rPr>
                <w:rFonts w:ascii="Arial" w:cs="Arial" w:eastAsia="Arial" w:hAnsi="Arial"/>
                <w:sz w:val="15"/>
                <w:szCs w:val="15"/>
                <w:color w:val="auto"/>
              </w:rPr>
              <w:t>Other gains (losses)</w:t>
            </w:r>
          </w:p>
        </w:tc>
        <w:tc>
          <w:tcPr>
            <w:tcW w:w="4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1,783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581</w:t>
            </w:r>
          </w:p>
        </w:tc>
      </w:tr>
      <w:tr>
        <w:trPr>
          <w:trHeight w:val="194"/>
        </w:trPr>
        <w:tc>
          <w:tcPr>
            <w:tcW w:w="4420" w:type="dxa"/>
            <w:vAlign w:val="bottom"/>
          </w:tcPr>
          <w:p>
            <w:pPr>
              <w:spacing w:after="0"/>
              <w:rPr>
                <w:sz w:val="20"/>
                <w:szCs w:val="20"/>
                <w:color w:val="auto"/>
              </w:rPr>
            </w:pPr>
            <w:r>
              <w:rPr>
                <w:rFonts w:ascii="Arial" w:cs="Arial" w:eastAsia="Arial" w:hAnsi="Arial"/>
                <w:sz w:val="15"/>
                <w:szCs w:val="15"/>
                <w:color w:val="auto"/>
              </w:rPr>
              <w:t>Total other income (expense), net</w:t>
            </w:r>
          </w:p>
        </w:tc>
        <w:tc>
          <w:tcPr>
            <w:tcW w:w="4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12,321</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9,785</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38,330</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(16,167)</w:t>
            </w:r>
          </w:p>
        </w:tc>
      </w:tr>
      <w:tr>
        <w:trPr>
          <w:trHeight w:val="20"/>
        </w:trPr>
        <w:tc>
          <w:tcPr>
            <w:tcW w:w="4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ind w:right="220" w:firstLine="597"/>
        <w:spacing w:after="0" w:line="266" w:lineRule="auto"/>
        <w:rPr>
          <w:sz w:val="20"/>
          <w:szCs w:val="20"/>
          <w:color w:val="auto"/>
        </w:rPr>
      </w:pPr>
      <w:r>
        <w:rPr>
          <w:rFonts w:ascii="Arial" w:cs="Arial" w:eastAsia="Arial" w:hAnsi="Arial"/>
          <w:sz w:val="16"/>
          <w:szCs w:val="16"/>
          <w:color w:val="auto"/>
        </w:rPr>
        <w:t>The increase in other income (expense), net was primarily due to the currency exchange rate volatility impacting our derivatives that are not designated as hedging instruments, of which our Euro and British Pound contracts are the most significant exposures that we economically hedge. We also recognize the impact from de-designated interest swap contracts that are no longer highly effective, which resulted in unrealized losses during the current period. We expect volatility to continue in future periods, as we do not apply hedge accounting for most of our derivative currency contracts.</w:t>
      </w:r>
    </w:p>
    <w:p>
      <w:pPr>
        <w:spacing w:after="0" w:line="167" w:lineRule="exact"/>
        <w:rPr>
          <w:sz w:val="20"/>
          <w:szCs w:val="20"/>
          <w:color w:val="auto"/>
        </w:rPr>
      </w:pPr>
    </w:p>
    <w:p>
      <w:pPr>
        <w:ind w:right="20" w:firstLine="597"/>
        <w:spacing w:after="0" w:line="247" w:lineRule="auto"/>
        <w:rPr>
          <w:sz w:val="20"/>
          <w:szCs w:val="20"/>
          <w:color w:val="auto"/>
        </w:rPr>
      </w:pPr>
      <w:r>
        <w:rPr>
          <w:rFonts w:ascii="Arial" w:cs="Arial" w:eastAsia="Arial" w:hAnsi="Arial"/>
          <w:sz w:val="17"/>
          <w:szCs w:val="17"/>
          <w:color w:val="auto"/>
        </w:rPr>
        <w:t>We experienced currency-related gains due to currency exchange rate volatility on our non-functional currency intercompany relationships, which we may alter from time to time. The impact of certain cross-currency swap contracts designated as cash flow hedges is included in our currency-related gains, net, offsetting the impact of certain non-functional currency intercompany relationships.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208" w:lineRule="exact"/>
        <w:rPr>
          <w:sz w:val="20"/>
          <w:szCs w:val="20"/>
          <w:color w:val="auto"/>
        </w:rPr>
      </w:pPr>
    </w:p>
    <w:p>
      <w:pPr>
        <w:ind w:right="540" w:firstLine="597"/>
        <w:spacing w:after="0" w:line="247" w:lineRule="auto"/>
        <w:rPr>
          <w:sz w:val="20"/>
          <w:szCs w:val="20"/>
          <w:color w:val="auto"/>
        </w:rPr>
      </w:pPr>
      <w:r>
        <w:rPr>
          <w:rFonts w:ascii="Arial" w:cs="Arial" w:eastAsia="Arial" w:hAnsi="Arial"/>
          <w:sz w:val="17"/>
          <w:szCs w:val="17"/>
          <w:color w:val="auto"/>
        </w:rPr>
        <w:t>Interest expense, net primarily consists of interest paid on outstanding debt balances, amortization of debt issuance costs, debt discounts, interest related to finance lease obligations and realized gains (losses) on effective interest rate swap contracts and certain cross-currency swap contracts.</w:t>
      </w:r>
    </w:p>
    <w:p>
      <w:pPr>
        <w:spacing w:after="0" w:line="180" w:lineRule="exact"/>
        <w:rPr>
          <w:sz w:val="20"/>
          <w:szCs w:val="20"/>
          <w:color w:val="auto"/>
        </w:rPr>
      </w:pPr>
    </w:p>
    <w:p>
      <w:pPr>
        <w:ind w:right="420" w:firstLine="597"/>
        <w:spacing w:after="0" w:line="247" w:lineRule="auto"/>
        <w:rPr>
          <w:sz w:val="20"/>
          <w:szCs w:val="20"/>
          <w:color w:val="auto"/>
        </w:rPr>
      </w:pPr>
      <w:r>
        <w:rPr>
          <w:rFonts w:ascii="Arial" w:cs="Arial" w:eastAsia="Arial" w:hAnsi="Arial"/>
          <w:sz w:val="17"/>
          <w:szCs w:val="17"/>
          <w:color w:val="auto"/>
        </w:rPr>
        <w:t>Interest expense, net decreased by $4.8 million and $14.4 million, respectively, during the three and nine months ended March 31, 2022, as compared to the prior year periods. This is primarily due to our Term Loan B refinancing during the fourth quarter of fiscal 2021 that resulted in a reduction to our weighted-average interest rate on our outstanding borrowings in the current year.</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180" w:type="dxa"/>
            <w:vAlign w:val="bottom"/>
          </w:tcPr>
          <w:p>
            <w:pPr>
              <w:spacing w:after="0"/>
              <w:rPr>
                <w:sz w:val="20"/>
                <w:szCs w:val="20"/>
                <w:color w:val="auto"/>
              </w:rPr>
            </w:pPr>
            <w:r>
              <w:rPr>
                <w:rFonts w:ascii="Arial" w:cs="Arial" w:eastAsia="Arial" w:hAnsi="Arial"/>
                <w:sz w:val="15"/>
                <w:szCs w:val="15"/>
                <w:i w:val="1"/>
                <w:iCs w:val="1"/>
                <w:color w:val="auto"/>
              </w:rPr>
              <w:t>In thousands</w:t>
            </w:r>
          </w:p>
        </w:tc>
        <w:tc>
          <w:tcPr>
            <w:tcW w:w="28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2"/>
                <w:szCs w:val="12"/>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2"/>
                <w:szCs w:val="12"/>
                <w:b w:val="1"/>
                <w:bCs w:val="1"/>
                <w:color w:val="auto"/>
              </w:rPr>
              <w:t>Nine Months Ended March 31,</w:t>
            </w:r>
          </w:p>
        </w:tc>
      </w:tr>
      <w:tr>
        <w:trPr>
          <w:trHeight w:val="153"/>
        </w:trPr>
        <w:tc>
          <w:tcPr>
            <w:tcW w:w="41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2021</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4"/>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2021</w:t>
            </w:r>
          </w:p>
        </w:tc>
      </w:tr>
      <w:tr>
        <w:trPr>
          <w:trHeight w:val="196"/>
        </w:trPr>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29,529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7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3,927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5"/>
                <w:szCs w:val="15"/>
                <w:color w:val="auto"/>
              </w:rPr>
              <w:t>56,208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23,675</w:t>
            </w:r>
          </w:p>
        </w:tc>
      </w:tr>
      <w:tr>
        <w:trPr>
          <w:trHeight w:val="195"/>
        </w:trPr>
        <w:tc>
          <w:tcPr>
            <w:tcW w:w="4180" w:type="dxa"/>
            <w:vAlign w:val="bottom"/>
          </w:tcPr>
          <w:p>
            <w:pPr>
              <w:spacing w:after="0"/>
              <w:rPr>
                <w:sz w:val="20"/>
                <w:szCs w:val="20"/>
                <w:color w:val="auto"/>
              </w:rPr>
            </w:pPr>
            <w:r>
              <w:rPr>
                <w:rFonts w:ascii="Arial" w:cs="Arial" w:eastAsia="Arial" w:hAnsi="Arial"/>
                <w:sz w:val="15"/>
                <w:szCs w:val="15"/>
                <w:color w:val="auto"/>
              </w:rPr>
              <w:t>Effective tax rate</w:t>
            </w:r>
          </w:p>
        </w:tc>
        <w:tc>
          <w:tcPr>
            <w:tcW w:w="10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i w:val="1"/>
                <w:iCs w:val="1"/>
                <w:color w:val="auto"/>
              </w:rPr>
              <w:t>(73.2)%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i w:val="1"/>
                <w:iCs w:val="1"/>
                <w:color w:val="auto"/>
              </w:rPr>
              <w:t>(11.2)%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i w:val="1"/>
                <w:iCs w:val="1"/>
                <w:color w:val="auto"/>
              </w:rPr>
              <w:t>149.9 %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i w:val="1"/>
                <w:iCs w:val="1"/>
                <w:color w:val="auto"/>
              </w:rPr>
              <w:t>273.5 %</w:t>
            </w:r>
          </w:p>
        </w:tc>
      </w:tr>
    </w:tbl>
    <w:p>
      <w:pPr>
        <w:spacing w:after="0" w:line="314" w:lineRule="exact"/>
        <w:rPr>
          <w:sz w:val="20"/>
          <w:szCs w:val="20"/>
          <w:color w:val="auto"/>
        </w:rPr>
      </w:pPr>
    </w:p>
    <w:p>
      <w:pPr>
        <w:jc w:val="both"/>
        <w:ind w:right="180" w:firstLine="597"/>
        <w:spacing w:after="0" w:line="247" w:lineRule="auto"/>
        <w:rPr>
          <w:sz w:val="20"/>
          <w:szCs w:val="20"/>
          <w:color w:val="auto"/>
        </w:rPr>
      </w:pPr>
      <w:r>
        <w:rPr>
          <w:rFonts w:ascii="Arial" w:cs="Arial" w:eastAsia="Arial" w:hAnsi="Arial"/>
          <w:sz w:val="17"/>
          <w:szCs w:val="17"/>
          <w:color w:val="auto"/>
        </w:rPr>
        <w:t>Income tax expense for the three and nine months ended March 31, 2022 increased versus the prior comparative periods due to establishing a partial valuation allowance on Swiss deferred tax assets of $29.6 million primarily related to Swiss tax reform benefits recognized in fiscal 2020 that we no longer expect to fully realize.</w:t>
      </w:r>
    </w:p>
    <w:p>
      <w:pPr>
        <w:spacing w:after="0" w:line="218" w:lineRule="exact"/>
        <w:rPr>
          <w:sz w:val="20"/>
          <w:szCs w:val="20"/>
          <w:color w:val="auto"/>
        </w:rPr>
      </w:pPr>
    </w:p>
    <w:p>
      <w:pPr>
        <w:ind w:right="100" w:firstLine="597"/>
        <w:spacing w:after="0" w:line="246" w:lineRule="auto"/>
        <w:rPr>
          <w:sz w:val="20"/>
          <w:szCs w:val="20"/>
          <w:color w:val="auto"/>
        </w:rPr>
      </w:pPr>
      <w:r>
        <w:rPr>
          <w:rFonts w:ascii="Arial" w:cs="Arial" w:eastAsia="Arial" w:hAnsi="Arial"/>
          <w:sz w:val="17"/>
          <w:szCs w:val="17"/>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10 in our accompanying consolidated financial statements for additional discussion.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 Results</w:t>
      </w:r>
    </w:p>
    <w:p>
      <w:pPr>
        <w:spacing w:after="0" w:line="210" w:lineRule="exact"/>
        <w:rPr>
          <w:sz w:val="20"/>
          <w:szCs w:val="20"/>
          <w:color w:val="auto"/>
        </w:rPr>
      </w:pPr>
    </w:p>
    <w:p>
      <w:pPr>
        <w:ind w:right="40" w:firstLine="597"/>
        <w:spacing w:after="0" w:line="247" w:lineRule="auto"/>
        <w:rPr>
          <w:sz w:val="20"/>
          <w:szCs w:val="20"/>
          <w:color w:val="auto"/>
        </w:rPr>
      </w:pPr>
      <w:r>
        <w:rPr>
          <w:rFonts w:ascii="Arial" w:cs="Arial" w:eastAsia="Arial" w:hAnsi="Arial"/>
          <w:sz w:val="17"/>
          <w:szCs w:val="17"/>
          <w:color w:val="auto"/>
        </w:rPr>
        <w:t>Our segment financial performance is measured based on segment EBITDA, which is defined as operating income plus depreciation and amortization; plus proceeds from insurance; plus share-based compensation expense related to investment consideration; plus earn-out related charges; plus certain impairments; plus restructuring related charges; less gain on purchase or sale of subsidiaries.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Vista</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50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60" w:type="dxa"/>
            <w:vAlign w:val="bottom"/>
          </w:tcPr>
          <w:p>
            <w:pPr>
              <w:spacing w:after="0"/>
              <w:rPr>
                <w:sz w:val="17"/>
                <w:szCs w:val="17"/>
                <w:color w:val="auto"/>
              </w:rPr>
            </w:pPr>
          </w:p>
        </w:tc>
        <w:tc>
          <w:tcPr>
            <w:tcW w:w="2820" w:type="dxa"/>
            <w:vAlign w:val="bottom"/>
            <w:gridSpan w:val="5"/>
          </w:tcPr>
          <w:p>
            <w:pPr>
              <w:ind w:left="320"/>
              <w:spacing w:after="0"/>
              <w:rPr>
                <w:sz w:val="20"/>
                <w:szCs w:val="20"/>
                <w:color w:val="auto"/>
              </w:rPr>
            </w:pPr>
            <w:r>
              <w:rPr>
                <w:rFonts w:ascii="Arial" w:cs="Arial" w:eastAsia="Arial" w:hAnsi="Arial"/>
                <w:sz w:val="12"/>
                <w:szCs w:val="12"/>
                <w:b w:val="1"/>
                <w:bCs w:val="1"/>
                <w:color w:val="auto"/>
              </w:rPr>
              <w:t>Three Months Ended March 31,</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5"/>
          </w:tcPr>
          <w:p>
            <w:pPr>
              <w:ind w:left="360"/>
              <w:spacing w:after="0"/>
              <w:rPr>
                <w:sz w:val="20"/>
                <w:szCs w:val="20"/>
                <w:color w:val="auto"/>
              </w:rPr>
            </w:pPr>
            <w:r>
              <w:rPr>
                <w:rFonts w:ascii="Arial" w:cs="Arial" w:eastAsia="Arial" w:hAnsi="Arial"/>
                <w:sz w:val="12"/>
                <w:szCs w:val="12"/>
                <w:b w:val="1"/>
                <w:bCs w:val="1"/>
                <w:color w:val="auto"/>
              </w:rPr>
              <w:t>Nine Months Ended March 31,</w:t>
            </w:r>
          </w:p>
        </w:tc>
        <w:tc>
          <w:tcPr>
            <w:tcW w:w="1120" w:type="dxa"/>
            <w:vAlign w:val="bottom"/>
          </w:tcPr>
          <w:p>
            <w:pPr>
              <w:spacing w:after="0"/>
              <w:rPr>
                <w:sz w:val="17"/>
                <w:szCs w:val="17"/>
                <w:color w:val="auto"/>
              </w:rPr>
            </w:pPr>
          </w:p>
        </w:tc>
      </w:tr>
      <w:tr>
        <w:trPr>
          <w:trHeight w:val="153"/>
        </w:trPr>
        <w:tc>
          <w:tcPr>
            <w:tcW w:w="25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2022 vs. 2021</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2022 vs. 2021</w:t>
            </w:r>
          </w:p>
        </w:tc>
      </w:tr>
      <w:tr>
        <w:trPr>
          <w:trHeight w:val="196"/>
        </w:trPr>
        <w:tc>
          <w:tcPr>
            <w:tcW w:w="2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Reported Revenue</w:t>
            </w: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349,216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5"/>
                <w:szCs w:val="15"/>
                <w:color w:val="auto"/>
              </w:rPr>
              <w:t>321,965</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5"/>
                <w:szCs w:val="15"/>
                <w:color w:val="auto"/>
              </w:rPr>
              <w:t>1,146,810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1,082,332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rPr>
              <w:t>6%</w:t>
            </w:r>
          </w:p>
        </w:tc>
      </w:tr>
      <w:tr>
        <w:trPr>
          <w:trHeight w:val="196"/>
        </w:trPr>
        <w:tc>
          <w:tcPr>
            <w:tcW w:w="2500" w:type="dxa"/>
            <w:vAlign w:val="bottom"/>
          </w:tcPr>
          <w:p>
            <w:pPr>
              <w:ind w:left="20"/>
              <w:spacing w:after="0"/>
              <w:rPr>
                <w:sz w:val="20"/>
                <w:szCs w:val="20"/>
                <w:color w:val="auto"/>
              </w:rPr>
            </w:pPr>
            <w:r>
              <w:rPr>
                <w:rFonts w:ascii="Arial" w:cs="Arial" w:eastAsia="Arial" w:hAnsi="Arial"/>
                <w:sz w:val="15"/>
                <w:szCs w:val="15"/>
                <w:color w:val="auto"/>
              </w:rPr>
              <w:t>Segment EBITDA</w:t>
            </w:r>
          </w:p>
        </w:tc>
        <w:tc>
          <w:tcPr>
            <w:tcW w:w="360" w:type="dxa"/>
            <w:vAlign w:val="bottom"/>
          </w:tcPr>
          <w:p>
            <w:pPr>
              <w:spacing w:after="0"/>
              <w:rPr>
                <w:sz w:val="17"/>
                <w:szCs w:val="17"/>
                <w:color w:val="auto"/>
              </w:rPr>
            </w:pPr>
          </w:p>
        </w:tc>
        <w:tc>
          <w:tcPr>
            <w:tcW w:w="1120" w:type="dxa"/>
            <w:vAlign w:val="bottom"/>
          </w:tcPr>
          <w:p>
            <w:pPr>
              <w:jc w:val="right"/>
              <w:ind w:right="112"/>
              <w:spacing w:after="0"/>
              <w:rPr>
                <w:sz w:val="20"/>
                <w:szCs w:val="20"/>
                <w:color w:val="auto"/>
              </w:rPr>
            </w:pPr>
            <w:r>
              <w:rPr>
                <w:rFonts w:ascii="Arial" w:cs="Arial" w:eastAsia="Arial" w:hAnsi="Arial"/>
                <w:sz w:val="15"/>
                <w:szCs w:val="15"/>
                <w:color w:val="auto"/>
              </w:rPr>
              <w:t>27,386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5"/>
                <w:szCs w:val="15"/>
                <w:color w:val="auto"/>
              </w:rPr>
              <w:t>64,333</w:t>
            </w:r>
          </w:p>
        </w:tc>
        <w:tc>
          <w:tcPr>
            <w:tcW w:w="100" w:type="dxa"/>
            <w:vAlign w:val="bottom"/>
          </w:tcPr>
          <w:p>
            <w:pPr>
              <w:spacing w:after="0"/>
              <w:rPr>
                <w:sz w:val="17"/>
                <w:szCs w:val="17"/>
                <w:color w:val="auto"/>
              </w:rPr>
            </w:pPr>
          </w:p>
        </w:tc>
        <w:tc>
          <w:tcPr>
            <w:tcW w:w="1120" w:type="dxa"/>
            <w:vAlign w:val="bottom"/>
          </w:tcPr>
          <w:p>
            <w:pPr>
              <w:jc w:val="right"/>
              <w:ind w:right="291"/>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32"/>
              <w:spacing w:after="0"/>
              <w:rPr>
                <w:sz w:val="20"/>
                <w:szCs w:val="20"/>
                <w:color w:val="auto"/>
              </w:rPr>
            </w:pPr>
            <w:r>
              <w:rPr>
                <w:rFonts w:ascii="Arial" w:cs="Arial" w:eastAsia="Arial" w:hAnsi="Arial"/>
                <w:sz w:val="15"/>
                <w:szCs w:val="15"/>
                <w:color w:val="auto"/>
              </w:rPr>
              <w:t>188,114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5"/>
                <w:szCs w:val="15"/>
                <w:color w:val="auto"/>
              </w:rPr>
              <w:t>266,821</w:t>
            </w:r>
          </w:p>
        </w:tc>
        <w:tc>
          <w:tcPr>
            <w:tcW w:w="100" w:type="dxa"/>
            <w:vAlign w:val="bottom"/>
          </w:tcPr>
          <w:p>
            <w:pPr>
              <w:spacing w:after="0"/>
              <w:rPr>
                <w:sz w:val="17"/>
                <w:szCs w:val="17"/>
                <w:color w:val="auto"/>
              </w:rPr>
            </w:pPr>
          </w:p>
        </w:tc>
        <w:tc>
          <w:tcPr>
            <w:tcW w:w="1120" w:type="dxa"/>
            <w:vAlign w:val="bottom"/>
          </w:tcPr>
          <w:p>
            <w:pPr>
              <w:jc w:val="right"/>
              <w:ind w:right="291"/>
              <w:spacing w:after="0"/>
              <w:rPr>
                <w:sz w:val="20"/>
                <w:szCs w:val="20"/>
                <w:color w:val="auto"/>
              </w:rPr>
            </w:pPr>
            <w:r>
              <w:rPr>
                <w:rFonts w:ascii="Arial" w:cs="Arial" w:eastAsia="Arial" w:hAnsi="Arial"/>
                <w:sz w:val="15"/>
                <w:szCs w:val="15"/>
                <w:color w:val="auto"/>
              </w:rPr>
              <w:t>(29)%</w:t>
            </w:r>
          </w:p>
        </w:tc>
      </w:tr>
      <w:tr>
        <w:trPr>
          <w:trHeight w:val="202"/>
        </w:trPr>
        <w:tc>
          <w:tcPr>
            <w:tcW w:w="250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8 %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20 %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16 %</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25 %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6" w:lineRule="exact"/>
        <w:rPr>
          <w:sz w:val="20"/>
          <w:szCs w:val="20"/>
          <w:color w:val="auto"/>
        </w:rPr>
      </w:pPr>
    </w:p>
    <w:p>
      <w:pPr>
        <w:ind w:firstLine="597"/>
        <w:spacing w:after="0" w:line="245" w:lineRule="auto"/>
        <w:rPr>
          <w:sz w:val="20"/>
          <w:szCs w:val="20"/>
          <w:color w:val="auto"/>
        </w:rPr>
      </w:pPr>
      <w:r>
        <w:rPr>
          <w:rFonts w:ascii="Arial" w:cs="Arial" w:eastAsia="Arial" w:hAnsi="Arial"/>
          <w:sz w:val="17"/>
          <w:szCs w:val="17"/>
          <w:color w:val="auto"/>
        </w:rPr>
        <w:t>Vista's reported revenue growth for the three and nine months ended March 31, 2022 was negatively affected by a currency impact of 2% and 1%, respectively. When excluding the benefit from the recent acquisitions of Depositphotos and 99designs, Vista's organic constant-currency revenue growth was 8% and 4%, respectively. Vista's revenue growth was driven by product categories such as business cards, signage, marketing materials, and promotional products. Revenue from business cards and small format marketing materials improved year over year, but were still below pre-pandemic levels. During the third quarter of the current fiscal year we executed on the migration of Vista's customer-facing website in the United States to a new platform, which performed better than expectations, but did have a negative impact on revenue. In addition, revenue related to customized face masks declined from the prior periods as the demand for pandemic-related products declined.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8" w:lineRule="exact"/>
        <w:rPr>
          <w:sz w:val="20"/>
          <w:szCs w:val="20"/>
          <w:color w:val="auto"/>
        </w:rPr>
      </w:pPr>
    </w:p>
    <w:p>
      <w:pPr>
        <w:ind w:right="20" w:firstLine="597"/>
        <w:spacing w:after="0" w:line="245" w:lineRule="auto"/>
        <w:rPr>
          <w:sz w:val="20"/>
          <w:szCs w:val="20"/>
          <w:color w:val="auto"/>
        </w:rPr>
      </w:pPr>
      <w:r>
        <w:rPr>
          <w:rFonts w:ascii="Arial" w:cs="Arial" w:eastAsia="Arial" w:hAnsi="Arial"/>
          <w:sz w:val="17"/>
          <w:szCs w:val="17"/>
          <w:color w:val="auto"/>
        </w:rPr>
        <w:t>For the three and nine months ended March 31, 2022, segment EBITDA declined by $36.9 million and $78.7 million, respectively, largely driven by increased operating expenses related to growth investments including hiring of talent, especially in user experience, design, product management, and data and analytics. These organic investments are in support of Vista's multi-year transformation journey to become the expert design and marketing partner to the world's small businesses. Additionally, Vista's advertising expense increased by $16.8 million and $ 36.1 million, respectively, driven by higher mid- and upper-funnel advertising and expanded performance advertising payback thresholds, which were more constrained during the prior-year periods when the effects of the pandemic on this segment were more severe. Gross profit was negatively impacted during the third quarter of fiscal year 2022 by inflationary cost pressures from higher material, inbound freight and energy costs that had a year-over-year net impact of approximately $ 9.0 million. These inflationary pressures did not have a material net impact during the first half of the current fiscal year. The decline in profitability was also affected by government subsidy benefits in the prior comparative periods of $1.9 million and $ 6.8 million, respectively, which did not recur during the three and nine months ended March 31, 2022. These decreases were partially offset by profit improvement driven by the revenue growth described above.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PrintBrothers</w:t>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520" w:type="dxa"/>
            <w:vAlign w:val="bottom"/>
          </w:tcPr>
          <w:p>
            <w:pPr>
              <w:ind w:left="60"/>
              <w:spacing w:after="0"/>
              <w:rPr>
                <w:sz w:val="20"/>
                <w:szCs w:val="20"/>
                <w:color w:val="auto"/>
              </w:rPr>
            </w:pPr>
            <w:r>
              <w:rPr>
                <w:rFonts w:ascii="Arial" w:cs="Arial" w:eastAsia="Arial" w:hAnsi="Arial"/>
                <w:sz w:val="15"/>
                <w:szCs w:val="15"/>
                <w:i w:val="1"/>
                <w:iCs w:val="1"/>
                <w:color w:val="auto"/>
              </w:rPr>
              <w:t>In thousands</w:t>
            </w:r>
          </w:p>
        </w:tc>
        <w:tc>
          <w:tcPr>
            <w:tcW w:w="360" w:type="dxa"/>
            <w:vAlign w:val="bottom"/>
          </w:tcPr>
          <w:p>
            <w:pPr>
              <w:spacing w:after="0"/>
              <w:rPr>
                <w:sz w:val="17"/>
                <w:szCs w:val="17"/>
                <w:color w:val="auto"/>
              </w:rPr>
            </w:pPr>
          </w:p>
        </w:tc>
        <w:tc>
          <w:tcPr>
            <w:tcW w:w="2820" w:type="dxa"/>
            <w:vAlign w:val="bottom"/>
            <w:gridSpan w:val="5"/>
          </w:tcPr>
          <w:p>
            <w:pPr>
              <w:ind w:left="320"/>
              <w:spacing w:after="0"/>
              <w:rPr>
                <w:sz w:val="20"/>
                <w:szCs w:val="20"/>
                <w:color w:val="auto"/>
              </w:rPr>
            </w:pPr>
            <w:r>
              <w:rPr>
                <w:rFonts w:ascii="Arial" w:cs="Arial" w:eastAsia="Arial" w:hAnsi="Arial"/>
                <w:sz w:val="12"/>
                <w:szCs w:val="12"/>
                <w:b w:val="1"/>
                <w:bCs w:val="1"/>
                <w:color w:val="auto"/>
              </w:rPr>
              <w:t>Three Months Ended March 31,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360"/>
              <w:spacing w:after="0"/>
              <w:rPr>
                <w:sz w:val="20"/>
                <w:szCs w:val="20"/>
                <w:color w:val="auto"/>
              </w:rPr>
            </w:pPr>
            <w:r>
              <w:rPr>
                <w:rFonts w:ascii="Arial" w:cs="Arial" w:eastAsia="Arial" w:hAnsi="Arial"/>
                <w:sz w:val="12"/>
                <w:szCs w:val="12"/>
                <w:b w:val="1"/>
                <w:bCs w:val="1"/>
                <w:color w:val="auto"/>
              </w:rPr>
              <w:t>Nine Months Ended March 31,</w:t>
            </w:r>
          </w:p>
        </w:tc>
        <w:tc>
          <w:tcPr>
            <w:tcW w:w="1120" w:type="dxa"/>
            <w:vAlign w:val="bottom"/>
          </w:tcPr>
          <w:p>
            <w:pPr>
              <w:spacing w:after="0"/>
              <w:rPr>
                <w:sz w:val="17"/>
                <w:szCs w:val="17"/>
                <w:color w:val="auto"/>
              </w:rPr>
            </w:pPr>
          </w:p>
        </w:tc>
      </w:tr>
      <w:tr>
        <w:trPr>
          <w:trHeight w:val="153"/>
        </w:trPr>
        <w:tc>
          <w:tcPr>
            <w:tcW w:w="25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2022 vs. 2021</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2022 vs. 2021</w:t>
            </w:r>
          </w:p>
        </w:tc>
      </w:tr>
      <w:tr>
        <w:trPr>
          <w:trHeight w:val="196"/>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Reported Revenue</w:t>
            </w: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5"/>
                <w:szCs w:val="15"/>
                <w:color w:val="auto"/>
              </w:rPr>
              <w:t>119,960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93,997</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383,011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5"/>
                <w:szCs w:val="15"/>
                <w:color w:val="auto"/>
              </w:rPr>
              <w:t>315,915</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21%</w:t>
            </w:r>
          </w:p>
        </w:tc>
      </w:tr>
      <w:tr>
        <w:trPr>
          <w:trHeight w:val="196"/>
        </w:trPr>
        <w:tc>
          <w:tcPr>
            <w:tcW w:w="2520" w:type="dxa"/>
            <w:vAlign w:val="bottom"/>
          </w:tcPr>
          <w:p>
            <w:pPr>
              <w:ind w:left="20"/>
              <w:spacing w:after="0"/>
              <w:rPr>
                <w:sz w:val="20"/>
                <w:szCs w:val="20"/>
                <w:color w:val="auto"/>
              </w:rPr>
            </w:pPr>
            <w:r>
              <w:rPr>
                <w:rFonts w:ascii="Arial" w:cs="Arial" w:eastAsia="Arial" w:hAnsi="Arial"/>
                <w:sz w:val="15"/>
                <w:szCs w:val="15"/>
                <w:color w:val="auto"/>
              </w:rPr>
              <w:t>Segment EBITDA</w:t>
            </w:r>
          </w:p>
        </w:tc>
        <w:tc>
          <w:tcPr>
            <w:tcW w:w="360" w:type="dxa"/>
            <w:vAlign w:val="bottom"/>
          </w:tcPr>
          <w:p>
            <w:pPr>
              <w:spacing w:after="0"/>
              <w:rPr>
                <w:sz w:val="17"/>
                <w:szCs w:val="17"/>
                <w:color w:val="auto"/>
              </w:rPr>
            </w:pPr>
          </w:p>
        </w:tc>
        <w:tc>
          <w:tcPr>
            <w:tcW w:w="1140" w:type="dxa"/>
            <w:vAlign w:val="bottom"/>
          </w:tcPr>
          <w:p>
            <w:pPr>
              <w:jc w:val="right"/>
              <w:ind w:right="132"/>
              <w:spacing w:after="0"/>
              <w:rPr>
                <w:sz w:val="20"/>
                <w:szCs w:val="20"/>
                <w:color w:val="auto"/>
              </w:rPr>
            </w:pPr>
            <w:r>
              <w:rPr>
                <w:rFonts w:ascii="Arial" w:cs="Arial" w:eastAsia="Arial" w:hAnsi="Arial"/>
                <w:sz w:val="15"/>
                <w:szCs w:val="15"/>
                <w:color w:val="auto"/>
              </w:rPr>
              <w:t>12,392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5"/>
                <w:szCs w:val="15"/>
                <w:color w:val="auto"/>
              </w:rPr>
              <w:t>7,560</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99"/>
              </w:rPr>
              <w:t>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12"/>
              <w:spacing w:after="0"/>
              <w:rPr>
                <w:sz w:val="20"/>
                <w:szCs w:val="20"/>
                <w:color w:val="auto"/>
              </w:rPr>
            </w:pPr>
            <w:r>
              <w:rPr>
                <w:rFonts w:ascii="Arial" w:cs="Arial" w:eastAsia="Arial" w:hAnsi="Arial"/>
                <w:sz w:val="15"/>
                <w:szCs w:val="15"/>
                <w:color w:val="auto"/>
              </w:rPr>
              <w:t>47,280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5"/>
                <w:szCs w:val="15"/>
                <w:color w:val="auto"/>
              </w:rPr>
              <w:t>33,732</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99"/>
              </w:rPr>
              <w:t>40%</w:t>
            </w:r>
          </w:p>
        </w:tc>
      </w:tr>
      <w:tr>
        <w:trPr>
          <w:trHeight w:val="202"/>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10 %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8 %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12 %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11 %</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8" w:lineRule="exact"/>
        <w:rPr>
          <w:sz w:val="20"/>
          <w:szCs w:val="20"/>
          <w:color w:val="auto"/>
        </w:rPr>
      </w:pPr>
    </w:p>
    <w:p>
      <w:pPr>
        <w:ind w:right="60" w:firstLine="597"/>
        <w:spacing w:after="0" w:line="245" w:lineRule="auto"/>
        <w:rPr>
          <w:sz w:val="20"/>
          <w:szCs w:val="20"/>
          <w:color w:val="auto"/>
        </w:rPr>
      </w:pPr>
      <w:r>
        <w:rPr>
          <w:rFonts w:ascii="Arial" w:cs="Arial" w:eastAsia="Arial" w:hAnsi="Arial"/>
          <w:sz w:val="17"/>
          <w:szCs w:val="17"/>
          <w:color w:val="auto"/>
        </w:rPr>
        <w:t>PrintBrothers' reported revenue growth for the three and nine months ended March 31, 2022 was negatively affected by a currency impact of 9% and 5%, respectively, resulting in a constant-currency revenue growth of 37% and 26%, respectively. This strong growth was driven in part by relatively stricter pandemic-related lockdowns in the prior year periods, as well as growth from new product introductions and price increases made to address inflationary cost increases. Additionally, the PrintBrothers network and relative size allowed these businesses to address opportunities to meet customer demand when competition could not. We also benefited from the timing of elections in Germany during the current fiscal year, which drove sales of signage products, flyers and brochures.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i w:val="1"/>
          <w:iCs w:val="1"/>
          <w:color w:val="auto"/>
        </w:rPr>
        <w:t>Segment Profitability</w:t>
      </w:r>
    </w:p>
    <w:p>
      <w:pPr>
        <w:spacing w:after="0" w:line="196" w:lineRule="exact"/>
        <w:rPr>
          <w:sz w:val="20"/>
          <w:szCs w:val="20"/>
          <w:color w:val="auto"/>
        </w:rPr>
      </w:pPr>
    </w:p>
    <w:p>
      <w:pPr>
        <w:ind w:right="260" w:firstLine="597"/>
        <w:spacing w:after="0" w:line="247" w:lineRule="auto"/>
        <w:rPr>
          <w:sz w:val="20"/>
          <w:szCs w:val="20"/>
          <w:color w:val="auto"/>
        </w:rPr>
      </w:pPr>
      <w:r>
        <w:rPr>
          <w:rFonts w:ascii="Arial" w:cs="Arial" w:eastAsia="Arial" w:hAnsi="Arial"/>
          <w:sz w:val="17"/>
          <w:szCs w:val="17"/>
          <w:color w:val="auto"/>
        </w:rPr>
        <w:t>PrintBrothers' segment EBITDA during the three and nine months ended March 31, 2022, as compared to the prior periods, increased despite increased input costs, driven by the constant-currency revenue growth described above, the higher margin impact of new products, and improved efficiencies as the businesses in this segment better leverage their combined capabilities.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Print Group</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20" w:type="dxa"/>
            <w:vAlign w:val="bottom"/>
          </w:tcPr>
          <w:p>
            <w:pPr>
              <w:ind w:left="60"/>
              <w:spacing w:after="0"/>
              <w:rPr>
                <w:sz w:val="20"/>
                <w:szCs w:val="20"/>
                <w:color w:val="auto"/>
              </w:rPr>
            </w:pPr>
            <w:r>
              <w:rPr>
                <w:rFonts w:ascii="Arial" w:cs="Arial" w:eastAsia="Arial" w:hAnsi="Arial"/>
                <w:sz w:val="15"/>
                <w:szCs w:val="15"/>
                <w:i w:val="1"/>
                <w:iCs w:val="1"/>
                <w:color w:val="auto"/>
              </w:rPr>
              <w:t>In thousands</w:t>
            </w:r>
          </w:p>
        </w:tc>
        <w:tc>
          <w:tcPr>
            <w:tcW w:w="360" w:type="dxa"/>
            <w:vAlign w:val="bottom"/>
          </w:tcPr>
          <w:p>
            <w:pPr>
              <w:spacing w:after="0"/>
              <w:rPr>
                <w:sz w:val="17"/>
                <w:szCs w:val="17"/>
                <w:color w:val="auto"/>
              </w:rPr>
            </w:pPr>
          </w:p>
        </w:tc>
        <w:tc>
          <w:tcPr>
            <w:tcW w:w="2800" w:type="dxa"/>
            <w:vAlign w:val="bottom"/>
            <w:gridSpan w:val="5"/>
          </w:tcPr>
          <w:p>
            <w:pPr>
              <w:ind w:left="320"/>
              <w:spacing w:after="0"/>
              <w:rPr>
                <w:sz w:val="20"/>
                <w:szCs w:val="20"/>
                <w:color w:val="auto"/>
              </w:rPr>
            </w:pPr>
            <w:r>
              <w:rPr>
                <w:rFonts w:ascii="Arial" w:cs="Arial" w:eastAsia="Arial" w:hAnsi="Arial"/>
                <w:sz w:val="12"/>
                <w:szCs w:val="12"/>
                <w:b w:val="1"/>
                <w:bCs w:val="1"/>
                <w:color w:val="auto"/>
              </w:rPr>
              <w:t>Three Months Ended March 31,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5"/>
          </w:tcPr>
          <w:p>
            <w:pPr>
              <w:ind w:left="380"/>
              <w:spacing w:after="0"/>
              <w:rPr>
                <w:sz w:val="20"/>
                <w:szCs w:val="20"/>
                <w:color w:val="auto"/>
              </w:rPr>
            </w:pPr>
            <w:r>
              <w:rPr>
                <w:rFonts w:ascii="Arial" w:cs="Arial" w:eastAsia="Arial" w:hAnsi="Arial"/>
                <w:sz w:val="12"/>
                <w:szCs w:val="12"/>
                <w:b w:val="1"/>
                <w:bCs w:val="1"/>
                <w:color w:val="auto"/>
              </w:rPr>
              <w:t>Nine Months Ended March 31,</w:t>
            </w:r>
          </w:p>
        </w:tc>
        <w:tc>
          <w:tcPr>
            <w:tcW w:w="1120" w:type="dxa"/>
            <w:vAlign w:val="bottom"/>
          </w:tcPr>
          <w:p>
            <w:pPr>
              <w:spacing w:after="0"/>
              <w:rPr>
                <w:sz w:val="17"/>
                <w:szCs w:val="17"/>
                <w:color w:val="auto"/>
              </w:rPr>
            </w:pPr>
          </w:p>
        </w:tc>
      </w:tr>
      <w:tr>
        <w:trPr>
          <w:trHeight w:val="153"/>
        </w:trPr>
        <w:tc>
          <w:tcPr>
            <w:tcW w:w="25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2022 vs. 2021</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2022 vs. 2021</w:t>
            </w:r>
          </w:p>
        </w:tc>
      </w:tr>
      <w:tr>
        <w:trPr>
          <w:trHeight w:val="196"/>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Reported Revenue</w:t>
            </w: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75,361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59,945</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5"/>
                <w:szCs w:val="15"/>
                <w:color w:val="auto"/>
              </w:rPr>
              <w:t>238,311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5"/>
                <w:szCs w:val="15"/>
                <w:color w:val="auto"/>
              </w:rPr>
              <w:t>202,586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18%</w:t>
            </w:r>
          </w:p>
        </w:tc>
      </w:tr>
      <w:tr>
        <w:trPr>
          <w:trHeight w:val="196"/>
        </w:trPr>
        <w:tc>
          <w:tcPr>
            <w:tcW w:w="2520" w:type="dxa"/>
            <w:vAlign w:val="bottom"/>
          </w:tcPr>
          <w:p>
            <w:pPr>
              <w:ind w:left="20"/>
              <w:spacing w:after="0"/>
              <w:rPr>
                <w:sz w:val="20"/>
                <w:szCs w:val="20"/>
                <w:color w:val="auto"/>
              </w:rPr>
            </w:pPr>
            <w:r>
              <w:rPr>
                <w:rFonts w:ascii="Arial" w:cs="Arial" w:eastAsia="Arial" w:hAnsi="Arial"/>
                <w:sz w:val="15"/>
                <w:szCs w:val="15"/>
                <w:color w:val="auto"/>
              </w:rPr>
              <w:t>Segment EBITDA</w:t>
            </w:r>
          </w:p>
        </w:tc>
        <w:tc>
          <w:tcPr>
            <w:tcW w:w="360" w:type="dxa"/>
            <w:vAlign w:val="bottom"/>
          </w:tcPr>
          <w:p>
            <w:pPr>
              <w:spacing w:after="0"/>
              <w:rPr>
                <w:sz w:val="17"/>
                <w:szCs w:val="17"/>
                <w:color w:val="auto"/>
              </w:rPr>
            </w:pPr>
          </w:p>
        </w:tc>
        <w:tc>
          <w:tcPr>
            <w:tcW w:w="1120" w:type="dxa"/>
            <w:vAlign w:val="bottom"/>
          </w:tcPr>
          <w:p>
            <w:pPr>
              <w:jc w:val="right"/>
              <w:ind w:right="112"/>
              <w:spacing w:after="0"/>
              <w:rPr>
                <w:sz w:val="20"/>
                <w:szCs w:val="20"/>
                <w:color w:val="auto"/>
              </w:rPr>
            </w:pPr>
            <w:r>
              <w:rPr>
                <w:rFonts w:ascii="Arial" w:cs="Arial" w:eastAsia="Arial" w:hAnsi="Arial"/>
                <w:sz w:val="15"/>
                <w:szCs w:val="15"/>
                <w:color w:val="auto"/>
              </w:rPr>
              <w:t>11,923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109"/>
              <w:spacing w:after="0"/>
              <w:rPr>
                <w:sz w:val="20"/>
                <w:szCs w:val="20"/>
                <w:color w:val="auto"/>
              </w:rPr>
            </w:pPr>
            <w:r>
              <w:rPr>
                <w:rFonts w:ascii="Arial" w:cs="Arial" w:eastAsia="Arial" w:hAnsi="Arial"/>
                <w:sz w:val="15"/>
                <w:szCs w:val="15"/>
                <w:color w:val="auto"/>
              </w:rPr>
              <w:t>6,475</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99"/>
              </w:rPr>
              <w:t>84%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32"/>
              <w:spacing w:after="0"/>
              <w:rPr>
                <w:sz w:val="20"/>
                <w:szCs w:val="20"/>
                <w:color w:val="auto"/>
              </w:rPr>
            </w:pPr>
            <w:r>
              <w:rPr>
                <w:rFonts w:ascii="Arial" w:cs="Arial" w:eastAsia="Arial" w:hAnsi="Arial"/>
                <w:sz w:val="15"/>
                <w:szCs w:val="15"/>
                <w:color w:val="auto"/>
              </w:rPr>
              <w:t>42,670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5"/>
                <w:szCs w:val="15"/>
                <w:color w:val="auto"/>
              </w:rPr>
              <w:t>31,227</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5"/>
                <w:szCs w:val="15"/>
                <w:color w:val="auto"/>
                <w:w w:val="99"/>
              </w:rPr>
              <w:t>37%</w:t>
            </w:r>
          </w:p>
        </w:tc>
      </w:tr>
      <w:tr>
        <w:trPr>
          <w:trHeight w:val="202"/>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 of revenue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16 %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11 %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18 %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15 %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8" w:lineRule="exact"/>
        <w:rPr>
          <w:sz w:val="20"/>
          <w:szCs w:val="20"/>
          <w:color w:val="auto"/>
        </w:rPr>
      </w:pPr>
    </w:p>
    <w:p>
      <w:pPr>
        <w:ind w:right="260" w:firstLine="597"/>
        <w:spacing w:after="0" w:line="245" w:lineRule="auto"/>
        <w:rPr>
          <w:sz w:val="20"/>
          <w:szCs w:val="20"/>
          <w:color w:val="auto"/>
        </w:rPr>
      </w:pPr>
      <w:r>
        <w:rPr>
          <w:rFonts w:ascii="Arial" w:cs="Arial" w:eastAsia="Arial" w:hAnsi="Arial"/>
          <w:sz w:val="17"/>
          <w:szCs w:val="17"/>
          <w:color w:val="auto"/>
        </w:rPr>
        <w:t>The Print Group's reported revenue for the three and nine months ended March 31, 2022 was negatively affected by a currency impact of 9% and 4%, respectively, resulting in an increase to revenue on a constant-currency basis of 35% and 22%, respectively, due to signs of overall economic recovery in many of the European countries in which we compete and leveraging new products introduced in recent years, as well as pricing actions taken to mitigate inflationary cost pressures. During the first quarter of the current fiscal year we benefited from the timing of elections in Italy, which drove demand for signage products, flyers and brochures.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8" w:lineRule="exact"/>
        <w:rPr>
          <w:sz w:val="20"/>
          <w:szCs w:val="20"/>
          <w:color w:val="auto"/>
        </w:rPr>
      </w:pPr>
    </w:p>
    <w:p>
      <w:pPr>
        <w:jc w:val="both"/>
        <w:ind w:right="100" w:firstLine="597"/>
        <w:spacing w:after="0" w:line="247" w:lineRule="auto"/>
        <w:rPr>
          <w:sz w:val="20"/>
          <w:szCs w:val="20"/>
          <w:color w:val="auto"/>
        </w:rPr>
      </w:pPr>
      <w:r>
        <w:rPr>
          <w:rFonts w:ascii="Arial" w:cs="Arial" w:eastAsia="Arial" w:hAnsi="Arial"/>
          <w:sz w:val="17"/>
          <w:szCs w:val="17"/>
          <w:color w:val="auto"/>
        </w:rPr>
        <w:t>The increase in The Print Group's segment EBITDA during the three and nine months ended March 31, 2022, as compared to the prior periods, was primarily driven by the constant-currency revenue growth described above. In addition, The Print Group continues to benefit from the introduction of new products with higher margins, as well as improved efficiencies as the group better leverages its combined capabilities.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National Pen</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54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40" w:type="dxa"/>
            <w:vAlign w:val="bottom"/>
          </w:tcPr>
          <w:p>
            <w:pPr>
              <w:spacing w:after="0"/>
              <w:rPr>
                <w:sz w:val="17"/>
                <w:szCs w:val="17"/>
                <w:color w:val="auto"/>
              </w:rPr>
            </w:pPr>
          </w:p>
        </w:tc>
        <w:tc>
          <w:tcPr>
            <w:tcW w:w="2820" w:type="dxa"/>
            <w:vAlign w:val="bottom"/>
            <w:gridSpan w:val="5"/>
          </w:tcPr>
          <w:p>
            <w:pPr>
              <w:ind w:left="320"/>
              <w:spacing w:after="0"/>
              <w:rPr>
                <w:sz w:val="20"/>
                <w:szCs w:val="20"/>
                <w:color w:val="auto"/>
              </w:rPr>
            </w:pPr>
            <w:r>
              <w:rPr>
                <w:rFonts w:ascii="Arial" w:cs="Arial" w:eastAsia="Arial" w:hAnsi="Arial"/>
                <w:sz w:val="12"/>
                <w:szCs w:val="12"/>
                <w:b w:val="1"/>
                <w:bCs w:val="1"/>
                <w:color w:val="auto"/>
              </w:rPr>
              <w:t>Three Months Ended March 31,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360"/>
              <w:spacing w:after="0"/>
              <w:rPr>
                <w:sz w:val="20"/>
                <w:szCs w:val="20"/>
                <w:color w:val="auto"/>
              </w:rPr>
            </w:pPr>
            <w:r>
              <w:rPr>
                <w:rFonts w:ascii="Arial" w:cs="Arial" w:eastAsia="Arial" w:hAnsi="Arial"/>
                <w:sz w:val="12"/>
                <w:szCs w:val="12"/>
                <w:b w:val="1"/>
                <w:bCs w:val="1"/>
                <w:color w:val="auto"/>
              </w:rPr>
              <w:t>Nine Months Ended March 31,</w:t>
            </w:r>
          </w:p>
        </w:tc>
        <w:tc>
          <w:tcPr>
            <w:tcW w:w="1120" w:type="dxa"/>
            <w:vAlign w:val="bottom"/>
          </w:tcPr>
          <w:p>
            <w:pPr>
              <w:spacing w:after="0"/>
              <w:rPr>
                <w:sz w:val="17"/>
                <w:szCs w:val="17"/>
                <w:color w:val="auto"/>
              </w:rPr>
            </w:pPr>
          </w:p>
        </w:tc>
      </w:tr>
      <w:tr>
        <w:trPr>
          <w:trHeight w:val="153"/>
        </w:trPr>
        <w:tc>
          <w:tcPr>
            <w:tcW w:w="254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2022 vs. 2021</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2022 vs. 2021</w:t>
            </w:r>
          </w:p>
        </w:tc>
      </w:tr>
      <w:tr>
        <w:trPr>
          <w:trHeight w:val="196"/>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Reported Revenue</w:t>
            </w: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5"/>
                <w:szCs w:val="15"/>
                <w:color w:val="auto"/>
              </w:rPr>
              <w:t>72,243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5"/>
                <w:szCs w:val="15"/>
                <w:color w:val="auto"/>
              </w:rPr>
              <w:t>62,220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1"/>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266,224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244,561</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rPr>
              <w:t>9%</w:t>
            </w:r>
          </w:p>
        </w:tc>
      </w:tr>
      <w:tr>
        <w:trPr>
          <w:trHeight w:val="196"/>
        </w:trPr>
        <w:tc>
          <w:tcPr>
            <w:tcW w:w="2540" w:type="dxa"/>
            <w:vAlign w:val="bottom"/>
          </w:tcPr>
          <w:p>
            <w:pPr>
              <w:ind w:left="20"/>
              <w:spacing w:after="0"/>
              <w:rPr>
                <w:sz w:val="20"/>
                <w:szCs w:val="20"/>
                <w:color w:val="auto"/>
              </w:rPr>
            </w:pPr>
            <w:r>
              <w:rPr>
                <w:rFonts w:ascii="Arial" w:cs="Arial" w:eastAsia="Arial" w:hAnsi="Arial"/>
                <w:sz w:val="15"/>
                <w:szCs w:val="15"/>
                <w:color w:val="auto"/>
              </w:rPr>
              <w:t>Segment EBITDA</w:t>
            </w:r>
          </w:p>
        </w:tc>
        <w:tc>
          <w:tcPr>
            <w:tcW w:w="340" w:type="dxa"/>
            <w:vAlign w:val="bottom"/>
          </w:tcPr>
          <w:p>
            <w:pPr>
              <w:spacing w:after="0"/>
              <w:rPr>
                <w:sz w:val="17"/>
                <w:szCs w:val="17"/>
                <w:color w:val="auto"/>
              </w:rPr>
            </w:pPr>
          </w:p>
        </w:tc>
        <w:tc>
          <w:tcPr>
            <w:tcW w:w="1140" w:type="dxa"/>
            <w:vAlign w:val="bottom"/>
          </w:tcPr>
          <w:p>
            <w:pPr>
              <w:jc w:val="right"/>
              <w:ind w:right="92"/>
              <w:spacing w:after="0"/>
              <w:rPr>
                <w:sz w:val="20"/>
                <w:szCs w:val="20"/>
                <w:color w:val="auto"/>
              </w:rPr>
            </w:pPr>
            <w:r>
              <w:rPr>
                <w:rFonts w:ascii="Arial" w:cs="Arial" w:eastAsia="Arial" w:hAnsi="Arial"/>
                <w:sz w:val="15"/>
                <w:szCs w:val="15"/>
                <w:color w:val="auto"/>
              </w:rPr>
              <w:t>(898)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89"/>
              <w:spacing w:after="0"/>
              <w:rPr>
                <w:sz w:val="20"/>
                <w:szCs w:val="20"/>
                <w:color w:val="auto"/>
              </w:rPr>
            </w:pPr>
            <w:r>
              <w:rPr>
                <w:rFonts w:ascii="Arial" w:cs="Arial" w:eastAsia="Arial" w:hAnsi="Arial"/>
                <w:sz w:val="15"/>
                <w:szCs w:val="15"/>
                <w:color w:val="auto"/>
              </w:rPr>
              <w:t>(3,324)</w:t>
            </w:r>
          </w:p>
        </w:tc>
        <w:tc>
          <w:tcPr>
            <w:tcW w:w="100" w:type="dxa"/>
            <w:vAlign w:val="bottom"/>
          </w:tcPr>
          <w:p>
            <w:pPr>
              <w:spacing w:after="0"/>
              <w:rPr>
                <w:sz w:val="17"/>
                <w:szCs w:val="17"/>
                <w:color w:val="auto"/>
              </w:rPr>
            </w:pPr>
          </w:p>
        </w:tc>
        <w:tc>
          <w:tcPr>
            <w:tcW w:w="1120" w:type="dxa"/>
            <w:vAlign w:val="bottom"/>
          </w:tcPr>
          <w:p>
            <w:pPr>
              <w:jc w:val="right"/>
              <w:ind w:right="291"/>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12"/>
              <w:spacing w:after="0"/>
              <w:rPr>
                <w:sz w:val="20"/>
                <w:szCs w:val="20"/>
                <w:color w:val="auto"/>
              </w:rPr>
            </w:pPr>
            <w:r>
              <w:rPr>
                <w:rFonts w:ascii="Arial" w:cs="Arial" w:eastAsia="Arial" w:hAnsi="Arial"/>
                <w:sz w:val="15"/>
                <w:szCs w:val="15"/>
                <w:color w:val="auto"/>
              </w:rPr>
              <w:t>22,653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5"/>
                <w:szCs w:val="15"/>
                <w:color w:val="auto"/>
              </w:rPr>
              <w:t>4,733</w:t>
            </w:r>
          </w:p>
        </w:tc>
        <w:tc>
          <w:tcPr>
            <w:tcW w:w="100" w:type="dxa"/>
            <w:vAlign w:val="bottom"/>
          </w:tcPr>
          <w:p>
            <w:pPr>
              <w:spacing w:after="0"/>
              <w:rPr>
                <w:sz w:val="17"/>
                <w:szCs w:val="17"/>
                <w:color w:val="auto"/>
              </w:rPr>
            </w:pPr>
          </w:p>
        </w:tc>
        <w:tc>
          <w:tcPr>
            <w:tcW w:w="1120" w:type="dxa"/>
            <w:vAlign w:val="bottom"/>
          </w:tcPr>
          <w:p>
            <w:pPr>
              <w:jc w:val="right"/>
              <w:ind w:right="311"/>
              <w:spacing w:after="0"/>
              <w:rPr>
                <w:sz w:val="20"/>
                <w:szCs w:val="20"/>
                <w:color w:val="auto"/>
              </w:rPr>
            </w:pPr>
            <w:r>
              <w:rPr>
                <w:rFonts w:ascii="Arial" w:cs="Arial" w:eastAsia="Arial" w:hAnsi="Arial"/>
                <w:sz w:val="15"/>
                <w:szCs w:val="15"/>
                <w:color w:val="auto"/>
              </w:rPr>
              <w:t>379%</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 of revenue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(5)%</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9 %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2 %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6" w:lineRule="exact"/>
        <w:rPr>
          <w:sz w:val="20"/>
          <w:szCs w:val="20"/>
          <w:color w:val="auto"/>
        </w:rPr>
      </w:pPr>
    </w:p>
    <w:p>
      <w:pPr>
        <w:ind w:right="140" w:firstLine="597"/>
        <w:spacing w:after="0" w:line="266" w:lineRule="auto"/>
        <w:rPr>
          <w:sz w:val="20"/>
          <w:szCs w:val="20"/>
          <w:color w:val="auto"/>
        </w:rPr>
      </w:pPr>
      <w:r>
        <w:rPr>
          <w:rFonts w:ascii="Arial" w:cs="Arial" w:eastAsia="Arial" w:hAnsi="Arial"/>
          <w:sz w:val="16"/>
          <w:szCs w:val="16"/>
          <w:color w:val="auto"/>
        </w:rPr>
        <w:t>For the three and nine months ended March 31, 2022, National Pen's revenue growth was negatively affected by currency impacts of 3% and 1%, respectively, resulting in constant-currency revenue growth of 19% and 10%, respectively. National Pen's revenue has improved across geographic markets and channels, including web and mail order channels. This improvement is due to businesses reopening and a return of in-person events in some markets, despite a decline in revenue from pandemic-related products including masks produced on behalf of other Cimpress businesses.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8" w:lineRule="exact"/>
        <w:rPr>
          <w:sz w:val="20"/>
          <w:szCs w:val="20"/>
          <w:color w:val="auto"/>
        </w:rPr>
      </w:pPr>
    </w:p>
    <w:p>
      <w:pPr>
        <w:ind w:right="60" w:firstLine="597"/>
        <w:spacing w:after="0" w:line="245" w:lineRule="auto"/>
        <w:rPr>
          <w:sz w:val="20"/>
          <w:szCs w:val="20"/>
          <w:color w:val="auto"/>
        </w:rPr>
      </w:pPr>
      <w:r>
        <w:rPr>
          <w:rFonts w:ascii="Arial" w:cs="Arial" w:eastAsia="Arial" w:hAnsi="Arial"/>
          <w:sz w:val="17"/>
          <w:szCs w:val="17"/>
          <w:color w:val="auto"/>
        </w:rPr>
        <w:t>The increase in National Pen's segment EBITDA for the three and nine months ended March 31, 2022 was due in part to the revenue increase described above, as well as improvements in gross profit driven by a normalized mix of products and decline in lower-margin pandemic-related products, partially offset by higher freight costs. National Pen also made permanent cost reductions in the prior year that benefited segment EBITDA for the nine months ended March 31, 2022, but had no year-over-year impact in the current quarter as we've lapped the benefits of those savings. The increased profitability was also caused by the non-recurrence of the prior periods' inventory reserve to reduce the carrying value of disposable masks held in inventory to market prices of $0.8 million and $6.2 million, respectively.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i w:val="1"/>
          <w:iCs w:val="1"/>
          <w:color w:val="auto"/>
        </w:rPr>
        <w:t>All Other Businesses</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540" w:type="dxa"/>
            <w:vAlign w:val="bottom"/>
          </w:tcPr>
          <w:p>
            <w:pPr>
              <w:ind w:left="60"/>
              <w:spacing w:after="0"/>
              <w:rPr>
                <w:sz w:val="20"/>
                <w:szCs w:val="20"/>
                <w:color w:val="auto"/>
              </w:rPr>
            </w:pPr>
            <w:r>
              <w:rPr>
                <w:rFonts w:ascii="Arial" w:cs="Arial" w:eastAsia="Arial" w:hAnsi="Arial"/>
                <w:sz w:val="15"/>
                <w:szCs w:val="15"/>
                <w:i w:val="1"/>
                <w:iCs w:val="1"/>
                <w:color w:val="auto"/>
              </w:rPr>
              <w:t>In thousands</w:t>
            </w:r>
          </w:p>
        </w:tc>
        <w:tc>
          <w:tcPr>
            <w:tcW w:w="340" w:type="dxa"/>
            <w:vAlign w:val="bottom"/>
          </w:tcPr>
          <w:p>
            <w:pPr>
              <w:spacing w:after="0"/>
              <w:rPr>
                <w:sz w:val="17"/>
                <w:szCs w:val="17"/>
                <w:color w:val="auto"/>
              </w:rPr>
            </w:pPr>
          </w:p>
        </w:tc>
        <w:tc>
          <w:tcPr>
            <w:tcW w:w="2820" w:type="dxa"/>
            <w:vAlign w:val="bottom"/>
            <w:gridSpan w:val="5"/>
          </w:tcPr>
          <w:p>
            <w:pPr>
              <w:ind w:left="320"/>
              <w:spacing w:after="0"/>
              <w:rPr>
                <w:sz w:val="20"/>
                <w:szCs w:val="20"/>
                <w:color w:val="auto"/>
              </w:rPr>
            </w:pPr>
            <w:r>
              <w:rPr>
                <w:rFonts w:ascii="Arial" w:cs="Arial" w:eastAsia="Arial" w:hAnsi="Arial"/>
                <w:sz w:val="12"/>
                <w:szCs w:val="12"/>
                <w:b w:val="1"/>
                <w:bCs w:val="1"/>
                <w:color w:val="auto"/>
              </w:rPr>
              <w:t>Three Months Ended March 31,</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360"/>
              <w:spacing w:after="0"/>
              <w:rPr>
                <w:sz w:val="20"/>
                <w:szCs w:val="20"/>
                <w:color w:val="auto"/>
              </w:rPr>
            </w:pPr>
            <w:r>
              <w:rPr>
                <w:rFonts w:ascii="Arial" w:cs="Arial" w:eastAsia="Arial" w:hAnsi="Arial"/>
                <w:sz w:val="12"/>
                <w:szCs w:val="12"/>
                <w:b w:val="1"/>
                <w:bCs w:val="1"/>
                <w:color w:val="auto"/>
              </w:rPr>
              <w:t>Nine Months Ended March 31,</w:t>
            </w:r>
          </w:p>
        </w:tc>
        <w:tc>
          <w:tcPr>
            <w:tcW w:w="1120" w:type="dxa"/>
            <w:vAlign w:val="bottom"/>
          </w:tcPr>
          <w:p>
            <w:pPr>
              <w:spacing w:after="0"/>
              <w:rPr>
                <w:sz w:val="17"/>
                <w:szCs w:val="17"/>
                <w:color w:val="auto"/>
              </w:rPr>
            </w:pPr>
          </w:p>
        </w:tc>
      </w:tr>
      <w:tr>
        <w:trPr>
          <w:trHeight w:val="153"/>
        </w:trPr>
        <w:tc>
          <w:tcPr>
            <w:tcW w:w="254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2022 vs. 2021</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2022 vs. 2021</w:t>
            </w:r>
          </w:p>
        </w:tc>
      </w:tr>
      <w:tr>
        <w:trPr>
          <w:trHeight w:val="196"/>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Reported Revenue</w:t>
            </w: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5"/>
                <w:szCs w:val="15"/>
                <w:color w:val="auto"/>
              </w:rPr>
              <w:t>48,486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5"/>
                <w:szCs w:val="15"/>
                <w:color w:val="auto"/>
              </w:rPr>
              <w:t>44,062</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1"/>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5"/>
                <w:szCs w:val="15"/>
                <w:color w:val="auto"/>
              </w:rPr>
              <w:t>154,076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142,905</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1"/>
              <w:spacing w:after="0"/>
              <w:rPr>
                <w:sz w:val="20"/>
                <w:szCs w:val="20"/>
                <w:color w:val="auto"/>
              </w:rPr>
            </w:pPr>
            <w:r>
              <w:rPr>
                <w:rFonts w:ascii="Arial" w:cs="Arial" w:eastAsia="Arial" w:hAnsi="Arial"/>
                <w:sz w:val="15"/>
                <w:szCs w:val="15"/>
                <w:color w:val="auto"/>
              </w:rPr>
              <w:t>8%</w:t>
            </w:r>
          </w:p>
        </w:tc>
      </w:tr>
      <w:tr>
        <w:trPr>
          <w:trHeight w:val="196"/>
        </w:trPr>
        <w:tc>
          <w:tcPr>
            <w:tcW w:w="2540" w:type="dxa"/>
            <w:vAlign w:val="bottom"/>
          </w:tcPr>
          <w:p>
            <w:pPr>
              <w:ind w:left="20"/>
              <w:spacing w:after="0"/>
              <w:rPr>
                <w:sz w:val="20"/>
                <w:szCs w:val="20"/>
                <w:color w:val="auto"/>
              </w:rPr>
            </w:pPr>
            <w:r>
              <w:rPr>
                <w:rFonts w:ascii="Arial" w:cs="Arial" w:eastAsia="Arial" w:hAnsi="Arial"/>
                <w:sz w:val="15"/>
                <w:szCs w:val="15"/>
                <w:color w:val="auto"/>
              </w:rPr>
              <w:t>Segment EBITDA</w:t>
            </w:r>
          </w:p>
        </w:tc>
        <w:tc>
          <w:tcPr>
            <w:tcW w:w="340" w:type="dxa"/>
            <w:vAlign w:val="bottom"/>
          </w:tcPr>
          <w:p>
            <w:pPr>
              <w:spacing w:after="0"/>
              <w:rPr>
                <w:sz w:val="17"/>
                <w:szCs w:val="17"/>
                <w:color w:val="auto"/>
              </w:rPr>
            </w:pPr>
          </w:p>
        </w:tc>
        <w:tc>
          <w:tcPr>
            <w:tcW w:w="1140" w:type="dxa"/>
            <w:vAlign w:val="bottom"/>
          </w:tcPr>
          <w:p>
            <w:pPr>
              <w:jc w:val="right"/>
              <w:ind w:right="132"/>
              <w:spacing w:after="0"/>
              <w:rPr>
                <w:sz w:val="20"/>
                <w:szCs w:val="20"/>
                <w:color w:val="auto"/>
              </w:rPr>
            </w:pPr>
            <w:r>
              <w:rPr>
                <w:rFonts w:ascii="Arial" w:cs="Arial" w:eastAsia="Arial" w:hAnsi="Arial"/>
                <w:sz w:val="15"/>
                <w:szCs w:val="15"/>
                <w:color w:val="auto"/>
              </w:rPr>
              <w:t>6,044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5"/>
                <w:szCs w:val="15"/>
                <w:color w:val="auto"/>
              </w:rPr>
              <w:t>6,515</w:t>
            </w:r>
          </w:p>
        </w:tc>
        <w:tc>
          <w:tcPr>
            <w:tcW w:w="100" w:type="dxa"/>
            <w:vAlign w:val="bottom"/>
          </w:tcPr>
          <w:p>
            <w:pPr>
              <w:spacing w:after="0"/>
              <w:rPr>
                <w:sz w:val="17"/>
                <w:szCs w:val="17"/>
                <w:color w:val="auto"/>
              </w:rPr>
            </w:pPr>
          </w:p>
        </w:tc>
        <w:tc>
          <w:tcPr>
            <w:tcW w:w="1120" w:type="dxa"/>
            <w:vAlign w:val="bottom"/>
          </w:tcPr>
          <w:p>
            <w:pPr>
              <w:jc w:val="right"/>
              <w:ind w:right="351"/>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32"/>
              <w:spacing w:after="0"/>
              <w:rPr>
                <w:sz w:val="20"/>
                <w:szCs w:val="20"/>
                <w:color w:val="auto"/>
              </w:rPr>
            </w:pPr>
            <w:r>
              <w:rPr>
                <w:rFonts w:ascii="Arial" w:cs="Arial" w:eastAsia="Arial" w:hAnsi="Arial"/>
                <w:sz w:val="15"/>
                <w:szCs w:val="15"/>
                <w:color w:val="auto"/>
              </w:rPr>
              <w:t>17,199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5"/>
                <w:szCs w:val="15"/>
                <w:color w:val="auto"/>
              </w:rPr>
              <w:t>25,781</w:t>
            </w:r>
          </w:p>
        </w:tc>
        <w:tc>
          <w:tcPr>
            <w:tcW w:w="100" w:type="dxa"/>
            <w:vAlign w:val="bottom"/>
          </w:tcPr>
          <w:p>
            <w:pPr>
              <w:spacing w:after="0"/>
              <w:rPr>
                <w:sz w:val="17"/>
                <w:szCs w:val="17"/>
                <w:color w:val="auto"/>
              </w:rPr>
            </w:pPr>
          </w:p>
        </w:tc>
        <w:tc>
          <w:tcPr>
            <w:tcW w:w="1120" w:type="dxa"/>
            <w:vAlign w:val="bottom"/>
          </w:tcPr>
          <w:p>
            <w:pPr>
              <w:jc w:val="right"/>
              <w:ind w:right="291"/>
              <w:spacing w:after="0"/>
              <w:rPr>
                <w:sz w:val="20"/>
                <w:szCs w:val="20"/>
                <w:color w:val="auto"/>
              </w:rPr>
            </w:pPr>
            <w:r>
              <w:rPr>
                <w:rFonts w:ascii="Arial" w:cs="Arial" w:eastAsia="Arial" w:hAnsi="Arial"/>
                <w:sz w:val="15"/>
                <w:szCs w:val="15"/>
                <w:color w:val="auto"/>
              </w:rPr>
              <w:t>(33)%</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i w:val="1"/>
                <w:iCs w:val="1"/>
                <w:color w:val="auto"/>
              </w:rPr>
              <w:t>% of revenue</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12 %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15 %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11 %</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18 %</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bl>
    <w:p>
      <w:pPr>
        <w:spacing w:after="0" w:line="273" w:lineRule="exact"/>
        <w:rPr>
          <w:sz w:val="20"/>
          <w:szCs w:val="20"/>
          <w:color w:val="auto"/>
        </w:rPr>
      </w:pPr>
    </w:p>
    <w:p>
      <w:pPr>
        <w:ind w:right="100" w:firstLine="597"/>
        <w:spacing w:after="0" w:line="247" w:lineRule="auto"/>
        <w:rPr>
          <w:sz w:val="20"/>
          <w:szCs w:val="20"/>
          <w:color w:val="auto"/>
        </w:rPr>
      </w:pPr>
      <w:r>
        <w:rPr>
          <w:rFonts w:ascii="Arial" w:cs="Arial" w:eastAsia="Arial" w:hAnsi="Arial"/>
          <w:sz w:val="17"/>
          <w:szCs w:val="17"/>
          <w:color w:val="auto"/>
        </w:rPr>
        <w:t>This segment consists of BuildASign, which is a larger and profitable business, and two early-stage businesses that we continue to manage at a relatively modest operating loss as previously described and planned. We expect fluctuations in growth as each of their business models evolve in function of customer feedback, testing, and entrepreneurial pivoting.</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8" w:lineRule="exact"/>
        <w:rPr>
          <w:sz w:val="20"/>
          <w:szCs w:val="20"/>
          <w:color w:val="auto"/>
        </w:rPr>
      </w:pPr>
    </w:p>
    <w:p>
      <w:pPr>
        <w:ind w:firstLine="597"/>
        <w:spacing w:after="0" w:line="247" w:lineRule="auto"/>
        <w:rPr>
          <w:sz w:val="20"/>
          <w:szCs w:val="20"/>
          <w:color w:val="auto"/>
        </w:rPr>
      </w:pPr>
      <w:r>
        <w:rPr>
          <w:rFonts w:ascii="Arial" w:cs="Arial" w:eastAsia="Arial" w:hAnsi="Arial"/>
          <w:sz w:val="17"/>
          <w:szCs w:val="17"/>
          <w:color w:val="auto"/>
        </w:rPr>
        <w:t>All Other Businesses' constant-currency revenue growth, excluding the impact of acquisitions, was 5% and 3%, respectively, during the three and nine months ended March 31, 2022. This growth was driven by recovery of demand for both our Printi business and signage products offered by BuildASign, partially offset by a decline in demand for home decor products that had benefited during the pandemic period.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6" w:lineRule="exact"/>
        <w:rPr>
          <w:sz w:val="20"/>
          <w:szCs w:val="20"/>
          <w:color w:val="auto"/>
        </w:rPr>
      </w:pPr>
    </w:p>
    <w:p>
      <w:pPr>
        <w:ind w:firstLine="597"/>
        <w:spacing w:after="0" w:line="250" w:lineRule="auto"/>
        <w:rPr>
          <w:sz w:val="20"/>
          <w:szCs w:val="20"/>
          <w:color w:val="auto"/>
        </w:rPr>
      </w:pPr>
      <w:r>
        <w:rPr>
          <w:rFonts w:ascii="Arial" w:cs="Arial" w:eastAsia="Arial" w:hAnsi="Arial"/>
          <w:sz w:val="17"/>
          <w:szCs w:val="17"/>
          <w:color w:val="auto"/>
        </w:rPr>
        <w:t>The decrease in segment EBITDA for the three and nine months ended March 31, 2022 was due to a combination of factors including inflationary pressures on input costs including shipping, materials and labor during the current periods.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Central and Corporate Costs</w:t>
      </w:r>
    </w:p>
    <w:p>
      <w:pPr>
        <w:spacing w:after="0" w:line="210" w:lineRule="exact"/>
        <w:rPr>
          <w:sz w:val="20"/>
          <w:szCs w:val="20"/>
          <w:color w:val="auto"/>
        </w:rPr>
      </w:pPr>
    </w:p>
    <w:p>
      <w:pPr>
        <w:ind w:right="160" w:firstLine="597"/>
        <w:spacing w:after="0" w:line="24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spacing w:after="0" w:line="172" w:lineRule="exact"/>
        <w:rPr>
          <w:sz w:val="20"/>
          <w:szCs w:val="20"/>
          <w:color w:val="auto"/>
        </w:rPr>
      </w:pPr>
    </w:p>
    <w:p>
      <w:pPr>
        <w:jc w:val="both"/>
        <w:ind w:right="100" w:firstLine="597"/>
        <w:spacing w:after="0" w:line="245" w:lineRule="auto"/>
        <w:rPr>
          <w:sz w:val="20"/>
          <w:szCs w:val="20"/>
          <w:color w:val="auto"/>
        </w:rPr>
      </w:pPr>
      <w:r>
        <w:rPr>
          <w:rFonts w:ascii="Arial" w:cs="Arial" w:eastAsia="Arial" w:hAnsi="Arial"/>
          <w:sz w:val="17"/>
          <w:szCs w:val="17"/>
          <w:color w:val="auto"/>
        </w:rPr>
        <w:t>Central and corporate costs increased by $3.8 million and $13.7 million, respectively, during the three and nine months ended March 31, 2022, as compared to the prior-year periods, due to the prior year timing of our annual share-based compensation grant, as well as the end of temporary cost-control measures from the year-ago period which drove a year-over-year increase in corporate costs. In addition, our continued investments in our mass customization platform through additional hiring in cost-efficient talent markets and increased volumes contributed to higher central operating costs year over year.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Statements of Cash Flows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6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89"/>
              <w:spacing w:after="0"/>
              <w:rPr>
                <w:sz w:val="20"/>
                <w:szCs w:val="20"/>
                <w:color w:val="auto"/>
              </w:rPr>
            </w:pPr>
            <w:r>
              <w:rPr>
                <w:rFonts w:ascii="Arial" w:cs="Arial" w:eastAsia="Arial" w:hAnsi="Arial"/>
                <w:sz w:val="12"/>
                <w:szCs w:val="12"/>
                <w:b w:val="1"/>
                <w:bCs w:val="1"/>
                <w:color w:val="auto"/>
              </w:rPr>
              <w:t>Nine Months Ended March 31,</w:t>
            </w:r>
          </w:p>
        </w:tc>
      </w:tr>
      <w:tr>
        <w:trPr>
          <w:trHeight w:val="153"/>
        </w:trPr>
        <w:tc>
          <w:tcPr>
            <w:tcW w:w="82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2021</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131,716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center"/>
              <w:ind w:left="349"/>
              <w:spacing w:after="0"/>
              <w:rPr>
                <w:sz w:val="20"/>
                <w:szCs w:val="20"/>
                <w:color w:val="auto"/>
              </w:rPr>
            </w:pPr>
            <w:r>
              <w:rPr>
                <w:rFonts w:ascii="Arial" w:cs="Arial" w:eastAsia="Arial" w:hAnsi="Arial"/>
                <w:sz w:val="15"/>
                <w:szCs w:val="15"/>
                <w:color w:val="auto"/>
                <w:w w:val="99"/>
              </w:rPr>
              <w:t>218,948</w:t>
            </w:r>
          </w:p>
        </w:tc>
      </w:tr>
      <w:tr>
        <w:trPr>
          <w:trHeight w:val="196"/>
        </w:trPr>
        <w:tc>
          <w:tcPr>
            <w:tcW w:w="826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(48,627)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center"/>
              <w:ind w:left="329"/>
              <w:spacing w:after="0"/>
              <w:rPr>
                <w:sz w:val="20"/>
                <w:szCs w:val="20"/>
                <w:color w:val="auto"/>
              </w:rPr>
            </w:pPr>
            <w:r>
              <w:rPr>
                <w:rFonts w:ascii="Arial" w:cs="Arial" w:eastAsia="Arial" w:hAnsi="Arial"/>
                <w:sz w:val="15"/>
                <w:szCs w:val="15"/>
                <w:color w:val="auto"/>
                <w:w w:val="99"/>
              </w:rPr>
              <w:t>(101,147)</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(98,746)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left="329"/>
              <w:spacing w:after="0"/>
              <w:rPr>
                <w:sz w:val="20"/>
                <w:szCs w:val="20"/>
                <w:color w:val="auto"/>
              </w:rPr>
            </w:pPr>
            <w:r>
              <w:rPr>
                <w:rFonts w:ascii="Arial" w:cs="Arial" w:eastAsia="Arial" w:hAnsi="Arial"/>
                <w:sz w:val="15"/>
                <w:szCs w:val="15"/>
                <w:color w:val="auto"/>
                <w:w w:val="99"/>
              </w:rPr>
              <w:t>(130,185)</w:t>
            </w:r>
          </w:p>
        </w:tc>
      </w:tr>
    </w:tbl>
    <w:p>
      <w:pPr>
        <w:spacing w:after="0" w:line="18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cash flows during the nine months ended March 31, 2022 related primarily to the following items: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inflows:</w:t>
      </w:r>
    </w:p>
    <w:p>
      <w:pPr>
        <w:spacing w:after="0" w:line="208" w:lineRule="exact"/>
        <w:rPr>
          <w:sz w:val="20"/>
          <w:szCs w:val="20"/>
          <w:color w:val="auto"/>
        </w:rPr>
      </w:pPr>
    </w:p>
    <w:p>
      <w:pPr>
        <w:ind w:left="600" w:hanging="302"/>
        <w:spacing w:after="0" w:line="247" w:lineRule="auto"/>
        <w:tabs>
          <w:tab w:leader="none" w:pos="5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Adjustments for non-cash items of $156.6 million primarily related to adjustments for depreciation and amortization of $133.4 million, share-based compensation costs of $36.2 million, and deferred taxes of $26.6 million, which were partially offset by negative adjustments for unrealized currency-related gains of $31.5 million</w:t>
      </w:r>
    </w:p>
    <w:p>
      <w:pPr>
        <w:spacing w:after="0" w:line="167" w:lineRule="exact"/>
        <w:rPr>
          <w:rFonts w:ascii="Arial" w:cs="Arial" w:eastAsia="Arial" w:hAnsi="Arial"/>
          <w:sz w:val="17"/>
          <w:szCs w:val="17"/>
          <w:color w:val="auto"/>
        </w:rPr>
      </w:pPr>
    </w:p>
    <w:p>
      <w:pPr>
        <w:ind w:left="600" w:hanging="302"/>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Proceeds from the maturity of held-to-maturity securities of $93.7 million</w:t>
      </w:r>
    </w:p>
    <w:p>
      <w:pPr>
        <w:spacing w:after="0" w:line="190" w:lineRule="exact"/>
        <w:rPr>
          <w:rFonts w:ascii="Arial" w:cs="Arial" w:eastAsia="Arial" w:hAnsi="Arial"/>
          <w:sz w:val="17"/>
          <w:szCs w:val="17"/>
          <w:color w:val="auto"/>
        </w:rPr>
      </w:pPr>
    </w:p>
    <w:p>
      <w:pPr>
        <w:ind w:left="600" w:right="240" w:hanging="302"/>
        <w:spacing w:after="0" w:line="250" w:lineRule="auto"/>
        <w:tabs>
          <w:tab w:leader="none" w:pos="5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Total net working capital impacts of $6.1 million were a source of cash. Accounts payable and accrued expense inflows were partially offset by inventory, accounts receivable and other asset outflows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outflows:</w:t>
      </w:r>
    </w:p>
    <w:p>
      <w:pPr>
        <w:spacing w:after="0" w:line="196" w:lineRule="exact"/>
        <w:rPr>
          <w:sz w:val="20"/>
          <w:szCs w:val="20"/>
          <w:color w:val="auto"/>
        </w:rPr>
      </w:pPr>
    </w:p>
    <w:p>
      <w:pPr>
        <w:ind w:left="600" w:hanging="302"/>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Net loss of $18.7 million</w:t>
      </w:r>
    </w:p>
    <w:p>
      <w:pPr>
        <w:spacing w:after="0" w:line="190" w:lineRule="exact"/>
        <w:rPr>
          <w:rFonts w:ascii="Arial" w:cs="Arial" w:eastAsia="Arial" w:hAnsi="Arial"/>
          <w:sz w:val="17"/>
          <w:szCs w:val="17"/>
          <w:color w:val="auto"/>
        </w:rPr>
      </w:pPr>
    </w:p>
    <w:p>
      <w:pPr>
        <w:ind w:left="600" w:right="120" w:hanging="302"/>
        <w:spacing w:after="0" w:line="250"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Business acquisitions for $75.3 million, net of cash acquired, primarily related to the Depositphotos acquisition which includes $0.6 million of the deferred payment and post-closing adjustment</w:t>
      </w:r>
    </w:p>
    <w:p>
      <w:pPr>
        <w:spacing w:after="0" w:line="177" w:lineRule="exact"/>
        <w:rPr>
          <w:rFonts w:ascii="Arial" w:cs="Arial" w:eastAsia="Arial" w:hAnsi="Arial"/>
          <w:sz w:val="17"/>
          <w:szCs w:val="17"/>
          <w:color w:val="auto"/>
        </w:rPr>
      </w:pPr>
    </w:p>
    <w:p>
      <w:pPr>
        <w:ind w:left="600" w:hanging="302"/>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Internal and external costs of $49.9 million for software and website development that we have capitalized</w:t>
      </w:r>
    </w:p>
    <w:p>
      <w:pPr>
        <w:spacing w:after="0" w:line="177" w:lineRule="exact"/>
        <w:rPr>
          <w:rFonts w:ascii="Arial" w:cs="Arial" w:eastAsia="Arial" w:hAnsi="Arial"/>
          <w:sz w:val="17"/>
          <w:szCs w:val="17"/>
          <w:color w:val="auto"/>
        </w:rPr>
      </w:pPr>
    </w:p>
    <w:p>
      <w:pPr>
        <w:ind w:left="600" w:hanging="302"/>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$43.6 million for the payment of purchase consideration included in the 99designs acquisition's fair value</w:t>
      </w:r>
    </w:p>
    <w:p>
      <w:pPr>
        <w:spacing w:after="0" w:line="190" w:lineRule="exact"/>
        <w:rPr>
          <w:rFonts w:ascii="Arial" w:cs="Arial" w:eastAsia="Arial" w:hAnsi="Arial"/>
          <w:sz w:val="17"/>
          <w:szCs w:val="17"/>
          <w:color w:val="auto"/>
        </w:rPr>
      </w:pPr>
    </w:p>
    <w:p>
      <w:pPr>
        <w:ind w:left="600" w:right="40" w:hanging="302"/>
        <w:spacing w:after="0" w:line="250"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Capital expenditures of $42.1 million of which the majority related to the purchase of manufacturing and automation equipment for our production facilities</w:t>
      </w:r>
    </w:p>
    <w:p>
      <w:pPr>
        <w:spacing w:after="0" w:line="177" w:lineRule="exact"/>
        <w:rPr>
          <w:rFonts w:ascii="Arial" w:cs="Arial" w:eastAsia="Arial" w:hAnsi="Arial"/>
          <w:sz w:val="17"/>
          <w:szCs w:val="17"/>
          <w:color w:val="auto"/>
        </w:rPr>
      </w:pPr>
    </w:p>
    <w:p>
      <w:pPr>
        <w:ind w:left="600" w:hanging="302"/>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Payments for debt of $11.1 million</w:t>
      </w:r>
    </w:p>
    <w:p>
      <w:pPr>
        <w:spacing w:after="0" w:line="177" w:lineRule="exact"/>
        <w:rPr>
          <w:rFonts w:ascii="Arial" w:cs="Arial" w:eastAsia="Arial" w:hAnsi="Arial"/>
          <w:sz w:val="17"/>
          <w:szCs w:val="17"/>
          <w:color w:val="auto"/>
        </w:rPr>
      </w:pPr>
    </w:p>
    <w:p>
      <w:pPr>
        <w:ind w:left="600" w:hanging="302"/>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Payments for finance lease arrangements, excluding the payment associated with the purchase option exercise included below, of $7.2 million</w:t>
      </w:r>
    </w:p>
    <w:p>
      <w:pPr>
        <w:spacing w:after="0" w:line="201" w:lineRule="exact"/>
        <w:rPr>
          <w:rFonts w:ascii="Arial" w:cs="Arial" w:eastAsia="Arial" w:hAnsi="Arial"/>
          <w:sz w:val="16"/>
          <w:szCs w:val="16"/>
          <w:color w:val="auto"/>
        </w:rPr>
      </w:pPr>
    </w:p>
    <w:p>
      <w:pPr>
        <w:ind w:left="600" w:right="220" w:hanging="302"/>
        <w:spacing w:after="0" w:line="250" w:lineRule="auto"/>
        <w:tabs>
          <w:tab w:leader="none" w:pos="596" w:val="left"/>
        </w:tabs>
        <w:numPr>
          <w:ilvl w:val="0"/>
          <w:numId w:val="25"/>
        </w:numPr>
        <w:rPr>
          <w:rFonts w:ascii="Arial" w:cs="Arial" w:eastAsia="Arial" w:hAnsi="Arial"/>
          <w:sz w:val="17"/>
          <w:szCs w:val="17"/>
          <w:i w:val="1"/>
          <w:iCs w:val="1"/>
          <w:color w:val="auto"/>
        </w:rPr>
      </w:pPr>
      <w:r>
        <w:rPr>
          <w:rFonts w:ascii="Arial" w:cs="Arial" w:eastAsia="Arial" w:hAnsi="Arial"/>
          <w:sz w:val="17"/>
          <w:szCs w:val="17"/>
          <w:color w:val="auto"/>
        </w:rPr>
        <w:t>Purchase and sale of a previously leased facility that resulted in a net payment of $4.7 million due to our exercise of the lease purchase option and subsequent sale</w:t>
      </w:r>
    </w:p>
    <w:p>
      <w:pPr>
        <w:spacing w:after="0" w:line="177" w:lineRule="exact"/>
        <w:rPr>
          <w:rFonts w:ascii="Arial" w:cs="Arial" w:eastAsia="Arial" w:hAnsi="Arial"/>
          <w:sz w:val="17"/>
          <w:szCs w:val="17"/>
          <w:i w:val="1"/>
          <w:iCs w:val="1"/>
          <w:color w:val="auto"/>
        </w:rPr>
      </w:pPr>
    </w:p>
    <w:p>
      <w:pPr>
        <w:ind w:left="600" w:hanging="302"/>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$4.0 million distribution to noncontrolling interest holders</w:t>
      </w:r>
    </w:p>
    <w:p>
      <w:pPr>
        <w:spacing w:after="0" w:line="177" w:lineRule="exact"/>
        <w:rPr>
          <w:rFonts w:ascii="Arial" w:cs="Arial" w:eastAsia="Arial" w:hAnsi="Arial"/>
          <w:sz w:val="17"/>
          <w:szCs w:val="17"/>
          <w:color w:val="auto"/>
        </w:rPr>
      </w:pPr>
    </w:p>
    <w:p>
      <w:pPr>
        <w:ind w:left="600" w:hanging="302"/>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Payment of withholding taxes in connection with share awards of $3.1 million</w:t>
      </w:r>
    </w:p>
    <w:p>
      <w:pPr>
        <w:spacing w:after="0" w:line="190" w:lineRule="exact"/>
        <w:rPr>
          <w:rFonts w:ascii="Arial" w:cs="Arial" w:eastAsia="Arial" w:hAnsi="Arial"/>
          <w:sz w:val="17"/>
          <w:szCs w:val="17"/>
          <w:color w:val="auto"/>
        </w:rPr>
      </w:pPr>
    </w:p>
    <w:p>
      <w:pPr>
        <w:ind w:left="600" w:hanging="302"/>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Payment for the settlement of a derivative designated as a net investment hedge of $1.9 million</w:t>
      </w:r>
    </w:p>
    <w:p>
      <w:pPr>
        <w:spacing w:after="0" w:line="177" w:lineRule="exact"/>
        <w:rPr>
          <w:rFonts w:ascii="Arial" w:cs="Arial" w:eastAsia="Arial" w:hAnsi="Arial"/>
          <w:sz w:val="17"/>
          <w:szCs w:val="17"/>
          <w:color w:val="auto"/>
        </w:rPr>
      </w:pPr>
    </w:p>
    <w:p>
      <w:pPr>
        <w:ind w:left="600" w:hanging="302"/>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Financing fees of $1.4 million from our fourth quarter fiscal year 2021 credit facility amendment that we have capitalized</w:t>
      </w:r>
    </w:p>
    <w:p>
      <w:pPr>
        <w:spacing w:after="0" w:line="172" w:lineRule="exact"/>
        <w:rPr>
          <w:sz w:val="20"/>
          <w:szCs w:val="20"/>
          <w:color w:val="auto"/>
        </w:rPr>
      </w:pPr>
    </w:p>
    <w:p>
      <w:pPr>
        <w:ind w:right="20" w:firstLine="597"/>
        <w:spacing w:after="0" w:line="274" w:lineRule="auto"/>
        <w:rPr>
          <w:sz w:val="20"/>
          <w:szCs w:val="20"/>
          <w:color w:val="auto"/>
        </w:rPr>
      </w:pPr>
      <w:r>
        <w:rPr>
          <w:rFonts w:ascii="Arial" w:cs="Arial" w:eastAsia="Arial" w:hAnsi="Arial"/>
          <w:sz w:val="16"/>
          <w:szCs w:val="16"/>
          <w:i w:val="1"/>
          <w:iCs w:val="1"/>
          <w:color w:val="auto"/>
        </w:rPr>
        <w:t xml:space="preserve">Additional Liquidity and Capital Resources Information. </w:t>
      </w:r>
      <w:r>
        <w:rPr>
          <w:rFonts w:ascii="Arial" w:cs="Arial" w:eastAsia="Arial" w:hAnsi="Arial"/>
          <w:sz w:val="16"/>
          <w:szCs w:val="16"/>
          <w:color w:val="auto"/>
        </w:rPr>
        <w:t>At March 31, 2022, we had $161.5 million of cash and cash equivalents, $ 107.8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and $1,730.7 million of debt, excluding debt issuance costs and debt premiums and discounts. During the three and nine months ended March 31, 2022, we financed our operations and strategic investments through internally generated cash flows from operations and cash on hand. We expect to finance our future operations through our cash, investments, operating cash flow and borrowings under our debt arrangements.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46" w:name="page47"/>
    <w:bookmarkEnd w:id="46"/>
    <w:p>
      <w:pPr>
        <w:ind w:right="20" w:firstLine="597"/>
        <w:spacing w:after="0" w:line="245" w:lineRule="auto"/>
        <w:rPr>
          <w:sz w:val="20"/>
          <w:szCs w:val="20"/>
          <w:color w:val="auto"/>
        </w:rPr>
      </w:pPr>
      <w:r>
        <w:rPr>
          <w:rFonts w:ascii="Arial" w:cs="Arial" w:eastAsia="Arial" w:hAnsi="Arial"/>
          <w:sz w:val="17"/>
          <w:szCs w:val="17"/>
          <w:color w:val="auto"/>
        </w:rPr>
        <w:t>Our consolidated net leverage ratio as calculated per our amended and restated senior secured credit agreement dated as of May 17, 2021 (the "Restated Credit Agreement") was 4.44 times trailing-twelve-month adjusted EBITDA as of March 31, 2022, and higher than our net leverage ratio in recent quarters. The increase in our net leverage ratio was largely due to an increase to net debt driven by cash outflows for seasonal net working capital and the $43.6 million deferred payment related to the acquisition of 99designs. The decrease in our adjusted EBITDA for the trailing twelve months ended March 31, 2022 also caused our leverage ratio to increase, driven primarily by increased organic investments in Vista that continue to weigh on our profitability. We expect to delever from the current leverage level in fiscal year 2023.</w:t>
      </w:r>
    </w:p>
    <w:p>
      <w:pPr>
        <w:spacing w:after="0" w:line="172" w:lineRule="exact"/>
        <w:rPr>
          <w:sz w:val="20"/>
          <w:szCs w:val="20"/>
          <w:color w:val="auto"/>
        </w:rPr>
      </w:pPr>
    </w:p>
    <w:p>
      <w:pPr>
        <w:ind w:firstLine="597"/>
        <w:spacing w:after="0" w:line="245" w:lineRule="auto"/>
        <w:rPr>
          <w:sz w:val="20"/>
          <w:szCs w:val="20"/>
          <w:color w:val="auto"/>
        </w:rPr>
      </w:pPr>
      <w:r>
        <w:rPr>
          <w:rFonts w:ascii="Arial" w:cs="Arial" w:eastAsia="Arial" w:hAnsi="Arial"/>
          <w:sz w:val="17"/>
          <w:szCs w:val="17"/>
          <w:color w:val="auto"/>
        </w:rPr>
        <w:t>As of March 31, 2022, a portion of our cash and cash equivalents were held by our subsidiaries, and undistributed earnings of our subsidiaries that are considered to be indefinitely reinvested were $46.6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Contractual obligations at March 31, 2022 are as follows: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414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8"/>
              </w:rPr>
              <w:t>Payments Due by Period</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4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30"/>
              <w:spacing w:after="0" w:line="107" w:lineRule="exact"/>
              <w:rPr>
                <w:sz w:val="20"/>
                <w:szCs w:val="20"/>
                <w:color w:val="auto"/>
              </w:rPr>
            </w:pPr>
            <w:r>
              <w:rPr>
                <w:rFonts w:ascii="Arial" w:cs="Arial" w:eastAsia="Arial" w:hAnsi="Arial"/>
                <w:sz w:val="12"/>
                <w:szCs w:val="12"/>
                <w:b w:val="1"/>
                <w:bCs w:val="1"/>
                <w:color w:val="auto"/>
                <w:w w:val="94"/>
              </w:rPr>
              <w:t>Less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restart"/>
          </w:tcPr>
          <w:p>
            <w:pPr>
              <w:jc w:val="center"/>
              <w:ind w:right="229"/>
              <w:spacing w:after="0"/>
              <w:rPr>
                <w:sz w:val="20"/>
                <w:szCs w:val="20"/>
                <w:color w:val="auto"/>
              </w:rPr>
            </w:pPr>
            <w:r>
              <w:rPr>
                <w:rFonts w:ascii="Arial" w:cs="Arial" w:eastAsia="Arial" w:hAnsi="Arial"/>
                <w:sz w:val="12"/>
                <w:szCs w:val="12"/>
                <w:b w:val="1"/>
                <w:bCs w:val="1"/>
                <w:color w:val="auto"/>
                <w:w w:val="91"/>
              </w:rPr>
              <w:t>1-3</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vMerge w:val="restart"/>
          </w:tcPr>
          <w:p>
            <w:pPr>
              <w:jc w:val="right"/>
              <w:ind w:right="509"/>
              <w:spacing w:after="0"/>
              <w:rPr>
                <w:sz w:val="20"/>
                <w:szCs w:val="20"/>
                <w:color w:val="auto"/>
              </w:rPr>
            </w:pPr>
            <w:r>
              <w:rPr>
                <w:rFonts w:ascii="Arial" w:cs="Arial" w:eastAsia="Arial" w:hAnsi="Arial"/>
                <w:sz w:val="12"/>
                <w:szCs w:val="12"/>
                <w:b w:val="1"/>
                <w:bCs w:val="1"/>
                <w:color w:val="auto"/>
              </w:rPr>
              <w:t>3-5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10"/>
              <w:spacing w:after="0" w:line="107" w:lineRule="exact"/>
              <w:rPr>
                <w:sz w:val="20"/>
                <w:szCs w:val="20"/>
                <w:color w:val="auto"/>
              </w:rPr>
            </w:pPr>
            <w:r>
              <w:rPr>
                <w:rFonts w:ascii="Arial" w:cs="Arial" w:eastAsia="Arial" w:hAnsi="Arial"/>
                <w:sz w:val="12"/>
                <w:szCs w:val="12"/>
                <w:b w:val="1"/>
                <w:bCs w:val="1"/>
                <w:color w:val="auto"/>
                <w:w w:val="97"/>
              </w:rPr>
              <w:t>More</w:t>
            </w:r>
          </w:p>
        </w:tc>
        <w:tc>
          <w:tcPr>
            <w:tcW w:w="0" w:type="dxa"/>
            <w:vAlign w:val="bottom"/>
          </w:tcPr>
          <w:p>
            <w:pPr>
              <w:spacing w:after="0"/>
              <w:rPr>
                <w:sz w:val="1"/>
                <w:szCs w:val="1"/>
                <w:color w:val="auto"/>
              </w:rPr>
            </w:pPr>
          </w:p>
        </w:tc>
      </w:tr>
      <w:tr>
        <w:trPr>
          <w:trHeight w:val="112"/>
        </w:trPr>
        <w:tc>
          <w:tcPr>
            <w:tcW w:w="4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vMerge w:val="restart"/>
          </w:tcPr>
          <w:p>
            <w:pPr>
              <w:jc w:val="right"/>
              <w:ind w:right="447"/>
              <w:spacing w:after="0"/>
              <w:rPr>
                <w:sz w:val="20"/>
                <w:szCs w:val="20"/>
                <w:color w:val="auto"/>
              </w:rPr>
            </w:pPr>
            <w:r>
              <w:rPr>
                <w:rFonts w:ascii="Arial" w:cs="Arial" w:eastAsia="Arial" w:hAnsi="Arial"/>
                <w:sz w:val="12"/>
                <w:szCs w:val="12"/>
                <w:b w:val="1"/>
                <w:bCs w:val="1"/>
                <w:color w:val="auto"/>
              </w:rPr>
              <w:t>Total</w:t>
            </w:r>
          </w:p>
        </w:tc>
        <w:tc>
          <w:tcPr>
            <w:tcW w:w="10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30"/>
              <w:spacing w:after="0" w:line="112" w:lineRule="exact"/>
              <w:rPr>
                <w:sz w:val="20"/>
                <w:szCs w:val="20"/>
                <w:color w:val="auto"/>
              </w:rPr>
            </w:pPr>
            <w:r>
              <w:rPr>
                <w:rFonts w:ascii="Arial" w:cs="Arial" w:eastAsia="Arial" w:hAnsi="Arial"/>
                <w:sz w:val="12"/>
                <w:szCs w:val="12"/>
                <w:b w:val="1"/>
                <w:bCs w:val="1"/>
                <w:color w:val="auto"/>
                <w:w w:val="96"/>
              </w:rPr>
              <w:t>than 1</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30"/>
              <w:spacing w:after="0" w:line="112" w:lineRule="exact"/>
              <w:rPr>
                <w:sz w:val="20"/>
                <w:szCs w:val="20"/>
                <w:color w:val="auto"/>
              </w:rPr>
            </w:pPr>
            <w:r>
              <w:rPr>
                <w:rFonts w:ascii="Arial" w:cs="Arial" w:eastAsia="Arial" w:hAnsi="Arial"/>
                <w:sz w:val="12"/>
                <w:szCs w:val="12"/>
                <w:b w:val="1"/>
                <w:bCs w:val="1"/>
                <w:color w:val="auto"/>
                <w:w w:val="96"/>
              </w:rPr>
              <w:t>than 5</w:t>
            </w:r>
          </w:p>
        </w:tc>
        <w:tc>
          <w:tcPr>
            <w:tcW w:w="0" w:type="dxa"/>
            <w:vAlign w:val="bottom"/>
          </w:tcPr>
          <w:p>
            <w:pPr>
              <w:spacing w:after="0"/>
              <w:rPr>
                <w:sz w:val="1"/>
                <w:szCs w:val="1"/>
                <w:color w:val="auto"/>
              </w:rPr>
            </w:pPr>
          </w:p>
        </w:tc>
      </w:tr>
      <w:tr>
        <w:trPr>
          <w:trHeight w:val="157"/>
        </w:trPr>
        <w:tc>
          <w:tcPr>
            <w:tcW w:w="4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10"/>
              <w:spacing w:after="0"/>
              <w:rPr>
                <w:sz w:val="20"/>
                <w:szCs w:val="20"/>
                <w:color w:val="auto"/>
              </w:rPr>
            </w:pPr>
            <w:r>
              <w:rPr>
                <w:rFonts w:ascii="Arial" w:cs="Arial" w:eastAsia="Arial" w:hAnsi="Arial"/>
                <w:sz w:val="12"/>
                <w:szCs w:val="12"/>
                <w:b w:val="1"/>
                <w:bCs w:val="1"/>
                <w:color w:val="auto"/>
                <w:w w:val="97"/>
              </w:rPr>
              <w:t>year</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09"/>
              <w:spacing w:after="0"/>
              <w:rPr>
                <w:sz w:val="20"/>
                <w:szCs w:val="20"/>
                <w:color w:val="auto"/>
              </w:rPr>
            </w:pPr>
            <w:r>
              <w:rPr>
                <w:rFonts w:ascii="Arial" w:cs="Arial" w:eastAsia="Arial" w:hAnsi="Arial"/>
                <w:sz w:val="12"/>
                <w:szCs w:val="12"/>
                <w:b w:val="1"/>
                <w:bCs w:val="1"/>
                <w:color w:val="auto"/>
                <w:w w:val="95"/>
              </w:rPr>
              <w:t>years</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years</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2"/>
                <w:szCs w:val="12"/>
                <w:b w:val="1"/>
                <w:bCs w:val="1"/>
                <w:color w:val="auto"/>
                <w:w w:val="95"/>
              </w:rPr>
              <w:t>years</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leases, net of subleases (1)</w:t>
            </w: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83,960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29,457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39,193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4,163</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5"/>
                <w:szCs w:val="15"/>
                <w:color w:val="auto"/>
              </w:rPr>
              <w:t>Purchase commitments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207,456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86,289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81,675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39,491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Senior unsecured notes and interest payments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789,000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5"/>
                <w:szCs w:val="15"/>
                <w:color w:val="auto"/>
              </w:rPr>
              <w:t>Senior secured credit facility and interest payments (2)</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1,413,472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62,064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119,269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115,232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1,116,907</w:t>
            </w:r>
          </w:p>
        </w:tc>
        <w:tc>
          <w:tcPr>
            <w:tcW w:w="0" w:type="dxa"/>
            <w:vAlign w:val="bottom"/>
          </w:tcPr>
          <w:p>
            <w:pPr>
              <w:spacing w:after="0"/>
              <w:rPr>
                <w:sz w:val="1"/>
                <w:szCs w:val="1"/>
                <w:color w:val="auto"/>
              </w:rPr>
            </w:pPr>
          </w:p>
        </w:tc>
      </w:tr>
      <w:tr>
        <w:trPr>
          <w:trHeight w:val="202"/>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debt</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rPr>
                <w:sz w:val="20"/>
                <w:szCs w:val="20"/>
                <w:color w:val="auto"/>
              </w:rPr>
            </w:pPr>
            <w:r>
              <w:rPr>
                <w:rFonts w:ascii="Arial" w:cs="Arial" w:eastAsia="Arial" w:hAnsi="Arial"/>
                <w:sz w:val="15"/>
                <w:szCs w:val="15"/>
                <w:color w:val="auto"/>
              </w:rPr>
              <w:t>Finance leases, net of subleases (1)</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15,543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7,527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4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8,555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8,555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140" w:type="dxa"/>
            <w:vAlign w:val="bottom"/>
          </w:tcPr>
          <w:p>
            <w:pPr>
              <w:ind w:left="20"/>
              <w:spacing w:after="0"/>
              <w:rPr>
                <w:sz w:val="20"/>
                <w:szCs w:val="20"/>
                <w:color w:val="auto"/>
              </w:rPr>
            </w:pPr>
            <w:r>
              <w:rPr>
                <w:rFonts w:ascii="Arial" w:cs="Arial" w:eastAsia="Arial" w:hAnsi="Arial"/>
                <w:sz w:val="15"/>
                <w:szCs w:val="15"/>
                <w:color w:val="auto"/>
              </w:rPr>
              <w:t>Total (3)</w:t>
            </w: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2,527,271</w:t>
            </w:r>
          </w:p>
        </w:tc>
        <w:tc>
          <w:tcPr>
            <w:tcW w:w="100" w:type="dxa"/>
            <w:vAlign w:val="bottom"/>
          </w:tcPr>
          <w:p>
            <w:pPr>
              <w:spacing w:after="0"/>
              <w:rPr>
                <w:sz w:val="16"/>
                <w:szCs w:val="16"/>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237,679</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336,838</w:t>
            </w:r>
          </w:p>
        </w:tc>
        <w:tc>
          <w:tcPr>
            <w:tcW w:w="100" w:type="dxa"/>
            <w:vAlign w:val="bottom"/>
          </w:tcPr>
          <w:p>
            <w:pPr>
              <w:spacing w:after="0"/>
              <w:rPr>
                <w:sz w:val="16"/>
                <w:szCs w:val="16"/>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831,683</w:t>
            </w:r>
          </w:p>
        </w:tc>
        <w:tc>
          <w:tcPr>
            <w:tcW w:w="100" w:type="dxa"/>
            <w:vAlign w:val="bottom"/>
          </w:tcPr>
          <w:p>
            <w:pPr>
              <w:spacing w:after="0"/>
              <w:rPr>
                <w:sz w:val="16"/>
                <w:szCs w:val="16"/>
                <w:color w:val="auto"/>
              </w:rPr>
            </w:pPr>
          </w:p>
        </w:tc>
        <w:tc>
          <w:tcPr>
            <w:tcW w:w="300" w:type="dxa"/>
            <w:vAlign w:val="bottom"/>
          </w:tcPr>
          <w:p>
            <w:pPr>
              <w:jc w:val="right"/>
              <w:ind w:right="125"/>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1,121,070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w:t>
      </w:r>
    </w:p>
    <w:p>
      <w:pPr>
        <w:spacing w:after="0" w:line="87" w:lineRule="exact"/>
        <w:rPr>
          <w:sz w:val="20"/>
          <w:szCs w:val="20"/>
          <w:color w:val="auto"/>
        </w:rPr>
      </w:pPr>
    </w:p>
    <w:p>
      <w:pPr>
        <w:ind w:left="220" w:right="240" w:hanging="220"/>
        <w:spacing w:after="0" w:line="256" w:lineRule="auto"/>
        <w:tabs>
          <w:tab w:leader="none" w:pos="195" w:val="left"/>
        </w:tabs>
        <w:numPr>
          <w:ilvl w:val="0"/>
          <w:numId w:val="26"/>
        </w:numPr>
        <w:rPr>
          <w:rFonts w:ascii="Arial" w:cs="Arial" w:eastAsia="Arial" w:hAnsi="Arial"/>
          <w:sz w:val="13"/>
          <w:szCs w:val="13"/>
          <w:color w:val="auto"/>
        </w:rPr>
      </w:pPr>
      <w:r>
        <w:rPr>
          <w:rFonts w:ascii="Arial" w:cs="Arial" w:eastAsia="Arial" w:hAnsi="Arial"/>
          <w:sz w:val="13"/>
          <w:szCs w:val="13"/>
          <w:color w:val="auto"/>
        </w:rPr>
        <w:t>Operating and finance lease payments above include only amounts which are fixed under lease agreements. Our leases may also incur variable expenses which are not reflected in the contractual obligations above.</w:t>
      </w:r>
    </w:p>
    <w:p>
      <w:pPr>
        <w:spacing w:after="0" w:line="29" w:lineRule="exact"/>
        <w:rPr>
          <w:rFonts w:ascii="Arial" w:cs="Arial" w:eastAsia="Arial" w:hAnsi="Arial"/>
          <w:sz w:val="13"/>
          <w:szCs w:val="13"/>
          <w:color w:val="auto"/>
        </w:rPr>
      </w:pPr>
    </w:p>
    <w:p>
      <w:pPr>
        <w:ind w:left="200" w:hanging="200"/>
        <w:spacing w:after="0"/>
        <w:tabs>
          <w:tab w:leader="none" w:pos="2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Senior secured credit facility and interest payments include the effects of interest rate swaps, whether they are expected to be payments or receipts of cash.</w:t>
      </w:r>
    </w:p>
    <w:p>
      <w:pPr>
        <w:spacing w:after="0" w:line="74" w:lineRule="exact"/>
        <w:rPr>
          <w:rFonts w:ascii="Arial" w:cs="Arial" w:eastAsia="Arial" w:hAnsi="Arial"/>
          <w:sz w:val="13"/>
          <w:szCs w:val="13"/>
          <w:color w:val="auto"/>
        </w:rPr>
      </w:pPr>
    </w:p>
    <w:p>
      <w:pPr>
        <w:ind w:left="220" w:right="140" w:hanging="220"/>
        <w:spacing w:after="0" w:line="245" w:lineRule="auto"/>
        <w:tabs>
          <w:tab w:leader="none" w:pos="195" w:val="left"/>
        </w:tabs>
        <w:numPr>
          <w:ilvl w:val="0"/>
          <w:numId w:val="26"/>
        </w:numPr>
        <w:rPr>
          <w:rFonts w:ascii="Arial" w:cs="Arial" w:eastAsia="Arial" w:hAnsi="Arial"/>
          <w:sz w:val="13"/>
          <w:szCs w:val="13"/>
          <w:color w:val="auto"/>
        </w:rPr>
      </w:pPr>
      <w:r>
        <w:rPr>
          <w:rFonts w:ascii="Arial" w:cs="Arial" w:eastAsia="Arial" w:hAnsi="Arial"/>
          <w:sz w:val="13"/>
          <w:szCs w:val="13"/>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$9.2 million as of March 31, 2022 have been excluded from the contractual obligations table above. See Note 10 in our accompanying consolidated financial statements for further information on uncertain tax positions.</w:t>
      </w:r>
    </w:p>
    <w:p>
      <w:pPr>
        <w:spacing w:after="0" w:line="150" w:lineRule="exact"/>
        <w:rPr>
          <w:sz w:val="20"/>
          <w:szCs w:val="20"/>
          <w:color w:val="auto"/>
        </w:rPr>
      </w:pPr>
    </w:p>
    <w:p>
      <w:pPr>
        <w:ind w:right="140" w:firstLine="597"/>
        <w:spacing w:after="0" w:line="272"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rent office space under operating leases expiring on various dates through 2034. The terms of certain lease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security deposits in the form of bank guarantees and letters of credit in the amount of $1.4 million in the aggregate.</w:t>
      </w:r>
    </w:p>
    <w:p>
      <w:pPr>
        <w:spacing w:after="0" w:line="142" w:lineRule="exact"/>
        <w:rPr>
          <w:sz w:val="20"/>
          <w:szCs w:val="20"/>
          <w:color w:val="auto"/>
        </w:rPr>
      </w:pPr>
    </w:p>
    <w:p>
      <w:pPr>
        <w:ind w:right="40" w:firstLine="597"/>
        <w:spacing w:after="0" w:line="253"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At March 31, 2022, we had unrecorded commitments under contract of $207.5 million. Purchase commitments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third-party web services of $106.6 million, inventory and third-party fulfillment purchase commitments of $58.9 million, advertising of $20.7 million, software of $3.9 million, commitments for professional and consulting fees of $3.4 million, production and computer equipment purchases of $4.8 million and other unrecorded purchase commitments of $9.2 million.</w:t>
      </w:r>
    </w:p>
    <w:p>
      <w:pPr>
        <w:spacing w:after="0" w:line="146" w:lineRule="exact"/>
        <w:rPr>
          <w:sz w:val="20"/>
          <w:szCs w:val="20"/>
          <w:color w:val="auto"/>
        </w:rPr>
      </w:pPr>
    </w:p>
    <w:p>
      <w:pPr>
        <w:jc w:val="both"/>
        <w:ind w:right="80" w:firstLine="597"/>
        <w:spacing w:after="0" w:line="253"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As of March 31, 2022, we have borrowings under our Restated Credit Agreement of $1,121.4 million consisting of the Term Loan B, which</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amortizes over the loan period, with a final maturity date of May 17, 2028. Our $250.0 million revolver under our Restated Credit Agreement has $244.2 million unused as of March 31, 2022. There are no drawn amounts on the revolver, but our outstanding letters of credit reduce our unused balance. Our unused balance can be drawn at any time so long as we are in compliance with our debt covenants.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47" w:name="page48"/>
    <w:bookmarkEnd w:id="47"/>
    <w:p>
      <w:pPr>
        <w:ind w:firstLine="597"/>
        <w:spacing w:after="0" w:line="272" w:lineRule="auto"/>
        <w:rPr>
          <w:sz w:val="20"/>
          <w:szCs w:val="20"/>
          <w:color w:val="auto"/>
        </w:rPr>
      </w:pPr>
      <w:r>
        <w:rPr>
          <w:rFonts w:ascii="Arial" w:cs="Arial" w:eastAsia="Arial" w:hAnsi="Arial"/>
          <w:sz w:val="17"/>
          <w:szCs w:val="17"/>
          <w:i w:val="1"/>
          <w:iCs w:val="1"/>
          <w:color w:val="auto"/>
        </w:rPr>
        <w:t xml:space="preserve">Senior Unsecured Notes and Interest Payments. </w:t>
      </w:r>
      <w:r>
        <w:rPr>
          <w:rFonts w:ascii="Arial" w:cs="Arial" w:eastAsia="Arial" w:hAnsi="Arial"/>
          <w:sz w:val="17"/>
          <w:szCs w:val="17"/>
          <w:color w:val="auto"/>
        </w:rPr>
        <w:t>Our $600.0 million of 2026 Notes bear interest at a rate of 7.0% per annum and mature on June</w:t>
      </w:r>
      <w:r>
        <w:rPr>
          <w:rFonts w:ascii="Arial" w:cs="Arial" w:eastAsia="Arial" w:hAnsi="Arial"/>
          <w:sz w:val="17"/>
          <w:szCs w:val="17"/>
          <w:i w:val="1"/>
          <w:iCs w:val="1"/>
          <w:color w:val="auto"/>
        </w:rPr>
        <w:t xml:space="preserve"> </w:t>
      </w:r>
      <w:r>
        <w:rPr>
          <w:rFonts w:ascii="Arial" w:cs="Arial" w:eastAsia="Arial" w:hAnsi="Arial"/>
          <w:sz w:val="17"/>
          <w:szCs w:val="17"/>
          <w:color w:val="auto"/>
        </w:rPr>
        <w:t>15, 2026. Interest on the notes is payable semi-annually on June 15 and December 15 of each year and has been included in the table above.</w:t>
      </w:r>
    </w:p>
    <w:p>
      <w:pPr>
        <w:spacing w:after="0" w:line="129" w:lineRule="exact"/>
        <w:rPr>
          <w:sz w:val="20"/>
          <w:szCs w:val="20"/>
          <w:color w:val="auto"/>
        </w:rPr>
      </w:pPr>
    </w:p>
    <w:p>
      <w:pPr>
        <w:ind w:right="200" w:firstLine="597"/>
        <w:spacing w:after="0" w:line="251" w:lineRule="auto"/>
        <w:rPr>
          <w:sz w:val="20"/>
          <w:szCs w:val="20"/>
          <w:color w:val="auto"/>
        </w:rPr>
      </w:pPr>
      <w:r>
        <w:rPr>
          <w:rFonts w:ascii="Arial" w:cs="Arial" w:eastAsia="Arial" w:hAnsi="Arial"/>
          <w:sz w:val="17"/>
          <w:szCs w:val="17"/>
          <w:i w:val="1"/>
          <w:iCs w:val="1"/>
          <w:color w:val="auto"/>
        </w:rPr>
        <w:t xml:space="preserve">Senior Secured Credit Facility and Interest Payments. </w:t>
      </w:r>
      <w:r>
        <w:rPr>
          <w:rFonts w:ascii="Arial" w:cs="Arial" w:eastAsia="Arial" w:hAnsi="Arial"/>
          <w:sz w:val="17"/>
          <w:szCs w:val="17"/>
          <w:color w:val="auto"/>
        </w:rPr>
        <w:t>At March 31, 2022, the Term Loan B of $1,121.4 million outstanding under our Restated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Agreement had repayments due on various dates through May 17, 2028, and we did not have any amounts drawn under our Revolving Credit Facility due on May 17, 2026. Interest payable included in this table is based on the interest rate as of March 31, 2022, and assumes all LIBOR-based revolving loan amounts outstanding will not be paid until maturity, but that the term loan amortization payments will be made according to our defined schedule.</w:t>
      </w:r>
    </w:p>
    <w:p>
      <w:pPr>
        <w:spacing w:after="0" w:line="160" w:lineRule="exact"/>
        <w:rPr>
          <w:sz w:val="20"/>
          <w:szCs w:val="20"/>
          <w:color w:val="auto"/>
        </w:rPr>
      </w:pPr>
    </w:p>
    <w:p>
      <w:pPr>
        <w:ind w:firstLine="597"/>
        <w:spacing w:after="0" w:line="253" w:lineRule="auto"/>
        <w:rPr>
          <w:sz w:val="20"/>
          <w:szCs w:val="20"/>
          <w:color w:val="auto"/>
        </w:rPr>
      </w:pPr>
      <w:r>
        <w:rPr>
          <w:rFonts w:ascii="Arial" w:cs="Arial" w:eastAsia="Arial" w:hAnsi="Arial"/>
          <w:sz w:val="17"/>
          <w:szCs w:val="17"/>
          <w:i w:val="1"/>
          <w:iCs w:val="1"/>
          <w:color w:val="auto"/>
        </w:rPr>
        <w:t xml:space="preserve">Debt Covenants. </w:t>
      </w:r>
      <w:r>
        <w:rPr>
          <w:rFonts w:ascii="Arial" w:cs="Arial" w:eastAsia="Arial" w:hAnsi="Arial"/>
          <w:sz w:val="17"/>
          <w:szCs w:val="17"/>
          <w:color w:val="auto"/>
        </w:rPr>
        <w:t>The Restated Credit Agreement and the indenture that governs our 7.0% Senior Notes due 2026 contain covenants that restrict</w:t>
      </w:r>
      <w:r>
        <w:rPr>
          <w:rFonts w:ascii="Arial" w:cs="Arial" w:eastAsia="Arial" w:hAnsi="Arial"/>
          <w:sz w:val="17"/>
          <w:szCs w:val="17"/>
          <w:i w:val="1"/>
          <w:iCs w:val="1"/>
          <w:color w:val="auto"/>
        </w:rPr>
        <w:t xml:space="preserve"> </w:t>
      </w:r>
      <w:r>
        <w:rPr>
          <w:rFonts w:ascii="Arial" w:cs="Arial" w:eastAsia="Arial" w:hAnsi="Arial"/>
          <w:sz w:val="17"/>
          <w:szCs w:val="17"/>
          <w:color w:val="auto"/>
        </w:rPr>
        <w:t>or limit certain activities and transactions by Cimpress and our subsidiaries. As of March 31, 2022, we were in compliance with all covenants under our Restated Credit Agreement and the indenture governing our 2026 Notes. Refer to Note 9 in our accompanying consolidated financial statements for additional information.</w:t>
      </w:r>
    </w:p>
    <w:p>
      <w:pPr>
        <w:spacing w:after="0" w:line="159" w:lineRule="exact"/>
        <w:rPr>
          <w:sz w:val="20"/>
          <w:szCs w:val="20"/>
          <w:color w:val="auto"/>
        </w:rPr>
      </w:pPr>
    </w:p>
    <w:p>
      <w:pPr>
        <w:jc w:val="both"/>
        <w:ind w:right="420" w:firstLine="597"/>
        <w:spacing w:after="0" w:line="258" w:lineRule="auto"/>
        <w:rPr>
          <w:sz w:val="20"/>
          <w:szCs w:val="20"/>
          <w:color w:val="auto"/>
        </w:rPr>
      </w:pPr>
      <w:r>
        <w:rPr>
          <w:rFonts w:ascii="Arial" w:cs="Arial" w:eastAsia="Arial" w:hAnsi="Arial"/>
          <w:sz w:val="17"/>
          <w:szCs w:val="17"/>
          <w:i w:val="1"/>
          <w:iCs w:val="1"/>
          <w:color w:val="auto"/>
        </w:rPr>
        <w:t xml:space="preserve">Other Debt. </w:t>
      </w:r>
      <w:r>
        <w:rPr>
          <w:rFonts w:ascii="Arial" w:cs="Arial" w:eastAsia="Arial" w:hAnsi="Arial"/>
          <w:sz w:val="17"/>
          <w:szCs w:val="17"/>
          <w:color w:val="auto"/>
        </w:rPr>
        <w:t>In addition, we have other debt which consists primarily of term loans acquired through our various acquisitions or used to fund</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capital investments. As of March 31, 2022, we had $9.3 million outstanding for those obligations that have repayments due on various dates through March 2027.</w:t>
      </w:r>
    </w:p>
    <w:p>
      <w:pPr>
        <w:spacing w:after="0" w:line="141" w:lineRule="exact"/>
        <w:rPr>
          <w:sz w:val="20"/>
          <w:szCs w:val="20"/>
          <w:color w:val="auto"/>
        </w:rPr>
      </w:pPr>
    </w:p>
    <w:p>
      <w:pPr>
        <w:ind w:firstLine="597"/>
        <w:spacing w:after="0" w:line="253" w:lineRule="auto"/>
        <w:rPr>
          <w:sz w:val="20"/>
          <w:szCs w:val="20"/>
          <w:color w:val="auto"/>
        </w:rPr>
      </w:pPr>
      <w:r>
        <w:rPr>
          <w:rFonts w:ascii="Arial" w:cs="Arial" w:eastAsia="Arial" w:hAnsi="Arial"/>
          <w:sz w:val="17"/>
          <w:szCs w:val="17"/>
          <w:i w:val="1"/>
          <w:iCs w:val="1"/>
          <w:color w:val="auto"/>
        </w:rPr>
        <w:t xml:space="preserve">Finance Leases. </w:t>
      </w:r>
      <w:r>
        <w:rPr>
          <w:rFonts w:ascii="Arial" w:cs="Arial" w:eastAsia="Arial" w:hAnsi="Arial"/>
          <w:sz w:val="17"/>
          <w:szCs w:val="17"/>
          <w:color w:val="auto"/>
        </w:rPr>
        <w:t>We lease certain machinery and plant equipment under finance lease agreements that expire at various dates through 2028.</w:t>
      </w:r>
      <w:r>
        <w:rPr>
          <w:rFonts w:ascii="Arial" w:cs="Arial" w:eastAsia="Arial" w:hAnsi="Arial"/>
          <w:sz w:val="17"/>
          <w:szCs w:val="17"/>
          <w:i w:val="1"/>
          <w:iCs w:val="1"/>
          <w:color w:val="auto"/>
        </w:rPr>
        <w:t xml:space="preserve"> </w:t>
      </w:r>
      <w:r>
        <w:rPr>
          <w:rFonts w:ascii="Arial" w:cs="Arial" w:eastAsia="Arial" w:hAnsi="Arial"/>
          <w:sz w:val="17"/>
          <w:szCs w:val="17"/>
          <w:color w:val="auto"/>
        </w:rPr>
        <w:t>The aggregate carrying value of the leased equipment under finance leases included in property, plant and equipment, net in our consolidated balance sheet at March 31, 2022 is $19.1 million, net of accumulated depreciation of $39.7 million. The present value of lease installments not yet due included in other current liabilities and other liabilities in our consolidated balance sheet at March 31, 2022 amounts to $21.8 million.</w:t>
      </w:r>
    </w:p>
    <w:p>
      <w:pPr>
        <w:spacing w:after="0" w:line="159" w:lineRule="exact"/>
        <w:rPr>
          <w:sz w:val="20"/>
          <w:szCs w:val="20"/>
          <w:color w:val="auto"/>
        </w:rPr>
      </w:pPr>
    </w:p>
    <w:p>
      <w:pPr>
        <w:ind w:right="20" w:firstLine="597"/>
        <w:spacing w:after="0" w:line="258" w:lineRule="auto"/>
        <w:rPr>
          <w:sz w:val="20"/>
          <w:szCs w:val="20"/>
          <w:color w:val="auto"/>
        </w:rPr>
      </w:pPr>
      <w:r>
        <w:rPr>
          <w:rFonts w:ascii="Arial" w:cs="Arial" w:eastAsia="Arial" w:hAnsi="Arial"/>
          <w:sz w:val="17"/>
          <w:szCs w:val="17"/>
          <w:i w:val="1"/>
          <w:iCs w:val="1"/>
          <w:color w:val="auto"/>
        </w:rPr>
        <w:t xml:space="preserve">Other Obligations. </w:t>
      </w:r>
      <w:r>
        <w:rPr>
          <w:rFonts w:ascii="Arial" w:cs="Arial" w:eastAsia="Arial" w:hAnsi="Arial"/>
          <w:sz w:val="17"/>
          <w:szCs w:val="17"/>
          <w:color w:val="auto"/>
        </w:rPr>
        <w:t>Other obligations consist of deferred payments relating to previous acquisitions, including the deferred payment relating to our</w:t>
      </w:r>
      <w:r>
        <w:rPr>
          <w:rFonts w:ascii="Arial" w:cs="Arial" w:eastAsia="Arial" w:hAnsi="Arial"/>
          <w:sz w:val="17"/>
          <w:szCs w:val="17"/>
          <w:i w:val="1"/>
          <w:iCs w:val="1"/>
          <w:color w:val="auto"/>
        </w:rPr>
        <w:t xml:space="preserve"> </w:t>
      </w:r>
      <w:r>
        <w:rPr>
          <w:rFonts w:ascii="Arial" w:cs="Arial" w:eastAsia="Arial" w:hAnsi="Arial"/>
          <w:sz w:val="17"/>
          <w:szCs w:val="17"/>
          <w:color w:val="auto"/>
        </w:rPr>
        <w:t>Depositphotos acquisition that is payable in October 2022 and small deferred acquisition liabilities for other, smaller acquisitions. Refer to Note 7 in the accompanying consolidated financial statements for additional details.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Non-GAAP Financial Measures</w:t>
      </w:r>
    </w:p>
    <w:p>
      <w:pPr>
        <w:spacing w:after="0" w:line="198" w:lineRule="exact"/>
        <w:rPr>
          <w:sz w:val="20"/>
          <w:szCs w:val="20"/>
          <w:color w:val="auto"/>
        </w:rPr>
      </w:pPr>
    </w:p>
    <w:p>
      <w:pPr>
        <w:ind w:firstLine="597"/>
        <w:spacing w:after="0" w:line="245" w:lineRule="auto"/>
        <w:rPr>
          <w:sz w:val="20"/>
          <w:szCs w:val="20"/>
          <w:color w:val="auto"/>
        </w:rPr>
      </w:pPr>
      <w:r>
        <w:rPr>
          <w:rFonts w:ascii="Arial" w:cs="Arial" w:eastAsia="Arial" w:hAnsi="Arial"/>
          <w:sz w:val="17"/>
          <w:szCs w:val="17"/>
          <w:color w:val="auto"/>
        </w:rPr>
        <w:t>Adjusted EBITDA and adjusted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EBITDA is defined as GAAP operating income plus depreciation and amortization plus share-based compensation expense plus proceeds from insurance plus earn-out related charges plus certain impairments plus restructuring related charges plus realized gains or losses on currency derivatives less interest expense related to our Waltham, Massachusetts office lease less gain on purchase or sale of subsidiaries.</w:t>
      </w:r>
    </w:p>
    <w:p>
      <w:pPr>
        <w:spacing w:after="0" w:line="184" w:lineRule="exact"/>
        <w:rPr>
          <w:sz w:val="20"/>
          <w:szCs w:val="20"/>
          <w:color w:val="auto"/>
        </w:rPr>
      </w:pPr>
    </w:p>
    <w:p>
      <w:pPr>
        <w:ind w:right="120" w:firstLine="597"/>
        <w:spacing w:after="0" w:line="245" w:lineRule="auto"/>
        <w:rPr>
          <w:sz w:val="20"/>
          <w:szCs w:val="20"/>
          <w:color w:val="auto"/>
        </w:rPr>
      </w:pPr>
      <w:r>
        <w:rPr>
          <w:rFonts w:ascii="Arial" w:cs="Arial" w:eastAsia="Arial" w:hAnsi="Arial"/>
          <w:sz w:val="17"/>
          <w:szCs w:val="17"/>
          <w:color w:val="auto"/>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as we have become more acquisitive over recent years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financial information prepared in accordance with GAAP.</w:t>
      </w:r>
    </w:p>
    <w:p>
      <w:pPr>
        <w:spacing w:after="0" w:line="183" w:lineRule="exact"/>
        <w:rPr>
          <w:sz w:val="20"/>
          <w:szCs w:val="20"/>
          <w:color w:val="auto"/>
        </w:rPr>
      </w:pPr>
    </w:p>
    <w:p>
      <w:pPr>
        <w:ind w:right="360" w:firstLine="597"/>
        <w:spacing w:after="0" w:line="246" w:lineRule="auto"/>
        <w:rPr>
          <w:sz w:val="20"/>
          <w:szCs w:val="20"/>
          <w:color w:val="auto"/>
        </w:rPr>
      </w:pPr>
      <w:r>
        <w:rPr>
          <w:rFonts w:ascii="Arial" w:cs="Arial" w:eastAsia="Arial" w:hAnsi="Arial"/>
          <w:sz w:val="17"/>
          <w:szCs w:val="17"/>
          <w:color w:val="auto"/>
        </w:rPr>
        <w:t>Adjusted free cash flow is the primary financial metric by which we set quarterly and annual budgets both for individual businesses and Cimpress-wide. Adjusted free cash flow is defined as net cash provided by operating activities less purchases of property, plant and equipment, purchases of intangible assets not related to acquisitions, and capitalization of software and website development costs that are included in net cash used in investing</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bookmarkStart w:id="48" w:name="page49"/>
    <w:bookmarkEnd w:id="48"/>
    <w:p>
      <w:pPr>
        <w:ind w:right="60"/>
        <w:spacing w:after="0" w:line="245" w:lineRule="auto"/>
        <w:rPr>
          <w:sz w:val="20"/>
          <w:szCs w:val="20"/>
          <w:color w:val="auto"/>
        </w:rPr>
      </w:pPr>
      <w:r>
        <w:rPr>
          <w:rFonts w:ascii="Arial" w:cs="Arial" w:eastAsia="Arial" w:hAnsi="Arial"/>
          <w:sz w:val="17"/>
          <w:szCs w:val="17"/>
          <w:color w:val="auto"/>
        </w:rPr>
        <w:t>activities, plus the payment of contingent consideration in excess of acquisition-date fair value and gains on 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72" w:lineRule="exact"/>
        <w:rPr>
          <w:sz w:val="20"/>
          <w:szCs w:val="20"/>
          <w:color w:val="auto"/>
        </w:rPr>
      </w:pPr>
    </w:p>
    <w:p>
      <w:pPr>
        <w:ind w:right="20" w:firstLine="597"/>
        <w:spacing w:after="0" w:line="245" w:lineRule="auto"/>
        <w:rPr>
          <w:sz w:val="20"/>
          <w:szCs w:val="20"/>
          <w:color w:val="auto"/>
        </w:rPr>
      </w:pPr>
      <w:r>
        <w:rPr>
          <w:rFonts w:ascii="Arial" w:cs="Arial" w:eastAsia="Arial" w:hAnsi="Arial"/>
          <w:sz w:val="17"/>
          <w:szCs w:val="17"/>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table below sets forth operating (loss) income and adjusted EBITDA for the three and nine months ended March 31,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2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400" w:type="dxa"/>
            <w:vAlign w:val="bottom"/>
          </w:tcPr>
          <w:p>
            <w:pPr>
              <w:spacing w:after="0"/>
              <w:rPr>
                <w:sz w:val="17"/>
                <w:szCs w:val="17"/>
                <w:color w:val="auto"/>
              </w:rPr>
            </w:pPr>
          </w:p>
        </w:tc>
        <w:tc>
          <w:tcPr>
            <w:tcW w:w="3080" w:type="dxa"/>
            <w:vAlign w:val="bottom"/>
            <w:gridSpan w:val="5"/>
          </w:tcPr>
          <w:p>
            <w:pPr>
              <w:ind w:left="420"/>
              <w:spacing w:after="0"/>
              <w:rPr>
                <w:sz w:val="20"/>
                <w:szCs w:val="20"/>
                <w:color w:val="auto"/>
              </w:rPr>
            </w:pPr>
            <w:r>
              <w:rPr>
                <w:rFonts w:ascii="Arial" w:cs="Arial" w:eastAsia="Arial" w:hAnsi="Arial"/>
                <w:sz w:val="12"/>
                <w:szCs w:val="12"/>
                <w:b w:val="1"/>
                <w:bCs w:val="1"/>
                <w:color w:val="auto"/>
              </w:rPr>
              <w:t>Three Months Ended March 31,</w:t>
            </w:r>
          </w:p>
        </w:tc>
        <w:tc>
          <w:tcPr>
            <w:tcW w:w="400" w:type="dxa"/>
            <w:vAlign w:val="bottom"/>
          </w:tcPr>
          <w:p>
            <w:pPr>
              <w:spacing w:after="0"/>
              <w:rPr>
                <w:sz w:val="17"/>
                <w:szCs w:val="17"/>
                <w:color w:val="auto"/>
              </w:rPr>
            </w:pPr>
          </w:p>
        </w:tc>
        <w:tc>
          <w:tcPr>
            <w:tcW w:w="2940" w:type="dxa"/>
            <w:vAlign w:val="bottom"/>
            <w:gridSpan w:val="4"/>
          </w:tcPr>
          <w:p>
            <w:pPr>
              <w:jc w:val="right"/>
              <w:ind w:right="767"/>
              <w:spacing w:after="0"/>
              <w:rPr>
                <w:sz w:val="20"/>
                <w:szCs w:val="20"/>
                <w:color w:val="auto"/>
              </w:rPr>
            </w:pPr>
            <w:r>
              <w:rPr>
                <w:rFonts w:ascii="Arial" w:cs="Arial" w:eastAsia="Arial" w:hAnsi="Arial"/>
                <w:sz w:val="12"/>
                <w:szCs w:val="12"/>
                <w:b w:val="1"/>
                <w:bCs w:val="1"/>
                <w:color w:val="auto"/>
              </w:rPr>
              <w:t>Nine Months Ended March 31,</w:t>
            </w:r>
          </w:p>
        </w:tc>
      </w:tr>
      <w:tr>
        <w:trPr>
          <w:trHeight w:val="153"/>
        </w:trPr>
        <w:tc>
          <w:tcPr>
            <w:tcW w:w="442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2021</w:t>
            </w:r>
          </w:p>
        </w:tc>
        <w:tc>
          <w:tcPr>
            <w:tcW w:w="14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29"/>
              <w:spacing w:after="0"/>
              <w:rPr>
                <w:sz w:val="20"/>
                <w:szCs w:val="20"/>
                <w:color w:val="auto"/>
              </w:rPr>
            </w:pPr>
            <w:r>
              <w:rPr>
                <w:rFonts w:ascii="Arial" w:cs="Arial" w:eastAsia="Arial" w:hAnsi="Arial"/>
                <w:sz w:val="12"/>
                <w:szCs w:val="12"/>
                <w:b w:val="1"/>
                <w:bCs w:val="1"/>
                <w:color w:val="auto"/>
              </w:rPr>
              <w:t>2022</w:t>
            </w:r>
          </w:p>
        </w:tc>
        <w:tc>
          <w:tcPr>
            <w:tcW w:w="12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2"/>
                <w:szCs w:val="12"/>
                <w:b w:val="1"/>
                <w:bCs w:val="1"/>
                <w:color w:val="auto"/>
              </w:rPr>
              <w:t>2021</w:t>
            </w:r>
          </w:p>
        </w:tc>
      </w:tr>
      <w:tr>
        <w:trPr>
          <w:trHeight w:val="196"/>
        </w:trPr>
        <w:tc>
          <w:tcPr>
            <w:tcW w:w="4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GAAP operating (loss) income</w:t>
            </w:r>
          </w:p>
        </w:tc>
        <w:tc>
          <w:tcPr>
            <w:tcW w:w="40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(28,437)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(15,697)</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74,483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114,483</w:t>
            </w:r>
          </w:p>
        </w:tc>
      </w:tr>
      <w:tr>
        <w:trPr>
          <w:trHeight w:val="196"/>
        </w:trPr>
        <w:tc>
          <w:tcPr>
            <w:tcW w:w="4420" w:type="dxa"/>
            <w:vAlign w:val="bottom"/>
          </w:tcPr>
          <w:p>
            <w:pPr>
              <w:ind w:left="20"/>
              <w:spacing w:after="0"/>
              <w:rPr>
                <w:sz w:val="20"/>
                <w:szCs w:val="20"/>
                <w:color w:val="auto"/>
              </w:rPr>
            </w:pPr>
            <w:r>
              <w:rPr>
                <w:rFonts w:ascii="Arial" w:cs="Arial" w:eastAsia="Arial" w:hAnsi="Arial"/>
                <w:sz w:val="15"/>
                <w:szCs w:val="15"/>
                <w:color w:val="auto"/>
              </w:rPr>
              <w:t>Exclude expense (benefit) impact of:</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2"/>
        </w:trPr>
        <w:tc>
          <w:tcPr>
            <w:tcW w:w="4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43,651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42,809</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133,397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128,696</w:t>
            </w:r>
          </w:p>
        </w:tc>
      </w:tr>
      <w:tr>
        <w:trPr>
          <w:trHeight w:val="196"/>
        </w:trPr>
        <w:tc>
          <w:tcPr>
            <w:tcW w:w="4420" w:type="dxa"/>
            <w:vAlign w:val="bottom"/>
          </w:tcPr>
          <w:p>
            <w:pPr>
              <w:ind w:left="120"/>
              <w:spacing w:after="0"/>
              <w:rPr>
                <w:sz w:val="20"/>
                <w:szCs w:val="20"/>
                <w:color w:val="auto"/>
              </w:rPr>
            </w:pPr>
            <w:r>
              <w:rPr>
                <w:rFonts w:ascii="Arial" w:cs="Arial" w:eastAsia="Arial" w:hAnsi="Arial"/>
                <w:sz w:val="15"/>
                <w:szCs w:val="15"/>
                <w:color w:val="auto"/>
              </w:rPr>
              <w:t>Proceeds from insurance</w:t>
            </w:r>
          </w:p>
        </w:tc>
        <w:tc>
          <w:tcPr>
            <w:tcW w:w="4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122</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122</w:t>
            </w:r>
          </w:p>
        </w:tc>
      </w:tr>
      <w:tr>
        <w:trPr>
          <w:trHeight w:val="202"/>
        </w:trPr>
        <w:tc>
          <w:tcPr>
            <w:tcW w:w="4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Share-based compensation expense</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9,545</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36,215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23,071</w:t>
            </w:r>
          </w:p>
        </w:tc>
      </w:tr>
      <w:tr>
        <w:trPr>
          <w:trHeight w:val="196"/>
        </w:trPr>
        <w:tc>
          <w:tcPr>
            <w:tcW w:w="4420" w:type="dxa"/>
            <w:vAlign w:val="bottom"/>
          </w:tcPr>
          <w:p>
            <w:pPr>
              <w:ind w:left="120"/>
              <w:spacing w:after="0"/>
              <w:rPr>
                <w:sz w:val="20"/>
                <w:szCs w:val="20"/>
                <w:color w:val="auto"/>
              </w:rPr>
            </w:pPr>
            <w:r>
              <w:rPr>
                <w:rFonts w:ascii="Arial" w:cs="Arial" w:eastAsia="Arial" w:hAnsi="Arial"/>
                <w:sz w:val="15"/>
                <w:szCs w:val="15"/>
                <w:color w:val="auto"/>
              </w:rPr>
              <w:t>Certain impairments and other adjustments</w:t>
            </w: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20,563</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(3,216)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21,131</w:t>
            </w:r>
          </w:p>
        </w:tc>
      </w:tr>
      <w:tr>
        <w:trPr>
          <w:trHeight w:val="202"/>
        </w:trPr>
        <w:tc>
          <w:tcPr>
            <w:tcW w:w="4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Restructuring-related charges</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3,418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1,714</w:t>
            </w:r>
          </w:p>
        </w:tc>
      </w:tr>
      <w:tr>
        <w:trPr>
          <w:trHeight w:val="164"/>
        </w:trPr>
        <w:tc>
          <w:tcPr>
            <w:tcW w:w="4420" w:type="dxa"/>
            <w:vAlign w:val="bottom"/>
          </w:tcPr>
          <w:p>
            <w:pPr>
              <w:ind w:left="120"/>
              <w:spacing w:after="0" w:line="164" w:lineRule="exact"/>
              <w:rPr>
                <w:sz w:val="20"/>
                <w:szCs w:val="20"/>
                <w:color w:val="auto"/>
              </w:rPr>
            </w:pPr>
            <w:r>
              <w:rPr>
                <w:rFonts w:ascii="Arial" w:cs="Arial" w:eastAsia="Arial" w:hAnsi="Arial"/>
                <w:sz w:val="15"/>
                <w:szCs w:val="15"/>
                <w:color w:val="auto"/>
              </w:rPr>
              <w:t>Realized gains (losses) on currency derivatives not included in</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2"/>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operating (loss) income (1)</w:t>
            </w: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(1,936)</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(987)</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(2,297)</w:t>
            </w:r>
          </w:p>
        </w:tc>
      </w:tr>
      <w:tr>
        <w:trPr>
          <w:trHeight w:val="219"/>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40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33,626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55,024</w:t>
            </w: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243,310</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286,920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w:t>
      </w:r>
    </w:p>
    <w:p>
      <w:pPr>
        <w:spacing w:after="0" w:line="50" w:lineRule="exact"/>
        <w:rPr>
          <w:sz w:val="20"/>
          <w:szCs w:val="20"/>
          <w:color w:val="auto"/>
        </w:rPr>
      </w:pPr>
    </w:p>
    <w:p>
      <w:pPr>
        <w:ind w:left="220" w:right="580" w:hanging="220"/>
        <w:spacing w:after="0" w:line="256" w:lineRule="auto"/>
        <w:tabs>
          <w:tab w:leader="none" w:pos="195"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These realized gains (losses) include only the impacts of currency derivatives for which we do not apply hedge accounting. See Note 4 in our accompanying consolidated financial statements for further information.</w:t>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table below sets forth net cash provided by operating activities and adjusted free cash flow for the nine months ended March 31, 2022 and</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20" w:type="dxa"/>
            <w:vAlign w:val="bottom"/>
          </w:tcPr>
          <w:p>
            <w:pPr>
              <w:ind w:left="20"/>
              <w:spacing w:after="0"/>
              <w:rPr>
                <w:sz w:val="20"/>
                <w:szCs w:val="20"/>
                <w:color w:val="auto"/>
              </w:rPr>
            </w:pPr>
            <w:r>
              <w:rPr>
                <w:rFonts w:ascii="Arial" w:cs="Arial" w:eastAsia="Arial" w:hAnsi="Arial"/>
                <w:sz w:val="15"/>
                <w:szCs w:val="15"/>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609"/>
              <w:spacing w:after="0"/>
              <w:rPr>
                <w:sz w:val="20"/>
                <w:szCs w:val="20"/>
                <w:color w:val="auto"/>
              </w:rPr>
            </w:pPr>
            <w:r>
              <w:rPr>
                <w:rFonts w:ascii="Arial" w:cs="Arial" w:eastAsia="Arial" w:hAnsi="Arial"/>
                <w:sz w:val="12"/>
                <w:szCs w:val="12"/>
                <w:b w:val="1"/>
                <w:bCs w:val="1"/>
                <w:color w:val="auto"/>
              </w:rPr>
              <w:t>Nine Months Ended March 31,</w:t>
            </w:r>
          </w:p>
        </w:tc>
      </w:tr>
      <w:tr>
        <w:trPr>
          <w:trHeight w:val="153"/>
        </w:trPr>
        <w:tc>
          <w:tcPr>
            <w:tcW w:w="8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2021</w:t>
            </w:r>
          </w:p>
        </w:tc>
      </w:tr>
      <w:tr>
        <w:trPr>
          <w:trHeight w:val="196"/>
        </w:trPr>
        <w:tc>
          <w:tcPr>
            <w:tcW w:w="8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 (1)</w:t>
            </w:r>
          </w:p>
        </w:tc>
        <w:tc>
          <w:tcPr>
            <w:tcW w:w="34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131,716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218,948</w:t>
            </w:r>
          </w:p>
        </w:tc>
      </w:tr>
      <w:tr>
        <w:trPr>
          <w:trHeight w:val="196"/>
        </w:trPr>
        <w:tc>
          <w:tcPr>
            <w:tcW w:w="8220" w:type="dxa"/>
            <w:vAlign w:val="bottom"/>
          </w:tcPr>
          <w:p>
            <w:pPr>
              <w:ind w:left="120"/>
              <w:spacing w:after="0"/>
              <w:rPr>
                <w:sz w:val="20"/>
                <w:szCs w:val="20"/>
                <w:color w:val="auto"/>
              </w:rPr>
            </w:pPr>
            <w:r>
              <w:rPr>
                <w:rFonts w:ascii="Arial" w:cs="Arial" w:eastAsia="Arial" w:hAnsi="Arial"/>
                <w:sz w:val="15"/>
                <w:szCs w:val="15"/>
                <w:color w:val="auto"/>
              </w:rPr>
              <w:t>Purchases of property, plant and equipment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(42,142)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(22,736)</w:t>
            </w:r>
          </w:p>
        </w:tc>
      </w:tr>
      <w:tr>
        <w:trPr>
          <w:trHeight w:val="199"/>
        </w:trPr>
        <w:tc>
          <w:tcPr>
            <w:tcW w:w="82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Capitalization of software and website development costs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(49,875)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(45,321)</w:t>
            </w:r>
          </w:p>
        </w:tc>
      </w:tr>
      <w:tr>
        <w:trPr>
          <w:trHeight w:val="194"/>
        </w:trPr>
        <w:tc>
          <w:tcPr>
            <w:tcW w:w="8220" w:type="dxa"/>
            <w:vAlign w:val="bottom"/>
          </w:tcPr>
          <w:p>
            <w:pPr>
              <w:ind w:left="20"/>
              <w:spacing w:after="0"/>
              <w:rPr>
                <w:sz w:val="20"/>
                <w:szCs w:val="20"/>
                <w:color w:val="auto"/>
              </w:rPr>
            </w:pPr>
            <w:r>
              <w:rPr>
                <w:rFonts w:ascii="Arial" w:cs="Arial" w:eastAsia="Arial" w:hAnsi="Arial"/>
                <w:sz w:val="15"/>
                <w:szCs w:val="15"/>
                <w:color w:val="auto"/>
              </w:rPr>
              <w:t>Adjusted free cash flow</w:t>
            </w:r>
          </w:p>
        </w:tc>
        <w:tc>
          <w:tcPr>
            <w:tcW w:w="34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39,699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150,891</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w:t>
      </w:r>
    </w:p>
    <w:p>
      <w:pPr>
        <w:spacing w:after="0" w:line="50" w:lineRule="exact"/>
        <w:rPr>
          <w:sz w:val="20"/>
          <w:szCs w:val="20"/>
          <w:color w:val="auto"/>
        </w:rPr>
      </w:pPr>
    </w:p>
    <w:p>
      <w:pPr>
        <w:ind w:left="220" w:right="20" w:hanging="220"/>
        <w:spacing w:after="0" w:line="256" w:lineRule="auto"/>
        <w:tabs>
          <w:tab w:leader="none" w:pos="195"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decrease of net cash provided by operating activities was driven by the decrease in operating income as described earlier in this section, as well as unfavorable year-over-year impacts from changes in working capital due to significant cash preservation measures in place during the prior comparative period.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interest rate risk relates primarily to our cash, cash equivalents and debt.</w:t>
      </w:r>
    </w:p>
    <w:p>
      <w:pPr>
        <w:spacing w:after="0" w:line="208" w:lineRule="exact"/>
        <w:rPr>
          <w:sz w:val="20"/>
          <w:szCs w:val="20"/>
          <w:color w:val="auto"/>
        </w:rPr>
      </w:pPr>
    </w:p>
    <w:p>
      <w:pPr>
        <w:ind w:right="20" w:firstLine="597"/>
        <w:spacing w:after="0" w:line="247" w:lineRule="auto"/>
        <w:rPr>
          <w:sz w:val="20"/>
          <w:szCs w:val="20"/>
          <w:color w:val="auto"/>
        </w:rPr>
      </w:pPr>
      <w:r>
        <w:rPr>
          <w:rFonts w:ascii="Arial" w:cs="Arial" w:eastAsia="Arial" w:hAnsi="Arial"/>
          <w:sz w:val="17"/>
          <w:szCs w:val="17"/>
          <w:color w:val="auto"/>
        </w:rPr>
        <w:t>As of March 31, 2022,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spacing w:after="0" w:line="168" w:lineRule="exact"/>
        <w:rPr>
          <w:sz w:val="20"/>
          <w:szCs w:val="20"/>
          <w:color w:val="auto"/>
        </w:rPr>
      </w:pPr>
    </w:p>
    <w:p>
      <w:pPr>
        <w:ind w:right="20" w:firstLine="597"/>
        <w:spacing w:after="0" w:line="245" w:lineRule="auto"/>
        <w:rPr>
          <w:sz w:val="20"/>
          <w:szCs w:val="20"/>
          <w:color w:val="auto"/>
        </w:rPr>
      </w:pPr>
      <w:r>
        <w:rPr>
          <w:rFonts w:ascii="Arial" w:cs="Arial" w:eastAsia="Arial" w:hAnsi="Arial"/>
          <w:sz w:val="17"/>
          <w:szCs w:val="17"/>
          <w:color w:val="auto"/>
        </w:rPr>
        <w:t>As of March 31, 2022, we had $1,121 million of variable-rate debt. As a result, we have exposure to market risk for changes in interest rates related to these obligations. In order to mitigate our exposure to interest rate changes related to our variable rate debt, we execute interest rate swap contracts to fix the interest rate on a portion of our outstanding or forecasted long-term debt with varying maturities. As of March 31, 2022, a hypothetical 100 basis point increase in rates, inclusive of our outstanding interest rate swaps, would result in a $6.9 million impact to interest expense over the next 12 months.</w:t>
      </w:r>
    </w:p>
    <w:p>
      <w:pPr>
        <w:spacing w:after="0" w:line="166" w:lineRule="exact"/>
        <w:rPr>
          <w:sz w:val="20"/>
          <w:szCs w:val="20"/>
          <w:color w:val="auto"/>
        </w:rPr>
      </w:pPr>
    </w:p>
    <w:p>
      <w:pPr>
        <w:ind w:right="20" w:firstLine="597"/>
        <w:spacing w:after="0" w:line="251" w:lineRule="auto"/>
        <w:rPr>
          <w:sz w:val="20"/>
          <w:szCs w:val="20"/>
          <w:color w:val="auto"/>
        </w:rPr>
      </w:pPr>
      <w:r>
        <w:rPr>
          <w:rFonts w:ascii="Arial" w:cs="Arial" w:eastAsia="Arial" w:hAnsi="Arial"/>
          <w:sz w:val="17"/>
          <w:szCs w:val="17"/>
          <w:i w:val="1"/>
          <w:iCs w:val="1"/>
          <w:color w:val="auto"/>
        </w:rPr>
        <w:t xml:space="preserve">Currency Exchange Rate Risk. </w:t>
      </w:r>
      <w:r>
        <w:rPr>
          <w:rFonts w:ascii="Arial" w:cs="Arial" w:eastAsia="Arial" w:hAnsi="Arial"/>
          <w:sz w:val="17"/>
          <w:szCs w:val="17"/>
          <w:color w:val="auto"/>
        </w:rPr>
        <w:t>We conduct business in multiple currencies through our worldwide operations but report our financial results in</w:t>
      </w:r>
      <w:r>
        <w:rPr>
          <w:rFonts w:ascii="Arial" w:cs="Arial" w:eastAsia="Arial" w:hAnsi="Arial"/>
          <w:sz w:val="17"/>
          <w:szCs w:val="17"/>
          <w:i w:val="1"/>
          <w:iCs w:val="1"/>
          <w:color w:val="auto"/>
        </w:rPr>
        <w:t xml:space="preserve"> </w:t>
      </w:r>
      <w:r>
        <w:rPr>
          <w:rFonts w:ascii="Arial" w:cs="Arial" w:eastAsia="Arial" w:hAnsi="Arial"/>
          <w:sz w:val="17"/>
          <w:szCs w:val="17"/>
          <w:color w:val="auto"/>
        </w:rPr>
        <w:t>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60" w:lineRule="exact"/>
        <w:rPr>
          <w:sz w:val="20"/>
          <w:szCs w:val="20"/>
          <w:color w:val="auto"/>
        </w:rPr>
      </w:pPr>
    </w:p>
    <w:p>
      <w:pPr>
        <w:ind w:left="600" w:right="180" w:hanging="302"/>
        <w:spacing w:after="0" w:line="253" w:lineRule="auto"/>
        <w:tabs>
          <w:tab w:leader="none" w:pos="596"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Translation of our non-U.S. dollar revenues and expenses: </w:t>
      </w:r>
      <w:r>
        <w:rPr>
          <w:rFonts w:ascii="Arial" w:cs="Arial" w:eastAsia="Arial" w:hAnsi="Arial"/>
          <w:sz w:val="17"/>
          <w:szCs w:val="17"/>
          <w:color w:val="auto"/>
        </w:rPr>
        <w:t>Revenue and related expenses generated in currencies other than the U.S. dollar</w:t>
      </w:r>
      <w:r>
        <w:rPr>
          <w:rFonts w:ascii="Arial" w:cs="Arial" w:eastAsia="Arial" w:hAnsi="Arial"/>
          <w:sz w:val="17"/>
          <w:szCs w:val="17"/>
          <w:i w:val="1"/>
          <w:iCs w:val="1"/>
          <w:color w:val="auto"/>
        </w:rPr>
        <w:t xml:space="preserve"> </w:t>
      </w:r>
      <w:r>
        <w:rPr>
          <w:rFonts w:ascii="Arial" w:cs="Arial" w:eastAsia="Arial" w:hAnsi="Arial"/>
          <w:sz w:val="17"/>
          <w:szCs w:val="17"/>
          <w:color w:val="auto"/>
        </w:rPr>
        <w:t>could result in higher or lower net loss when, upon consolidation, those transactions are translated to U.S. dollars. When the value or timing of revenue and expenses in a given currency are materially different, we may be exposed to significant impacts on our net loss and non-GAAP financial metrics, such as adjusted EBITDA.</w:t>
      </w:r>
    </w:p>
    <w:p>
      <w:pPr>
        <w:spacing w:after="0" w:line="164" w:lineRule="exact"/>
        <w:rPr>
          <w:rFonts w:ascii="Arial" w:cs="Arial" w:eastAsia="Arial" w:hAnsi="Arial"/>
          <w:sz w:val="17"/>
          <w:szCs w:val="17"/>
          <w:color w:val="auto"/>
        </w:rPr>
      </w:pPr>
    </w:p>
    <w:p>
      <w:pPr>
        <w:ind w:left="600" w:right="60"/>
        <w:spacing w:after="0" w:line="246" w:lineRule="auto"/>
        <w:rPr>
          <w:rFonts w:ascii="Arial" w:cs="Arial" w:eastAsia="Arial" w:hAnsi="Arial"/>
          <w:sz w:val="17"/>
          <w:szCs w:val="17"/>
          <w:color w:val="auto"/>
        </w:rPr>
      </w:pPr>
      <w:r>
        <w:rPr>
          <w:rFonts w:ascii="Arial" w:cs="Arial" w:eastAsia="Arial" w:hAnsi="Arial"/>
          <w:sz w:val="17"/>
          <w:szCs w:val="17"/>
          <w:color w:val="auto"/>
        </w:rPr>
        <w:t>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we may experience increased, not decreased, volatility in our GAAP results due to our hedging approach. Our most significant net currency exposures by volume are in the Euro and British Pound.</w:t>
      </w:r>
    </w:p>
    <w:p>
      <w:pPr>
        <w:spacing w:after="0" w:line="181" w:lineRule="exact"/>
        <w:rPr>
          <w:rFonts w:ascii="Arial" w:cs="Arial" w:eastAsia="Arial" w:hAnsi="Arial"/>
          <w:sz w:val="17"/>
          <w:szCs w:val="17"/>
          <w:color w:val="auto"/>
        </w:rPr>
      </w:pPr>
    </w:p>
    <w:p>
      <w:pPr>
        <w:ind w:left="600" w:right="40"/>
        <w:spacing w:after="0" w:line="246" w:lineRule="auto"/>
        <w:rPr>
          <w:rFonts w:ascii="Arial" w:cs="Arial" w:eastAsia="Arial" w:hAnsi="Arial"/>
          <w:sz w:val="17"/>
          <w:szCs w:val="17"/>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income (expense), net, on the mark-to-market of outstanding contracts and (ii) realized gains and losses recognized in other income (expense), net, whereas the offsetting economic gains and losses are reported in the line item of the underlying activity, for example, revenue.</w:t>
      </w:r>
    </w:p>
    <w:p>
      <w:pPr>
        <w:spacing w:after="0" w:line="163" w:lineRule="exact"/>
        <w:rPr>
          <w:rFonts w:ascii="Arial" w:cs="Arial" w:eastAsia="Arial" w:hAnsi="Arial"/>
          <w:sz w:val="17"/>
          <w:szCs w:val="17"/>
          <w:color w:val="auto"/>
        </w:rPr>
      </w:pPr>
    </w:p>
    <w:p>
      <w:pPr>
        <w:ind w:left="600" w:right="20" w:hanging="302"/>
        <w:spacing w:after="0" w:line="253" w:lineRule="auto"/>
        <w:tabs>
          <w:tab w:leader="none" w:pos="596"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Translation of our non-U.S. dollar assets and liabilities</w:t>
      </w:r>
      <w:r>
        <w:rPr>
          <w:rFonts w:ascii="Arial" w:cs="Arial" w:eastAsia="Arial" w:hAnsi="Arial"/>
          <w:sz w:val="17"/>
          <w:szCs w:val="17"/>
          <w:color w:val="auto"/>
        </w:rPr>
        <w:t>: Each of our subsidiaries translates its assets and liabilities to U.S. dollars at current rates</w:t>
      </w:r>
      <w:r>
        <w:rPr>
          <w:rFonts w:ascii="Arial" w:cs="Arial" w:eastAsia="Arial" w:hAnsi="Arial"/>
          <w:sz w:val="17"/>
          <w:szCs w:val="17"/>
          <w:i w:val="1"/>
          <w:iCs w:val="1"/>
          <w:color w:val="auto"/>
        </w:rPr>
        <w:t xml:space="preserve"> </w:t>
      </w:r>
      <w:r>
        <w:rPr>
          <w:rFonts w:ascii="Arial" w:cs="Arial" w:eastAsia="Arial" w:hAnsi="Arial"/>
          <w:sz w:val="17"/>
          <w:szCs w:val="17"/>
          <w:color w:val="auto"/>
        </w:rPr>
        <w:t>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w:t>
      </w:r>
    </w:p>
    <w:p>
      <w:pPr>
        <w:spacing w:after="0" w:line="214" w:lineRule="exact"/>
        <w:rPr>
          <w:rFonts w:ascii="Arial" w:cs="Arial" w:eastAsia="Arial" w:hAnsi="Arial"/>
          <w:sz w:val="17"/>
          <w:szCs w:val="17"/>
          <w:color w:val="auto"/>
        </w:rPr>
      </w:pPr>
    </w:p>
    <w:p>
      <w:pPr>
        <w:ind w:left="600" w:right="160"/>
        <w:spacing w:after="0" w:line="250" w:lineRule="auto"/>
        <w:rPr>
          <w:rFonts w:ascii="Arial" w:cs="Arial" w:eastAsia="Arial" w:hAnsi="Arial"/>
          <w:sz w:val="17"/>
          <w:szCs w:val="17"/>
          <w:color w:val="auto"/>
        </w:rPr>
      </w:pPr>
      <w:r>
        <w:rPr>
          <w:rFonts w:ascii="Arial" w:cs="Arial" w:eastAsia="Arial" w:hAnsi="Arial"/>
          <w:sz w:val="17"/>
          <w:szCs w:val="17"/>
          <w:color w:val="auto"/>
        </w:rPr>
        <w:t>We have currency exposure arising from our net investments in foreign operations. We enter into currency derivatives to mitigate the impact of currency rate changes on certain net investments.</w:t>
      </w:r>
    </w:p>
    <w:p>
      <w:pPr>
        <w:spacing w:after="0" w:line="147" w:lineRule="exact"/>
        <w:rPr>
          <w:rFonts w:ascii="Arial" w:cs="Arial" w:eastAsia="Arial" w:hAnsi="Arial"/>
          <w:sz w:val="17"/>
          <w:szCs w:val="17"/>
          <w:color w:val="auto"/>
        </w:rPr>
      </w:pPr>
    </w:p>
    <w:p>
      <w:pPr>
        <w:ind w:left="600" w:hanging="302"/>
        <w:spacing w:after="0" w:line="251" w:lineRule="auto"/>
        <w:tabs>
          <w:tab w:leader="none" w:pos="596"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Remeasurement of monetary assets and liabilities: </w:t>
      </w:r>
      <w:r>
        <w:rPr>
          <w:rFonts w:ascii="Arial" w:cs="Arial" w:eastAsia="Arial" w:hAnsi="Arial"/>
          <w:sz w:val="17"/>
          <w:szCs w:val="17"/>
          <w:color w:val="auto"/>
        </w:rPr>
        <w:t>Transaction gains and losses generated from remeasurement of monetary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denominated in currencies other than the functional currency of a subsidiary are included in other income (expense),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(expense), net. We expect these impacts may be volatile in the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180"/>
          </w:cols>
          <w:pgMar w:left="320" w:top="1264" w:right="399" w:bottom="1440" w:gutter="0" w:footer="0" w:header="0"/>
        </w:sectPr>
      </w:pPr>
    </w:p>
    <w:bookmarkStart w:id="50" w:name="page51"/>
    <w:bookmarkEnd w:id="50"/>
    <w:p>
      <w:pPr>
        <w:ind w:left="600"/>
        <w:spacing w:after="0" w:line="245" w:lineRule="auto"/>
        <w:rPr>
          <w:sz w:val="20"/>
          <w:szCs w:val="20"/>
          <w:color w:val="auto"/>
        </w:rPr>
      </w:pPr>
      <w:r>
        <w:rPr>
          <w:rFonts w:ascii="Arial" w:cs="Arial" w:eastAsia="Arial" w:hAnsi="Arial"/>
          <w:sz w:val="17"/>
          <w:szCs w:val="17"/>
          <w:color w:val="auto"/>
        </w:rPr>
        <w:t>future, although our largest intercompany loans do not have a U.S. dollar cash impact for the consolidated group because they are either 1) U.S. dollar loans or 2) we elect to hedge certain non-U.S. dollar loans with cross-currency swaps and forward contracts. A hypothetical 10% change in currency exchange rates was applied to total net monetary assets denominated in currencies other than the functional currencies at the balance sheet dates to compute the impact these changes would have had on our income before taxes in the near term. The balances are inclusive of the notional value of any cross-currency swaps designated as cash flow hedges. A hypothetical decrease in exchange rates of 10% against the functional currency of our subsidiaries would have resulted in a change of $1.1 million and $3.3 million on our (loss) income before income taxes for the three months ended March 31, 2022 and 2021,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11" w:lineRule="exact"/>
        <w:rPr>
          <w:sz w:val="20"/>
          <w:szCs w:val="20"/>
          <w:color w:val="auto"/>
        </w:rPr>
      </w:pPr>
    </w:p>
    <w:p>
      <w:pPr>
        <w:ind w:right="120" w:firstLine="597"/>
        <w:spacing w:after="0" w:line="244"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March 31, 2022.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2022, our chief executive officer and chief financial officer concluded that, as of such date, our disclosure controls and procedures were effective at the reasonable assurance level.</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1" w:lineRule="exact"/>
        <w:rPr>
          <w:sz w:val="20"/>
          <w:szCs w:val="20"/>
          <w:color w:val="auto"/>
        </w:rPr>
      </w:pPr>
    </w:p>
    <w:p>
      <w:pPr>
        <w:jc w:val="both"/>
        <w:ind w:firstLine="597"/>
        <w:spacing w:after="0" w:line="247" w:lineRule="auto"/>
        <w:rPr>
          <w:sz w:val="20"/>
          <w:szCs w:val="20"/>
          <w:color w:val="auto"/>
        </w:rPr>
      </w:pPr>
      <w:r>
        <w:rPr>
          <w:rFonts w:ascii="Arial" w:cs="Arial" w:eastAsia="Arial" w:hAnsi="Arial"/>
          <w:sz w:val="17"/>
          <w:szCs w:val="17"/>
          <w:color w:val="auto"/>
        </w:rPr>
        <w:t>There were no significant changes in our internal control over financial reporting (as defined in Rules 13a -15(f) and 15d-15(f) under the Exchange Act) during the three months ended March 31, 2022 that materially affected, or are reasonably likely to materially affect, our internal control over financial reporting.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OTHER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10" w:lineRule="exact"/>
        <w:rPr>
          <w:sz w:val="20"/>
          <w:szCs w:val="20"/>
          <w:color w:val="auto"/>
        </w:rPr>
      </w:pPr>
    </w:p>
    <w:p>
      <w:pPr>
        <w:ind w:right="140" w:firstLine="597"/>
        <w:spacing w:after="0" w:line="250"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Item 1 of Part I, “Financial Statements - Note 13 — Commitments and Contingencies,” in the accompanying notes to the consolidated financial statements included in this Report.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are adding the following to the risk factors we disclosed in our Form 10-K for the fiscal year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Rising costs could negatively affect our business and financial results</w:t>
      </w:r>
    </w:p>
    <w:p>
      <w:pPr>
        <w:spacing w:after="0" w:line="198" w:lineRule="exact"/>
        <w:rPr>
          <w:sz w:val="20"/>
          <w:szCs w:val="20"/>
          <w:color w:val="auto"/>
        </w:rPr>
      </w:pPr>
    </w:p>
    <w:p>
      <w:pPr>
        <w:ind w:right="80" w:firstLine="597"/>
        <w:spacing w:after="0" w:line="264" w:lineRule="auto"/>
        <w:rPr>
          <w:sz w:val="20"/>
          <w:szCs w:val="20"/>
          <w:color w:val="auto"/>
        </w:rPr>
      </w:pPr>
      <w:r>
        <w:rPr>
          <w:rFonts w:ascii="Arial" w:cs="Arial" w:eastAsia="Arial" w:hAnsi="Arial"/>
          <w:sz w:val="16"/>
          <w:szCs w:val="16"/>
          <w:color w:val="auto"/>
        </w:rPr>
        <w:t>Due to supply chain challenges and other inflationary pressures, each of our reportable segments is experiencing material cost increases in a number of areas, including energy, product substrates like paper, production materials like aluminum plates, freight and shipping charges, and employee compensation due to a more competitive labor market. We cannot predict whether costs will continue to increase or by how much. We have not been able to fully mitigate these cost increases through price increases. If our costs continue to increase, there could be further negative impacts to our financial results, and increasing our prices in response to increased costs could negatively affect demand for our products and services.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 and Financial Statement Schedules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10120" w:type="dxa"/>
            <w:vAlign w:val="bottom"/>
          </w:tcPr>
          <w:p>
            <w:pPr>
              <w:ind w:left="4900"/>
              <w:spacing w:after="0"/>
              <w:rPr>
                <w:sz w:val="20"/>
                <w:szCs w:val="20"/>
                <w:color w:val="auto"/>
              </w:rPr>
            </w:pPr>
            <w:r>
              <w:rPr>
                <w:rFonts w:ascii="Arial" w:cs="Arial" w:eastAsia="Arial" w:hAnsi="Arial"/>
                <w:sz w:val="13"/>
                <w:szCs w:val="13"/>
                <w:b w:val="1"/>
                <w:bCs w:val="1"/>
                <w:color w:val="auto"/>
              </w:rPr>
              <w:t>Description</w:t>
            </w:r>
          </w:p>
        </w:tc>
      </w:tr>
      <w:tr>
        <w:trPr>
          <w:trHeight w:val="159"/>
        </w:trPr>
        <w:tc>
          <w:tcPr>
            <w:tcW w:w="280" w:type="dxa"/>
            <w:vAlign w:val="bottom"/>
            <w:tcBorders>
              <w:bottom w:val="single" w:sz="8" w:color="0000FF"/>
            </w:tcBorders>
          </w:tcPr>
          <w:p>
            <w:pPr>
              <w:spacing w:after="0" w:line="159" w:lineRule="exact"/>
              <w:rPr>
                <w:rFonts w:ascii="Arial" w:cs="Arial" w:eastAsia="Arial" w:hAnsi="Arial"/>
                <w:sz w:val="15"/>
                <w:szCs w:val="15"/>
                <w:color w:val="0000FF"/>
                <w:w w:val="88"/>
              </w:rPr>
            </w:pPr>
            <w:hyperlink w:anchor="page54">
              <w:r>
                <w:rPr>
                  <w:rFonts w:ascii="Arial" w:cs="Arial" w:eastAsia="Arial" w:hAnsi="Arial"/>
                  <w:sz w:val="15"/>
                  <w:szCs w:val="15"/>
                  <w:color w:val="0000FF"/>
                  <w:w w:val="88"/>
                </w:rPr>
                <w:t>31.</w:t>
              </w:r>
              <w:r>
                <w:rPr>
                  <w:rFonts w:ascii="Arial" w:cs="Arial" w:eastAsia="Arial" w:hAnsi="Arial"/>
                  <w:sz w:val="15"/>
                  <w:szCs w:val="15"/>
                  <w:u w:val="single" w:color="auto"/>
                  <w:color w:val="0000FF"/>
                  <w:w w:val="88"/>
                </w:rPr>
                <w:t>1</w:t>
              </w:r>
            </w:hyperlink>
          </w:p>
        </w:tc>
        <w:tc>
          <w:tcPr>
            <w:tcW w:w="500" w:type="dxa"/>
            <w:vAlign w:val="bottom"/>
          </w:tcPr>
          <w:p>
            <w:pPr>
              <w:spacing w:after="0"/>
              <w:rPr>
                <w:sz w:val="13"/>
                <w:szCs w:val="13"/>
                <w:color w:val="auto"/>
              </w:rPr>
            </w:pPr>
          </w:p>
        </w:tc>
        <w:tc>
          <w:tcPr>
            <w:tcW w:w="10120" w:type="dxa"/>
            <w:vAlign w:val="bottom"/>
          </w:tcPr>
          <w:p>
            <w:pPr>
              <w:ind w:left="80"/>
              <w:spacing w:after="0" w:line="159" w:lineRule="exact"/>
              <w:rPr>
                <w:sz w:val="20"/>
                <w:szCs w:val="20"/>
                <w:color w:val="auto"/>
              </w:rPr>
            </w:pPr>
            <w:r>
              <w:rPr>
                <w:rFonts w:ascii="Arial" w:cs="Arial" w:eastAsia="Arial" w:hAnsi="Arial"/>
                <w:sz w:val="15"/>
                <w:szCs w:val="15"/>
                <w:color w:val="auto"/>
              </w:rPr>
              <w:t>Certification pursuant to Section 302 of the Sarbanes-Oxley Act of 2002, Rule 13a-14(a)/15d-14(a), by Chief Executive Officer</w:t>
            </w:r>
          </w:p>
        </w:tc>
      </w:tr>
      <w:tr>
        <w:trPr>
          <w:trHeight w:val="179"/>
        </w:trPr>
        <w:tc>
          <w:tcPr>
            <w:tcW w:w="280" w:type="dxa"/>
            <w:vAlign w:val="bottom"/>
            <w:tcBorders>
              <w:bottom w:val="single" w:sz="8" w:color="0000FF"/>
            </w:tcBorders>
          </w:tcPr>
          <w:p>
            <w:pPr>
              <w:spacing w:after="0"/>
              <w:rPr>
                <w:rFonts w:ascii="Arial" w:cs="Arial" w:eastAsia="Arial" w:hAnsi="Arial"/>
                <w:sz w:val="15"/>
                <w:szCs w:val="15"/>
                <w:color w:val="0000FF"/>
                <w:w w:val="88"/>
              </w:rPr>
            </w:pPr>
            <w:hyperlink w:anchor="page55">
              <w:r>
                <w:rPr>
                  <w:rFonts w:ascii="Arial" w:cs="Arial" w:eastAsia="Arial" w:hAnsi="Arial"/>
                  <w:sz w:val="15"/>
                  <w:szCs w:val="15"/>
                  <w:color w:val="0000FF"/>
                  <w:w w:val="88"/>
                </w:rPr>
                <w:t>31.</w:t>
              </w:r>
              <w:r>
                <w:rPr>
                  <w:rFonts w:ascii="Arial" w:cs="Arial" w:eastAsia="Arial" w:hAnsi="Arial"/>
                  <w:sz w:val="15"/>
                  <w:szCs w:val="15"/>
                  <w:u w:val="single" w:color="auto"/>
                  <w:color w:val="0000FF"/>
                  <w:w w:val="88"/>
                </w:rPr>
                <w:t>2</w:t>
              </w:r>
            </w:hyperlink>
          </w:p>
        </w:tc>
        <w:tc>
          <w:tcPr>
            <w:tcW w:w="500" w:type="dxa"/>
            <w:vAlign w:val="bottom"/>
          </w:tcPr>
          <w:p>
            <w:pPr>
              <w:spacing w:after="0"/>
              <w:rPr>
                <w:sz w:val="15"/>
                <w:szCs w:val="15"/>
                <w:color w:val="auto"/>
              </w:rPr>
            </w:pPr>
          </w:p>
        </w:tc>
        <w:tc>
          <w:tcPr>
            <w:tcW w:w="10120" w:type="dxa"/>
            <w:vAlign w:val="bottom"/>
          </w:tcPr>
          <w:p>
            <w:pPr>
              <w:ind w:left="80"/>
              <w:spacing w:after="0"/>
              <w:rPr>
                <w:sz w:val="20"/>
                <w:szCs w:val="20"/>
                <w:color w:val="auto"/>
              </w:rPr>
            </w:pPr>
            <w:r>
              <w:rPr>
                <w:rFonts w:ascii="Arial" w:cs="Arial" w:eastAsia="Arial" w:hAnsi="Arial"/>
                <w:sz w:val="15"/>
                <w:szCs w:val="15"/>
                <w:color w:val="auto"/>
              </w:rPr>
              <w:t>Certification pursuant to Section 302 of the Sarbanes-Oxley Act of 2002, Rule 13a-14(a)/15d-14(a), by Chief Financial Officer</w:t>
            </w:r>
          </w:p>
        </w:tc>
      </w:tr>
      <w:tr>
        <w:trPr>
          <w:trHeight w:val="179"/>
        </w:trPr>
        <w:tc>
          <w:tcPr>
            <w:tcW w:w="280" w:type="dxa"/>
            <w:vAlign w:val="bottom"/>
            <w:tcBorders>
              <w:bottom w:val="single" w:sz="8" w:color="0000FF"/>
            </w:tcBorders>
          </w:tcPr>
          <w:p>
            <w:pPr>
              <w:spacing w:after="0"/>
              <w:rPr>
                <w:rFonts w:ascii="Arial" w:cs="Arial" w:eastAsia="Arial" w:hAnsi="Arial"/>
                <w:sz w:val="15"/>
                <w:szCs w:val="15"/>
                <w:color w:val="0000FF"/>
                <w:w w:val="88"/>
              </w:rPr>
            </w:pPr>
            <w:hyperlink w:anchor="page56">
              <w:r>
                <w:rPr>
                  <w:rFonts w:ascii="Arial" w:cs="Arial" w:eastAsia="Arial" w:hAnsi="Arial"/>
                  <w:sz w:val="15"/>
                  <w:szCs w:val="15"/>
                  <w:color w:val="0000FF"/>
                  <w:w w:val="88"/>
                </w:rPr>
                <w:t>32.</w:t>
              </w:r>
              <w:r>
                <w:rPr>
                  <w:rFonts w:ascii="Arial" w:cs="Arial" w:eastAsia="Arial" w:hAnsi="Arial"/>
                  <w:sz w:val="15"/>
                  <w:szCs w:val="15"/>
                  <w:u w:val="single" w:color="auto"/>
                  <w:color w:val="0000FF"/>
                  <w:w w:val="88"/>
                </w:rPr>
                <w:t>1</w:t>
              </w:r>
            </w:hyperlink>
          </w:p>
        </w:tc>
        <w:tc>
          <w:tcPr>
            <w:tcW w:w="500" w:type="dxa"/>
            <w:vAlign w:val="bottom"/>
          </w:tcPr>
          <w:p>
            <w:pPr>
              <w:spacing w:after="0"/>
              <w:rPr>
                <w:sz w:val="15"/>
                <w:szCs w:val="15"/>
                <w:color w:val="auto"/>
              </w:rPr>
            </w:pPr>
          </w:p>
        </w:tc>
        <w:tc>
          <w:tcPr>
            <w:tcW w:w="10120" w:type="dxa"/>
            <w:vAlign w:val="bottom"/>
          </w:tcPr>
          <w:p>
            <w:pPr>
              <w:ind w:left="80"/>
              <w:spacing w:after="0"/>
              <w:rPr>
                <w:sz w:val="20"/>
                <w:szCs w:val="20"/>
                <w:color w:val="auto"/>
              </w:rPr>
            </w:pPr>
            <w:r>
              <w:rPr>
                <w:rFonts w:ascii="Arial" w:cs="Arial" w:eastAsia="Arial" w:hAnsi="Arial"/>
                <w:sz w:val="15"/>
                <w:szCs w:val="15"/>
                <w:color w:val="auto"/>
                <w:w w:val="99"/>
              </w:rPr>
              <w:t>Certification pursuant to 18 U.S.C. Section 1350, as adopted pursuant to Section 906 of the Sarbanes-Oxley Act of 2002, by Chief Executive Officer and</w:t>
            </w:r>
          </w:p>
        </w:tc>
      </w:tr>
      <w:tr>
        <w:trPr>
          <w:trHeight w:val="161"/>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120" w:type="dxa"/>
            <w:vAlign w:val="bottom"/>
          </w:tcPr>
          <w:p>
            <w:pPr>
              <w:ind w:left="80"/>
              <w:spacing w:after="0" w:line="161" w:lineRule="exact"/>
              <w:rPr>
                <w:sz w:val="20"/>
                <w:szCs w:val="20"/>
                <w:color w:val="auto"/>
              </w:rPr>
            </w:pPr>
            <w:r>
              <w:rPr>
                <w:rFonts w:ascii="Arial" w:cs="Arial" w:eastAsia="Arial" w:hAnsi="Arial"/>
                <w:sz w:val="15"/>
                <w:szCs w:val="15"/>
                <w:color w:val="auto"/>
              </w:rPr>
              <w:t>Chief Financial Officer</w:t>
            </w:r>
          </w:p>
        </w:tc>
      </w:tr>
    </w:tbl>
    <w:p>
      <w:pPr>
        <w:spacing w:after="0" w:line="20" w:lineRule="exact"/>
        <w:rPr>
          <w:sz w:val="20"/>
          <w:szCs w:val="20"/>
          <w:color w:val="auto"/>
        </w:rPr>
      </w:pPr>
    </w:p>
    <w:p>
      <w:pPr>
        <w:ind w:left="880" w:hanging="864"/>
        <w:spacing w:after="0" w:line="221" w:lineRule="auto"/>
        <w:tabs>
          <w:tab w:leader="none" w:pos="8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following materials from this Annual Report on Form 10-Q, formatted in Inline Extensible Business Reporting Language (iXBRL): (i) Consolidated Balance Sheets, (ii) Consolidated Statements of Operations, (iii) Statements of Shareholder's Equity, (iv) Consolidated Statements of Cash Flows and (v) Notes to Consolidated Financial Statements.</w:t>
      </w:r>
    </w:p>
    <w:p>
      <w:pPr>
        <w:spacing w:after="0" w:line="21" w:lineRule="exact"/>
        <w:rPr>
          <w:sz w:val="20"/>
          <w:szCs w:val="20"/>
          <w:color w:val="auto"/>
        </w:rPr>
      </w:pPr>
    </w:p>
    <w:p>
      <w:pPr>
        <w:ind w:left="880" w:hanging="864"/>
        <w:spacing w:after="0"/>
        <w:tabs>
          <w:tab w:leader="none" w:pos="8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Cover Page Interactive Data File (formatted as iXBRL and contained in Exhibit 101)</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8"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6851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8515" cy="41275"/>
                    </a:xfrm>
                    <a:prstGeom prst="rect">
                      <a:avLst/>
                    </a:prstGeom>
                    <a:noFill/>
                  </pic:spPr>
                </pic:pic>
              </a:graphicData>
            </a:graphic>
          </wp:anchor>
        </w:drawing>
      </w:r>
    </w:p>
    <w:p>
      <w:pPr>
        <w:sectPr>
          <w:pgSz w:w="11900" w:h="16838" w:orient="portrait"/>
          <w:cols w:equalWidth="0" w:num="1">
            <w:col w:w="10980"/>
          </w:cols>
          <w:pgMar w:left="320" w:top="1015" w:right="599" w:bottom="1440" w:gutter="0" w:footer="0" w:header="0"/>
        </w:sectPr>
      </w:pPr>
    </w:p>
    <w:bookmarkStart w:id="52" w:name="page53"/>
    <w:bookmarkEnd w:id="52"/>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136" w:lineRule="exact"/>
        <w:rPr>
          <w:sz w:val="20"/>
          <w:szCs w:val="20"/>
          <w:color w:val="auto"/>
        </w:rPr>
      </w:pPr>
    </w:p>
    <w:p>
      <w:pPr>
        <w:ind w:firstLine="597"/>
        <w:spacing w:after="0" w:line="25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15" w:lineRule="exact"/>
        <w:rPr>
          <w:sz w:val="20"/>
          <w:szCs w:val="20"/>
          <w:color w:val="auto"/>
        </w:rPr>
      </w:pPr>
    </w:p>
    <w:p>
      <w:pPr>
        <w:spacing w:after="0"/>
        <w:tabs>
          <w:tab w:leader="none" w:pos="2160" w:val="left"/>
        </w:tabs>
        <w:rPr>
          <w:sz w:val="20"/>
          <w:szCs w:val="20"/>
          <w:color w:val="auto"/>
        </w:rPr>
      </w:pPr>
      <w:r>
        <w:rPr>
          <w:rFonts w:ascii="Arial" w:cs="Arial" w:eastAsia="Arial" w:hAnsi="Arial"/>
          <w:sz w:val="17"/>
          <w:szCs w:val="17"/>
          <w:color w:val="auto"/>
        </w:rPr>
        <w:t>April 28, 2022</w:t>
      </w:r>
      <w:r>
        <w:rPr>
          <w:sz w:val="20"/>
          <w:szCs w:val="20"/>
          <w:color w:val="auto"/>
        </w:rPr>
        <w:tab/>
      </w:r>
      <w:r>
        <w:rPr>
          <w:rFonts w:ascii="Arial" w:cs="Arial" w:eastAsia="Arial" w:hAnsi="Arial"/>
          <w:sz w:val="16"/>
          <w:szCs w:val="16"/>
          <w:color w:val="auto"/>
        </w:rPr>
        <w:t>Cimpress plc</w:t>
      </w:r>
    </w:p>
    <w:p>
      <w:pPr>
        <w:spacing w:after="0" w:line="340" w:lineRule="exact"/>
        <w:rPr>
          <w:sz w:val="20"/>
          <w:szCs w:val="20"/>
          <w:color w:val="auto"/>
        </w:rPr>
      </w:pPr>
    </w:p>
    <w:p>
      <w:pPr>
        <w:ind w:left="5480"/>
        <w:spacing w:after="0"/>
        <w:tabs>
          <w:tab w:leader="none" w:pos="79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2540</wp:posOffset>
            </wp:positionV>
            <wp:extent cx="330263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8200"/>
        <w:spacing w:after="0"/>
        <w:rPr>
          <w:sz w:val="20"/>
          <w:szCs w:val="20"/>
          <w:color w:val="auto"/>
        </w:rPr>
      </w:pPr>
      <w:r>
        <w:rPr>
          <w:rFonts w:ascii="Arial" w:cs="Arial" w:eastAsia="Arial" w:hAnsi="Arial"/>
          <w:sz w:val="13"/>
          <w:szCs w:val="13"/>
          <w:b w:val="1"/>
          <w:bCs w:val="1"/>
          <w:color w:val="auto"/>
        </w:rPr>
        <w:t>Sean E. Quinn</w:t>
      </w:r>
    </w:p>
    <w:p>
      <w:pPr>
        <w:spacing w:after="0" w:line="16" w:lineRule="exact"/>
        <w:rPr>
          <w:sz w:val="20"/>
          <w:szCs w:val="20"/>
          <w:color w:val="auto"/>
        </w:rPr>
      </w:pPr>
    </w:p>
    <w:p>
      <w:pPr>
        <w:ind w:left="7940"/>
        <w:spacing w:after="0"/>
        <w:rPr>
          <w:sz w:val="20"/>
          <w:szCs w:val="20"/>
          <w:color w:val="auto"/>
        </w:rPr>
      </w:pPr>
      <w:r>
        <w:rPr>
          <w:rFonts w:ascii="Arial" w:cs="Arial" w:eastAsia="Arial" w:hAnsi="Arial"/>
          <w:sz w:val="13"/>
          <w:szCs w:val="13"/>
          <w:b w:val="1"/>
          <w:bCs w:val="1"/>
          <w:color w:val="auto"/>
        </w:rPr>
        <w:t>Chief Financial Officer</w:t>
      </w:r>
    </w:p>
    <w:p>
      <w:pPr>
        <w:ind w:left="7260"/>
        <w:spacing w:after="0"/>
        <w:rPr>
          <w:sz w:val="20"/>
          <w:szCs w:val="20"/>
          <w:color w:val="auto"/>
        </w:rPr>
      </w:pPr>
      <w:r>
        <w:rPr>
          <w:rFonts w:ascii="Arial" w:cs="Arial" w:eastAsia="Arial" w:hAnsi="Arial"/>
          <w:sz w:val="13"/>
          <w:szCs w:val="13"/>
          <w:b w:val="1"/>
          <w:bCs w:val="1"/>
          <w:color w:val="auto"/>
        </w:rPr>
        <w:t>(Principal Financial and Accounting Officer)</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120"/>
          </w:cols>
          <w:pgMar w:left="320" w:top="1027" w:right="45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31.1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 Robert S. Keane, certify that:</w:t>
      </w:r>
    </w:p>
    <w:p>
      <w:pPr>
        <w:spacing w:after="0" w:line="103" w:lineRule="exact"/>
        <w:rPr>
          <w:sz w:val="20"/>
          <w:szCs w:val="20"/>
          <w:color w:val="auto"/>
        </w:rPr>
      </w:pPr>
    </w:p>
    <w:p>
      <w:pPr>
        <w:ind w:left="580" w:hanging="282"/>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78" w:lineRule="exact"/>
        <w:rPr>
          <w:rFonts w:ascii="Arial" w:cs="Arial" w:eastAsia="Arial" w:hAnsi="Arial"/>
          <w:sz w:val="17"/>
          <w:szCs w:val="17"/>
          <w:color w:val="auto"/>
        </w:rPr>
      </w:pPr>
    </w:p>
    <w:p>
      <w:pPr>
        <w:jc w:val="both"/>
        <w:ind w:left="600" w:right="200" w:hanging="302"/>
        <w:spacing w:after="0" w:line="214" w:lineRule="auto"/>
        <w:tabs>
          <w:tab w:leader="none" w:pos="589"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7"/>
          <w:szCs w:val="17"/>
          <w:color w:val="auto"/>
        </w:rPr>
      </w:pPr>
    </w:p>
    <w:p>
      <w:pPr>
        <w:ind w:left="600" w:right="60" w:hanging="302"/>
        <w:spacing w:after="0" w:line="222" w:lineRule="auto"/>
        <w:tabs>
          <w:tab w:leader="none" w:pos="589"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7"/>
          <w:szCs w:val="17"/>
          <w:color w:val="auto"/>
        </w:rPr>
      </w:pPr>
    </w:p>
    <w:p>
      <w:pPr>
        <w:ind w:left="600" w:right="60" w:hanging="302"/>
        <w:spacing w:after="0" w:line="214" w:lineRule="auto"/>
        <w:tabs>
          <w:tab w:leader="none" w:pos="589"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7"/>
          <w:szCs w:val="17"/>
          <w:color w:val="auto"/>
        </w:rPr>
      </w:pPr>
    </w:p>
    <w:p>
      <w:pPr>
        <w:ind w:left="1200" w:right="120" w:hanging="305"/>
        <w:spacing w:after="0" w:line="214" w:lineRule="auto"/>
        <w:tabs>
          <w:tab w:leader="none" w:pos="1189"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1" w:lineRule="exact"/>
        <w:rPr>
          <w:rFonts w:ascii="Arial" w:cs="Arial" w:eastAsia="Arial" w:hAnsi="Arial"/>
          <w:sz w:val="17"/>
          <w:szCs w:val="17"/>
          <w:color w:val="auto"/>
        </w:rPr>
      </w:pPr>
    </w:p>
    <w:p>
      <w:pPr>
        <w:ind w:left="1200" w:right="40" w:hanging="305"/>
        <w:spacing w:after="0" w:line="214" w:lineRule="auto"/>
        <w:tabs>
          <w:tab w:leader="none" w:pos="1189"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7"/>
          <w:szCs w:val="17"/>
          <w:color w:val="auto"/>
        </w:rPr>
      </w:pPr>
    </w:p>
    <w:p>
      <w:pPr>
        <w:jc w:val="both"/>
        <w:ind w:left="1200" w:right="40" w:hanging="305"/>
        <w:spacing w:after="0" w:line="236" w:lineRule="auto"/>
        <w:tabs>
          <w:tab w:leader="none" w:pos="1192"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200" w:right="260" w:hanging="305"/>
        <w:spacing w:after="0" w:line="214" w:lineRule="auto"/>
        <w:tabs>
          <w:tab w:leader="none" w:pos="1189"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7"/>
          <w:szCs w:val="17"/>
          <w:color w:val="auto"/>
        </w:rPr>
      </w:pPr>
    </w:p>
    <w:p>
      <w:pPr>
        <w:ind w:left="600" w:hanging="302"/>
        <w:spacing w:after="0" w:line="222" w:lineRule="auto"/>
        <w:tabs>
          <w:tab w:leader="none" w:pos="589"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7"/>
          <w:szCs w:val="17"/>
          <w:color w:val="auto"/>
        </w:rPr>
      </w:pPr>
    </w:p>
    <w:p>
      <w:pPr>
        <w:ind w:left="1200" w:right="540" w:hanging="305"/>
        <w:spacing w:after="0" w:line="236" w:lineRule="auto"/>
        <w:tabs>
          <w:tab w:leader="none" w:pos="1189"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200" w:right="160" w:hanging="305"/>
        <w:spacing w:after="0" w:line="222" w:lineRule="auto"/>
        <w:tabs>
          <w:tab w:leader="none" w:pos="1189"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Date: April 28, 2022</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17145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0" cy="7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Robert S. Keane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240"/>
          </w:cols>
          <w:pgMar w:left="320" w:top="131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31.2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I, Sean E. Quinn, certify that:</w:t>
      </w:r>
    </w:p>
    <w:p>
      <w:pPr>
        <w:spacing w:after="0" w:line="91" w:lineRule="exact"/>
        <w:rPr>
          <w:sz w:val="20"/>
          <w:szCs w:val="20"/>
          <w:color w:val="auto"/>
        </w:rPr>
      </w:pPr>
    </w:p>
    <w:p>
      <w:pPr>
        <w:ind w:left="580" w:hanging="282"/>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78" w:lineRule="exact"/>
        <w:rPr>
          <w:rFonts w:ascii="Arial" w:cs="Arial" w:eastAsia="Arial" w:hAnsi="Arial"/>
          <w:sz w:val="17"/>
          <w:szCs w:val="17"/>
          <w:color w:val="auto"/>
        </w:rPr>
      </w:pPr>
    </w:p>
    <w:p>
      <w:pPr>
        <w:jc w:val="both"/>
        <w:ind w:left="600" w:right="200" w:hanging="302"/>
        <w:spacing w:after="0" w:line="214" w:lineRule="auto"/>
        <w:tabs>
          <w:tab w:leader="none" w:pos="589"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7"/>
          <w:szCs w:val="17"/>
          <w:color w:val="auto"/>
        </w:rPr>
      </w:pPr>
    </w:p>
    <w:p>
      <w:pPr>
        <w:ind w:left="600" w:right="60" w:hanging="302"/>
        <w:spacing w:after="0" w:line="222" w:lineRule="auto"/>
        <w:tabs>
          <w:tab w:leader="none" w:pos="589"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7"/>
          <w:szCs w:val="17"/>
          <w:color w:val="auto"/>
        </w:rPr>
      </w:pPr>
    </w:p>
    <w:p>
      <w:pPr>
        <w:ind w:left="600" w:right="60" w:hanging="302"/>
        <w:spacing w:after="0" w:line="214" w:lineRule="auto"/>
        <w:tabs>
          <w:tab w:leader="none" w:pos="58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7"/>
          <w:szCs w:val="17"/>
          <w:color w:val="auto"/>
        </w:rPr>
      </w:pPr>
    </w:p>
    <w:p>
      <w:pPr>
        <w:ind w:left="1200" w:right="120" w:hanging="305"/>
        <w:spacing w:after="0" w:line="214" w:lineRule="auto"/>
        <w:tabs>
          <w:tab w:leader="none" w:pos="1189"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1" w:lineRule="exact"/>
        <w:rPr>
          <w:rFonts w:ascii="Arial" w:cs="Arial" w:eastAsia="Arial" w:hAnsi="Arial"/>
          <w:sz w:val="17"/>
          <w:szCs w:val="17"/>
          <w:color w:val="auto"/>
        </w:rPr>
      </w:pPr>
    </w:p>
    <w:p>
      <w:pPr>
        <w:ind w:left="1200" w:right="40" w:hanging="305"/>
        <w:spacing w:after="0" w:line="214" w:lineRule="auto"/>
        <w:tabs>
          <w:tab w:leader="none" w:pos="1189"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7"/>
          <w:szCs w:val="17"/>
          <w:color w:val="auto"/>
        </w:rPr>
      </w:pPr>
    </w:p>
    <w:p>
      <w:pPr>
        <w:jc w:val="both"/>
        <w:ind w:left="1200" w:right="40" w:hanging="305"/>
        <w:spacing w:after="0" w:line="236" w:lineRule="auto"/>
        <w:tabs>
          <w:tab w:leader="none" w:pos="1192"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200" w:right="260" w:hanging="305"/>
        <w:spacing w:after="0" w:line="214" w:lineRule="auto"/>
        <w:tabs>
          <w:tab w:leader="none" w:pos="1189"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7"/>
          <w:szCs w:val="17"/>
          <w:color w:val="auto"/>
        </w:rPr>
      </w:pPr>
    </w:p>
    <w:p>
      <w:pPr>
        <w:ind w:left="600" w:hanging="302"/>
        <w:spacing w:after="0" w:line="222" w:lineRule="auto"/>
        <w:tabs>
          <w:tab w:leader="none" w:pos="58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7"/>
          <w:szCs w:val="17"/>
          <w:color w:val="auto"/>
        </w:rPr>
      </w:pPr>
    </w:p>
    <w:p>
      <w:pPr>
        <w:ind w:left="1200" w:right="540" w:hanging="305"/>
        <w:spacing w:after="0" w:line="236" w:lineRule="auto"/>
        <w:tabs>
          <w:tab w:leader="none" w:pos="1189"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200" w:right="160" w:hanging="305"/>
        <w:spacing w:after="0" w:line="222" w:lineRule="auto"/>
        <w:tabs>
          <w:tab w:leader="none" w:pos="1189"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jc w:val="right"/>
        <w:ind w:right="9680"/>
        <w:spacing w:after="0"/>
        <w:rPr>
          <w:sz w:val="20"/>
          <w:szCs w:val="20"/>
          <w:color w:val="auto"/>
        </w:rPr>
      </w:pPr>
      <w:r>
        <w:rPr>
          <w:rFonts w:ascii="Arial" w:cs="Arial" w:eastAsia="Arial" w:hAnsi="Arial"/>
          <w:sz w:val="17"/>
          <w:szCs w:val="17"/>
          <w:color w:val="auto"/>
        </w:rPr>
        <w:t>Date: April 28, 2022</w:t>
      </w:r>
    </w:p>
    <w:p>
      <w:pPr>
        <w:spacing w:after="0" w:line="128" w:lineRule="exact"/>
        <w:rPr>
          <w:sz w:val="20"/>
          <w:szCs w:val="20"/>
          <w:color w:val="auto"/>
        </w:rPr>
      </w:pPr>
    </w:p>
    <w:p>
      <w:pPr>
        <w:jc w:val="right"/>
        <w:ind w:right="9720"/>
        <w:spacing w:after="0"/>
        <w:rPr>
          <w:sz w:val="20"/>
          <w:szCs w:val="20"/>
          <w:color w:val="auto"/>
        </w:rPr>
      </w:pP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2540</wp:posOffset>
            </wp:positionV>
            <wp:extent cx="17145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0" cy="76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3"/>
          <w:szCs w:val="13"/>
          <w:b w:val="1"/>
          <w:bCs w:val="1"/>
          <w:color w:val="auto"/>
        </w:rPr>
        <w:t>Sean E. Quinn</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Chief Financial Officer</w:t>
      </w:r>
    </w:p>
    <w:p>
      <w:pPr>
        <w:sectPr>
          <w:pgSz w:w="11900" w:h="16838" w:orient="portrait"/>
          <w:cols w:equalWidth="0" w:num="1">
            <w:col w:w="11240"/>
          </w:cols>
          <w:pgMar w:left="320" w:top="1313"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32.1</w:t>
      </w:r>
    </w:p>
    <w:p>
      <w:pPr>
        <w:spacing w:after="0" w:line="228"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AS ADOPTED PURSUANT TO</w:t>
      </w:r>
    </w:p>
    <w:p>
      <w:pPr>
        <w:spacing w:after="0" w:line="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3" w:lineRule="exact"/>
        <w:rPr>
          <w:sz w:val="20"/>
          <w:szCs w:val="20"/>
          <w:color w:val="auto"/>
        </w:rPr>
      </w:pPr>
    </w:p>
    <w:p>
      <w:pPr>
        <w:jc w:val="both"/>
        <w:ind w:right="100" w:firstLine="680"/>
        <w:spacing w:after="0" w:line="227" w:lineRule="auto"/>
        <w:rPr>
          <w:sz w:val="20"/>
          <w:szCs w:val="20"/>
          <w:color w:val="auto"/>
        </w:rPr>
      </w:pPr>
      <w:r>
        <w:rPr>
          <w:rFonts w:ascii="Arial" w:cs="Arial" w:eastAsia="Arial" w:hAnsi="Arial"/>
          <w:sz w:val="16"/>
          <w:szCs w:val="16"/>
          <w:color w:val="auto"/>
        </w:rPr>
        <w:t>In connection with the Quarterly Report on Form 10-Q of Cimpress plc (the “Company”) for the quarter ended March 31, 2022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spacing w:after="0" w:line="63" w:lineRule="exact"/>
        <w:rPr>
          <w:sz w:val="20"/>
          <w:szCs w:val="20"/>
          <w:color w:val="auto"/>
        </w:rPr>
      </w:pPr>
    </w:p>
    <w:p>
      <w:pPr>
        <w:ind w:left="580" w:hanging="282"/>
        <w:spacing w:after="0"/>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65" w:lineRule="exact"/>
        <w:rPr>
          <w:rFonts w:ascii="Arial" w:cs="Arial" w:eastAsia="Arial" w:hAnsi="Arial"/>
          <w:sz w:val="17"/>
          <w:szCs w:val="17"/>
          <w:color w:val="auto"/>
        </w:rPr>
      </w:pPr>
    </w:p>
    <w:p>
      <w:pPr>
        <w:ind w:left="580" w:hanging="282"/>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tbl>
      <w:tblPr>
        <w:tblLayout w:type="fixed"/>
        <w:tblInd w:w="220" w:type="dxa"/>
        <w:tblCellMar>
          <w:top w:w="0" w:type="dxa"/>
          <w:left w:w="0" w:type="dxa"/>
          <w:bottom w:w="0" w:type="dxa"/>
          <w:right w:w="0" w:type="dxa"/>
        </w:tblCellMar>
      </w:tblPr>
      <w:tr>
        <w:trPr>
          <w:trHeight w:val="200"/>
        </w:trPr>
        <w:tc>
          <w:tcPr>
            <w:tcW w:w="8060" w:type="dxa"/>
            <w:vAlign w:val="bottom"/>
          </w:tcPr>
          <w:p>
            <w:pPr>
              <w:spacing w:after="0"/>
              <w:rPr>
                <w:sz w:val="20"/>
                <w:szCs w:val="20"/>
                <w:color w:val="auto"/>
              </w:rPr>
            </w:pPr>
            <w:r>
              <w:rPr>
                <w:rFonts w:ascii="Arial" w:cs="Arial" w:eastAsia="Arial" w:hAnsi="Arial"/>
                <w:sz w:val="17"/>
                <w:szCs w:val="17"/>
                <w:color w:val="auto"/>
              </w:rPr>
              <w:t>Date: April 28, 2022</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Robert S. Keane</w:t>
            </w:r>
          </w:p>
        </w:tc>
      </w:tr>
      <w:tr>
        <w:trPr>
          <w:trHeight w:val="167"/>
        </w:trPr>
        <w:tc>
          <w:tcPr>
            <w:tcW w:w="806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3"/>
                <w:szCs w:val="13"/>
                <w:b w:val="1"/>
                <w:bCs w:val="1"/>
                <w:color w:val="auto"/>
              </w:rPr>
              <w:t>Robert S. Keane</w:t>
            </w:r>
          </w:p>
        </w:tc>
      </w:tr>
      <w:tr>
        <w:trPr>
          <w:trHeight w:val="176"/>
        </w:trPr>
        <w:tc>
          <w:tcPr>
            <w:tcW w:w="8060" w:type="dxa"/>
            <w:vAlign w:val="bottom"/>
          </w:tcPr>
          <w:p>
            <w:pPr>
              <w:spacing w:after="0"/>
              <w:rPr>
                <w:sz w:val="15"/>
                <w:szCs w:val="15"/>
                <w:color w:val="auto"/>
              </w:rPr>
            </w:pPr>
          </w:p>
        </w:tc>
        <w:tc>
          <w:tcPr>
            <w:tcW w:w="2700" w:type="dxa"/>
            <w:vAlign w:val="bottom"/>
          </w:tcPr>
          <w:p>
            <w:pPr>
              <w:ind w:left="120"/>
              <w:spacing w:after="0"/>
              <w:rPr>
                <w:sz w:val="20"/>
                <w:szCs w:val="20"/>
                <w:color w:val="auto"/>
              </w:rPr>
            </w:pPr>
            <w:r>
              <w:rPr>
                <w:rFonts w:ascii="Arial" w:cs="Arial" w:eastAsia="Arial" w:hAnsi="Arial"/>
                <w:sz w:val="13"/>
                <w:szCs w:val="13"/>
                <w:b w:val="1"/>
                <w:bCs w:val="1"/>
                <w:color w:val="auto"/>
              </w:rPr>
              <w:t>Chief Executive Officer</w:t>
            </w:r>
          </w:p>
        </w:tc>
      </w:tr>
      <w:tr>
        <w:trPr>
          <w:trHeight w:val="744"/>
        </w:trPr>
        <w:tc>
          <w:tcPr>
            <w:tcW w:w="8060" w:type="dxa"/>
            <w:vAlign w:val="bottom"/>
          </w:tcPr>
          <w:p>
            <w:pPr>
              <w:spacing w:after="0"/>
              <w:rPr>
                <w:sz w:val="20"/>
                <w:szCs w:val="20"/>
                <w:color w:val="auto"/>
              </w:rPr>
            </w:pPr>
            <w:r>
              <w:rPr>
                <w:rFonts w:ascii="Arial" w:cs="Arial" w:eastAsia="Arial" w:hAnsi="Arial"/>
                <w:sz w:val="17"/>
                <w:szCs w:val="17"/>
                <w:color w:val="auto"/>
              </w:rPr>
              <w:t>Date: April 28, 2022</w:t>
            </w:r>
          </w:p>
        </w:tc>
        <w:tc>
          <w:tcPr>
            <w:tcW w:w="270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 Sean E. Quinn</w:t>
            </w:r>
          </w:p>
        </w:tc>
      </w:tr>
      <w:tr>
        <w:trPr>
          <w:trHeight w:val="167"/>
        </w:trPr>
        <w:tc>
          <w:tcPr>
            <w:tcW w:w="8060" w:type="dxa"/>
            <w:vAlign w:val="bottom"/>
          </w:tcPr>
          <w:p>
            <w:pPr>
              <w:spacing w:after="0"/>
              <w:rPr>
                <w:sz w:val="14"/>
                <w:szCs w:val="14"/>
                <w:color w:val="auto"/>
              </w:rPr>
            </w:pPr>
          </w:p>
        </w:tc>
        <w:tc>
          <w:tcPr>
            <w:tcW w:w="2700" w:type="dxa"/>
            <w:vAlign w:val="bottom"/>
          </w:tcPr>
          <w:p>
            <w:pPr>
              <w:ind w:left="120"/>
              <w:spacing w:after="0"/>
              <w:rPr>
                <w:sz w:val="20"/>
                <w:szCs w:val="20"/>
                <w:color w:val="auto"/>
              </w:rPr>
            </w:pPr>
            <w:r>
              <w:rPr>
                <w:rFonts w:ascii="Arial" w:cs="Arial" w:eastAsia="Arial" w:hAnsi="Arial"/>
                <w:sz w:val="13"/>
                <w:szCs w:val="13"/>
                <w:b w:val="1"/>
                <w:bCs w:val="1"/>
                <w:color w:val="auto"/>
              </w:rPr>
              <w:t>Sean E. Quinn</w:t>
            </w:r>
          </w:p>
        </w:tc>
      </w:tr>
      <w:tr>
        <w:trPr>
          <w:trHeight w:val="176"/>
        </w:trPr>
        <w:tc>
          <w:tcPr>
            <w:tcW w:w="8060" w:type="dxa"/>
            <w:vAlign w:val="bottom"/>
          </w:tcPr>
          <w:p>
            <w:pPr>
              <w:spacing w:after="0"/>
              <w:rPr>
                <w:sz w:val="15"/>
                <w:szCs w:val="15"/>
                <w:color w:val="auto"/>
              </w:rPr>
            </w:pPr>
          </w:p>
        </w:tc>
        <w:tc>
          <w:tcPr>
            <w:tcW w:w="2700" w:type="dxa"/>
            <w:vAlign w:val="bottom"/>
          </w:tcPr>
          <w:p>
            <w:pPr>
              <w:ind w:left="120"/>
              <w:spacing w:after="0"/>
              <w:rPr>
                <w:sz w:val="20"/>
                <w:szCs w:val="20"/>
                <w:color w:val="auto"/>
              </w:rPr>
            </w:pPr>
            <w:r>
              <w:rPr>
                <w:rFonts w:ascii="Arial" w:cs="Arial" w:eastAsia="Arial" w:hAnsi="Arial"/>
                <w:sz w:val="13"/>
                <w:szCs w:val="13"/>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3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2"/>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
      <w:numFmt w:val="bullet"/>
      <w:start w:val="1"/>
    </w:lvl>
    <w:lvl w:ilvl="1">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lvl w:ilvl="1">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3"/>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decimal"/>
      <w:start w:val="101"/>
    </w:lvl>
  </w:abstractNum>
  <w:abstractNum w:abstractNumId="30">
    <w:nsid w:val="22221A70"/>
    <w:multiLevelType w:val="hybridMultilevel"/>
    <w:lvl w:ilvl="0">
      <w:lvlJc w:val="left"/>
      <w:lvlText w:val="%1"/>
      <w:numFmt w:val="decimal"/>
      <w:start w:val="104"/>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2022-04-28T16:19:47Z</dcterms:created>
  <dcterms:modified xsi:type="dcterms:W3CDTF">2022-04-28T16:19:47Z</dcterms:modified>
</cp:coreProperties>
</file>