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313055</wp:posOffset>
            </wp:positionH>
            <wp:positionV relativeFrom="page">
              <wp:posOffset>822325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789305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420" w:hanging="273"/>
        <w:spacing w:after="0"/>
        <w:tabs>
          <w:tab w:leader="none" w:pos="4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0" w:lineRule="exact"/>
        <w:rPr>
          <w:sz w:val="24"/>
          <w:szCs w:val="24"/>
          <w:color w:val="auto"/>
        </w:rPr>
      </w:pPr>
    </w:p>
    <w:p>
      <w:pPr>
        <w:ind w:left="420"/>
        <w:spacing w:after="0"/>
        <w:tabs>
          <w:tab w:leader="none" w:pos="324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September 30, 2024</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420" w:hanging="273"/>
        <w:spacing w:after="0" w:line="207" w:lineRule="auto"/>
        <w:tabs>
          <w:tab w:leader="none" w:pos="4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420"/>
        <w:spacing w:after="0"/>
        <w:tabs>
          <w:tab w:leader="none" w:pos="30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367"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367"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367"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First Floor Building 3, Finnabair Business and Technology Park A91 XR61,</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367"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367"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20" w:space="720"/>
            <w:col w:w="2940"/>
          </w:cols>
          <w:pgMar w:left="320" w:top="1367"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30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367"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367" w:right="319" w:bottom="1440" w:gutter="0" w:footer="0" w:header="0"/>
          <w:type w:val="continuous"/>
        </w:sectPr>
      </w:pPr>
    </w:p>
    <w:p>
      <w:pPr>
        <w:ind w:right="40" w:firstLine="623"/>
        <w:spacing w:after="0" w:line="25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7"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28, 2024, there were 25,153,537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259080</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226060</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September 30, 2024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September 30, 2024 and June 30, 2024</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months ended September 30,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(Loss) Income for the three months ended September 30,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months ended September 30,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three months ended September 30, 2024 and 2023</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3.</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21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152,951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203,775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$7,307 and $7,219, respectively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73,757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64,576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110,452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97,016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90,696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88,112</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427,856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457,979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274,379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265,177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81,401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78,681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97,317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92,212</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97,003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95,059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804,806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787,138</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72,071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76,560</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29,105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39,351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1,883,938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297,859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326,656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266,677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245,931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51,919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46,118</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Short-term debt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10,532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12,488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20,276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19,634</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22,801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670,064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663,963</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23,645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24,701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1,585,650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1,591,807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65,377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61,895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85,498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76,305</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2,430,234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2,418,671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Redeemable noncontrolling interests (Note 10)</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23,962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22,998</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deficit: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824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Ordinary shares, nominal value €0.01 per share, 100,000,000 shares authorized; 43,231,566 and 43,051,269</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respectively; 25,260,319 and 25,080,022 shares outstanding, respectively</w:t>
            </w:r>
          </w:p>
        </w:tc>
        <w:tc>
          <w:tcPr>
            <w:tcW w:w="16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573,192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570,283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250,923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272,881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(570,989)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(550,146)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10)</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shareholders' deficit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(570,258)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(549,512)</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1,883,938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804,969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757,294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422,736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398,783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74,330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Marketing and selling expense (1)</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203,847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192,188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48,341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9,886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39,339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34,100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early extinguishment of debt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12,691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8,122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Net (income)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Net (loss) income attributable to Cimpress plc</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(loss) income per share attributable to Cimpress plc</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ind w:left="20"/>
              <w:spacing w:after="0" w:line="180" w:lineRule="exact"/>
              <w:rPr>
                <w:sz w:val="20"/>
                <w:szCs w:val="20"/>
                <w:color w:val="auto"/>
              </w:rPr>
            </w:pPr>
            <w:r>
              <w:rPr>
                <w:rFonts w:ascii="Arial" w:cs="Arial" w:eastAsia="Arial" w:hAnsi="Arial"/>
                <w:sz w:val="16"/>
                <w:szCs w:val="16"/>
                <w:color w:val="auto"/>
              </w:rPr>
              <w:t>Diluted net (loss) income per share attributable to Cimpress plc</w:t>
            </w:r>
          </w:p>
        </w:tc>
        <w:tc>
          <w:tcPr>
            <w:tcW w:w="26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(0.50)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62"/>
              <w:spacing w:after="0" w:line="180"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25,167,845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26,468,769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20" w:type="dxa"/>
            <w:vAlign w:val="bottom"/>
          </w:tcPr>
          <w:p>
            <w:pPr>
              <w:ind w:left="20"/>
              <w:spacing w:after="0" w:line="180" w:lineRule="exact"/>
              <w:rPr>
                <w:sz w:val="20"/>
                <w:szCs w:val="20"/>
                <w:color w:val="auto"/>
              </w:rPr>
            </w:pPr>
            <w:r>
              <w:rPr>
                <w:rFonts w:ascii="Arial" w:cs="Arial" w:eastAsia="Arial" w:hAnsi="Arial"/>
                <w:sz w:val="16"/>
                <w:szCs w:val="16"/>
                <w:color w:val="auto"/>
              </w:rPr>
              <w:t>Weighted average shares outstanding — diluted</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25,167,845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27,079,455</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40" w:type="dxa"/>
            <w:vAlign w:val="bottom"/>
            <w:gridSpan w:val="2"/>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5,859</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(12,384)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4,569</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9"/>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gains (losses), net of hedges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(3,787)</w:t>
            </w:r>
          </w:p>
        </w:tc>
      </w:tr>
      <w:tr>
        <w:trPr>
          <w:trHeight w:val="207"/>
        </w:trPr>
        <w:tc>
          <w:tcPr>
            <w:tcW w:w="8020" w:type="dxa"/>
            <w:vAlign w:val="bottom"/>
          </w:tcPr>
          <w:p>
            <w:pPr>
              <w:ind w:left="200"/>
              <w:spacing w:after="0"/>
              <w:rPr>
                <w:sz w:val="20"/>
                <w:szCs w:val="20"/>
                <w:color w:val="auto"/>
              </w:rPr>
            </w:pPr>
            <w:r>
              <w:rPr>
                <w:rFonts w:ascii="Arial" w:cs="Arial" w:eastAsia="Arial" w:hAnsi="Arial"/>
                <w:sz w:val="16"/>
                <w:szCs w:val="16"/>
                <w:color w:val="auto"/>
              </w:rPr>
              <w:t>Net unrealized (losses) gains on derivative instruments designated and qualifying as cash flow hedges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7,679</w:t>
            </w:r>
          </w:p>
        </w:tc>
      </w:tr>
      <w:tr>
        <w:trPr>
          <w:trHeight w:val="209"/>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Amounts reclassified from accumulated other comprehensive loss to net (loss) income for derivative instruments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w:t>
            </w:r>
          </w:p>
        </w:tc>
      </w:tr>
      <w:tr>
        <w:trPr>
          <w:trHeight w:val="200"/>
        </w:trPr>
        <w:tc>
          <w:tcPr>
            <w:tcW w:w="802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(13,787)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4,913</w:t>
            </w:r>
          </w:p>
        </w:tc>
      </w:tr>
      <w:tr>
        <w:trPr>
          <w:trHeight w:val="208"/>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 Comprehensive (income) loss attributable to noncontrolling interests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79</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Total comprehensive (loss) income attributable to Cimpress plc</w:t>
            </w: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(14,345)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4,992</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2"/>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44,316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235,396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12,621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gain on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44,554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543,754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239,620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(34,622)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(614,183)</w:t>
            </w: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2024</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43,051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(12,951)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(12,948)</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16,573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16,573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43,232</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573,192</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250,923</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(32,160)</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(570,989)</w:t>
            </w:r>
          </w:p>
        </w:tc>
        <w:tc>
          <w:tcPr>
            <w:tcW w:w="0" w:type="dxa"/>
            <w:vAlign w:val="bottom"/>
          </w:tcPr>
          <w:p>
            <w:pPr>
              <w:spacing w:after="0"/>
              <w:rPr>
                <w:sz w:val="1"/>
                <w:szCs w:val="1"/>
                <w:color w:val="auto"/>
              </w:rPr>
            </w:pPr>
          </w:p>
        </w:tc>
      </w:tr>
      <w:tr>
        <w:trPr>
          <w:trHeight w:val="180"/>
        </w:trPr>
        <w:tc>
          <w:tcPr>
            <w:tcW w:w="1860" w:type="dxa"/>
            <w:vAlign w:val="bottom"/>
          </w:tcPr>
          <w:p>
            <w:pPr>
              <w:ind w:left="2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Three Months Ended September 30,</w:t>
            </w:r>
          </w:p>
        </w:tc>
      </w:tr>
      <w:tr>
        <w:trPr>
          <w:trHeight w:val="188"/>
        </w:trPr>
        <w:tc>
          <w:tcPr>
            <w:tcW w:w="8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(12,384)</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4,569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35,546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39,942</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15,633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12,453</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2,951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on early extinguishment of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Unrealized loss (gain) on derivatives not designated as hedging instruments included in net (loss) income</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18,337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(6,261)</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1,885</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Other non-cash items</w:t>
            </w:r>
          </w:p>
        </w:tc>
        <w:tc>
          <w:tcPr>
            <w:tcW w:w="2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1,328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(1,229)</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(2,209)</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4,214</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(22,209)</w:t>
            </w:r>
          </w:p>
        </w:tc>
      </w:tr>
      <w:tr>
        <w:trPr>
          <w:trHeight w:val="207"/>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12,063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13,990</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4,384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42,254</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(14,571)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(14,397)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5,636</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4,500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20,500</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(10,826)</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7.375% Senior Notes due 2032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for early redemption or purchase of 7.0% Senior Notes due 2026</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(522,135)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(19,815)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(3,784)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(8,404)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(2,768)</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 of ordinary shares</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(35,065)</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5,710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203,775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130,313</w:t>
            </w:r>
          </w:p>
        </w:tc>
      </w:tr>
      <w:tr>
        <w:trPr>
          <w:trHeight w:val="22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152,951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125,199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43"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2023</w:t>
            </w: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35,248</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24,239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for interest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3,349</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(received) paid for income taxes</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15,794</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386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10,909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6,403</w:t>
            </w: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205</w:t>
            </w:r>
          </w:p>
        </w:tc>
      </w:tr>
    </w:tbl>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8"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100" w:firstLine="623"/>
        <w:spacing w:after="0" w:line="263"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18"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During the three months ended September 30, 2024, we repurchased 123,325 of our ordinary shares on the open market for $10,620. The repurchased shares were immediately retired after repurchase and therefore have been classified as authorized and unissued shares as of September 30,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Income, Net</w:t>
      </w:r>
    </w:p>
    <w:p>
      <w:pPr>
        <w:spacing w:after="0" w:line="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r>
      <w:tr>
        <w:trPr>
          <w:trHeight w:val="164"/>
        </w:trPr>
        <w:tc>
          <w:tcPr>
            <w:tcW w:w="78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gains on derivatives not designated as hedging instruments (1)</w:t>
            </w:r>
          </w:p>
        </w:tc>
        <w:tc>
          <w:tcPr>
            <w:tcW w:w="980" w:type="dxa"/>
            <w:vAlign w:val="bottom"/>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8,312</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Currency-related gains (losses), net (2)</w:t>
            </w:r>
          </w:p>
        </w:tc>
        <w:tc>
          <w:tcPr>
            <w:tcW w:w="98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806</w:t>
            </w:r>
          </w:p>
        </w:tc>
      </w:tr>
      <w:tr>
        <w:trPr>
          <w:trHeight w:val="202"/>
        </w:trPr>
        <w:tc>
          <w:tcPr>
            <w:tcW w:w="784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6,419</w:t>
            </w: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jc w:val="both"/>
        <w:ind w:left="240" w:right="380" w:hanging="236"/>
        <w:spacing w:after="0" w:line="26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For contracts not designated as hedging instruments, we realized (losses) gains of $(2,232) and $2,050 for the three months ended September 30, 2024 and 2023, respectively. Refer to Note 4 for additional details relating to our derivative contracts.</w:t>
      </w:r>
    </w:p>
    <w:p>
      <w:pPr>
        <w:spacing w:after="0" w:line="48" w:lineRule="exact"/>
        <w:rPr>
          <w:rFonts w:ascii="Arial" w:cs="Arial" w:eastAsia="Arial" w:hAnsi="Arial"/>
          <w:sz w:val="14"/>
          <w:szCs w:val="14"/>
          <w:color w:val="auto"/>
        </w:rPr>
      </w:pPr>
    </w:p>
    <w:p>
      <w:pPr>
        <w:ind w:left="240" w:right="160" w:hanging="236"/>
        <w:spacing w:after="0" w:line="261"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Currency-related gains (losses), net primarily relates to significant non-functional currency intercompany financing relationships that we may change at times and are subject to currency exchange rate volatility. In addition, during the three months ended September 30, 2023, we recognized gains of $1,936 on a cross-currency swap designated as a cash flow hedge which hedges the remeasurement of an intercompany loan. We did not hold any cross-currency swap contracts that were designated as cash flow hedges during the current quarter. Refer to Note 4 for additional details regarding our cash flow hedges.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Net (Loss) Income Per Share Attributable to Cimpress plc</w:t>
      </w:r>
    </w:p>
    <w:p>
      <w:pPr>
        <w:spacing w:after="0" w:line="209"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Basic net (loss) income per share attributable to Cimpress plc is computed by dividing net (loss) income attributable to Cimpress plc by the weighted-average number of ordinary shares outstanding for the respective period. Diluted net (loss) income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Pr>
          <w:p>
            <w:pPr>
              <w:spacing w:after="0"/>
              <w:rPr>
                <w:sz w:val="14"/>
                <w:szCs w:val="14"/>
                <w:color w:val="auto"/>
              </w:rPr>
            </w:pPr>
          </w:p>
        </w:tc>
        <w:tc>
          <w:tcPr>
            <w:tcW w:w="334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2"/>
                <w:szCs w:val="12"/>
                <w:b w:val="1"/>
                <w:bCs w:val="1"/>
                <w:color w:val="auto"/>
              </w:rPr>
              <w:t>Three Months Ended September 30,</w:t>
            </w:r>
          </w:p>
        </w:tc>
        <w:tc>
          <w:tcPr>
            <w:tcW w:w="0" w:type="dxa"/>
            <w:vAlign w:val="bottom"/>
          </w:tcPr>
          <w:p>
            <w:pPr>
              <w:spacing w:after="0"/>
              <w:rPr>
                <w:sz w:val="1"/>
                <w:szCs w:val="1"/>
                <w:color w:val="auto"/>
              </w:rPr>
            </w:pPr>
          </w:p>
        </w:tc>
      </w:tr>
      <w:tr>
        <w:trPr>
          <w:trHeight w:val="164"/>
        </w:trPr>
        <w:tc>
          <w:tcPr>
            <w:tcW w:w="79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25,167,845</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26,468,769</w:t>
            </w:r>
          </w:p>
        </w:tc>
        <w:tc>
          <w:tcPr>
            <w:tcW w:w="0" w:type="dxa"/>
            <w:vAlign w:val="bottom"/>
          </w:tcPr>
          <w:p>
            <w:pPr>
              <w:spacing w:after="0"/>
              <w:rPr>
                <w:sz w:val="1"/>
                <w:szCs w:val="1"/>
                <w:color w:val="auto"/>
              </w:rPr>
            </w:pPr>
          </w:p>
        </w:tc>
      </w:tr>
      <w:tr>
        <w:trPr>
          <w:trHeight w:val="157"/>
        </w:trPr>
        <w:tc>
          <w:tcPr>
            <w:tcW w:w="7900" w:type="dxa"/>
            <w:vAlign w:val="bottom"/>
          </w:tcPr>
          <w:p>
            <w:pPr>
              <w:ind w:left="20"/>
              <w:spacing w:after="0" w:line="157" w:lineRule="exact"/>
              <w:rPr>
                <w:sz w:val="20"/>
                <w:szCs w:val="20"/>
                <w:color w:val="auto"/>
              </w:rPr>
            </w:pPr>
            <w:r>
              <w:rPr>
                <w:rFonts w:ascii="Arial" w:cs="Arial" w:eastAsia="Arial" w:hAnsi="Arial"/>
                <w:sz w:val="16"/>
                <w:szCs w:val="16"/>
                <w:color w:val="auto"/>
                <w:w w:val="99"/>
              </w:rPr>
              <w:t>Weighted average shares issuable upon exercise/vesting of outstanding share options/PSUs/RSUs/warrants (1)</w:t>
            </w: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610,686</w:t>
            </w:r>
          </w:p>
        </w:tc>
        <w:tc>
          <w:tcPr>
            <w:tcW w:w="0" w:type="dxa"/>
            <w:vAlign w:val="bottom"/>
          </w:tcPr>
          <w:p>
            <w:pPr>
              <w:spacing w:after="0"/>
              <w:rPr>
                <w:sz w:val="1"/>
                <w:szCs w:val="1"/>
                <w:color w:val="auto"/>
              </w:rPr>
            </w:pPr>
          </w:p>
        </w:tc>
      </w:tr>
      <w:tr>
        <w:trPr>
          <w:trHeight w:val="206"/>
        </w:trPr>
        <w:tc>
          <w:tcPr>
            <w:tcW w:w="7900" w:type="dxa"/>
            <w:vAlign w:val="bottom"/>
          </w:tcPr>
          <w:p>
            <w:pPr>
              <w:ind w:left="20"/>
              <w:spacing w:after="0"/>
              <w:rPr>
                <w:sz w:val="20"/>
                <w:szCs w:val="20"/>
                <w:color w:val="auto"/>
              </w:rPr>
            </w:pPr>
            <w:r>
              <w:rPr>
                <w:rFonts w:ascii="Arial" w:cs="Arial" w:eastAsia="Arial" w:hAnsi="Arial"/>
                <w:sz w:val="16"/>
                <w:szCs w:val="16"/>
                <w:color w:val="auto"/>
              </w:rPr>
              <w:t>(2)</w:t>
            </w:r>
          </w:p>
        </w:tc>
        <w:tc>
          <w:tcPr>
            <w:tcW w:w="172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used in computing diluted net (loss) income per share attributable to Cimpress plc</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25,167,845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27,079,455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w w:val="98"/>
              </w:rPr>
              <w:t>Weighted average anti-dilutive shares excluded from diluted net (loss) income per share attributable to Cimpress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900" w:type="dxa"/>
            <w:vAlign w:val="bottom"/>
            <w:vMerge w:val="continue"/>
          </w:tcPr>
          <w:p>
            <w:pPr>
              <w:spacing w:after="0"/>
              <w:rPr>
                <w:sz w:val="8"/>
                <w:szCs w:val="8"/>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1,224,628</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187,649</w:t>
            </w: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6"/>
                <w:szCs w:val="16"/>
                <w:color w:val="auto"/>
              </w:rPr>
              <w:t>plc (1)</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1" w:lineRule="exact"/>
        <w:rPr>
          <w:sz w:val="20"/>
          <w:szCs w:val="20"/>
          <w:color w:val="auto"/>
        </w:rPr>
      </w:pPr>
    </w:p>
    <w:p>
      <w:pPr>
        <w:ind w:left="240" w:right="80" w:hanging="236"/>
        <w:spacing w:after="0" w:line="281"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PSUs, RSUs and warrants is excluded from shares used in computed diluted net loss per share as it is anti-dilutive.</w:t>
      </w:r>
    </w:p>
    <w:p>
      <w:pPr>
        <w:spacing w:after="0" w:line="38" w:lineRule="exact"/>
        <w:rPr>
          <w:rFonts w:ascii="Arial" w:cs="Arial" w:eastAsia="Arial" w:hAnsi="Arial"/>
          <w:sz w:val="14"/>
          <w:szCs w:val="14"/>
          <w:color w:val="auto"/>
        </w:rPr>
      </w:pPr>
    </w:p>
    <w:p>
      <w:pPr>
        <w:ind w:left="240" w:right="20" w:hanging="236"/>
        <w:spacing w:after="0" w:line="259"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which included 7-year warrants to purchase 1,055,377 of our ordinary shares with a strike price of $60 that have a potentially dilutive impact on our weighted average shares outstanding. For the three months ended September 30, 2024, the average market price of our ordinary shares was higher than the strike price of the warrants and the weighted average anti-dilutive effect of the warrants (anti-dilutive due to our net loss position) was 341,158. For the three months ended September 30, 2023, the average market price of our ordinary shares was higher than the strike price of the warrants, and the weighted average dilutive effect of the warrants was 98,319.</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to be Adopted</w:t>
      </w:r>
    </w:p>
    <w:p>
      <w:pPr>
        <w:spacing w:after="0" w:line="168"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do not intend to early adopt this standard.</w:t>
      </w:r>
    </w:p>
    <w:p>
      <w:pPr>
        <w:spacing w:after="0" w:line="113"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The expanded disclosure requirements will be effective starting with our annual report for the fiscal year ending June 30, 2025, as well as each interim period thereafter. Early adoption is permitted, but we do not intend to early adopt this standard.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16" w:lineRule="exact"/>
        <w:rPr>
          <w:rFonts w:ascii="Arial" w:cs="Arial" w:eastAsia="Arial" w:hAnsi="Arial"/>
          <w:sz w:val="17"/>
          <w:szCs w:val="17"/>
          <w:color w:val="auto"/>
        </w:rPr>
      </w:pPr>
    </w:p>
    <w:p>
      <w:pPr>
        <w:ind w:left="620" w:right="180" w:hanging="305"/>
        <w:spacing w:after="0" w:line="27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 w:name="page11"/>
    <w:bookmarkEnd w:id="10"/>
    <w:p>
      <w:pPr>
        <w:ind w:left="620" w:hanging="305"/>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6"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rPr>
              <w:t>September 30, 2024</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10,142</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10,142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10,159</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10,159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(26,147)</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33"/>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w w:val="99"/>
              </w:rPr>
              <w:t>June 30, 2024</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ind w:firstLine="623"/>
        <w:spacing w:after="0" w:line="295" w:lineRule="auto"/>
        <w:rPr>
          <w:sz w:val="20"/>
          <w:szCs w:val="20"/>
          <w:color w:val="auto"/>
        </w:rPr>
      </w:pPr>
      <w:r>
        <w:rPr>
          <w:rFonts w:ascii="Arial" w:cs="Arial" w:eastAsia="Arial" w:hAnsi="Arial"/>
          <w:sz w:val="17"/>
          <w:szCs w:val="17"/>
          <w:color w:val="auto"/>
        </w:rPr>
        <w:t>During the three months ended September 30, 2024 and year ended June 30, 2024, there were no significant transfers in or out of Level 1, Level 2, and Level 3 classifications.</w:t>
      </w:r>
    </w:p>
    <w:p>
      <w:pPr>
        <w:spacing w:after="0" w:line="130"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55" w:lineRule="exact"/>
        <w:rPr>
          <w:sz w:val="20"/>
          <w:szCs w:val="20"/>
          <w:color w:val="auto"/>
        </w:rPr>
      </w:pPr>
    </w:p>
    <w:p>
      <w:pPr>
        <w:ind w:right="100" w:firstLine="623"/>
        <w:spacing w:after="0" w:line="275"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11" w:name="page12"/>
    <w:bookmarkEnd w:id="11"/>
    <w:p>
      <w:pPr>
        <w:ind w:right="20"/>
        <w:spacing w:after="0" w:line="268" w:lineRule="auto"/>
        <w:rPr>
          <w:sz w:val="20"/>
          <w:szCs w:val="20"/>
          <w:color w:val="auto"/>
        </w:rPr>
      </w:pPr>
      <w:r>
        <w:rPr>
          <w:rFonts w:ascii="Arial" w:cs="Arial" w:eastAsia="Arial" w:hAnsi="Arial"/>
          <w:sz w:val="17"/>
          <w:szCs w:val="17"/>
          <w:color w:val="auto"/>
        </w:rPr>
        <w:t>respective counterparties' nonperformance risk in the fair value measurement. However, as of September 30, 2024,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91"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Our held-to-maturity marketable securities are recognized at an amortized cost. As of September 30, 2024, we had no held-to-maturity securities. The following is a summary of the net carrying amount, unrealized losses, and fair value of held-to-maturity securities by type and contractual maturity as of June 30, 2024. The fair value was determined using quoted prices for identical assets in active markets, which fall into Level 1 under the fair value hierarchy. We did not record an allowance for credit losses and impairments for these marketable securities during the three months ended September 30, 2024 and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9"/>
              </w:rPr>
              <w:t>June 30, 2024</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91"/>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Unrealized losses</w:t>
            </w:r>
          </w:p>
        </w:tc>
        <w:tc>
          <w:tcPr>
            <w:tcW w:w="260" w:type="dxa"/>
            <w:vAlign w:val="bottom"/>
          </w:tcPr>
          <w:p>
            <w:pPr>
              <w:spacing w:after="0"/>
              <w:rPr>
                <w:sz w:val="16"/>
                <w:szCs w:val="16"/>
                <w:color w:val="auto"/>
              </w:rPr>
            </w:pPr>
          </w:p>
        </w:tc>
        <w:tc>
          <w:tcPr>
            <w:tcW w:w="118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1,499</w:t>
            </w:r>
          </w:p>
        </w:tc>
      </w:tr>
      <w:tr>
        <w:trPr>
          <w:trHeight w:val="208"/>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w:t>
            </w: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160" w:firstLine="623"/>
        <w:spacing w:after="0" w:line="261" w:lineRule="auto"/>
        <w:rPr>
          <w:sz w:val="20"/>
          <w:szCs w:val="20"/>
          <w:color w:val="auto"/>
        </w:rPr>
      </w:pPr>
      <w:r>
        <w:rPr>
          <w:rFonts w:ascii="Arial" w:cs="Arial" w:eastAsia="Arial" w:hAnsi="Arial"/>
          <w:sz w:val="17"/>
          <w:szCs w:val="17"/>
          <w:color w:val="auto"/>
        </w:rPr>
        <w:t>As of September 30, 2024 and June 30, 2024, the carrying amounts of our cash and cash equivalents, accounts receivable, accounts payable, and other current liabilities approximated their estimated fair values. As of September 30, 2024 and June 30, 2024, the carrying value of our debt, excluding debt issuance costs and debt premiums and discounts, was $1,617,457 and $1,616,607, respectively, and the fair value was $1,628,102 and $ 1,617,364, respectively. Our debt at September 30, 2024 includes variable-rate debt instruments indexed to Term SOFR and Euribor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99"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209" w:lineRule="exact"/>
        <w:rPr>
          <w:sz w:val="20"/>
          <w:szCs w:val="20"/>
          <w:color w:val="auto"/>
        </w:rPr>
      </w:pPr>
    </w:p>
    <w:p>
      <w:pPr>
        <w:ind w:right="140" w:firstLine="623"/>
        <w:spacing w:after="0" w:line="260"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(expense) income, net.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196"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2" w:name="page13"/>
    <w:bookmarkEnd w:id="12"/>
    <w:p>
      <w:pPr>
        <w:ind w:firstLine="623"/>
        <w:spacing w:after="0" w:line="275" w:lineRule="auto"/>
        <w:rPr>
          <w:sz w:val="20"/>
          <w:szCs w:val="20"/>
          <w:color w:val="auto"/>
        </w:rPr>
      </w:pPr>
      <w:r>
        <w:rPr>
          <w:rFonts w:ascii="Arial" w:cs="Arial" w:eastAsia="Arial" w:hAnsi="Arial"/>
          <w:sz w:val="17"/>
          <w:szCs w:val="17"/>
          <w:color w:val="auto"/>
        </w:rPr>
        <w:t>As of September 30, 2024, we estimate that $1,935 of income will be reclassified from accumulated other comprehensive loss to interest expense, net during the twelve months ending September 30, 2025. As of September 30, 2024, we had ten effective outstanding interest rate swap contracts that were indexed to Term or Daily SOFR. Our interest rate swap contracts have varying start and maturity dates through April 2028.</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September 30, 2024 (1)</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215,000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645,000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ind w:left="240" w:right="120" w:hanging="236"/>
        <w:spacing w:after="0" w:line="281" w:lineRule="auto"/>
        <w:tabs>
          <w:tab w:leader="none" w:pos="214"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contracts outstanding as of September 30, 2024, the notional value of our contracted interest rate swaps accruing interest will fluctuate between $215,000 and $380,000 through April 2028 based on layered start dates and maturities.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We execute cross-currency swap contracts designated as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13"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Cross-currency swap contracts designated as net investment hedges are executed to mitigate our currency exposure of net investments in subsidiaries that have reporting currencies other than the U.S. dollar. As of September 30, 2024, we had one outstanding cross-currency swap contract designated as a net investment hedge with a total notional amount of $264,851, maturing during June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The impact of net investment hedges is recognized in accumulated other comprehensive loss as a component of translation adjustments, net of hedges, and would only be reclassified to earnings if the hedged subsidiaries were no longer consolidated entities.</w:t>
      </w:r>
    </w:p>
    <w:p>
      <w:pPr>
        <w:spacing w:after="0" w:line="154" w:lineRule="exact"/>
        <w:rPr>
          <w:sz w:val="20"/>
          <w:szCs w:val="20"/>
          <w:color w:val="auto"/>
        </w:rPr>
      </w:pPr>
    </w:p>
    <w:p>
      <w:pPr>
        <w:ind w:right="80" w:firstLine="623"/>
        <w:spacing w:after="0" w:line="295" w:lineRule="auto"/>
        <w:rPr>
          <w:sz w:val="20"/>
          <w:szCs w:val="20"/>
          <w:color w:val="auto"/>
        </w:rPr>
      </w:pPr>
      <w:r>
        <w:rPr>
          <w:rFonts w:ascii="Arial" w:cs="Arial" w:eastAsia="Arial" w:hAnsi="Arial"/>
          <w:sz w:val="17"/>
          <w:szCs w:val="17"/>
          <w:color w:val="auto"/>
        </w:rPr>
        <w:t>As of September 30, 2024, we have one intercompany loan designated as a net investment hedge with a total notional amount of $51,569 that matures in May 2028.</w:t>
      </w:r>
    </w:p>
    <w:p>
      <w:pPr>
        <w:spacing w:after="0" w:line="117" w:lineRule="exact"/>
        <w:rPr>
          <w:sz w:val="20"/>
          <w:szCs w:val="20"/>
          <w:color w:val="auto"/>
        </w:rPr>
      </w:pPr>
    </w:p>
    <w:p>
      <w:pPr>
        <w:ind w:right="16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months ended September 30, 2024 and 2023, we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spacing w:after="0" w:line="155"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3" w:name="page14"/>
    <w:bookmarkEnd w:id="13"/>
    <w:p>
      <w:pPr>
        <w:ind w:right="400"/>
        <w:spacing w:after="0" w:line="295" w:lineRule="auto"/>
        <w:rPr>
          <w:sz w:val="20"/>
          <w:szCs w:val="20"/>
          <w:color w:val="auto"/>
        </w:rPr>
      </w:pPr>
      <w:r>
        <w:rPr>
          <w:rFonts w:ascii="Arial" w:cs="Arial" w:eastAsia="Arial" w:hAnsi="Arial"/>
          <w:sz w:val="17"/>
          <w:szCs w:val="17"/>
          <w:color w:val="auto"/>
        </w:rPr>
        <w:t>currencies with a smaller net impact, we hedge nearly all of our forecasted net exposures for the upcoming six months, with a declining hedge percentage out to fifteen months.</w:t>
      </w:r>
    </w:p>
    <w:p>
      <w:pPr>
        <w:spacing w:after="0" w:line="117"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As of September 30, 2024,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150"/>
        </w:trPr>
        <w:tc>
          <w:tcPr>
            <w:tcW w:w="1820" w:type="dxa"/>
            <w:vAlign w:val="bottom"/>
            <w:vMerge w:val="restart"/>
            <w:shd w:val="clear" w:color="auto" w:fill="CCEEFF"/>
          </w:tcPr>
          <w:p>
            <w:pPr>
              <w:jc w:val="right"/>
              <w:ind w:right="506"/>
              <w:spacing w:after="0"/>
              <w:rPr>
                <w:sz w:val="20"/>
                <w:szCs w:val="20"/>
                <w:color w:val="auto"/>
              </w:rPr>
            </w:pPr>
            <w:r>
              <w:rPr>
                <w:rFonts w:ascii="Arial" w:cs="Arial" w:eastAsia="Arial" w:hAnsi="Arial"/>
                <w:sz w:val="16"/>
                <w:szCs w:val="16"/>
                <w:color w:val="auto"/>
              </w:rPr>
              <w:t>$806,847</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December 2022 through</w:t>
            </w:r>
          </w:p>
        </w:tc>
        <w:tc>
          <w:tcPr>
            <w:tcW w:w="2440" w:type="dxa"/>
            <w:vAlign w:val="bottom"/>
            <w:gridSpan w:val="2"/>
            <w:shd w:val="clear" w:color="auto" w:fill="CCEEFF"/>
          </w:tcPr>
          <w:p>
            <w:pPr>
              <w:jc w:val="center"/>
              <w:ind w:right="120"/>
              <w:spacing w:after="0" w:line="151" w:lineRule="exact"/>
              <w:rPr>
                <w:sz w:val="20"/>
                <w:szCs w:val="20"/>
                <w:color w:val="auto"/>
              </w:rPr>
            </w:pPr>
            <w:r>
              <w:rPr>
                <w:rFonts w:ascii="Arial" w:cs="Arial" w:eastAsia="Arial" w:hAnsi="Arial"/>
                <w:sz w:val="16"/>
                <w:szCs w:val="16"/>
                <w:color w:val="auto"/>
                <w:w w:val="97"/>
              </w:rPr>
              <w:t>Various dates through</w:t>
            </w:r>
          </w:p>
        </w:tc>
        <w:tc>
          <w:tcPr>
            <w:tcW w:w="2140" w:type="dxa"/>
            <w:vAlign w:val="bottom"/>
            <w:vMerge w:val="restart"/>
            <w:shd w:val="clear" w:color="auto" w:fill="CCEEFF"/>
          </w:tcPr>
          <w:p>
            <w:pPr>
              <w:jc w:val="right"/>
              <w:ind w:right="866"/>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CEEFF"/>
          </w:tcPr>
          <w:p>
            <w:pPr>
              <w:spacing w:after="0"/>
              <w:rPr>
                <w:sz w:val="13"/>
                <w:szCs w:val="13"/>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27"/>
        </w:trPr>
        <w:tc>
          <w:tcPr>
            <w:tcW w:w="18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w w:val="96"/>
              </w:rPr>
              <w:t>September 2024</w:t>
            </w:r>
          </w:p>
        </w:tc>
        <w:tc>
          <w:tcPr>
            <w:tcW w:w="24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September 2026</w:t>
            </w:r>
          </w:p>
        </w:tc>
        <w:tc>
          <w:tcPr>
            <w:tcW w:w="2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440" w:type="dxa"/>
            <w:vAlign w:val="bottom"/>
            <w:gridSpan w:val="2"/>
            <w:vMerge w:val="continue"/>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209"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September 30, 2024 and June 30, 2024. Our derivative asset and liability balances fluctuate with interest rate and currency exchange rate volatility.</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360"/>
              <w:spacing w:after="0"/>
              <w:rPr>
                <w:sz w:val="20"/>
                <w:szCs w:val="20"/>
                <w:color w:val="auto"/>
              </w:rPr>
            </w:pPr>
            <w:r>
              <w:rPr>
                <w:rFonts w:ascii="Arial" w:cs="Arial" w:eastAsia="Arial" w:hAnsi="Arial"/>
                <w:sz w:val="12"/>
                <w:szCs w:val="12"/>
                <w:b w:val="1"/>
                <w:bCs w:val="1"/>
                <w:color w:val="auto"/>
              </w:rPr>
              <w:t>September 30, 2024</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54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4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rPr>
              <w:t>of recognized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w w:val="99"/>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10,529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ind w:left="800"/>
              <w:spacing w:after="0"/>
              <w:rPr>
                <w:sz w:val="20"/>
                <w:szCs w:val="20"/>
                <w:color w:val="auto"/>
              </w:rPr>
            </w:pPr>
            <w:r>
              <w:rPr>
                <w:rFonts w:ascii="Arial" w:cs="Arial" w:eastAsia="Arial" w:hAnsi="Arial"/>
                <w:sz w:val="14"/>
                <w:szCs w:val="14"/>
                <w:color w:val="auto"/>
                <w:w w:val="97"/>
              </w:rPr>
              <w:t>(387)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10,529</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800"/>
              <w:spacing w:after="0"/>
              <w:rPr>
                <w:sz w:val="20"/>
                <w:szCs w:val="20"/>
                <w:color w:val="auto"/>
              </w:rPr>
            </w:pPr>
            <w:r>
              <w:rPr>
                <w:rFonts w:ascii="Arial" w:cs="Arial" w:eastAsia="Arial" w:hAnsi="Arial"/>
                <w:sz w:val="14"/>
                <w:szCs w:val="14"/>
                <w:color w:val="auto"/>
                <w:w w:val="97"/>
              </w:rPr>
              <w:t>(387)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10,142</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(8,535)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(8,535)</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(13,375)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(12,708)</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(4,904)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(4,904)</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(18,279)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(17,612)</w:t>
            </w:r>
          </w:p>
        </w:tc>
        <w:tc>
          <w:tcPr>
            <w:tcW w:w="0" w:type="dxa"/>
            <w:vAlign w:val="bottom"/>
          </w:tcPr>
          <w:p>
            <w:pPr>
              <w:spacing w:after="0"/>
              <w:rPr>
                <w:sz w:val="1"/>
                <w:szCs w:val="1"/>
                <w:color w:val="auto"/>
              </w:rPr>
            </w:pPr>
          </w:p>
        </w:tc>
      </w:tr>
      <w:tr>
        <w:trPr>
          <w:trHeight w:val="170"/>
        </w:trPr>
        <w:tc>
          <w:tcPr>
            <w:tcW w:w="19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2024</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Cross-currency swaps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5,761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net of tax, for the three months ended September 30, 2024 and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r>
      <w:tr>
        <w:trPr>
          <w:trHeight w:val="164"/>
        </w:trPr>
        <w:tc>
          <w:tcPr>
            <w:tcW w:w="80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560" w:type="dxa"/>
            <w:vAlign w:val="bottom"/>
            <w:tcBorders>
              <w:bottom w:val="single" w:sz="8" w:color="auto"/>
            </w:tcBorders>
          </w:tcPr>
          <w:p>
            <w:pPr>
              <w:spacing w:after="0"/>
              <w:rPr>
                <w:sz w:val="14"/>
                <w:szCs w:val="14"/>
                <w:color w:val="auto"/>
              </w:rPr>
            </w:pPr>
          </w:p>
        </w:tc>
      </w:tr>
      <w:tr>
        <w:trPr>
          <w:trHeight w:val="17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20" w:type="dxa"/>
            <w:vAlign w:val="bottom"/>
          </w:tcPr>
          <w:p>
            <w:pPr>
              <w:jc w:val="right"/>
              <w:ind w:right="75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6,131</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r>
      <w:tr>
        <w:trPr>
          <w:trHeight w:val="194"/>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2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(10,528)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12,374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5" w:name="page16"/>
    <w:bookmarkEnd w:id="15"/>
    <w:p>
      <w:pPr>
        <w:spacing w:after="0" w:line="59" w:lineRule="exact"/>
        <w:rPr>
          <w:sz w:val="20"/>
          <w:szCs w:val="20"/>
          <w:color w:val="auto"/>
        </w:rPr>
      </w:pPr>
    </w:p>
    <w:p>
      <w:pPr>
        <w:ind w:right="360"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months ended September 30, 2024 and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4"/>
          </w:tcPr>
          <w:p>
            <w:pPr>
              <w:jc w:val="center"/>
              <w:ind w:right="45"/>
              <w:spacing w:after="0"/>
              <w:rPr>
                <w:sz w:val="20"/>
                <w:szCs w:val="20"/>
                <w:color w:val="auto"/>
              </w:rPr>
            </w:pPr>
            <w:r>
              <w:rPr>
                <w:rFonts w:ascii="Arial" w:cs="Arial" w:eastAsia="Arial" w:hAnsi="Arial"/>
                <w:sz w:val="12"/>
                <w:szCs w:val="12"/>
                <w:b w:val="1"/>
                <w:bCs w:val="1"/>
                <w:color w:val="auto"/>
              </w:rPr>
              <w:t>Amount of Net Gain (Loss) Reclassified from</w:t>
            </w:r>
          </w:p>
        </w:tc>
        <w:tc>
          <w:tcPr>
            <w:tcW w:w="28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17"/>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gridSpan w:val="4"/>
          </w:tcPr>
          <w:p>
            <w:pPr>
              <w:jc w:val="center"/>
              <w:ind w:right="45"/>
              <w:spacing w:after="0" w:line="117" w:lineRule="exact"/>
              <w:rPr>
                <w:sz w:val="20"/>
                <w:szCs w:val="20"/>
                <w:color w:val="auto"/>
              </w:rPr>
            </w:pPr>
            <w:r>
              <w:rPr>
                <w:rFonts w:ascii="Arial" w:cs="Arial" w:eastAsia="Arial" w:hAnsi="Arial"/>
                <w:sz w:val="12"/>
                <w:szCs w:val="12"/>
                <w:b w:val="1"/>
                <w:bCs w:val="1"/>
                <w:color w:val="auto"/>
              </w:rPr>
              <w:t>Accumulated Other Comprehensive Loss into</w:t>
            </w: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851"/>
              <w:spacing w:after="0"/>
              <w:rPr>
                <w:sz w:val="20"/>
                <w:szCs w:val="20"/>
                <w:color w:val="auto"/>
              </w:rPr>
            </w:pPr>
            <w:r>
              <w:rPr>
                <w:rFonts w:ascii="Arial" w:cs="Arial" w:eastAsia="Arial" w:hAnsi="Arial"/>
                <w:sz w:val="12"/>
                <w:szCs w:val="12"/>
                <w:b w:val="1"/>
                <w:bCs w:val="1"/>
                <w:color w:val="auto"/>
              </w:rPr>
              <w:t>Income</w:t>
            </w:r>
          </w:p>
        </w:tc>
        <w:tc>
          <w:tcPr>
            <w:tcW w:w="10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5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2"/>
                <w:szCs w:val="12"/>
                <w:b w:val="1"/>
                <w:bCs w:val="1"/>
                <w:color w:val="auto"/>
              </w:rPr>
              <w:t>Three Months Ended September 30,</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2023</w:t>
            </w:r>
          </w:p>
        </w:tc>
        <w:tc>
          <w:tcPr>
            <w:tcW w:w="2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Interest expense, net</w:t>
            </w:r>
          </w:p>
        </w:tc>
        <w:tc>
          <w:tcPr>
            <w:tcW w:w="0" w:type="dxa"/>
            <w:vAlign w:val="bottom"/>
          </w:tcPr>
          <w:p>
            <w:pPr>
              <w:spacing w:after="0"/>
              <w:rPr>
                <w:sz w:val="1"/>
                <w:szCs w:val="1"/>
                <w:color w:val="auto"/>
              </w:rPr>
            </w:pPr>
          </w:p>
        </w:tc>
      </w:tr>
      <w:tr>
        <w:trPr>
          <w:trHeight w:val="207"/>
        </w:trPr>
        <w:tc>
          <w:tcPr>
            <w:tcW w:w="550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12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(1,936)</w:t>
            </w:r>
          </w:p>
        </w:tc>
        <w:tc>
          <w:tcPr>
            <w:tcW w:w="2820" w:type="dxa"/>
            <w:vAlign w:val="bottom"/>
          </w:tcPr>
          <w:p>
            <w:pPr>
              <w:jc w:val="center"/>
              <w:spacing w:after="0"/>
              <w:rPr>
                <w:sz w:val="20"/>
                <w:szCs w:val="20"/>
                <w:color w:val="auto"/>
              </w:rPr>
            </w:pPr>
            <w:r>
              <w:rPr>
                <w:rFonts w:ascii="Arial" w:cs="Arial" w:eastAsia="Arial" w:hAnsi="Arial"/>
                <w:sz w:val="14"/>
                <w:szCs w:val="14"/>
                <w:color w:val="auto"/>
                <w:w w:val="99"/>
              </w:rPr>
              <w:t>Other (expense) income, net</w:t>
            </w:r>
          </w:p>
        </w:tc>
        <w:tc>
          <w:tcPr>
            <w:tcW w:w="0" w:type="dxa"/>
            <w:vAlign w:val="bottom"/>
          </w:tcPr>
          <w:p>
            <w:pPr>
              <w:spacing w:after="0"/>
              <w:rPr>
                <w:sz w:val="1"/>
                <w:szCs w:val="1"/>
                <w:color w:val="auto"/>
              </w:rPr>
            </w:pPr>
          </w:p>
        </w:tc>
      </w:tr>
      <w:tr>
        <w:trPr>
          <w:trHeight w:val="20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28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(Loss) income before income taxes</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2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(3,548)</w:t>
            </w:r>
          </w:p>
        </w:tc>
        <w:tc>
          <w:tcPr>
            <w:tcW w:w="2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60" w:firstLine="623"/>
        <w:spacing w:after="0" w:line="29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months ended September 30, 2024 and 2023 for derivative instruments for which we did not elect hedge accounting.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2920" w:type="dxa"/>
            <w:vAlign w:val="bottom"/>
            <w:gridSpan w:val="5"/>
          </w:tcPr>
          <w:p>
            <w:pPr>
              <w:jc w:val="center"/>
              <w:spacing w:after="0"/>
              <w:rPr>
                <w:sz w:val="20"/>
                <w:szCs w:val="20"/>
                <w:color w:val="auto"/>
              </w:rPr>
            </w:pPr>
            <w:r>
              <w:rPr>
                <w:rFonts w:ascii="Arial" w:cs="Arial" w:eastAsia="Arial" w:hAnsi="Arial"/>
                <w:sz w:val="12"/>
                <w:szCs w:val="12"/>
                <w:b w:val="1"/>
                <w:bCs w:val="1"/>
                <w:color w:val="auto"/>
              </w:rPr>
              <w:t>Amount of Gain (Loss) Recognized in Net Income</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r>
      <w:tr>
        <w:trPr>
          <w:trHeight w:val="170"/>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733"/>
              <w:spacing w:after="0"/>
              <w:rPr>
                <w:sz w:val="20"/>
                <w:szCs w:val="20"/>
                <w:color w:val="auto"/>
              </w:rPr>
            </w:pPr>
            <w:r>
              <w:rPr>
                <w:rFonts w:ascii="Arial" w:cs="Arial" w:eastAsia="Arial" w:hAnsi="Arial"/>
                <w:sz w:val="12"/>
                <w:szCs w:val="12"/>
                <w:b w:val="1"/>
                <w:bCs w:val="1"/>
                <w:color w:val="auto"/>
                <w:w w:val="99"/>
              </w:rPr>
              <w:t>(Loss)</w:t>
            </w:r>
          </w:p>
        </w:tc>
        <w:tc>
          <w:tcPr>
            <w:tcW w:w="10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r>
      <w:tr>
        <w:trPr>
          <w:trHeight w:val="164"/>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2"/>
                <w:szCs w:val="12"/>
                <w:b w:val="1"/>
                <w:bCs w:val="1"/>
                <w:color w:val="auto"/>
              </w:rPr>
              <w:t>Three Months Ended September 30,</w:t>
            </w:r>
          </w:p>
        </w:tc>
        <w:tc>
          <w:tcPr>
            <w:tcW w:w="2820" w:type="dxa"/>
            <w:vAlign w:val="bottom"/>
          </w:tcPr>
          <w:p>
            <w:pPr>
              <w:spacing w:after="0"/>
              <w:rPr>
                <w:sz w:val="14"/>
                <w:szCs w:val="14"/>
                <w:color w:val="auto"/>
              </w:rPr>
            </w:pPr>
          </w:p>
        </w:tc>
      </w:tr>
      <w:tr>
        <w:trPr>
          <w:trHeight w:val="162"/>
        </w:trPr>
        <w:tc>
          <w:tcPr>
            <w:tcW w:w="55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2023</w:t>
            </w:r>
          </w:p>
        </w:tc>
        <w:tc>
          <w:tcPr>
            <w:tcW w:w="2820" w:type="dxa"/>
            <w:vAlign w:val="bottom"/>
            <w:tcBorders>
              <w:bottom w:val="single" w:sz="8" w:color="CCEEFF"/>
            </w:tcBorders>
          </w:tcPr>
          <w:p>
            <w:pPr>
              <w:spacing w:after="0"/>
              <w:rPr>
                <w:sz w:val="14"/>
                <w:szCs w:val="14"/>
                <w:color w:val="auto"/>
              </w:rPr>
            </w:pPr>
          </w:p>
        </w:tc>
      </w:tr>
      <w:tr>
        <w:trPr>
          <w:trHeight w:val="201"/>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Other (expense) income, net</w:t>
            </w:r>
          </w:p>
        </w:tc>
      </w:tr>
      <w:tr>
        <w:trPr>
          <w:trHeight w:val="202"/>
        </w:trPr>
        <w:tc>
          <w:tcPr>
            <w:tcW w:w="550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8,312</w:t>
            </w:r>
          </w:p>
        </w:tc>
        <w:tc>
          <w:tcPr>
            <w:tcW w:w="282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$251 for the three months ended September 30, 2024</w:t>
      </w:r>
      <w:r>
        <w:rPr>
          <w:rFonts w:ascii="Times New Roman" w:cs="Times New Roman" w:eastAsia="Times New Roman" w:hAnsi="Times New Roman"/>
          <w:sz w:val="17"/>
          <w:szCs w:val="17"/>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Gains on cash flow</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Gains (losses) 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pension benefit</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8"/>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hedges (1)</w:t>
            </w: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obligation</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10,789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6"/>
                <w:szCs w:val="16"/>
                <w:color w:val="auto"/>
              </w:rPr>
              <w:t>6,319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158"/>
        </w:trPr>
        <w:tc>
          <w:tcPr>
            <w:tcW w:w="55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9"/>
              </w:rPr>
              <w:t>Amounts reclassified from accumulated other comprehensive loss to net (loss)</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7"/>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6"/>
                <w:szCs w:val="16"/>
                <w:color w:val="auto"/>
              </w:rPr>
              <w:t>6,319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12" w:lineRule="exact"/>
        <w:rPr>
          <w:sz w:val="20"/>
          <w:szCs w:val="20"/>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contracts designated in cash flow hedging relationships.</w:t>
      </w:r>
    </w:p>
    <w:p>
      <w:pPr>
        <w:spacing w:after="0" w:line="59" w:lineRule="exact"/>
        <w:rPr>
          <w:rFonts w:ascii="Arial" w:cs="Arial" w:eastAsia="Arial" w:hAnsi="Arial"/>
          <w:sz w:val="14"/>
          <w:szCs w:val="14"/>
          <w:color w:val="auto"/>
        </w:rPr>
      </w:pPr>
    </w:p>
    <w:p>
      <w:pPr>
        <w:ind w:left="240" w:right="220" w:hanging="236"/>
        <w:spacing w:after="0" w:line="255"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2024 and June 30, 2024, the translation adjustment is inclusive of both the realized and unrealized effects of our net investment hedges. Gains on currency forward and swap contracts designated as net investment hedges, net of tax, of $8,751 and $15,042 have been included in accumulated other comprehensive loss as of September 30, 2024 and June 30, 2024. Intercompany loan hedge gains, net of tax, of $39,415 and $48,270 have been included in accumulated other comprehensive loss as of September 30, 2024 and June 30, 2024,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6. Goodwill</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September 30, 2024 and June 30, 2024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295,285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147,688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787,138</w:t>
            </w:r>
          </w:p>
        </w:tc>
        <w:tc>
          <w:tcPr>
            <w:tcW w:w="0" w:type="dxa"/>
            <w:vAlign w:val="bottom"/>
          </w:tcPr>
          <w:p>
            <w:pPr>
              <w:spacing w:after="0"/>
              <w:rPr>
                <w:sz w:val="1"/>
                <w:szCs w:val="1"/>
                <w:color w:val="auto"/>
              </w:rPr>
            </w:pP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Effect of currency translation adjustments (1)</w:t>
            </w:r>
          </w:p>
        </w:tc>
        <w:tc>
          <w:tcPr>
            <w:tcW w:w="32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4,891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17,668</w:t>
            </w:r>
          </w:p>
        </w:tc>
        <w:tc>
          <w:tcPr>
            <w:tcW w:w="0" w:type="dxa"/>
            <w:vAlign w:val="bottom"/>
          </w:tcPr>
          <w:p>
            <w:pPr>
              <w:spacing w:after="0"/>
              <w:rPr>
                <w:sz w:val="1"/>
                <w:szCs w:val="1"/>
                <w:color w:val="auto"/>
              </w:rPr>
            </w:pPr>
          </w:p>
        </w:tc>
      </w:tr>
      <w:tr>
        <w:trPr>
          <w:trHeight w:val="227"/>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32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300,176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804,806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660" w:type="dxa"/>
            <w:vAlign w:val="bottom"/>
            <w:gridSpan w:val="4"/>
          </w:tcPr>
          <w:p>
            <w:pPr>
              <w:spacing w:after="0"/>
              <w:rPr>
                <w:sz w:val="20"/>
                <w:szCs w:val="20"/>
                <w:color w:val="auto"/>
              </w:rPr>
            </w:pPr>
            <w:r>
              <w:rPr>
                <w:rFonts w:ascii="Arial" w:cs="Arial" w:eastAsia="Arial" w:hAnsi="Arial"/>
                <w:sz w:val="14"/>
                <w:szCs w:val="14"/>
                <w:color w:val="auto"/>
                <w:w w:val="99"/>
              </w:rPr>
              <w:t>(1) Related to goodwill held by subsidiaries whose functional currency is not the U.S. dollar.</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2024</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2024</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79,842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80,844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52,714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46,499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23,524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Third-party manufacturing and digital content costs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18,665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17,608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10,088</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Variable compensation incentives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9,263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returns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5,181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2,596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3,658</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46,670</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266,677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245,931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2024</w:t>
            </w:r>
          </w:p>
        </w:tc>
        <w:tc>
          <w:tcPr>
            <w:tcW w:w="260" w:type="dxa"/>
            <w:vAlign w:val="bottom"/>
          </w:tcPr>
          <w:p>
            <w:pPr>
              <w:spacing w:after="0"/>
              <w:rPr>
                <w:sz w:val="14"/>
                <w:szCs w:val="14"/>
                <w:color w:val="auto"/>
              </w:rPr>
            </w:pPr>
          </w:p>
        </w:tc>
        <w:tc>
          <w:tcPr>
            <w:tcW w:w="1400" w:type="dxa"/>
            <w:vAlign w:val="bottom"/>
          </w:tcPr>
          <w:p>
            <w:pPr>
              <w:jc w:val="right"/>
              <w:ind w:right="366"/>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Short-term derivative liabilities (1)</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13,031</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4,833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8,323</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13,136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2024</w:t>
            </w:r>
          </w:p>
        </w:tc>
        <w:tc>
          <w:tcPr>
            <w:tcW w:w="26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27,049</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28,037</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17,127</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derivative liabilities (1)</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Mandatorily redeemable noncontrolling interest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20,949</w:t>
            </w:r>
          </w:p>
        </w:tc>
      </w:tr>
      <w:tr>
        <w:trPr>
          <w:trHeight w:val="22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The increase in derivative liabilities is due to fluctuations in currency exchange rates. Refer to Note 4 for additional details regarding our derivative instruments.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8.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2024</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2024</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7.375% Senior Notes due 2032 (1)</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7.0% Senior Notes due 2026 (1)</w:t>
            </w:r>
          </w:p>
        </w:tc>
        <w:tc>
          <w:tcPr>
            <w:tcW w:w="18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522,135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1,083,880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1,084,627</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9,845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and discounts, net of debt premiums (2)</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00"/>
        </w:trPr>
        <w:tc>
          <w:tcPr>
            <w:tcW w:w="7820" w:type="dxa"/>
            <w:vAlign w:val="bottom"/>
          </w:tcPr>
          <w:p>
            <w:pPr>
              <w:ind w:left="20"/>
              <w:spacing w:after="0"/>
              <w:rPr>
                <w:sz w:val="20"/>
                <w:szCs w:val="20"/>
                <w:color w:val="auto"/>
              </w:rPr>
            </w:pPr>
            <w:r>
              <w:rPr>
                <w:rFonts w:ascii="Arial" w:cs="Arial" w:eastAsia="Arial" w:hAnsi="Arial"/>
                <w:sz w:val="16"/>
                <w:szCs w:val="16"/>
                <w:color w:val="auto"/>
              </w:rPr>
              <w:t>Total debt outstanding, net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1,596,182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1,604,295</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short-term debt (3)</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12,488</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1,585,650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1,591,807</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40" w:hanging="236"/>
        <w:spacing w:after="0" w:line="28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September 26, 2024, we completed a private placement of $525,000 in aggregate principal amount of 7.375% Senior Notes due 2032. We used the net proceeds of this offering plus cash on hand to redeem the $522,135 of our 7.0% Senior Notes due 2026 and pay the associated interest and financing fees.</w:t>
      </w:r>
    </w:p>
    <w:p>
      <w:pPr>
        <w:spacing w:after="0" w:line="12" w:lineRule="exact"/>
        <w:rPr>
          <w:rFonts w:ascii="Arial" w:cs="Arial" w:eastAsia="Arial" w:hAnsi="Arial"/>
          <w:sz w:val="14"/>
          <w:szCs w:val="14"/>
          <w:color w:val="auto"/>
        </w:rPr>
      </w:pPr>
    </w:p>
    <w:p>
      <w:pPr>
        <w:ind w:left="240" w:right="40" w:hanging="236"/>
        <w:spacing w:after="0" w:line="266"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three months ended September 30, 2024, we capitalized $9,682 in debt issuance costs, which related to the private placement of our 7.375% Senior Notes due 2032, as well as the amendment to our senior secured credit facility. We wrote-off $2,187 of unamortized costs, which was offset by the write-off of $2,525 of debt premium related to the redemption of our 7.0% Senior Notes due 2026. Refer to the description below for additional details.</w:t>
      </w:r>
    </w:p>
    <w:p>
      <w:pPr>
        <w:spacing w:after="0" w:line="9" w:lineRule="exact"/>
        <w:rPr>
          <w:rFonts w:ascii="Arial" w:cs="Arial" w:eastAsia="Arial" w:hAnsi="Arial"/>
          <w:sz w:val="14"/>
          <w:szCs w:val="14"/>
          <w:color w:val="auto"/>
        </w:rPr>
      </w:pPr>
    </w:p>
    <w:p>
      <w:pPr>
        <w:ind w:left="220" w:hanging="216"/>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Balances as of September 30, 2024 and June 30, 2024 are inclusive of short-term debt issuance costs, debt premiums and discounts of $4,507 and $3,492, respectively.</w:t>
      </w:r>
    </w:p>
    <w:p>
      <w:pPr>
        <w:spacing w:after="0" w:line="206"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September 30, 2024, we were in compliance with all covenants in our debt contracts, including those under our amended and restated senior secured credit agreement dated as of May 17, 2021 (as further amended from time to time, the "Restated Credit Agreement") and the indenture governing our 2032 Notes.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207"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On September 26, 2024, we entered into an amendment to our Restated Credit Agreement to extend the maturity date of our senior secured revolving credit facility to September 26, 2029 (subject to a springing maturity to the date that is 91 days prior to the maturity date of the term loan facility if the term loan facility has not been extended, repaid or refinanced on or prior to such date) and reduced the related credit spread and commitment fee on unused balances.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Restated Credit Agreement consists of the following as of September 30, 2024:</w:t>
      </w:r>
    </w:p>
    <w:p>
      <w:pPr>
        <w:spacing w:after="0" w:line="116" w:lineRule="exact"/>
        <w:rPr>
          <w:sz w:val="20"/>
          <w:szCs w:val="20"/>
          <w:color w:val="auto"/>
        </w:rPr>
      </w:pPr>
    </w:p>
    <w:p>
      <w:pPr>
        <w:ind w:left="620" w:hanging="305"/>
        <w:spacing w:after="0"/>
        <w:tabs>
          <w:tab w:leader="none" w:pos="620"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$1,032,311 USD Tranche that bears interest at Term SOFR (with a Term SOFR rate floor of 0.50%) plus 3.00%,</w:t>
      </w:r>
    </w:p>
    <w:p>
      <w:pPr>
        <w:spacing w:after="0" w:line="54" w:lineRule="exact"/>
        <w:rPr>
          <w:rFonts w:ascii="Arial" w:cs="Arial" w:eastAsia="Arial" w:hAnsi="Arial"/>
          <w:sz w:val="19"/>
          <w:szCs w:val="19"/>
          <w:color w:val="auto"/>
        </w:rPr>
      </w:pPr>
    </w:p>
    <w:p>
      <w:pPr>
        <w:ind w:left="620" w:right="220" w:hanging="305"/>
        <w:spacing w:after="0" w:line="251" w:lineRule="auto"/>
        <w:tabs>
          <w:tab w:leader="none" w:pos="609" w:val="left"/>
        </w:tabs>
        <w:numPr>
          <w:ilvl w:val="0"/>
          <w:numId w:val="11"/>
        </w:numPr>
        <w:rPr>
          <w:rFonts w:ascii="Arial" w:cs="Arial" w:eastAsia="Arial" w:hAnsi="Arial"/>
          <w:sz w:val="19"/>
          <w:szCs w:val="19"/>
          <w:color w:val="auto"/>
        </w:rPr>
      </w:pPr>
      <w:r>
        <w:rPr>
          <w:rFonts w:ascii="Arial" w:cs="Arial" w:eastAsia="Arial" w:hAnsi="Arial"/>
          <w:sz w:val="17"/>
          <w:szCs w:val="17"/>
          <w:color w:val="auto"/>
        </w:rPr>
        <w:t>a €46,172 (U.S. dollar equivalent of $51,569) Euro Tranche that currently bears interest at EURIBOR (with a EURIBOR floor of 0%) plus 3.50%, and</w:t>
      </w:r>
    </w:p>
    <w:p>
      <w:pPr>
        <w:spacing w:after="0" w:line="8" w:lineRule="exact"/>
        <w:rPr>
          <w:rFonts w:ascii="Arial" w:cs="Arial" w:eastAsia="Arial" w:hAnsi="Arial"/>
          <w:sz w:val="19"/>
          <w:szCs w:val="19"/>
          <w:color w:val="auto"/>
        </w:rPr>
      </w:pPr>
    </w:p>
    <w:p>
      <w:pPr>
        <w:ind w:left="620" w:right="400" w:hanging="305"/>
        <w:spacing w:after="0" w:line="26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$250,000 senior secured revolving credit facility with a maturity date of September 26, 2029 (the “Revolving Credit Facility”), with no outstanding borrowings for any periods presented.</w:t>
      </w:r>
    </w:p>
    <w:p>
      <w:pPr>
        <w:spacing w:after="0" w:line="1" w:lineRule="exact"/>
        <w:rPr>
          <w:rFonts w:ascii="Arial" w:cs="Arial" w:eastAsia="Arial" w:hAnsi="Arial"/>
          <w:sz w:val="17"/>
          <w:szCs w:val="17"/>
          <w:color w:val="auto"/>
        </w:rPr>
      </w:pPr>
    </w:p>
    <w:p>
      <w:pPr>
        <w:ind w:left="1240" w:right="380" w:hanging="302"/>
        <w:spacing w:after="0" w:line="259" w:lineRule="auto"/>
        <w:tabs>
          <w:tab w:leader="none" w:pos="1236" w:val="left"/>
        </w:tabs>
        <w:numPr>
          <w:ilvl w:val="1"/>
          <w:numId w:val="11"/>
        </w:numPr>
        <w:rPr>
          <w:rFonts w:ascii="Arial" w:cs="Arial" w:eastAsia="Arial" w:hAnsi="Arial"/>
          <w:sz w:val="17"/>
          <w:szCs w:val="17"/>
          <w:color w:val="auto"/>
        </w:rPr>
      </w:pPr>
      <w:r>
        <w:rPr>
          <w:rFonts w:ascii="Arial" w:cs="Arial" w:eastAsia="Arial" w:hAnsi="Arial"/>
          <w:sz w:val="17"/>
          <w:szCs w:val="17"/>
          <w:color w:val="auto"/>
        </w:rPr>
        <w:t>Borrowings under the Revolving Credit Facility bear interest at Term SOFR (with a Term SOFR rate floor of 0%) plus 2.25% to 3.00% depending on the Company’s First Lien Leverage Ratio, a net leverage calculation, as defined in the Restated Credit Agreement.</w:t>
      </w:r>
    </w:p>
    <w:p>
      <w:pPr>
        <w:spacing w:after="0" w:line="172" w:lineRule="exact"/>
        <w:rPr>
          <w:sz w:val="20"/>
          <w:szCs w:val="20"/>
          <w:color w:val="auto"/>
        </w:rPr>
      </w:pPr>
    </w:p>
    <w:p>
      <w:pPr>
        <w:ind w:firstLine="623"/>
        <w:spacing w:after="0" w:line="254"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3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2024, the weighted-average interest rate on outstanding borrowings under the Restated Credit Agreement was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7.37%, inclusive of interest rate swap rates. We are also required to pay a commitment fee for our Revolving Credit Facility on unused balances of</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0.30% to 0.45% depending on our First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ind w:right="420"/>
        <w:spacing w:after="0" w:line="295" w:lineRule="auto"/>
        <w:rPr>
          <w:sz w:val="20"/>
          <w:szCs w:val="20"/>
          <w:color w:val="auto"/>
        </w:rPr>
      </w:pPr>
      <w:r>
        <w:rPr>
          <w:rFonts w:ascii="Arial" w:cs="Arial" w:eastAsia="Arial" w:hAnsi="Arial"/>
          <w:sz w:val="17"/>
          <w:szCs w:val="17"/>
          <w:color w:val="auto"/>
        </w:rPr>
        <w:t>Lien Leverage Ratio. We have pledged the assets and/or share capital of a number of our subsidiaries as collateral under our Restated Credit Agreement.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Notes</w:t>
      </w:r>
    </w:p>
    <w:p>
      <w:pPr>
        <w:spacing w:after="0" w:line="168" w:lineRule="exact"/>
        <w:rPr>
          <w:sz w:val="20"/>
          <w:szCs w:val="20"/>
          <w:color w:val="auto"/>
        </w:rPr>
      </w:pPr>
    </w:p>
    <w:p>
      <w:pPr>
        <w:ind w:right="80" w:firstLine="623"/>
        <w:spacing w:after="0" w:line="261" w:lineRule="auto"/>
        <w:rPr>
          <w:sz w:val="20"/>
          <w:szCs w:val="20"/>
          <w:color w:val="auto"/>
        </w:rPr>
      </w:pPr>
      <w:r>
        <w:rPr>
          <w:rFonts w:ascii="Arial" w:cs="Arial" w:eastAsia="Arial" w:hAnsi="Arial"/>
          <w:sz w:val="17"/>
          <w:szCs w:val="17"/>
          <w:color w:val="auto"/>
        </w:rPr>
        <w:t>On September 26, 2024, we completed a private placement of $525,000 in aggregate principal amount of 7.375% senior unsecured notes due 2032 (the "2032 Notes"). We issued the 2032 Notes pursuant to a senior notes indenture dated as of September 26, 2024, among Cimpress plc, our subsidiary guarantors, and U.S Bank Trust Company, as trustee (the "Indenture"). We used the net proceeds from the 2032 Notes, together with cash on hand, to redeem all of the outstanding 7.0% senior unsecured notes due 2026 (the "2026 Notes") at a redemption price equal to par of the principal amount, to pay all accrued unpaid interest thereon, and to pay all fees and expenses related to the redemption and offering. As a result of the redemption, we incurred a gain on the extinguishment of debt of $338 which included the write-off of the associated unamortized debt premium of $2,525 which was partially offset by the write-off of unamortized debt issuance costs of $2,187.</w:t>
      </w:r>
    </w:p>
    <w:p>
      <w:pPr>
        <w:spacing w:after="0" w:line="121" w:lineRule="exact"/>
        <w:rPr>
          <w:sz w:val="20"/>
          <w:szCs w:val="20"/>
          <w:color w:val="auto"/>
        </w:rPr>
      </w:pPr>
    </w:p>
    <w:p>
      <w:pPr>
        <w:ind w:right="240" w:firstLine="623"/>
        <w:spacing w:after="0" w:line="275" w:lineRule="auto"/>
        <w:rPr>
          <w:sz w:val="20"/>
          <w:szCs w:val="20"/>
          <w:color w:val="auto"/>
        </w:rPr>
      </w:pPr>
      <w:r>
        <w:rPr>
          <w:rFonts w:ascii="Arial" w:cs="Arial" w:eastAsia="Arial" w:hAnsi="Arial"/>
          <w:sz w:val="17"/>
          <w:szCs w:val="17"/>
          <w:color w:val="auto"/>
        </w:rPr>
        <w:t>The 2032 Notes bear interest at a rate of 7.375% per annum and mature on September 15, 2032. Interest on the 2032 Notes is payable semi-annually on March 15 and September 15 of each year, commencing on March 15, 2025, to the holders of record of the 2032 Notes at the close of business on March 1 or September 1, respectively, preceding such interest payment date.</w:t>
      </w:r>
    </w:p>
    <w:p>
      <w:pPr>
        <w:spacing w:after="0" w:line="107"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The 2032 Notes are senior unsecured obligations and rank equally in right of payment to all our existing and future senior unsecured debt and senior in right of payment to all of our existing and future subordinated debt. The 2032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guarantees the 2032 Notes.</w:t>
      </w:r>
    </w:p>
    <w:p>
      <w:pPr>
        <w:spacing w:after="0" w:line="191"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The Indenture under which the 2032 Notes are issued contains various covenants, including covenants that, subject to certain exceptions, limit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merge, consolidate or transfer or dispose of substantially all of our consolidated assets; sell, transfer or otherwise dispose of property and assets; and engage in transactions with affiliates.</w:t>
      </w:r>
    </w:p>
    <w:p>
      <w:pPr>
        <w:spacing w:after="0" w:line="193"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At any time prior to September 15, 2027, we may redeem some or all of the 2032 Notes at a redemption price equal to 100% of the principal amount redeemed, plus a make-whole amount as set forth in the Indenture, plus, in each case, accrued and unpaid interest and Additional Amounts (as defined in the Indenture), if any, to, but not including, the redemption date. In addition, at any time prior to September 15, 2027, Cimpress may on any one or more occasions redeem up to 40% of the original aggregate principal amount of the Notes with the net proceeds of certain equity offerings by Cimpress at a redemption price equal to 107.375% of the principal amount thereof, plus accrued and unpaid interest and Additional Amounts, if any (which accrued and unpaid interest and Additional Amounts need not be funded with such proceeds), to, but not including, the redemption date. At any time on or after September 15, 2027, Cimpress may redeem some or all of the Notes at the redemption prices specified in the Indenture, plus accrued and unpaid interest and Additional Amounts, if any, to, but not including, the redemption date.</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207" w:lineRule="exact"/>
        <w:rPr>
          <w:sz w:val="20"/>
          <w:szCs w:val="20"/>
          <w:color w:val="auto"/>
        </w:rPr>
      </w:pPr>
    </w:p>
    <w:p>
      <w:pPr>
        <w:ind w:right="400" w:firstLine="623"/>
        <w:spacing w:after="0" w:line="275"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September 30, 2024 and June 30, 2024, we had $8,577 and $9,845, respectively, outstanding for those obligations that are payable through September 2027.</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83" w:lineRule="exact"/>
        <w:rPr>
          <w:sz w:val="20"/>
          <w:szCs w:val="20"/>
          <w:color w:val="auto"/>
        </w:rPr>
      </w:pPr>
    </w:p>
    <w:p>
      <w:pPr>
        <w:ind w:right="60" w:firstLine="623"/>
        <w:spacing w:after="0" w:line="263" w:lineRule="auto"/>
        <w:rPr>
          <w:sz w:val="20"/>
          <w:szCs w:val="20"/>
          <w:color w:val="auto"/>
        </w:rPr>
      </w:pPr>
      <w:r>
        <w:rPr>
          <w:rFonts w:ascii="Arial" w:cs="Arial" w:eastAsia="Arial" w:hAnsi="Arial"/>
          <w:sz w:val="17"/>
          <w:szCs w:val="17"/>
          <w:color w:val="auto"/>
        </w:rPr>
        <w:t>Our income tax expense was $8,995 and $8,122 for the three months ended September 30, 2024 and 2023, respectively. Income tax expense increased versus the prior comparative period due to various immaterial discrete items in both periods and an increased full-year forecasted effective tax rate. Excluding the effect of discrete tax adjustments, our estimated annual effective tax rate is higher for fiscal year 2025 than for fiscal year 2024 primarily due to increased forecasted full-year profits. Our effective tax rate continues to be negatively impacted by losses in certain jurisdictions where we are unable to recognize a tax benefit in the current period. These losses with no tax benefit were excluded in calculating income tax expense for the three months ended</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9" w:name="page20"/>
    <w:bookmarkEnd w:id="19"/>
    <w:p>
      <w:pPr>
        <w:ind w:right="260"/>
        <w:spacing w:after="0" w:line="295" w:lineRule="auto"/>
        <w:rPr>
          <w:sz w:val="20"/>
          <w:szCs w:val="20"/>
          <w:color w:val="auto"/>
        </w:rPr>
      </w:pPr>
      <w:r>
        <w:rPr>
          <w:rFonts w:ascii="Arial" w:cs="Arial" w:eastAsia="Arial" w:hAnsi="Arial"/>
          <w:sz w:val="17"/>
          <w:szCs w:val="17"/>
          <w:color w:val="auto"/>
        </w:rPr>
        <w:t>September 30, 2024 and 2023, respectively, in accordance with U.S. GAAP. We continuously analyze our valuation allowance positions and the weight of objective and verifiable evidence of actual results against the more subjective evidence of anticipated future income.</w:t>
      </w:r>
    </w:p>
    <w:p>
      <w:pPr>
        <w:spacing w:after="0" w:line="168"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As of September 30, 2024 we had unrecognized tax benefits of $16,272, including accrued interest and penalties of $2,281. We recognize interest and, if applicable, penalties related to unrecognized tax benefits in the provision for income taxes. If recognized, $7,083 of unrecognized tax benefits would reduce our tax expense. It is reasonably possible that a reduction in unrecognized tax benefits may occur within the next twelve months in the range of $7,000 to $7,500 related to the lapse of applicable statutes of limitations or settlement. We believe we have appropriately provided for all tax uncertainties.</w:t>
      </w:r>
    </w:p>
    <w:p>
      <w:pPr>
        <w:spacing w:after="0" w:line="167"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2014 through 2024 remain open for examination by the U.S. Internal Revenue Service and the years 2015 through 2024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92" w:lineRule="exact"/>
        <w:rPr>
          <w:sz w:val="20"/>
          <w:szCs w:val="20"/>
          <w:color w:val="auto"/>
        </w:rPr>
      </w:pPr>
    </w:p>
    <w:p>
      <w:pPr>
        <w:ind w:right="8160" w:firstLine="4"/>
        <w:spacing w:after="0" w:line="471" w:lineRule="auto"/>
        <w:tabs>
          <w:tab w:leader="none" w:pos="289"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Interests Redeemable Noncontrolling Interests</w:t>
      </w:r>
    </w:p>
    <w:p>
      <w:pPr>
        <w:spacing w:after="0" w:line="1"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Redeemable</w:t>
            </w:r>
          </w:p>
        </w:tc>
        <w:tc>
          <w:tcPr>
            <w:tcW w:w="140" w:type="dxa"/>
            <w:vAlign w:val="bottom"/>
          </w:tcPr>
          <w:p>
            <w:pPr>
              <w:spacing w:after="0"/>
              <w:rPr>
                <w:sz w:val="12"/>
                <w:szCs w:val="12"/>
                <w:color w:val="auto"/>
              </w:rPr>
            </w:pPr>
          </w:p>
        </w:tc>
        <w:tc>
          <w:tcPr>
            <w:tcW w:w="1120" w:type="dxa"/>
            <w:vAlign w:val="bottom"/>
            <w:vMerge w:val="restart"/>
          </w:tcPr>
          <w:p>
            <w:pPr>
              <w:jc w:val="right"/>
              <w:ind w:right="127"/>
              <w:spacing w:after="0"/>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7"/>
        </w:trPr>
        <w:tc>
          <w:tcPr>
            <w:tcW w:w="8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5"/>
                <w:szCs w:val="15"/>
                <w:color w:val="auto"/>
              </w:rPr>
            </w:pPr>
          </w:p>
        </w:tc>
        <w:tc>
          <w:tcPr>
            <w:tcW w:w="1120" w:type="dxa"/>
            <w:vAlign w:val="bottom"/>
          </w:tcPr>
          <w:p>
            <w:pPr>
              <w:jc w:val="right"/>
              <w:ind w:right="347"/>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05"/>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Accretion to redemption value recognized in retained earnings (1)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7" w:lineRule="exact"/>
        <w:rPr>
          <w:sz w:val="20"/>
          <w:szCs w:val="20"/>
          <w:color w:val="auto"/>
        </w:rPr>
      </w:pPr>
    </w:p>
    <w:p>
      <w:pPr>
        <w:ind w:left="240" w:right="340" w:hanging="236"/>
        <w:spacing w:after="0" w:line="257" w:lineRule="auto"/>
        <w:tabs>
          <w:tab w:leader="none" w:pos="214"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209"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46" w:lineRule="exact"/>
        <w:rPr>
          <w:sz w:val="20"/>
          <w:szCs w:val="20"/>
          <w:color w:val="auto"/>
        </w:rPr>
      </w:pPr>
    </w:p>
    <w:p>
      <w:pPr>
        <w:ind w:right="220" w:firstLine="623"/>
        <w:spacing w:after="0" w:line="295" w:lineRule="auto"/>
        <w:rPr>
          <w:sz w:val="20"/>
          <w:szCs w:val="20"/>
          <w:color w:val="auto"/>
        </w:rPr>
      </w:pPr>
      <w:r>
        <w:rPr>
          <w:rFonts w:ascii="Arial" w:cs="Arial" w:eastAsia="Arial" w:hAnsi="Arial"/>
          <w:sz w:val="17"/>
          <w:szCs w:val="17"/>
          <w:color w:val="auto"/>
        </w:rPr>
        <w:t>As of September 30, 2024, we have numerous operating segments under our management reporting structure which are reported in the following five reportable segments:</w:t>
      </w:r>
    </w:p>
    <w:p>
      <w:pPr>
        <w:spacing w:after="0" w:line="117" w:lineRule="exact"/>
        <w:rPr>
          <w:sz w:val="20"/>
          <w:szCs w:val="20"/>
          <w:color w:val="auto"/>
        </w:rPr>
      </w:pPr>
    </w:p>
    <w:p>
      <w:pPr>
        <w:ind w:left="620" w:right="20" w:hanging="305"/>
        <w:spacing w:after="0" w:line="268"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Vista </w:t>
      </w:r>
      <w:r>
        <w:rPr>
          <w:rFonts w:ascii="Arial" w:cs="Arial" w:eastAsia="Arial" w:hAnsi="Arial"/>
          <w:sz w:val="17"/>
          <w:szCs w:val="17"/>
          <w:color w:val="auto"/>
        </w:rPr>
        <w:t>- Consists of the operations of our VistaPrint branded websites in North America, Western Europe, Australia, New Zealand, India,</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Singapore. This business also includes our 99designs by Vista business, which provides graphic design services, VistaCreate for do-it-yourself (DIY) design, our Vista x Wix partnership for small business websites, and our Vista Corporate Solutions business, which serves medium-sized businesses and large corporations.</w:t>
      </w:r>
    </w:p>
    <w:p>
      <w:pPr>
        <w:spacing w:after="0" w:line="152" w:lineRule="exact"/>
        <w:rPr>
          <w:rFonts w:ascii="Arial" w:cs="Arial" w:eastAsia="Arial" w:hAnsi="Arial"/>
          <w:sz w:val="17"/>
          <w:szCs w:val="17"/>
          <w:color w:val="auto"/>
        </w:rPr>
      </w:pPr>
    </w:p>
    <w:p>
      <w:pPr>
        <w:ind w:left="620" w:right="560" w:hanging="305"/>
        <w:spacing w:after="0" w:line="295"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druck.at, Printdeal, and WIRmachenDRUCK, a group of Upload &amp; Print businesses that serve</w:t>
      </w:r>
      <w:r>
        <w:rPr>
          <w:rFonts w:ascii="Arial" w:cs="Arial" w:eastAsia="Arial" w:hAnsi="Arial"/>
          <w:sz w:val="17"/>
          <w:szCs w:val="17"/>
          <w:i w:val="1"/>
          <w:iCs w:val="1"/>
          <w:color w:val="auto"/>
        </w:rPr>
        <w:t xml:space="preserve"> </w:t>
      </w:r>
      <w:r>
        <w:rPr>
          <w:rFonts w:ascii="Arial" w:cs="Arial" w:eastAsia="Arial" w:hAnsi="Arial"/>
          <w:sz w:val="17"/>
          <w:szCs w:val="17"/>
          <w:color w:val="auto"/>
        </w:rPr>
        <w:t>graphic professionals throughout Europe, primarily in Austria, Belgium, Germany, the Netherlands, and Switzerland.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0" w:name="page21"/>
    <w:bookmarkEnd w:id="20"/>
    <w:p>
      <w:pPr>
        <w:ind w:left="620" w:right="840" w:hanging="305"/>
        <w:spacing w:after="0" w:line="29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Easyflyer, Exaprint, Packstyle, Pixartprinting, and Tradeprint, a group of Upload &amp; Print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that serve graphic professionals throughout Europe, primarily in France, Italy, Spain, and the United Kingdom.</w:t>
      </w:r>
    </w:p>
    <w:p>
      <w:pPr>
        <w:spacing w:after="0" w:line="116" w:lineRule="exact"/>
        <w:rPr>
          <w:rFonts w:ascii="Arial" w:cs="Arial" w:eastAsia="Arial" w:hAnsi="Arial"/>
          <w:sz w:val="17"/>
          <w:szCs w:val="17"/>
          <w:color w:val="auto"/>
        </w:rPr>
      </w:pPr>
    </w:p>
    <w:p>
      <w:pPr>
        <w:ind w:left="620" w:right="180" w:hanging="305"/>
        <w:spacing w:after="0" w:line="27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Serves small businesses across geographies including North America, Europe, and Australia. The pens.com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sells through their ecommerce site and is supported by digital marketing methods as well as direct mail and telesales. National Pen focuses on customized writing instruments and promotional products, apparel, and gifts for small- and medium-sized businesses.</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w:t>
      </w:r>
    </w:p>
    <w:p>
      <w:pPr>
        <w:spacing w:after="0" w:line="64" w:lineRule="exact"/>
        <w:rPr>
          <w:rFonts w:ascii="Arial" w:cs="Arial" w:eastAsia="Arial" w:hAnsi="Arial"/>
          <w:sz w:val="17"/>
          <w:szCs w:val="17"/>
          <w:i w:val="1"/>
          <w:iCs w:val="1"/>
          <w:color w:val="auto"/>
        </w:rPr>
      </w:pPr>
    </w:p>
    <w:p>
      <w:pPr>
        <w:ind w:left="1240" w:hanging="302"/>
        <w:spacing w:after="0"/>
        <w:tabs>
          <w:tab w:leader="none" w:pos="1240" w:val="left"/>
        </w:tabs>
        <w:numPr>
          <w:ilvl w:val="1"/>
          <w:numId w:val="15"/>
        </w:numPr>
        <w:rPr>
          <w:rFonts w:ascii="Arial" w:cs="Arial" w:eastAsia="Arial" w:hAnsi="Arial"/>
          <w:sz w:val="17"/>
          <w:szCs w:val="17"/>
          <w:b w:val="1"/>
          <w:bCs w:val="1"/>
          <w:color w:val="auto"/>
        </w:rPr>
      </w:pPr>
      <w:r>
        <w:rPr>
          <w:rFonts w:ascii="Arial" w:cs="Arial" w:eastAsia="Arial" w:hAnsi="Arial"/>
          <w:sz w:val="17"/>
          <w:szCs w:val="17"/>
          <w:color w:val="auto"/>
        </w:rPr>
        <w:t>BuildASign is a provider of canvas-print wall décor, business signage and other large-format printed products.</w:t>
      </w:r>
    </w:p>
    <w:p>
      <w:pPr>
        <w:spacing w:after="0" w:line="64" w:lineRule="exact"/>
        <w:rPr>
          <w:rFonts w:ascii="Arial" w:cs="Arial" w:eastAsia="Arial" w:hAnsi="Arial"/>
          <w:sz w:val="17"/>
          <w:szCs w:val="17"/>
          <w:b w:val="1"/>
          <w:bCs w:val="1"/>
          <w:color w:val="auto"/>
        </w:rPr>
      </w:pPr>
    </w:p>
    <w:p>
      <w:pPr>
        <w:ind w:left="1240" w:hanging="302"/>
        <w:spacing w:after="0"/>
        <w:tabs>
          <w:tab w:leader="none" w:pos="12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Printi, a smaller business that is an online printing leader in Brazil.</w:t>
      </w:r>
    </w:p>
    <w:p>
      <w:pPr>
        <w:spacing w:after="0" w:line="298" w:lineRule="exact"/>
        <w:rPr>
          <w:sz w:val="20"/>
          <w:szCs w:val="20"/>
          <w:color w:val="auto"/>
        </w:rPr>
      </w:pPr>
    </w:p>
    <w:p>
      <w:pPr>
        <w:ind w:firstLine="623"/>
        <w:spacing w:after="0" w:line="248"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occur when one Cimpress business chooses to buy from or sell to another Cimpress business. Under the new approach, a merchant business (the buyer) is cross charged the actual cost of fulfillment that includes product (e.g., labor, materials and overhead allocation) and shipping costs. A fulfiller business (the seller) receives inter-segment revenue that includes the product costs plus a markup, as well as the shipping costs. The fulfiller profit is included in the fulfiller’s segment results, but eliminated from consolidated reporting through an inter-segment EBITDA elimination</w:t>
      </w:r>
      <w:r>
        <w:rPr>
          <w:rFonts w:ascii="Times New Roman" w:cs="Times New Roman" w:eastAsia="Times New Roman" w:hAnsi="Times New Roman"/>
          <w:sz w:val="15"/>
          <w:szCs w:val="15"/>
          <w:color w:val="auto"/>
        </w:rPr>
        <w:t>.</w:t>
      </w:r>
      <w:r>
        <w:rPr>
          <w:rFonts w:ascii="Arial" w:cs="Arial" w:eastAsia="Arial" w:hAnsi="Arial"/>
          <w:sz w:val="17"/>
          <w:szCs w:val="17"/>
          <w:color w:val="auto"/>
        </w:rPr>
        <w:t xml:space="preserve"> The new approach allows our merchant businesses to access the ultimate Cimpress cost of fulfillment for a given product and therefore that ultimate Cimpress cost can be used to determine pricing, advertising spend, and other operational decisions. Prior to this change, inter-segment transactions were based on marked-up pricing that resulted in the merchant business recognizing inter-segment cost of goods sold that was equal to inter-segment revenue that were recognized by the fulfiller business, as such there was no inter-segment EBITDA elimination under our prior method. We have recast all prior periods presented for segment revenue and segment EBITDA to ensure comparability with the current fiscal year. These changes in methodology have no impact on our consolidated financial results.</w:t>
      </w:r>
    </w:p>
    <w:p>
      <w:pPr>
        <w:spacing w:after="0" w:line="361" w:lineRule="exact"/>
        <w:rPr>
          <w:sz w:val="20"/>
          <w:szCs w:val="20"/>
          <w:color w:val="auto"/>
        </w:rPr>
      </w:pPr>
    </w:p>
    <w:p>
      <w:pPr>
        <w:ind w:right="22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54"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spacing w:after="0" w:line="139" w:lineRule="exact"/>
        <w:rPr>
          <w:sz w:val="20"/>
          <w:szCs w:val="20"/>
          <w:color w:val="auto"/>
        </w:rPr>
      </w:pPr>
    </w:p>
    <w:p>
      <w:pPr>
        <w:ind w:right="30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54" w:lineRule="exact"/>
        <w:rPr>
          <w:sz w:val="20"/>
          <w:szCs w:val="20"/>
          <w:color w:val="auto"/>
        </w:rPr>
      </w:pPr>
    </w:p>
    <w:p>
      <w:pPr>
        <w:jc w:val="both"/>
        <w:ind w:right="2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1" w:name="page22"/>
    <w:bookmarkEnd w:id="21"/>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23"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584"/>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7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2023 (1)</w:t>
            </w:r>
          </w:p>
        </w:tc>
      </w:tr>
      <w:tr>
        <w:trPr>
          <w:trHeight w:val="189"/>
        </w:trPr>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7780" w:type="dxa"/>
            <w:vAlign w:val="bottom"/>
          </w:tcPr>
          <w:p>
            <w:pPr>
              <w:ind w:left="320"/>
              <w:spacing w:after="0"/>
              <w:rPr>
                <w:sz w:val="20"/>
                <w:szCs w:val="20"/>
                <w:color w:val="auto"/>
              </w:rPr>
            </w:pPr>
            <w:r>
              <w:rPr>
                <w:rFonts w:ascii="Arial" w:cs="Arial" w:eastAsia="Arial" w:hAnsi="Arial"/>
                <w:sz w:val="16"/>
                <w:szCs w:val="16"/>
                <w:color w:val="auto"/>
              </w:rPr>
              <w:t>Vista</w:t>
            </w:r>
          </w:p>
        </w:tc>
        <w:tc>
          <w:tcPr>
            <w:tcW w:w="960" w:type="dxa"/>
            <w:vAlign w:val="bottom"/>
          </w:tcPr>
          <w:p>
            <w:pPr>
              <w:jc w:val="right"/>
              <w:ind w:right="814"/>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429,494</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396,850</w:t>
            </w:r>
          </w:p>
        </w:tc>
      </w:tr>
      <w:tr>
        <w:trPr>
          <w:trHeight w:val="209"/>
        </w:trPr>
        <w:tc>
          <w:tcPr>
            <w:tcW w:w="7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152,573</w:t>
            </w:r>
          </w:p>
        </w:tc>
      </w:tr>
      <w:tr>
        <w:trPr>
          <w:trHeight w:val="207"/>
        </w:trPr>
        <w:tc>
          <w:tcPr>
            <w:tcW w:w="778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84,072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79,437</w:t>
            </w:r>
          </w:p>
        </w:tc>
      </w:tr>
      <w:tr>
        <w:trPr>
          <w:trHeight w:val="209"/>
        </w:trPr>
        <w:tc>
          <w:tcPr>
            <w:tcW w:w="77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86,796</w:t>
            </w:r>
          </w:p>
        </w:tc>
      </w:tr>
      <w:tr>
        <w:trPr>
          <w:trHeight w:val="207"/>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All Other Businesses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51,425</w:t>
            </w:r>
          </w:p>
        </w:tc>
      </w:tr>
      <w:tr>
        <w:trPr>
          <w:trHeight w:val="202"/>
        </w:trPr>
        <w:tc>
          <w:tcPr>
            <w:tcW w:w="77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segment revenue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767,081</w:t>
            </w:r>
          </w:p>
        </w:tc>
      </w:tr>
      <w:tr>
        <w:trPr>
          <w:trHeight w:val="207"/>
        </w:trPr>
        <w:tc>
          <w:tcPr>
            <w:tcW w:w="77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Inter-segment eliminations (2)</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(9,787)</w:t>
            </w:r>
          </w:p>
        </w:tc>
      </w:tr>
      <w:tr>
        <w:trPr>
          <w:trHeight w:val="227"/>
        </w:trPr>
        <w:tc>
          <w:tcPr>
            <w:tcW w:w="7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consolidated revenue</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804,969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757,294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380" w:hanging="236"/>
        <w:spacing w:after="0" w:line="242" w:lineRule="auto"/>
        <w:tabs>
          <w:tab w:leader="none" w:pos="2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25" w:lineRule="exact"/>
        <w:rPr>
          <w:rFonts w:ascii="Arial" w:cs="Arial" w:eastAsia="Arial" w:hAnsi="Arial"/>
          <w:sz w:val="14"/>
          <w:szCs w:val="14"/>
          <w:color w:val="auto"/>
        </w:rPr>
      </w:pPr>
    </w:p>
    <w:p>
      <w:pPr>
        <w:ind w:left="220" w:hanging="216"/>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Refer to the "Revenue by Geographic Region" tables below for detail of the inter-segment revenue within each respective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2024</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309,175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5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52,287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43,368</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404,830</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95,657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367,939</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23,759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6,999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32,200</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19,559</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429,494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93,404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57,143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824,528</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(19,559)</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428,591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85,736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50,367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804,969</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41"/>
        </w:trPr>
        <w:tc>
          <w:tcPr>
            <w:tcW w:w="39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2"/>
                <w:szCs w:val="12"/>
                <w:b w:val="1"/>
                <w:bCs w:val="1"/>
                <w:color w:val="auto"/>
              </w:rPr>
              <w:t>Three Months Ended September 30,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289,055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5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52,735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42,214</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384,004</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85,407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342,488</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21,890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7,535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30,802</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(1)</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9,787</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 (1)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396,850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86,796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51,425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767,081</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 (1)</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(9,787)</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396,352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151,542</w:t>
            </w:r>
          </w:p>
        </w:tc>
        <w:tc>
          <w:tcPr>
            <w:tcW w:w="440" w:type="dxa"/>
            <w:vAlign w:val="bottom"/>
            <w:gridSpan w:val="2"/>
          </w:tcPr>
          <w:p>
            <w:pPr>
              <w:jc w:val="right"/>
              <w:ind w:right="15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77,802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81,849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49,749</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757,294</w:t>
            </w:r>
          </w:p>
        </w:tc>
      </w:tr>
      <w:tr>
        <w:trPr>
          <w:trHeight w:val="20"/>
        </w:trPr>
        <w:tc>
          <w:tcPr>
            <w:tcW w:w="3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380" w:hanging="236"/>
        <w:spacing w:after="0" w:line="262" w:lineRule="auto"/>
        <w:tabs>
          <w:tab w:leader="none" w:pos="2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2" w:name="page23"/>
    <w:bookmarkEnd w:id="22"/>
    <w:p>
      <w:pPr>
        <w:ind w:left="620"/>
        <w:spacing w:after="0"/>
        <w:rPr>
          <w:sz w:val="20"/>
          <w:szCs w:val="20"/>
          <w:color w:val="auto"/>
        </w:rPr>
      </w:pPr>
      <w:r>
        <w:rPr>
          <w:rFonts w:ascii="Arial" w:cs="Arial" w:eastAsia="Arial" w:hAnsi="Arial"/>
          <w:sz w:val="17"/>
          <w:szCs w:val="17"/>
          <w:color w:val="auto"/>
        </w:rPr>
        <w:t>The following table includes segment EBITDA by reportable segment, total income from operations and total (loss) income before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3380" w:type="dxa"/>
            <w:vAlign w:val="bottom"/>
            <w:tcBorders>
              <w:bottom w:val="single" w:sz="8" w:color="auto"/>
            </w:tcBorders>
            <w:gridSpan w:val="5"/>
          </w:tcPr>
          <w:p>
            <w:pPr>
              <w:jc w:val="right"/>
              <w:ind w:right="583"/>
              <w:spacing w:after="0"/>
              <w:rPr>
                <w:sz w:val="20"/>
                <w:szCs w:val="20"/>
                <w:color w:val="auto"/>
              </w:rPr>
            </w:pPr>
            <w:r>
              <w:rPr>
                <w:rFonts w:ascii="Arial" w:cs="Arial" w:eastAsia="Arial" w:hAnsi="Arial"/>
                <w:sz w:val="12"/>
                <w:szCs w:val="12"/>
                <w:b w:val="1"/>
                <w:bCs w:val="1"/>
                <w:color w:val="auto"/>
              </w:rPr>
              <w:t>Three Months Ended September 30,</w:t>
            </w:r>
          </w:p>
        </w:tc>
      </w:tr>
      <w:tr>
        <w:trPr>
          <w:trHeight w:val="164"/>
        </w:trPr>
        <w:tc>
          <w:tcPr>
            <w:tcW w:w="78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2023 (1)</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3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76,847</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78,578</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20,210</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17,902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12,507</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(8,762)</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6,735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6,018</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Inter-segment elimination</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r>
      <w:tr>
        <w:trPr>
          <w:trHeight w:val="200"/>
        </w:trPr>
        <w:tc>
          <w:tcPr>
            <w:tcW w:w="7840" w:type="dxa"/>
            <w:vAlign w:val="bottom"/>
          </w:tcPr>
          <w:p>
            <w:pPr>
              <w:ind w:left="520"/>
              <w:spacing w:after="0"/>
              <w:rPr>
                <w:sz w:val="20"/>
                <w:szCs w:val="20"/>
                <w:color w:val="auto"/>
              </w:rPr>
            </w:pPr>
            <w:r>
              <w:rPr>
                <w:rFonts w:ascii="Arial" w:cs="Arial" w:eastAsia="Arial" w:hAnsi="Arial"/>
                <w:sz w:val="16"/>
                <w:szCs w:val="16"/>
                <w:color w:val="auto"/>
              </w:rPr>
              <w:t>Total segment EBITDA</w:t>
            </w:r>
          </w:p>
        </w:tc>
        <w:tc>
          <w:tcPr>
            <w:tcW w:w="10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w w:val="93"/>
              </w:rPr>
              <w:t>111,382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106,013</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(31,780)</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(39,942)</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Restructuring-related charges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334</w:t>
            </w:r>
          </w:p>
        </w:tc>
      </w:tr>
      <w:tr>
        <w:trPr>
          <w:trHeight w:val="20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Certain impairments and other adjustments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income from operations</w:t>
            </w:r>
          </w:p>
        </w:tc>
        <w:tc>
          <w:tcPr>
            <w:tcW w:w="1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39,339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34,100</w:t>
            </w:r>
          </w:p>
        </w:tc>
      </w:tr>
      <w:tr>
        <w:trPr>
          <w:trHeight w:val="200"/>
        </w:trPr>
        <w:tc>
          <w:tcPr>
            <w:tcW w:w="784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6,419</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 net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r>
      <w:tr>
        <w:trPr>
          <w:trHeight w:val="207"/>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Gain on early extinguishment of debt</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1,372</w:t>
            </w:r>
          </w:p>
        </w:tc>
      </w:tr>
      <w:tr>
        <w:trPr>
          <w:trHeight w:val="227"/>
        </w:trPr>
        <w:tc>
          <w:tcPr>
            <w:tcW w:w="7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(Loss) income before income taxes</w:t>
            </w:r>
          </w:p>
        </w:tc>
        <w:tc>
          <w:tcPr>
            <w:tcW w:w="100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9" w:lineRule="exact"/>
        <w:rPr>
          <w:sz w:val="20"/>
          <w:szCs w:val="20"/>
          <w:color w:val="auto"/>
        </w:rPr>
      </w:pPr>
    </w:p>
    <w:p>
      <w:pPr>
        <w:ind w:left="240" w:right="380" w:hanging="236"/>
        <w:spacing w:after="0" w:line="244" w:lineRule="auto"/>
        <w:tabs>
          <w:tab w:leader="none" w:pos="2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r>
      <w:tr>
        <w:trPr>
          <w:trHeight w:val="164"/>
        </w:trPr>
        <w:tc>
          <w:tcPr>
            <w:tcW w:w="7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13,055</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14,875</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3,889</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5,211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5,822</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5,188</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4,647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4,547</w:t>
            </w:r>
          </w:p>
        </w:tc>
      </w:tr>
      <w:tr>
        <w:trPr>
          <w:trHeight w:val="208"/>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5,912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5,621</w:t>
            </w:r>
          </w:p>
        </w:tc>
      </w:tr>
      <w:tr>
        <w:trPr>
          <w:trHeight w:val="202"/>
        </w:trPr>
        <w:tc>
          <w:tcPr>
            <w:tcW w:w="7680" w:type="dxa"/>
            <w:vAlign w:val="bottom"/>
          </w:tcPr>
          <w:p>
            <w:pPr>
              <w:ind w:left="640"/>
              <w:spacing w:after="0"/>
              <w:rPr>
                <w:sz w:val="20"/>
                <w:szCs w:val="20"/>
                <w:color w:val="auto"/>
              </w:rPr>
            </w:pPr>
            <w:r>
              <w:rPr>
                <w:rFonts w:ascii="Arial" w:cs="Arial" w:eastAsia="Arial" w:hAnsi="Arial"/>
                <w:sz w:val="16"/>
                <w:szCs w:val="16"/>
                <w:color w:val="auto"/>
              </w:rPr>
              <w:t>Total depreciation and amortization</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35,546</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39,942</w:t>
            </w: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20" w:type="dxa"/>
            <w:vAlign w:val="bottom"/>
            <w:tcBorders>
              <w:bottom w:val="single" w:sz="8" w:color="auto"/>
            </w:tcBorders>
          </w:tcPr>
          <w:p>
            <w:pPr>
              <w:spacing w:after="0"/>
              <w:rPr>
                <w:sz w:val="14"/>
                <w:szCs w:val="14"/>
                <w:color w:val="auto"/>
              </w:rPr>
            </w:pPr>
          </w:p>
        </w:tc>
      </w:tr>
      <w:tr>
        <w:trPr>
          <w:trHeight w:val="164"/>
        </w:trPr>
        <w:tc>
          <w:tcPr>
            <w:tcW w:w="78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620" w:type="dxa"/>
            <w:vAlign w:val="bottom"/>
            <w:tcBorders>
              <w:bottom w:val="single" w:sz="8" w:color="auto"/>
            </w:tcBorders>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Vista</w:t>
            </w:r>
          </w:p>
        </w:tc>
        <w:tc>
          <w:tcPr>
            <w:tcW w:w="1020" w:type="dxa"/>
            <w:vAlign w:val="bottom"/>
          </w:tcPr>
          <w:p>
            <w:pPr>
              <w:jc w:val="right"/>
              <w:ind w:right="85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7,526</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3,611</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5,152</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8,496</w:t>
            </w:r>
          </w:p>
        </w:tc>
      </w:tr>
      <w:tr>
        <w:trPr>
          <w:trHeight w:val="20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2,669</w:t>
            </w:r>
          </w:p>
        </w:tc>
      </w:tr>
      <w:tr>
        <w:trPr>
          <w:trHeight w:val="207"/>
        </w:trPr>
        <w:tc>
          <w:tcPr>
            <w:tcW w:w="784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2,235</w:t>
            </w:r>
          </w:p>
        </w:tc>
      </w:tr>
      <w:tr>
        <w:trPr>
          <w:trHeight w:val="208"/>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402</w:t>
            </w:r>
          </w:p>
        </w:tc>
      </w:tr>
      <w:tr>
        <w:trPr>
          <w:trHeight w:val="202"/>
        </w:trPr>
        <w:tc>
          <w:tcPr>
            <w:tcW w:w="7840" w:type="dxa"/>
            <w:vAlign w:val="bottom"/>
          </w:tcPr>
          <w:p>
            <w:pPr>
              <w:ind w:left="640"/>
              <w:spacing w:after="0"/>
              <w:rPr>
                <w:sz w:val="20"/>
                <w:szCs w:val="20"/>
                <w:color w:val="auto"/>
              </w:rPr>
            </w:pPr>
            <w:r>
              <w:rPr>
                <w:rFonts w:ascii="Arial" w:cs="Arial" w:eastAsia="Arial" w:hAnsi="Arial"/>
                <w:sz w:val="16"/>
                <w:szCs w:val="16"/>
                <w:color w:val="auto"/>
              </w:rPr>
              <w:t>Total purchases of property, plant and equipment</w:t>
            </w: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17,001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22,565</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September 30,</w:t>
            </w:r>
          </w:p>
        </w:tc>
        <w:tc>
          <w:tcPr>
            <w:tcW w:w="600" w:type="dxa"/>
            <w:vAlign w:val="bottom"/>
            <w:tcBorders>
              <w:bottom w:val="single" w:sz="8" w:color="auto"/>
            </w:tcBorders>
          </w:tcPr>
          <w:p>
            <w:pPr>
              <w:spacing w:after="0"/>
              <w:rPr>
                <w:sz w:val="14"/>
                <w:szCs w:val="14"/>
                <w:color w:val="auto"/>
              </w:rPr>
            </w:pPr>
          </w:p>
        </w:tc>
      </w:tr>
      <w:tr>
        <w:trPr>
          <w:trHeight w:val="164"/>
        </w:trPr>
        <w:tc>
          <w:tcPr>
            <w:tcW w:w="7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6,057</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6,640</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457</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694</w:t>
            </w:r>
          </w:p>
        </w:tc>
      </w:tr>
      <w:tr>
        <w:trPr>
          <w:trHeight w:val="209"/>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805</w:t>
            </w:r>
          </w:p>
        </w:tc>
      </w:tr>
      <w:tr>
        <w:trPr>
          <w:trHeight w:val="207"/>
        </w:trPr>
        <w:tc>
          <w:tcPr>
            <w:tcW w:w="768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1,187</w:t>
            </w:r>
          </w:p>
        </w:tc>
      </w:tr>
      <w:tr>
        <w:trPr>
          <w:trHeight w:val="208"/>
        </w:trPr>
        <w:tc>
          <w:tcPr>
            <w:tcW w:w="7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4,364</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4,614</w:t>
            </w:r>
          </w:p>
        </w:tc>
      </w:tr>
      <w:tr>
        <w:trPr>
          <w:trHeight w:val="202"/>
        </w:trPr>
        <w:tc>
          <w:tcPr>
            <w:tcW w:w="7680" w:type="dxa"/>
            <w:vAlign w:val="bottom"/>
          </w:tcPr>
          <w:p>
            <w:pPr>
              <w:ind w:left="640"/>
              <w:spacing w:after="0"/>
              <w:rPr>
                <w:sz w:val="20"/>
                <w:szCs w:val="20"/>
                <w:color w:val="auto"/>
              </w:rPr>
            </w:pPr>
            <w:r>
              <w:rPr>
                <w:rFonts w:ascii="Arial" w:cs="Arial" w:eastAsia="Arial" w:hAnsi="Arial"/>
                <w:sz w:val="16"/>
                <w:szCs w:val="16"/>
                <w:color w:val="auto"/>
              </w:rPr>
              <w:t>Total capitalization of software and website development costs</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14,571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14,397</w:t>
            </w: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2024</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77,095</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Switzerland</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70,876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67,201</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60,974</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Canada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57,455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54,848</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37,380</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Germany</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32,088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31,656</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France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28,002</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22,710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22,131</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Jamaica</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r>
      <w:tr>
        <w:trPr>
          <w:trHeight w:val="207"/>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96,252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90,380</w:t>
            </w:r>
          </w:p>
        </w:tc>
      </w:tr>
      <w:tr>
        <w:trPr>
          <w:trHeight w:val="227"/>
        </w:trPr>
        <w:tc>
          <w:tcPr>
            <w:tcW w:w="7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40" w:hanging="236"/>
        <w:spacing w:after="0" w:line="281"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goodwill of $804,806 and $787,138, intangible assets, net of $72,071 and $76,560, deferred tax assets of $97,003 and $95,059, and equity method investments of $2,128 and $1,904 as of September 30, 2024 and June 30, 2024, respectively.</w:t>
      </w:r>
    </w:p>
    <w:p>
      <w:pPr>
        <w:spacing w:after="0" w:line="248" w:lineRule="exact"/>
        <w:rPr>
          <w:sz w:val="20"/>
          <w:szCs w:val="20"/>
          <w:color w:val="auto"/>
        </w:rPr>
      </w:pPr>
    </w:p>
    <w:p>
      <w:pPr>
        <w:ind w:right="8200" w:firstLine="4"/>
        <w:spacing w:after="0" w:line="415" w:lineRule="auto"/>
        <w:tabs>
          <w:tab w:leader="none" w:pos="289"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Supply Chain Finance Program</w:t>
      </w:r>
    </w:p>
    <w:p>
      <w:pPr>
        <w:spacing w:after="0" w:line="1" w:lineRule="exact"/>
        <w:rPr>
          <w:sz w:val="20"/>
          <w:szCs w:val="20"/>
          <w:color w:val="auto"/>
        </w:rPr>
      </w:pPr>
    </w:p>
    <w:p>
      <w:pPr>
        <w:ind w:right="60" w:firstLine="623"/>
        <w:spacing w:after="0" w:line="261" w:lineRule="auto"/>
        <w:rPr>
          <w:sz w:val="20"/>
          <w:szCs w:val="20"/>
          <w:color w:val="auto"/>
        </w:rPr>
      </w:pPr>
      <w:r>
        <w:rPr>
          <w:rFonts w:ascii="Arial" w:cs="Arial" w:eastAsia="Arial" w:hAnsi="Arial"/>
          <w:sz w:val="17"/>
          <w:szCs w:val="17"/>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121"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September 30, 2024 and June 30, 2024 were $62,389 and $62,848,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Obligations</w:t>
      </w:r>
    </w:p>
    <w:p>
      <w:pPr>
        <w:spacing w:after="0" w:line="194"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At September 30, 2024, we had unrecorded commitments under contract of $231,826, including inventory, third-party fulfillment and digital service purchase commitments of $94,562; third-party cloud services of $ 46,075; software of $35,758; production-related temporary labor of $10,278; insurance costs of $9,595; production and computer equipment purchases of $9,404; professional and consulting fees of $6,988; advertising of $2,025; and other unrecorded purchase commitments of $17,140.</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color w:val="auto"/>
        </w:rPr>
        <w:t>Legal Proceedings</w:t>
      </w:r>
    </w:p>
    <w:p>
      <w:pPr>
        <w:spacing w:after="0" w:line="207"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83"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firstLine="623"/>
        <w:spacing w:after="0" w:line="257"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future payment terms with suppliers, legal proceedings, indefinitely reinvested earnings, unrecognized tax benefits, our effective tax rate, and sufficiency of our tax reserves. Without limiting the foregoing, the words “may,” “should,” “could,” “expect,” “plan,” “intend,” “anticipate,” “believe,” “estimate,” “predict,” “designed,” “potential,” “continue,” “target,” “seek,”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heightened inflation; our inability to make investments in our business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political instability and war in Ukraine, Israel, the Middle East or elsewhere; changes in the laws and regulations, or in the interpretation of laws and regulations, that affect our businesses;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2024 fiscal year and subsequent documents we periodically file with the SEC.</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right="12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 We discuss mass customization further in the Business section of this Report.</w:t>
      </w:r>
    </w:p>
    <w:p>
      <w:pPr>
        <w:spacing w:after="0" w:line="155" w:lineRule="exact"/>
        <w:rPr>
          <w:sz w:val="20"/>
          <w:szCs w:val="20"/>
          <w:color w:val="auto"/>
        </w:rPr>
      </w:pPr>
    </w:p>
    <w:p>
      <w:pPr>
        <w:ind w:right="360" w:firstLine="623"/>
        <w:spacing w:after="0" w:line="295" w:lineRule="auto"/>
        <w:rPr>
          <w:sz w:val="20"/>
          <w:szCs w:val="20"/>
          <w:color w:val="auto"/>
        </w:rPr>
      </w:pPr>
      <w:r>
        <w:rPr>
          <w:rFonts w:ascii="Arial" w:cs="Arial" w:eastAsia="Arial" w:hAnsi="Arial"/>
          <w:sz w:val="17"/>
          <w:szCs w:val="17"/>
          <w:color w:val="auto"/>
        </w:rPr>
        <w:t>As of September 30, 2024, we have numerous operating segments under our management reporting structure that are reported in the following five reportable segments: Vista, PrintBrothers, The Print Group, National Pen, and All Other Businesses.</w:t>
      </w:r>
    </w:p>
    <w:p>
      <w:pPr>
        <w:spacing w:after="0" w:line="130" w:lineRule="exact"/>
        <w:rPr>
          <w:sz w:val="20"/>
          <w:szCs w:val="20"/>
          <w:color w:val="auto"/>
        </w:rPr>
      </w:pPr>
    </w:p>
    <w:p>
      <w:pPr>
        <w:ind w:right="6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 presented for segment revenue and segment EBITDA to ensure comparability with the current fiscal year. These changes in methodology have no impact on our consolidated financial results. Refer to Note 11 in our accompanying consolidated financial statements for additional details.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4"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302" w:right="359" w:bottom="1440" w:gutter="0" w:footer="0" w:header="0"/>
        </w:sectPr>
      </w:pPr>
    </w:p>
    <w:bookmarkStart w:id="26" w:name="page27"/>
    <w:bookmarkEnd w:id="26"/>
    <w:p>
      <w:pPr>
        <w:ind w:right="100"/>
        <w:spacing w:after="0" w:line="295" w:lineRule="auto"/>
        <w:rPr>
          <w:sz w:val="20"/>
          <w:szCs w:val="20"/>
          <w:color w:val="auto"/>
        </w:rPr>
      </w:pPr>
      <w:r>
        <w:rPr>
          <w:rFonts w:ascii="Arial" w:cs="Arial" w:eastAsia="Arial" w:hAnsi="Arial"/>
          <w:sz w:val="17"/>
          <w:szCs w:val="17"/>
          <w:color w:val="auto"/>
        </w:rPr>
        <w:t>Management's Discussion and Analysis. A summary of these key financial metrics for the three months ended September 30, 2024 as compared to the three months ended September 30, 2023 follows:</w:t>
      </w:r>
    </w:p>
    <w:p>
      <w:pPr>
        <w:spacing w:after="0" w:line="142" w:lineRule="exact"/>
        <w:rPr>
          <w:sz w:val="20"/>
          <w:szCs w:val="20"/>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Revenue increased by 6% to $805.0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6%.</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income increased by $5.2 million to $39.3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$1.0 million to $87.8 million.</w:t>
      </w:r>
    </w:p>
    <w:p>
      <w:pPr>
        <w:spacing w:after="0" w:line="116" w:lineRule="exact"/>
        <w:rPr>
          <w:rFonts w:ascii="Arial" w:cs="Arial" w:eastAsia="Arial" w:hAnsi="Arial"/>
          <w:sz w:val="17"/>
          <w:szCs w:val="17"/>
          <w:color w:val="auto"/>
        </w:rPr>
      </w:pPr>
    </w:p>
    <w:p>
      <w:pPr>
        <w:ind w:left="940" w:right="240" w:hanging="313"/>
        <w:spacing w:after="0" w:line="295" w:lineRule="auto"/>
        <w:tabs>
          <w:tab w:leader="none" w:pos="9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Diluted net (loss) income per share attributable to Cimpress plc was a loss of $(0.50) compared to income of $0.17 in the prior year period.</w:t>
      </w:r>
    </w:p>
    <w:p>
      <w:pPr>
        <w:spacing w:after="0" w:line="38"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$37.9 million to $4.4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$36.5 million to a use of cash of $25.6 million.</w:t>
      </w:r>
    </w:p>
    <w:p>
      <w:pPr>
        <w:spacing w:after="0" w:line="194" w:lineRule="exact"/>
        <w:rPr>
          <w:sz w:val="20"/>
          <w:szCs w:val="20"/>
          <w:color w:val="auto"/>
        </w:rPr>
      </w:pPr>
    </w:p>
    <w:p>
      <w:pPr>
        <w:ind w:right="420" w:firstLine="623"/>
        <w:spacing w:after="0" w:line="275" w:lineRule="auto"/>
        <w:rPr>
          <w:sz w:val="20"/>
          <w:szCs w:val="20"/>
          <w:color w:val="auto"/>
        </w:rPr>
      </w:pPr>
      <w:r>
        <w:rPr>
          <w:rFonts w:ascii="Arial" w:cs="Arial" w:eastAsia="Arial" w:hAnsi="Arial"/>
          <w:sz w:val="17"/>
          <w:szCs w:val="17"/>
          <w:color w:val="auto"/>
        </w:rPr>
        <w:t>For the three months ended September 30, 2024, the increase in reported revenue was driven by revenue growth across all of our segments. Revenue growth in our Vista business was driven by customer experience improvements and new product introductions that have supported continued increases in average order value and customer count.</w:t>
      </w:r>
    </w:p>
    <w:p>
      <w:pPr>
        <w:spacing w:after="0" w:line="146" w:lineRule="exact"/>
        <w:rPr>
          <w:sz w:val="20"/>
          <w:szCs w:val="20"/>
          <w:color w:val="auto"/>
        </w:rPr>
      </w:pPr>
    </w:p>
    <w:p>
      <w:pPr>
        <w:ind w:right="160" w:firstLine="623"/>
        <w:spacing w:after="0" w:line="263" w:lineRule="auto"/>
        <w:rPr>
          <w:sz w:val="20"/>
          <w:szCs w:val="20"/>
          <w:color w:val="auto"/>
        </w:rPr>
      </w:pPr>
      <w:r>
        <w:rPr>
          <w:rFonts w:ascii="Arial" w:cs="Arial" w:eastAsia="Arial" w:hAnsi="Arial"/>
          <w:sz w:val="17"/>
          <w:szCs w:val="17"/>
          <w:color w:val="auto"/>
        </w:rPr>
        <w:t>The increase to operating income during the three months ended September 30, 2024 was driven by a $23.7 million increase to gross profit that benefited from the revenue growth described above. The increase to gross profit was offset in part by higher advertising spend of $6.3 million which was largely driven by higher mid- and upper-funnel advertising spend in our Vista business. In addition, operating expenses increased as compared to the prior year, due in part to higher cash compensation costs driven by the timing of our annual merit cycle, and increases in share-based compensation expense. These operating expense increases were offset in part by $4.7 million of lower amortization of acquired intangible assets due to the runoff of fully amortized assets across several of our previously acquired businesses.</w:t>
      </w:r>
    </w:p>
    <w:p>
      <w:pPr>
        <w:spacing w:after="0" w:line="155"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Adjusted EBITDA decreased year over year by $1.0 million, which included negative year-over-year currency impacts of $0.9 million. Excluding the effect of currency, adjusted EBITDA decreased slightly versus the prior period. Adjusted EBITDA excludes depreciation and amortization, restructuring charges, share-based compensation expense, earn-out related charges, certain impairments and other charges, gains or losses on the purchase or sale of subsidiaries and the disposal of assets, and includes proceeds from insurance not already included in operating income as well as the realized gains or losses on our currency derivatives intended to hedge adjusted EBITDA.</w:t>
      </w:r>
    </w:p>
    <w:p>
      <w:pPr>
        <w:spacing w:after="0" w:line="141" w:lineRule="exact"/>
        <w:rPr>
          <w:sz w:val="20"/>
          <w:szCs w:val="20"/>
          <w:color w:val="auto"/>
        </w:rPr>
      </w:pPr>
    </w:p>
    <w:p>
      <w:pPr>
        <w:ind w:firstLine="623"/>
        <w:spacing w:after="0" w:line="263" w:lineRule="auto"/>
        <w:rPr>
          <w:sz w:val="20"/>
          <w:szCs w:val="20"/>
          <w:color w:val="auto"/>
        </w:rPr>
      </w:pPr>
      <w:r>
        <w:rPr>
          <w:rFonts w:ascii="Arial" w:cs="Arial" w:eastAsia="Arial" w:hAnsi="Arial"/>
          <w:sz w:val="17"/>
          <w:szCs w:val="17"/>
          <w:color w:val="auto"/>
        </w:rPr>
        <w:t>Diluted net (loss) income per share attributable to Cimpress plc decreased for the three months ended September 30, 2024, primarily due to the net negative currency impacts of $15.2 million year over year, primarily due to unrealized currency losses caused by exchange rate volatility and lower realized gains on our derivative contracts. We also recognized $2.2 million of higher interest expense, net, primarily due to the impact of changes in our estimated redemption amount of mandatorily redeemable noncontrolling interests, which has resulted in $2.7 million of higher interest expense, net, year over year. Additionally, we recognized $1.2 million of lower gains on extinguishment of debt driven by the prior year purchase of a portion of our previously outstanding 2026 Notes.</w:t>
      </w:r>
    </w:p>
    <w:p>
      <w:pPr>
        <w:spacing w:after="0" w:line="155"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During the three months ended September 30, 2024, cash from operations decreased $37.9 million year over year primarily driven by unfavorable changes in working capital due to timing items, as well as higher cash interest of $10.6 million driven by the earlier interest payment associated with the redemption of our previously outstanding 2026 Notes. For additional details regarding the refinancing of our 2026 Notes, refer to Note 8 in our accompanying consolidated financial statements.</w:t>
      </w:r>
    </w:p>
    <w:p>
      <w:pPr>
        <w:spacing w:after="0" w:line="152"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Adjusted free cash flow decreased by $36.5 million for the three months ended September 30, 2024, due to the operating cash flow decrease described above, as well as $4.1 million of lower proceeds from the sale of assets, primarily driven by the sale of our previously owned manufacturing facility in Japan in the prior period. These decreases were partially offset by lower capitalized expenditures year-over-year of $5.6 million, primarily due to the timing of cash payments on asset purchases.</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42" w:lineRule="exact"/>
        <w:rPr>
          <w:sz w:val="20"/>
          <w:szCs w:val="20"/>
          <w:color w:val="auto"/>
        </w:rPr>
      </w:pPr>
    </w:p>
    <w:p>
      <w:pPr>
        <w:jc w:val="both"/>
        <w:ind w:right="36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74" w:lineRule="exact"/>
        <w:rPr>
          <w:sz w:val="20"/>
          <w:szCs w:val="20"/>
          <w:color w:val="auto"/>
        </w:rPr>
      </w:pPr>
    </w:p>
    <w:p>
      <w:pPr>
        <w:ind w:right="400" w:firstLine="623"/>
        <w:spacing w:after="0" w:line="295" w:lineRule="auto"/>
        <w:rPr>
          <w:sz w:val="20"/>
          <w:szCs w:val="20"/>
          <w:color w:val="auto"/>
        </w:rPr>
      </w:pPr>
      <w:r>
        <w:rPr>
          <w:rFonts w:ascii="Arial" w:cs="Arial" w:eastAsia="Arial" w:hAnsi="Arial"/>
          <w:sz w:val="17"/>
          <w:szCs w:val="17"/>
          <w:color w:val="auto"/>
        </w:rPr>
        <w:t>Total revenue and revenue growth by reportable segment for the three months ended September 30, 2024 and 2023 are shown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2300" w:type="dxa"/>
            <w:vAlign w:val="bottom"/>
            <w:gridSpan w:val="4"/>
            <w:vMerge w:val="restart"/>
          </w:tcPr>
          <w:p>
            <w:pPr>
              <w:jc w:val="right"/>
              <w:ind w:right="124"/>
              <w:spacing w:after="0"/>
              <w:rPr>
                <w:sz w:val="20"/>
                <w:szCs w:val="20"/>
                <w:color w:val="auto"/>
              </w:rPr>
            </w:pPr>
            <w:r>
              <w:rPr>
                <w:rFonts w:ascii="Arial" w:cs="Arial" w:eastAsia="Arial" w:hAnsi="Arial"/>
                <w:sz w:val="12"/>
                <w:szCs w:val="12"/>
                <w:b w:val="1"/>
                <w:bCs w:val="1"/>
                <w:color w:val="auto"/>
              </w:rPr>
              <w:t>Three Months Ended September 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72"/>
        </w:trPr>
        <w:tc>
          <w:tcPr>
            <w:tcW w:w="208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2023 (1)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(2)</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429,494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396,850</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160,415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152,573</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84,072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79,437</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160" w:type="dxa"/>
            <w:vAlign w:val="bottom"/>
          </w:tcPr>
          <w:p>
            <w:pPr>
              <w:spacing w:after="0"/>
              <w:rPr>
                <w:sz w:val="17"/>
                <w:szCs w:val="17"/>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93,404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86,796</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57,143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51,425</w:t>
            </w:r>
          </w:p>
        </w:tc>
        <w:tc>
          <w:tcPr>
            <w:tcW w:w="860" w:type="dxa"/>
            <w:vAlign w:val="bottom"/>
            <w:gridSpan w:val="2"/>
            <w:shd w:val="clear" w:color="auto" w:fill="CCEEFF"/>
          </w:tcPr>
          <w:p>
            <w:pPr>
              <w:jc w:val="center"/>
              <w:ind w:left="45"/>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07"/>
        </w:trPr>
        <w:tc>
          <w:tcPr>
            <w:tcW w:w="2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Inter-segment eliminations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(9,787)</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804,969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757,294</w:t>
            </w:r>
          </w:p>
        </w:tc>
        <w:tc>
          <w:tcPr>
            <w:tcW w:w="86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34" w:lineRule="exact"/>
        <w:rPr>
          <w:sz w:val="20"/>
          <w:szCs w:val="20"/>
          <w:color w:val="auto"/>
        </w:rPr>
      </w:pPr>
    </w:p>
    <w:p>
      <w:pPr>
        <w:ind w:left="240" w:right="80" w:hanging="236"/>
        <w:spacing w:after="0" w:line="242"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38" w:lineRule="exact"/>
        <w:rPr>
          <w:rFonts w:ascii="Arial" w:cs="Arial" w:eastAsia="Arial" w:hAnsi="Arial"/>
          <w:sz w:val="14"/>
          <w:szCs w:val="14"/>
          <w:color w:val="auto"/>
        </w:rPr>
      </w:pPr>
    </w:p>
    <w:p>
      <w:pPr>
        <w:ind w:left="240" w:right="140" w:hanging="236"/>
        <w:spacing w:after="0" w:line="256"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16" w:lineRule="exact"/>
        <w:rPr>
          <w:rFonts w:ascii="Arial" w:cs="Arial" w:eastAsia="Arial" w:hAnsi="Arial"/>
          <w:sz w:val="14"/>
          <w:szCs w:val="14"/>
          <w:color w:val="auto"/>
        </w:rPr>
      </w:pPr>
    </w:p>
    <w:p>
      <w:pPr>
        <w:ind w:left="240" w:right="240" w:hanging="236"/>
        <w:spacing w:after="0" w:line="262" w:lineRule="auto"/>
        <w:tabs>
          <w:tab w:leader="none" w:pos="214"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2" w:lineRule="exact"/>
        <w:rPr>
          <w:sz w:val="20"/>
          <w:szCs w:val="20"/>
          <w:color w:val="auto"/>
        </w:rPr>
      </w:pPr>
    </w:p>
    <w:p>
      <w:pPr>
        <w:ind w:left="240" w:right="40"/>
        <w:spacing w:after="0" w:line="256"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62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88"/>
              <w:spacing w:after="0"/>
              <w:rPr>
                <w:sz w:val="20"/>
                <w:szCs w:val="20"/>
                <w:color w:val="auto"/>
              </w:rPr>
            </w:pPr>
            <w:r>
              <w:rPr>
                <w:rFonts w:ascii="Arial" w:cs="Arial" w:eastAsia="Arial" w:hAnsi="Arial"/>
                <w:sz w:val="12"/>
                <w:szCs w:val="12"/>
                <w:b w:val="1"/>
                <w:bCs w:val="1"/>
                <w:color w:val="auto"/>
              </w:rPr>
              <w:t>2023</w:t>
            </w: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422,736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398,783</w:t>
            </w:r>
          </w:p>
        </w:tc>
      </w:tr>
      <w:tr>
        <w:trPr>
          <w:trHeight w:val="206"/>
        </w:trPr>
        <w:tc>
          <w:tcPr>
            <w:tcW w:w="76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52.5 %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52.7 %</w:t>
            </w:r>
          </w:p>
        </w:tc>
      </w:tr>
    </w:tbl>
    <w:p>
      <w:pPr>
        <w:spacing w:after="0" w:line="180" w:lineRule="exact"/>
        <w:rPr>
          <w:sz w:val="20"/>
          <w:szCs w:val="20"/>
          <w:color w:val="auto"/>
        </w:rPr>
      </w:pPr>
    </w:p>
    <w:p>
      <w:pPr>
        <w:ind w:right="80" w:firstLine="623"/>
        <w:spacing w:after="0" w:line="275" w:lineRule="auto"/>
        <w:rPr>
          <w:sz w:val="20"/>
          <w:szCs w:val="20"/>
          <w:color w:val="auto"/>
        </w:rPr>
      </w:pPr>
      <w:r>
        <w:rPr>
          <w:rFonts w:ascii="Arial" w:cs="Arial" w:eastAsia="Arial" w:hAnsi="Arial"/>
          <w:sz w:val="17"/>
          <w:szCs w:val="17"/>
          <w:color w:val="auto"/>
        </w:rPr>
        <w:t>For the three months ended September 30, 2024, cost of revenue increased by $24.0 million year over year, partially driven by higher production and shipping costs due to volume growth as well as increases in third-party fulfillment costs in some of our businesses, primarily due to product mix shifts toward faster growing product categories, some of which leverage our large fulfillment network.</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80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2"/>
                <w:szCs w:val="12"/>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81,861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74,330</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10.2 %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9.8 %</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203,847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192,188</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25.3 %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25.4 %</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51,932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48,341</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6.5 %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6.4 %</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5,155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9,886</w:t>
            </w:r>
          </w:p>
        </w:tc>
      </w:tr>
      <w:tr>
        <w:trPr>
          <w:trHeight w:val="207"/>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1.3 %</w:t>
            </w: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(334)</w:t>
            </w:r>
          </w:p>
        </w:tc>
      </w:tr>
      <w:tr>
        <w:trPr>
          <w:trHeight w:val="206"/>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i w:val="1"/>
                <w:iCs w:val="1"/>
                <w:color w:val="auto"/>
              </w:rPr>
              <w:t>0.0 %</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07"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02" w:lineRule="exact"/>
        <w:rPr>
          <w:sz w:val="20"/>
          <w:szCs w:val="20"/>
          <w:color w:val="auto"/>
        </w:rPr>
      </w:pPr>
    </w:p>
    <w:p>
      <w:pPr>
        <w:ind w:right="40" w:firstLine="623"/>
        <w:spacing w:after="0" w:line="234" w:lineRule="auto"/>
        <w:rPr>
          <w:sz w:val="20"/>
          <w:szCs w:val="20"/>
          <w:color w:val="auto"/>
        </w:rPr>
      </w:pPr>
      <w:r>
        <w:rPr>
          <w:rFonts w:ascii="Arial" w:cs="Arial" w:eastAsia="Arial" w:hAnsi="Arial"/>
          <w:sz w:val="17"/>
          <w:szCs w:val="17"/>
          <w:color w:val="auto"/>
        </w:rPr>
        <w:t>Technology and development expense increased by $7.5 million for the three months ended September 30, 2024 as compared to the prior year. The year-over-year increase was driven in part by $1.8 million of higher third-party technology costs driven partly by our businesses' further adoption of certain products offered through our mass customization platform, as well as increased business volumes, which has collectively</w:t>
      </w:r>
    </w:p>
    <w:p>
      <w:pPr>
        <w:spacing w:after="0" w:line="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increased consumption of those services. There were also $1.8 million of higher cash compensation costs in the current quarter, resulting in part from our annual merit cycle and market adjustments and higher share-based compensation costs of $0.9 million. Amortization of capitalized software also increased $1.2 million as compared to the prior year, due to an increase in the capitalized asset base driven by continued investment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technology capabilities mainly in our Vista business and central technology teams.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207"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2" w:lineRule="exact"/>
        <w:rPr>
          <w:sz w:val="20"/>
          <w:szCs w:val="20"/>
          <w:color w:val="auto"/>
        </w:rPr>
      </w:pPr>
    </w:p>
    <w:p>
      <w:pPr>
        <w:ind w:right="60" w:firstLine="623"/>
        <w:spacing w:after="0" w:line="266" w:lineRule="auto"/>
        <w:rPr>
          <w:sz w:val="20"/>
          <w:szCs w:val="20"/>
          <w:color w:val="auto"/>
        </w:rPr>
      </w:pPr>
      <w:r>
        <w:rPr>
          <w:rFonts w:ascii="Arial" w:cs="Arial" w:eastAsia="Arial" w:hAnsi="Arial"/>
          <w:sz w:val="17"/>
          <w:szCs w:val="17"/>
          <w:color w:val="auto"/>
        </w:rPr>
        <w:t>For the three months ended September 30, 2024, marketing and selling expenses increased by $11.7 million, partly due to higher advertising spend of $ 6.3 million as compared to the prior year, largely driven by increases in mid- and upper-funnel spend in our Vista business. These increases were driven in part by the non-recurrence of temporarily stopping activity in these channels to test their performance that reduced spend in the prior year. Cash compensation costs increased by $4.4 million driven by our annual merit cycle, as well as hiring in our Vista business.</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p>
      <w:pPr>
        <w:ind w:right="18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0" w:lineRule="exact"/>
        <w:rPr>
          <w:sz w:val="20"/>
          <w:szCs w:val="20"/>
          <w:color w:val="auto"/>
        </w:rPr>
      </w:pPr>
    </w:p>
    <w:p>
      <w:pPr>
        <w:jc w:val="both"/>
        <w:ind w:right="220" w:firstLine="623"/>
        <w:spacing w:after="0" w:line="275" w:lineRule="auto"/>
        <w:rPr>
          <w:sz w:val="20"/>
          <w:szCs w:val="20"/>
          <w:color w:val="auto"/>
        </w:rPr>
      </w:pPr>
      <w:r>
        <w:rPr>
          <w:rFonts w:ascii="Arial" w:cs="Arial" w:eastAsia="Arial" w:hAnsi="Arial"/>
          <w:sz w:val="17"/>
          <w:szCs w:val="17"/>
          <w:color w:val="auto"/>
        </w:rPr>
        <w:t>General and administrative expenses increased by $3.6 million during the three months ended September 30, 2024 as compared to the prior year. The increase in general and administrative expenses were driven by higher compensation costs, which included $2.7 million of higher share-based compensation expense, driven by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right="100"/>
        <w:spacing w:after="0" w:line="295" w:lineRule="auto"/>
        <w:rPr>
          <w:sz w:val="20"/>
          <w:szCs w:val="20"/>
          <w:color w:val="auto"/>
        </w:rPr>
      </w:pPr>
      <w:r>
        <w:rPr>
          <w:rFonts w:ascii="Arial" w:cs="Arial" w:eastAsia="Arial" w:hAnsi="Arial"/>
          <w:sz w:val="17"/>
          <w:szCs w:val="17"/>
          <w:color w:val="auto"/>
        </w:rPr>
        <w:t>accelerated expense profile of our performance share units, as well as $0.6 million of higher cash compensation costs which was impacted by our annual merit cycle.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 net</w:t>
      </w:r>
    </w:p>
    <w:p>
      <w:pPr>
        <w:spacing w:after="0" w:line="207" w:lineRule="exact"/>
        <w:rPr>
          <w:sz w:val="20"/>
          <w:szCs w:val="20"/>
          <w:color w:val="auto"/>
        </w:rPr>
      </w:pPr>
    </w:p>
    <w:p>
      <w:pPr>
        <w:ind w:right="100" w:firstLine="623"/>
        <w:spacing w:after="0" w:line="265" w:lineRule="auto"/>
        <w:rPr>
          <w:sz w:val="20"/>
          <w:szCs w:val="20"/>
          <w:color w:val="auto"/>
        </w:rPr>
      </w:pPr>
      <w:r>
        <w:rPr>
          <w:rFonts w:ascii="Arial" w:cs="Arial" w:eastAsia="Arial" w:hAnsi="Arial"/>
          <w:sz w:val="17"/>
          <w:szCs w:val="17"/>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0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6"/>
              <w:spacing w:after="0"/>
              <w:rPr>
                <w:sz w:val="20"/>
                <w:szCs w:val="20"/>
                <w:color w:val="auto"/>
              </w:rPr>
            </w:pPr>
            <w:r>
              <w:rPr>
                <w:rFonts w:ascii="Arial" w:cs="Arial" w:eastAsia="Arial" w:hAnsi="Arial"/>
                <w:sz w:val="12"/>
                <w:szCs w:val="12"/>
                <w:b w:val="1"/>
                <w:bCs w:val="1"/>
                <w:color w:val="auto"/>
              </w:rPr>
              <w:t>2023</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gains on derivatives not designated as hedging instruments</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8,312</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Currency-related gains (losses), net</w:t>
            </w:r>
          </w:p>
        </w:tc>
        <w:tc>
          <w:tcPr>
            <w:tcW w:w="38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6"/>
                <w:szCs w:val="16"/>
                <w:color w:val="auto"/>
              </w:rPr>
              <w:t>8,667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806</w:t>
            </w:r>
          </w:p>
        </w:tc>
      </w:tr>
      <w:tr>
        <w:trPr>
          <w:trHeight w:val="202"/>
        </w:trPr>
        <w:tc>
          <w:tcPr>
            <w:tcW w:w="784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6,419</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180" w:firstLine="623"/>
        <w:spacing w:after="0" w:line="275" w:lineRule="auto"/>
        <w:rPr>
          <w:sz w:val="20"/>
          <w:szCs w:val="20"/>
          <w:color w:val="auto"/>
        </w:rPr>
      </w:pPr>
      <w:r>
        <w:rPr>
          <w:rFonts w:ascii="Arial" w:cs="Arial" w:eastAsia="Arial" w:hAnsi="Arial"/>
          <w:sz w:val="17"/>
          <w:szCs w:val="17"/>
          <w:color w:val="auto"/>
        </w:rPr>
        <w:t>The decrease in other (expense)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46" w:lineRule="exact"/>
        <w:rPr>
          <w:sz w:val="20"/>
          <w:szCs w:val="20"/>
          <w:color w:val="auto"/>
        </w:rPr>
      </w:pPr>
    </w:p>
    <w:p>
      <w:pPr>
        <w:jc w:val="both"/>
        <w:ind w:right="20" w:firstLine="623"/>
        <w:spacing w:after="0" w:line="275" w:lineRule="auto"/>
        <w:rPr>
          <w:sz w:val="20"/>
          <w:szCs w:val="20"/>
          <w:color w:val="auto"/>
        </w:rPr>
      </w:pPr>
      <w:r>
        <w:rPr>
          <w:rFonts w:ascii="Arial" w:cs="Arial" w:eastAsia="Arial" w:hAnsi="Arial"/>
          <w:sz w:val="17"/>
          <w:szCs w:val="17"/>
          <w:color w:val="auto"/>
        </w:rPr>
        <w:t>We experience currency-related net gains and losses due to currency exchange rate volatility on our non-functional currency intercompany relationships, which we may alter from time to time. Losses on the revaluation of non-functional currency debt are included in our currency-related gains (losses), net, offsetting the impact of certain non-functional currency intercompany relationships.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94" w:lineRule="exact"/>
        <w:rPr>
          <w:sz w:val="20"/>
          <w:szCs w:val="20"/>
          <w:color w:val="auto"/>
        </w:rPr>
      </w:pPr>
    </w:p>
    <w:p>
      <w:pPr>
        <w:ind w:right="80" w:firstLine="623"/>
        <w:spacing w:after="0" w:line="275" w:lineRule="auto"/>
        <w:rPr>
          <w:sz w:val="20"/>
          <w:szCs w:val="20"/>
          <w:color w:val="auto"/>
        </w:rPr>
      </w:pPr>
      <w:r>
        <w:rPr>
          <w:rFonts w:ascii="Arial" w:cs="Arial" w:eastAsia="Arial" w:hAnsi="Arial"/>
          <w:sz w:val="17"/>
          <w:szCs w:val="17"/>
          <w:color w:val="auto"/>
        </w:rPr>
        <w:t>Interest expense, net primarily consists of interest paid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4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Interest expense, net increased $2.2 million during the three months ended September 30, 2024, primarily due to the impact of changes in our estimated redemption amount of mandatorily redeemable noncontrolling interests, which has resulted in $2.7 million of higher interest expense, net, year over year. This was partially offset by a year-over-year decrease to our weighted average interest rate (net of interest rate swaps) on our senior secured Term Loan B due in part to our repricing in May 2024 as well as less interest expense associated with our 2026 Notes driven by the prior-year purchase of a portion of those notes.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extinguishment of debt</w:t>
      </w:r>
    </w:p>
    <w:p>
      <w:pPr>
        <w:spacing w:after="0" w:line="220"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During the three months ended September 30, 2024, we recognized $0.2 million of gains on the extinguishment of debt primarily due to the net write-off of unamortized debt premium and financing fees associated with the refinancing of our 2026 Notes. Refer to Note 8 in our accompanying consolidated financial statements for additional details. The prior period includes gains of $1.4 million arising from the purchase of a portion of our previously outstanding 2026 Notes.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Income tax expense</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5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2023</w:t>
            </w:r>
          </w:p>
        </w:tc>
      </w:tr>
      <w:tr>
        <w:trPr>
          <w:trHeight w:val="20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8,995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8,122</w:t>
            </w:r>
          </w:p>
        </w:tc>
      </w:tr>
      <w:tr>
        <w:trPr>
          <w:trHeight w:val="206"/>
        </w:trPr>
        <w:tc>
          <w:tcPr>
            <w:tcW w:w="758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(265.4)%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64.0 %</w:t>
            </w:r>
          </w:p>
        </w:tc>
      </w:tr>
    </w:tbl>
    <w:p>
      <w:pPr>
        <w:spacing w:after="0" w:line="76" w:lineRule="exact"/>
        <w:rPr>
          <w:sz w:val="20"/>
          <w:szCs w:val="20"/>
          <w:color w:val="auto"/>
        </w:rPr>
      </w:pPr>
    </w:p>
    <w:p>
      <w:pPr>
        <w:jc w:val="both"/>
        <w:ind w:right="640" w:firstLine="623"/>
        <w:spacing w:after="0" w:line="295" w:lineRule="auto"/>
        <w:rPr>
          <w:sz w:val="20"/>
          <w:szCs w:val="20"/>
          <w:color w:val="auto"/>
        </w:rPr>
      </w:pPr>
      <w:r>
        <w:rPr>
          <w:rFonts w:ascii="Arial" w:cs="Arial" w:eastAsia="Arial" w:hAnsi="Arial"/>
          <w:sz w:val="17"/>
          <w:szCs w:val="17"/>
          <w:color w:val="auto"/>
        </w:rPr>
        <w:t>Income tax expense for the three months ended September 30, 2024 increased versus the prior comparative period due to various immaterial discrete items in both periods and an increased full-year forecasted effective tax rate, excluding loss entities with no tax benefit.</w:t>
      </w:r>
    </w:p>
    <w:p>
      <w:pPr>
        <w:spacing w:after="0" w:line="168" w:lineRule="exact"/>
        <w:rPr>
          <w:sz w:val="20"/>
          <w:szCs w:val="20"/>
          <w:color w:val="auto"/>
        </w:rPr>
      </w:pPr>
    </w:p>
    <w:p>
      <w:pPr>
        <w:jc w:val="both"/>
        <w:ind w:right="100" w:firstLine="623"/>
        <w:spacing w:after="0" w:line="268"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details.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19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 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54" w:lineRule="exact"/>
        <w:rPr>
          <w:sz w:val="20"/>
          <w:szCs w:val="20"/>
          <w:color w:val="auto"/>
        </w:rPr>
      </w:pPr>
    </w:p>
    <w:p>
      <w:pPr>
        <w:ind w:right="8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 presented for segment revenue and segment EBITDA to ensure comparability with the current fiscal year. These changes in methodology have no impact on our consolidated financial results. Refer to Note 11 in our accompanying consolidated financial statements for additional details.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Vista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429,494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396,850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8%</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76,847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78,578</w:t>
            </w:r>
          </w:p>
        </w:tc>
        <w:tc>
          <w:tcPr>
            <w:tcW w:w="100" w:type="dxa"/>
            <w:vAlign w:val="bottom"/>
          </w:tcPr>
          <w:p>
            <w:pPr>
              <w:spacing w:after="0"/>
              <w:rPr>
                <w:sz w:val="17"/>
                <w:szCs w:val="17"/>
                <w:color w:val="auto"/>
              </w:rPr>
            </w:pPr>
          </w:p>
        </w:tc>
        <w:tc>
          <w:tcPr>
            <w:tcW w:w="1160" w:type="dxa"/>
            <w:vAlign w:val="bottom"/>
          </w:tcPr>
          <w:p>
            <w:pPr>
              <w:jc w:val="right"/>
              <w:ind w:right="328"/>
              <w:spacing w:after="0"/>
              <w:rPr>
                <w:sz w:val="20"/>
                <w:szCs w:val="20"/>
                <w:color w:val="auto"/>
              </w:rPr>
            </w:pPr>
            <w:r>
              <w:rPr>
                <w:rFonts w:ascii="Arial" w:cs="Arial" w:eastAsia="Arial" w:hAnsi="Arial"/>
                <w:sz w:val="16"/>
                <w:szCs w:val="16"/>
                <w:color w:val="auto"/>
              </w:rPr>
              <w:t>(2)%</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42" w:lineRule="auto"/>
        <w:tabs>
          <w:tab w:leader="none" w:pos="21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jc w:val="both"/>
        <w:ind w:right="40" w:firstLine="623"/>
        <w:spacing w:after="0" w:line="275" w:lineRule="auto"/>
        <w:rPr>
          <w:sz w:val="20"/>
          <w:szCs w:val="20"/>
          <w:color w:val="auto"/>
        </w:rPr>
      </w:pPr>
      <w:r>
        <w:rPr>
          <w:rFonts w:ascii="Arial" w:cs="Arial" w:eastAsia="Arial" w:hAnsi="Arial"/>
          <w:sz w:val="17"/>
          <w:szCs w:val="17"/>
          <w:color w:val="auto"/>
        </w:rPr>
        <w:t>Vista's reported and constant-currency revenue growth for the three months ended September 30, 2024 was 8%. The revenue growth was driven by customer experience improvements and new product introductions that have supported continued increases in average order value and customer count.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For the three months ended September 30, 2024, segment EBITDA decreased by $1.7 million due to $7.2 million of increased advertising expenses driven in part by the non-recurrence of advertising tests in certain markets, which reduced spend in the prior year. Additionally, operating expenses were higher year over year due to our annual merit cycle. These increased expenses were partially offset by the benefit of revenue growth described above, which resulted in year-over-year gross profit growth of $12.4 million. Gross profit margin for this segment declined year over year as the profit impact of revenue growth was muted by product mix shifts. Segment EBITDA also benefited in the prior period from a $1.8 million item that helped gross profit and did not recur in the current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ind w:right="540"/>
        <w:spacing w:after="0" w:line="480" w:lineRule="auto"/>
        <w:rPr>
          <w:sz w:val="20"/>
          <w:szCs w:val="20"/>
          <w:color w:val="auto"/>
        </w:rPr>
      </w:pPr>
      <w:r>
        <w:rPr>
          <w:rFonts w:ascii="Arial" w:cs="Arial" w:eastAsia="Arial" w:hAnsi="Arial"/>
          <w:sz w:val="17"/>
          <w:szCs w:val="17"/>
          <w:color w:val="auto"/>
        </w:rPr>
        <w:t xml:space="preserve">period. Changes in currency exchange rates had a positive impact on segment EBITDA of $1.5 million as compared to the prior-year period. </w:t>
      </w:r>
      <w:r>
        <w:rPr>
          <w:rFonts w:ascii="Arial" w:cs="Arial" w:eastAsia="Arial" w:hAnsi="Arial"/>
          <w:sz w:val="17"/>
          <w:szCs w:val="17"/>
          <w:b w:val="1"/>
          <w:bCs w:val="1"/>
          <w:i w:val="1"/>
          <w:iCs w:val="1"/>
          <w:color w:val="auto"/>
        </w:rPr>
        <w:t>PrintBrothers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160,415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152,573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5%</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20,156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20,210</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42"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jc w:val="both"/>
        <w:ind w:right="40" w:firstLine="623"/>
        <w:spacing w:after="0" w:line="275" w:lineRule="auto"/>
        <w:rPr>
          <w:sz w:val="20"/>
          <w:szCs w:val="20"/>
          <w:color w:val="auto"/>
        </w:rPr>
      </w:pPr>
      <w:r>
        <w:rPr>
          <w:rFonts w:ascii="Arial" w:cs="Arial" w:eastAsia="Arial" w:hAnsi="Arial"/>
          <w:sz w:val="17"/>
          <w:szCs w:val="17"/>
          <w:color w:val="auto"/>
        </w:rPr>
        <w:t>PrintBrothers' reported revenue growth for the three months ended September 30, 2024 was positively affected by currency impacts of 1% with revenue increasing on an organic constant-currency basis by 4% year over year. Constant-currency growth was driven primarily by continued order volume and customer growth, partially offset by customers purchasing lower quantities in certain product categories.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60" w:firstLine="623"/>
        <w:spacing w:after="0" w:line="263" w:lineRule="auto"/>
        <w:rPr>
          <w:sz w:val="20"/>
          <w:szCs w:val="20"/>
          <w:color w:val="auto"/>
        </w:rPr>
      </w:pPr>
      <w:r>
        <w:rPr>
          <w:rFonts w:ascii="Arial" w:cs="Arial" w:eastAsia="Arial" w:hAnsi="Arial"/>
          <w:sz w:val="17"/>
          <w:szCs w:val="17"/>
          <w:color w:val="auto"/>
        </w:rPr>
        <w:t>PrintBrothers' segment EBITDA for the three months ended September 30, 2024 was flat year over year. The constant-currency revenue growth described above and product mix shifts that supported higher gross margins, both contributed to gross profit growth which benefited segment EBITDA. Additionally, currency exchange fluctuations favorably impacted segment EBITDA by $0.3 million year over year. Gross profit growth and currency favorability were offset by higher advertising spend of $1.4 million driven by one of the segment's businesses testing into new digital marketing channels, as well as higher variable long-term incentive compensation expense of $0.5 million, due to a non-recurring reduction of expense in the prior-year period driven by changes in estimated payouts.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7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84,072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79,437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6%</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4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17,902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12,507</w:t>
            </w:r>
          </w:p>
        </w:tc>
        <w:tc>
          <w:tcPr>
            <w:tcW w:w="100" w:type="dxa"/>
            <w:vAlign w:val="bottom"/>
          </w:tcPr>
          <w:p>
            <w:pPr>
              <w:spacing w:after="0"/>
              <w:rPr>
                <w:sz w:val="17"/>
                <w:szCs w:val="17"/>
                <w:color w:val="auto"/>
              </w:rPr>
            </w:pPr>
          </w:p>
        </w:tc>
        <w:tc>
          <w:tcPr>
            <w:tcW w:w="1160" w:type="dxa"/>
            <w:vAlign w:val="bottom"/>
          </w:tcPr>
          <w:p>
            <w:pPr>
              <w:jc w:val="right"/>
              <w:ind w:right="348"/>
              <w:spacing w:after="0"/>
              <w:rPr>
                <w:sz w:val="20"/>
                <w:szCs w:val="20"/>
                <w:color w:val="auto"/>
              </w:rPr>
            </w:pPr>
            <w:r>
              <w:rPr>
                <w:rFonts w:ascii="Arial" w:cs="Arial" w:eastAsia="Arial" w:hAnsi="Arial"/>
                <w:sz w:val="16"/>
                <w:szCs w:val="16"/>
                <w:color w:val="auto"/>
              </w:rPr>
              <w:t>43%</w:t>
            </w:r>
          </w:p>
        </w:tc>
      </w:tr>
      <w:tr>
        <w:trPr>
          <w:trHeight w:val="20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80" w:hanging="236"/>
        <w:spacing w:after="0" w:line="242"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260" w:firstLine="623"/>
        <w:spacing w:after="0" w:line="275" w:lineRule="auto"/>
        <w:rPr>
          <w:sz w:val="20"/>
          <w:szCs w:val="20"/>
          <w:color w:val="auto"/>
        </w:rPr>
      </w:pPr>
      <w:r>
        <w:rPr>
          <w:rFonts w:ascii="Arial" w:cs="Arial" w:eastAsia="Arial" w:hAnsi="Arial"/>
          <w:sz w:val="17"/>
          <w:szCs w:val="17"/>
          <w:color w:val="auto"/>
        </w:rPr>
        <w:t>The Print Group's reported revenue for the three months ended September 30, 2024 was positively affected by currency impacts of 2%, which resulted in organic constant-currency revenue growth of 4%. The Print Group revenue has benefited from order growth from external customers as well as increased fulfillment to other Cimpress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220" w:firstLine="623"/>
        <w:spacing w:after="0" w:line="265" w:lineRule="auto"/>
        <w:rPr>
          <w:sz w:val="20"/>
          <w:szCs w:val="20"/>
          <w:color w:val="auto"/>
        </w:rPr>
      </w:pPr>
      <w:r>
        <w:rPr>
          <w:rFonts w:ascii="Arial" w:cs="Arial" w:eastAsia="Arial" w:hAnsi="Arial"/>
          <w:sz w:val="17"/>
          <w:szCs w:val="17"/>
          <w:color w:val="auto"/>
        </w:rPr>
        <w:t>The increase in The Print Group's segment EBITDA during the three months ended September 30, 2024 as compared to the prior year was largely driven by revenue growth described above and gross margin expansion due to reductions in key input costs such as raw materials. There was also a year-over-year reduction in variable long-term incentive compensation expense of $2.8 million for the three months ended September 30, 2024 due to changes in estimated payouts, as well as lower advertising spend year over year of $0.4 million. Currency exchange fluctuations positively impacted segment EBITDA year over year by $0.3 million.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8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40" w:type="dxa"/>
            <w:vAlign w:val="bottom"/>
          </w:tcPr>
          <w:p>
            <w:pPr>
              <w:spacing w:after="0"/>
              <w:rPr>
                <w:sz w:val="17"/>
                <w:szCs w:val="17"/>
                <w:color w:val="auto"/>
              </w:rPr>
            </w:pPr>
          </w:p>
        </w:tc>
      </w:tr>
      <w:tr>
        <w:trPr>
          <w:trHeight w:val="161"/>
        </w:trPr>
        <w:tc>
          <w:tcPr>
            <w:tcW w:w="67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120" w:type="dxa"/>
            <w:vAlign w:val="bottom"/>
            <w:tcBorders>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93,404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86,796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88"/>
              <w:spacing w:after="0"/>
              <w:rPr>
                <w:sz w:val="20"/>
                <w:szCs w:val="20"/>
                <w:color w:val="auto"/>
              </w:rPr>
            </w:pPr>
            <w:r>
              <w:rPr>
                <w:rFonts w:ascii="Arial" w:cs="Arial" w:eastAsia="Arial" w:hAnsi="Arial"/>
                <w:sz w:val="16"/>
                <w:szCs w:val="16"/>
                <w:color w:val="auto"/>
              </w:rPr>
              <w:t>8%</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89"/>
              <w:spacing w:after="0"/>
              <w:rPr>
                <w:sz w:val="20"/>
                <w:szCs w:val="20"/>
                <w:color w:val="auto"/>
              </w:rPr>
            </w:pPr>
            <w:r>
              <w:rPr>
                <w:rFonts w:ascii="Arial" w:cs="Arial" w:eastAsia="Arial" w:hAnsi="Arial"/>
                <w:sz w:val="16"/>
                <w:szCs w:val="16"/>
                <w:color w:val="auto"/>
              </w:rPr>
              <w:t>(4,758)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66"/>
              <w:spacing w:after="0"/>
              <w:rPr>
                <w:sz w:val="20"/>
                <w:szCs w:val="20"/>
                <w:color w:val="auto"/>
              </w:rPr>
            </w:pPr>
            <w:r>
              <w:rPr>
                <w:rFonts w:ascii="Arial" w:cs="Arial" w:eastAsia="Arial" w:hAnsi="Arial"/>
                <w:sz w:val="16"/>
                <w:szCs w:val="16"/>
                <w:color w:val="auto"/>
              </w:rPr>
              <w:t>(8,762)</w:t>
            </w:r>
          </w:p>
        </w:tc>
        <w:tc>
          <w:tcPr>
            <w:tcW w:w="120" w:type="dxa"/>
            <w:vAlign w:val="bottom"/>
          </w:tcPr>
          <w:p>
            <w:pPr>
              <w:spacing w:after="0"/>
              <w:rPr>
                <w:sz w:val="17"/>
                <w:szCs w:val="17"/>
                <w:color w:val="auto"/>
              </w:rPr>
            </w:pPr>
          </w:p>
        </w:tc>
        <w:tc>
          <w:tcPr>
            <w:tcW w:w="1140" w:type="dxa"/>
            <w:vAlign w:val="bottom"/>
          </w:tcPr>
          <w:p>
            <w:pPr>
              <w:jc w:val="right"/>
              <w:ind w:right="348"/>
              <w:spacing w:after="0"/>
              <w:rPr>
                <w:sz w:val="20"/>
                <w:szCs w:val="20"/>
                <w:color w:val="auto"/>
              </w:rPr>
            </w:pPr>
            <w:r>
              <w:rPr>
                <w:rFonts w:ascii="Arial" w:cs="Arial" w:eastAsia="Arial" w:hAnsi="Arial"/>
                <w:sz w:val="16"/>
                <w:szCs w:val="16"/>
                <w:color w:val="auto"/>
              </w:rPr>
              <w:t>46%</w:t>
            </w:r>
          </w:p>
        </w:tc>
      </w:tr>
      <w:tr>
        <w:trPr>
          <w:trHeight w:val="20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220" w:firstLine="623"/>
        <w:spacing w:after="0" w:line="275" w:lineRule="auto"/>
        <w:rPr>
          <w:sz w:val="20"/>
          <w:szCs w:val="20"/>
          <w:color w:val="auto"/>
        </w:rPr>
      </w:pPr>
      <w:r>
        <w:rPr>
          <w:rFonts w:ascii="Arial" w:cs="Arial" w:eastAsia="Arial" w:hAnsi="Arial"/>
          <w:sz w:val="17"/>
          <w:szCs w:val="17"/>
          <w:color w:val="auto"/>
        </w:rPr>
        <w:t>For the three months ended September 30, 2024, currency positively impacted National Pen's revenue growth by 1%. The segment's constant-currency revenue growth was 7% as compared to the prior year. National Pen continued to deliver strong growth within its e-commerce channel and fulfillment for other Cimpress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42" w:lineRule="exact"/>
        <w:rPr>
          <w:sz w:val="20"/>
          <w:szCs w:val="20"/>
          <w:color w:val="auto"/>
        </w:rPr>
      </w:pPr>
    </w:p>
    <w:p>
      <w:pPr>
        <w:ind w:right="40" w:firstLine="623"/>
        <w:spacing w:after="0" w:line="275" w:lineRule="auto"/>
        <w:rPr>
          <w:sz w:val="20"/>
          <w:szCs w:val="20"/>
          <w:color w:val="auto"/>
        </w:rPr>
      </w:pPr>
      <w:r>
        <w:rPr>
          <w:rFonts w:ascii="Arial" w:cs="Arial" w:eastAsia="Arial" w:hAnsi="Arial"/>
          <w:sz w:val="17"/>
          <w:szCs w:val="17"/>
          <w:color w:val="auto"/>
        </w:rPr>
        <w:t>The increase in National Pen's segment EBITDA for the three months ended September 30, 2024 was driven by the revenue growth described above, higher gross margins, and $2.4 million of lower advertising spend intended to improve returns and efficiency. Currency exchange fluctuations had a positive year-over-year impact of $1.1 million for the three months ended September 30, 2024.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2"/>
                <w:szCs w:val="12"/>
                <w:b w:val="1"/>
                <w:bCs w:val="1"/>
                <w:color w:val="auto"/>
              </w:rPr>
              <w:t>Three Months Ended September 30,</w:t>
            </w:r>
          </w:p>
        </w:tc>
        <w:tc>
          <w:tcPr>
            <w:tcW w:w="1160" w:type="dxa"/>
            <w:vAlign w:val="bottom"/>
          </w:tcPr>
          <w:p>
            <w:pPr>
              <w:spacing w:after="0"/>
              <w:rPr>
                <w:sz w:val="17"/>
                <w:szCs w:val="17"/>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2023 (1)</w:t>
            </w:r>
          </w:p>
        </w:tc>
        <w:tc>
          <w:tcPr>
            <w:tcW w:w="10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2024 vs. 2023</w:t>
            </w:r>
          </w:p>
        </w:tc>
      </w:tr>
      <w:tr>
        <w:trPr>
          <w:trHeight w:val="202"/>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57,143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51,425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11%</w:t>
            </w:r>
          </w:p>
        </w:tc>
      </w:tr>
      <w:tr>
        <w:trPr>
          <w:trHeight w:val="207"/>
        </w:trPr>
        <w:tc>
          <w:tcPr>
            <w:tcW w:w="68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20" w:type="dxa"/>
            <w:vAlign w:val="bottom"/>
          </w:tcPr>
          <w:p>
            <w:pPr>
              <w:spacing w:after="0"/>
              <w:rPr>
                <w:sz w:val="17"/>
                <w:szCs w:val="17"/>
                <w:color w:val="auto"/>
              </w:rPr>
            </w:pPr>
          </w:p>
        </w:tc>
        <w:tc>
          <w:tcPr>
            <w:tcW w:w="1220" w:type="dxa"/>
            <w:vAlign w:val="bottom"/>
          </w:tcPr>
          <w:p>
            <w:pPr>
              <w:jc w:val="right"/>
              <w:ind w:right="129"/>
              <w:spacing w:after="0"/>
              <w:rPr>
                <w:sz w:val="20"/>
                <w:szCs w:val="20"/>
                <w:color w:val="auto"/>
              </w:rPr>
            </w:pPr>
            <w:r>
              <w:rPr>
                <w:rFonts w:ascii="Arial" w:cs="Arial" w:eastAsia="Arial" w:hAnsi="Arial"/>
                <w:sz w:val="16"/>
                <w:szCs w:val="16"/>
                <w:color w:val="auto"/>
              </w:rPr>
              <w:t>6,735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6"/>
                <w:szCs w:val="16"/>
                <w:color w:val="auto"/>
              </w:rPr>
              <w:t>6,018</w:t>
            </w: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12%</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80" w:hanging="236"/>
        <w:spacing w:after="0" w:line="242" w:lineRule="auto"/>
        <w:tabs>
          <w:tab w:leader="none" w:pos="21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segment includes BuildASign and Printi, a smaller business that is an online printing leader in Brazil.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All Other Businesses' revenue growth was negatively impacted 2% by currency, resulting in constant-currency revenue growth of 13% during the three months ended September 30, 2024. BuildASign, the largest business in this segment, delivered strong growth from fulfillment for other Cimpress businesses, as well as growth in their signage products, which was partially offset by lower revenue for real estate-related and home decor products. Our smaller Printi business delivered constant-currency revenue growth versus last year.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For the three months ended September 30, 2024, segment EBITDA increased $0.7 million versus last year, largely driven by increased gross profit that was supported by the revenue growth described above. These increases were offset by higher long-term incentive compensation expense of $1.1 million due to a prior period reversal of expense driven by changes in estimated payouts year over year that was a benefit in the prior period and did not recur during the current period. Our Printi business delivered positive segment EBITDA results as it continues to gain scale and deliver efficiencies.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209"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ind w:right="160"/>
        <w:spacing w:after="0" w:line="295" w:lineRule="auto"/>
        <w:rPr>
          <w:sz w:val="20"/>
          <w:szCs w:val="20"/>
          <w:color w:val="auto"/>
        </w:rPr>
      </w:pPr>
      <w:r>
        <w:rPr>
          <w:rFonts w:ascii="Arial" w:cs="Arial" w:eastAsia="Arial" w:hAnsi="Arial"/>
          <w:sz w:val="17"/>
          <w:szCs w:val="17"/>
          <w:color w:val="auto"/>
        </w:rPr>
        <w:t>sustainability, corporate communications, remote first enablement, consolidated reporting and compliance, investor relations, and the functions of our CEO and CFO. These costs also include certain unallocated share-based compensation costs.</w:t>
      </w:r>
    </w:p>
    <w:p>
      <w:pPr>
        <w:spacing w:after="0" w:line="117" w:lineRule="exact"/>
        <w:rPr>
          <w:sz w:val="20"/>
          <w:szCs w:val="20"/>
          <w:color w:val="auto"/>
        </w:rPr>
      </w:pPr>
    </w:p>
    <w:p>
      <w:pPr>
        <w:jc w:val="both"/>
        <w:ind w:right="20" w:firstLine="623"/>
        <w:spacing w:after="0" w:line="268" w:lineRule="auto"/>
        <w:rPr>
          <w:sz w:val="20"/>
          <w:szCs w:val="20"/>
          <w:color w:val="auto"/>
        </w:rPr>
      </w:pPr>
      <w:r>
        <w:rPr>
          <w:rFonts w:ascii="Arial" w:cs="Arial" w:eastAsia="Arial" w:hAnsi="Arial"/>
          <w:sz w:val="17"/>
          <w:szCs w:val="17"/>
          <w:color w:val="auto"/>
        </w:rPr>
        <w:t>During the three months ended September 30, 2024, central and corporate costs increased by $5.2 million as compared to the prior year, due in part to higher share-based compensation expense of $2.4 million. Cash compensation also increased by $1.5 million year over year, largely due to the timing of our annual merit cycle. In addition, third party technology costs increased, as a result of continued adoption and usage of mass customization platform products that are developed by our central technology teams.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6"/>
              <w:spacing w:after="0"/>
              <w:rPr>
                <w:sz w:val="20"/>
                <w:szCs w:val="20"/>
                <w:color w:val="auto"/>
              </w:rPr>
            </w:pPr>
            <w:r>
              <w:rPr>
                <w:rFonts w:ascii="Arial" w:cs="Arial" w:eastAsia="Arial" w:hAnsi="Arial"/>
                <w:sz w:val="12"/>
                <w:szCs w:val="12"/>
                <w:b w:val="1"/>
                <w:bCs w:val="1"/>
                <w:color w:val="auto"/>
              </w:rPr>
              <w:t>2023</w:t>
            </w: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center"/>
              <w:ind w:left="666"/>
              <w:spacing w:after="0"/>
              <w:rPr>
                <w:sz w:val="20"/>
                <w:szCs w:val="20"/>
                <w:color w:val="auto"/>
              </w:rPr>
            </w:pPr>
            <w:r>
              <w:rPr>
                <w:rFonts w:ascii="Arial" w:cs="Arial" w:eastAsia="Arial" w:hAnsi="Arial"/>
                <w:sz w:val="16"/>
                <w:szCs w:val="16"/>
                <w:color w:val="auto"/>
                <w:w w:val="98"/>
              </w:rPr>
              <w:t>42,254</w:t>
            </w:r>
          </w:p>
        </w:tc>
      </w:tr>
      <w:tr>
        <w:trPr>
          <w:trHeight w:val="207"/>
        </w:trPr>
        <w:tc>
          <w:tcPr>
            <w:tcW w:w="76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(25,502)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center"/>
              <w:ind w:left="646"/>
              <w:spacing w:after="0"/>
              <w:rPr>
                <w:sz w:val="20"/>
                <w:szCs w:val="20"/>
                <w:color w:val="auto"/>
              </w:rPr>
            </w:pPr>
            <w:r>
              <w:rPr>
                <w:rFonts w:ascii="Arial" w:cs="Arial" w:eastAsia="Arial" w:hAnsi="Arial"/>
                <w:sz w:val="16"/>
                <w:szCs w:val="16"/>
                <w:color w:val="auto"/>
                <w:w w:val="97"/>
              </w:rPr>
              <w:t>(10,826)</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46"/>
              <w:spacing w:after="0"/>
              <w:rPr>
                <w:sz w:val="20"/>
                <w:szCs w:val="20"/>
                <w:color w:val="auto"/>
              </w:rPr>
            </w:pPr>
            <w:r>
              <w:rPr>
                <w:rFonts w:ascii="Arial" w:cs="Arial" w:eastAsia="Arial" w:hAnsi="Arial"/>
                <w:sz w:val="16"/>
                <w:szCs w:val="16"/>
                <w:color w:val="auto"/>
                <w:w w:val="97"/>
              </w:rPr>
              <w:t>(35,065)</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three months ended September 30, 2024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7" w:lineRule="exact"/>
        <w:rPr>
          <w:sz w:val="20"/>
          <w:szCs w:val="20"/>
          <w:color w:val="auto"/>
        </w:rPr>
      </w:pPr>
    </w:p>
    <w:p>
      <w:pPr>
        <w:jc w:val="both"/>
        <w:ind w:left="620" w:right="160" w:hanging="305"/>
        <w:spacing w:after="0" w:line="275"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Adjustments for non-cash items of $63.2 million primarily related to adjustments for depreciation and amortization of $35.5 million, share-based compensation costs of $15.6 million, partially offset by deferred taxes of $3.0 million and unrealized currency-related gains of $8.0 million</w:t>
      </w:r>
    </w:p>
    <w:p>
      <w:pPr>
        <w:spacing w:after="0" w:line="132"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$4.5 million</w:t>
      </w:r>
    </w:p>
    <w:p>
      <w:pPr>
        <w:spacing w:after="0" w:line="206" w:lineRule="exact"/>
        <w:rPr>
          <w:rFonts w:ascii="Arial" w:cs="Arial" w:eastAsia="Arial" w:hAnsi="Arial"/>
          <w:sz w:val="17"/>
          <w:szCs w:val="17"/>
          <w:color w:val="auto"/>
        </w:rPr>
      </w:pPr>
    </w:p>
    <w:p>
      <w:pPr>
        <w:ind w:left="620" w:right="460" w:hanging="305"/>
        <w:spacing w:after="0" w:line="295"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Cash tax refunds, net of payments, of $1.8 million were driven by tax refunds received in two jurisdictions. The impact of the cash tax refunds, net of payments, is included as a benefit in the net working capital outflow described below</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Proceeds from the sale of assets of $1.6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Proceeds from the exercise of options for $1.0 million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207" w:lineRule="exact"/>
        <w:rPr>
          <w:sz w:val="20"/>
          <w:szCs w:val="20"/>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loss of $12.4 million</w:t>
      </w:r>
    </w:p>
    <w:p>
      <w:pPr>
        <w:spacing w:after="0" w:line="193" w:lineRule="exact"/>
        <w:rPr>
          <w:rFonts w:ascii="Arial" w:cs="Arial" w:eastAsia="Arial" w:hAnsi="Arial"/>
          <w:sz w:val="17"/>
          <w:szCs w:val="17"/>
          <w:color w:val="auto"/>
        </w:rPr>
      </w:pPr>
    </w:p>
    <w:p>
      <w:pPr>
        <w:ind w:left="620" w:right="400" w:hanging="305"/>
        <w:spacing w:after="0" w:line="27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working capital outflow of $46.4 million, primarily due to unfavorable changes to accounts payable and purchases of inventory in preparation for our peak season, as well as higher cash interest payments made this quarter as a result of the early redemption of our 2026 Notes. Refer to Note 8 in our accompanying consolidated financial statements for additional details regarding the refinancing</w:t>
      </w:r>
    </w:p>
    <w:p>
      <w:pPr>
        <w:spacing w:after="0" w:line="145" w:lineRule="exact"/>
        <w:rPr>
          <w:rFonts w:ascii="Arial" w:cs="Arial" w:eastAsia="Arial" w:hAnsi="Arial"/>
          <w:sz w:val="17"/>
          <w:szCs w:val="17"/>
          <w:color w:val="auto"/>
        </w:rPr>
      </w:pPr>
    </w:p>
    <w:p>
      <w:pPr>
        <w:ind w:left="620" w:right="360" w:hanging="305"/>
        <w:spacing w:after="0" w:line="29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Capital expenditures of $17.0 million, of which the majority related to the purchase of manufacturing and automation equipment for our production facilities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Internal and external costs of $14.6 million for software and website development that we have capitalized</w:t>
      </w:r>
    </w:p>
    <w:p>
      <w:pPr>
        <w:spacing w:after="0" w:line="193" w:lineRule="exact"/>
        <w:rPr>
          <w:rFonts w:ascii="Arial" w:cs="Arial" w:eastAsia="Arial" w:hAnsi="Arial"/>
          <w:sz w:val="17"/>
          <w:szCs w:val="17"/>
          <w:color w:val="auto"/>
        </w:rPr>
      </w:pPr>
    </w:p>
    <w:p>
      <w:pPr>
        <w:ind w:left="620" w:right="160" w:hanging="305"/>
        <w:spacing w:after="0" w:line="29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$12.9 million, primarily driven by the vesting of restricted share unit and performance share unit grants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Purchases of our ordinary shares for $10.6 million</w:t>
      </w:r>
    </w:p>
    <w:p>
      <w:pPr>
        <w:spacing w:after="0" w:line="193" w:lineRule="exact"/>
        <w:rPr>
          <w:rFonts w:ascii="Arial" w:cs="Arial" w:eastAsia="Arial" w:hAnsi="Arial"/>
          <w:sz w:val="17"/>
          <w:szCs w:val="17"/>
          <w:color w:val="auto"/>
        </w:rPr>
      </w:pPr>
    </w:p>
    <w:p>
      <w:pPr>
        <w:ind w:left="620" w:right="300" w:hanging="305"/>
        <w:spacing w:after="0" w:line="295"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Net payments of $5.6 million associated with the refinancing of our 2026 Notes and amendment to our revolving credit facility, including financing fees paid. Refer to Note 8 in the accompanying consolidated financial statements for additional details.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4" w:name="page35"/>
    <w:bookmarkEnd w:id="34"/>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Payments for finance lease arrangements of $2.0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Repayments of other debt, net of proceeds from borrowings, of $4.5 million</w:t>
      </w:r>
    </w:p>
    <w:p>
      <w:pPr>
        <w:spacing w:after="0" w:line="207" w:lineRule="exact"/>
        <w:rPr>
          <w:sz w:val="20"/>
          <w:szCs w:val="20"/>
          <w:color w:val="auto"/>
        </w:rPr>
      </w:pPr>
    </w:p>
    <w:p>
      <w:pPr>
        <w:ind w:right="200" w:firstLine="623"/>
        <w:spacing w:after="0" w:line="268"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September 30, 2024, we had $ 153.0 million of cash and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$1,617.5 million of debt, excluding debt issuance costs and debt premiums and discounts. During the three months ended September 30, 2024, we financed our operations and strategic investments through internally generated cash flows from operations and cash on hand. We expect to finance our future operations through our cash, operating cash flow, and borrowings under our debt arrangements.</w:t>
      </w:r>
    </w:p>
    <w:p>
      <w:pPr>
        <w:spacing w:after="0" w:line="152" w:lineRule="exact"/>
        <w:rPr>
          <w:sz w:val="20"/>
          <w:szCs w:val="20"/>
          <w:color w:val="auto"/>
        </w:rPr>
      </w:pPr>
    </w:p>
    <w:p>
      <w:pPr>
        <w:ind w:right="240" w:firstLine="623"/>
        <w:spacing w:after="0" w:line="268" w:lineRule="auto"/>
        <w:rPr>
          <w:sz w:val="20"/>
          <w:szCs w:val="20"/>
          <w:color w:val="auto"/>
        </w:rPr>
      </w:pPr>
      <w:r>
        <w:rPr>
          <w:rFonts w:ascii="Arial" w:cs="Arial" w:eastAsia="Arial" w:hAnsi="Arial"/>
          <w:sz w:val="17"/>
          <w:szCs w:val="17"/>
          <w:color w:val="auto"/>
        </w:rPr>
        <w:t>We have historically used excess cash and cash equivalents for organic investments, share repurchases, acquisitions and equity investments, and debt reduction. During the three months ended September 30, 2024, we purchased and retired 123,325 of our ordinary shares for $10.6 million. We evaluate share repurchases, as any other use of capital, relative to our view of the impact on our intrinsic value per share compared against other opportunities.</w:t>
      </w:r>
    </w:p>
    <w:p>
      <w:pPr>
        <w:spacing w:after="0" w:line="139"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i w:val="1"/>
          <w:iCs w:val="1"/>
          <w:color w:val="auto"/>
        </w:rPr>
        <w:t xml:space="preserve">Supply Chain Financing Program. </w:t>
      </w:r>
      <w:r>
        <w:rPr>
          <w:rFonts w:ascii="Arial" w:cs="Arial" w:eastAsia="Arial" w:hAnsi="Arial"/>
          <w:sz w:val="17"/>
          <w:szCs w:val="17"/>
          <w:color w:val="auto"/>
        </w:rPr>
        <w:t>As part of our ongoing efforts to manage our liquidity, we work with our suppliers to optimize our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12 of the accompanying consolidated financial statements for additional information.</w:t>
      </w:r>
    </w:p>
    <w:p>
      <w:pPr>
        <w:spacing w:after="0" w:line="15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September 30, 2024,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$81.3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September 30, 2024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06"/>
              <w:spacing w:after="0"/>
              <w:rPr>
                <w:sz w:val="20"/>
                <w:szCs w:val="20"/>
                <w:color w:val="auto"/>
              </w:rPr>
            </w:pPr>
            <w:r>
              <w:rPr>
                <w:rFonts w:ascii="Arial" w:cs="Arial" w:eastAsia="Arial" w:hAnsi="Arial"/>
                <w:sz w:val="12"/>
                <w:szCs w:val="12"/>
                <w:b w:val="1"/>
                <w:bCs w:val="1"/>
                <w:color w:val="auto"/>
              </w:rPr>
              <w:t>1-3</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5</w:t>
            </w:r>
          </w:p>
        </w:tc>
        <w:tc>
          <w:tcPr>
            <w:tcW w:w="0" w:type="dxa"/>
            <w:vAlign w:val="bottom"/>
          </w:tcPr>
          <w:p>
            <w:pPr>
              <w:spacing w:after="0"/>
              <w:rPr>
                <w:sz w:val="1"/>
                <w:szCs w:val="1"/>
                <w:color w:val="auto"/>
              </w:rPr>
            </w:pPr>
          </w:p>
        </w:tc>
      </w:tr>
      <w:tr>
        <w:trPr>
          <w:trHeight w:val="178"/>
        </w:trPr>
        <w:tc>
          <w:tcPr>
            <w:tcW w:w="4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7"/>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7"/>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98,491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20,429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20,702</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231,826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170,378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22,882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7,024</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1,362,007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1,099,854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2032 Notes and interest payments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833,568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77,438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641,156</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39,661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6,083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12,416</w:t>
            </w: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2,574,130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334,458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1,226,686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681,298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20" w:hanging="236"/>
        <w:spacing w:after="0" w:line="281"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2" w:lineRule="exact"/>
        <w:rPr>
          <w:rFonts w:ascii="Arial" w:cs="Arial" w:eastAsia="Arial" w:hAnsi="Arial"/>
          <w:sz w:val="14"/>
          <w:szCs w:val="14"/>
          <w:color w:val="auto"/>
        </w:rPr>
      </w:pPr>
    </w:p>
    <w:p>
      <w:pPr>
        <w:ind w:left="240" w:right="80" w:hanging="236"/>
        <w:spacing w:after="0" w:line="256"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Interest payments are based on the interest rate as of September 30, 2024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w:t>
      </w:r>
    </w:p>
    <w:p>
      <w:pPr>
        <w:spacing w:after="0" w:line="68"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$9.2 million as of September 30, 2024 have been excluded from the contractual obligations table above. See Note 9 in our accompanying consolidated financial statements for additional information on uncertain tax positions.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jc w:val="both"/>
        <w:ind w:right="8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2037.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$2.9 million in the aggregate outstanding as of September 30, 2024.</w:t>
      </w:r>
    </w:p>
    <w:p>
      <w:pPr>
        <w:spacing w:after="0" w:line="133" w:lineRule="exact"/>
        <w:rPr>
          <w:sz w:val="20"/>
          <w:szCs w:val="20"/>
          <w:color w:val="auto"/>
        </w:rPr>
      </w:pPr>
    </w:p>
    <w:p>
      <w:pPr>
        <w:ind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September 30, 2024, we had unrecorded commitments under contract of $231.8 million.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consisted of third-party fulfillment and digital services of $94.6 million; third-party cloud services of $46.1 million; software of $35.8 million; production-related temporary labor of $10.3 million; insurance costs of $9.6 million; production and computer equipment purchases of $9.4 million; professional and consulting fees of $7.0 million; advertising of $2.0 million; and other commitments of $17.1 million.</w:t>
      </w:r>
    </w:p>
    <w:p>
      <w:pPr>
        <w:spacing w:after="0" w:line="152"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On September 26, 2024, we entered into an amendment to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extend the maturity date of our senior secured revolving credit facility to September 26, 2029 and reduced the minimum credit spread on borrowing and the minimum commitment fee on unused balances, depending on our first lien leverage ratio. Our $250.0 million senior secured revolving credit facility has $238.0 million unused as of September 30, 2024. There are no drawn amounts on the revolving credit facility.</w:t>
      </w:r>
    </w:p>
    <w:p>
      <w:pPr>
        <w:spacing w:after="0" w:line="152" w:lineRule="exact"/>
        <w:rPr>
          <w:sz w:val="20"/>
          <w:szCs w:val="20"/>
          <w:color w:val="auto"/>
        </w:rPr>
      </w:pPr>
    </w:p>
    <w:p>
      <w:pPr>
        <w:ind w:right="80" w:firstLine="623"/>
        <w:spacing w:after="0" w:line="295" w:lineRule="auto"/>
        <w:rPr>
          <w:sz w:val="20"/>
          <w:szCs w:val="20"/>
          <w:color w:val="auto"/>
        </w:rPr>
      </w:pPr>
      <w:r>
        <w:rPr>
          <w:rFonts w:ascii="Arial" w:cs="Arial" w:eastAsia="Arial" w:hAnsi="Arial"/>
          <w:sz w:val="17"/>
          <w:szCs w:val="17"/>
          <w:color w:val="auto"/>
        </w:rPr>
        <w:t>As of September 30, 2024, we have borrowings under our Restated Credit Agreement of $1,083.9 million, consisting of the Term Loan B, which amortizes over the loan period, with a final maturity date of May 17, 2028.</w:t>
      </w:r>
    </w:p>
    <w:p>
      <w:pPr>
        <w:spacing w:after="0" w:line="117"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i w:val="1"/>
          <w:iCs w:val="1"/>
          <w:color w:val="auto"/>
        </w:rPr>
        <w:t xml:space="preserve">2032 Senior Notes and Interest Payments. </w:t>
      </w:r>
      <w:r>
        <w:rPr>
          <w:rFonts w:ascii="Arial" w:cs="Arial" w:eastAsia="Arial" w:hAnsi="Arial"/>
          <w:sz w:val="17"/>
          <w:szCs w:val="17"/>
          <w:color w:val="auto"/>
        </w:rPr>
        <w:t>On September 26, 2024, we completed a private placement of $525.0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8 in the accompanying consolidated financial statements for additional information.</w:t>
      </w:r>
    </w:p>
    <w:p>
      <w:pPr>
        <w:spacing w:after="0" w:line="154"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2032 Notes contain covenants that restrict or limit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activities and transactions by Cimpress and our subsidiaries. As of September 30, 2024, we were in compliance with all covenants under our Restated Credit Agreement and the indenture governing our 2032 Notes. Refer to Note 8 in the accompanying consolidated financial statements for additional information.</w:t>
      </w:r>
    </w:p>
    <w:p>
      <w:pPr>
        <w:spacing w:after="0" w:line="152" w:lineRule="exact"/>
        <w:rPr>
          <w:sz w:val="20"/>
          <w:szCs w:val="20"/>
          <w:color w:val="auto"/>
        </w:rPr>
      </w:pPr>
    </w:p>
    <w:p>
      <w:pPr>
        <w:jc w:val="both"/>
        <w:ind w:right="22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September 30, 2024, we had $8.6 million outstanding for those obligations that have repayments due on various dates through September 2027.</w:t>
      </w:r>
    </w:p>
    <w:p>
      <w:pPr>
        <w:spacing w:after="0" w:line="133"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facilities, machinery, and plant equipment under finance lease agreements that expire at various 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2037. The aggregate carrying value of the leased assets under finance leases included in property, plant and equipment, net in our consolidated balance sheet at September 30, 2024 is $30.1 million, net of accumulated depreciation of $31.7 million. The present value of lease installments not yet due included in other current liabilities and other liabilities in our consolidated balance sheet at September 30, 2024 amounts to $35.3 million.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209"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spacing w:after="0" w:line="139"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Adjusted EBITDA is defined as GAAP operating income (loss)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spacing w:after="0" w:line="152" w:lineRule="exact"/>
        <w:rPr>
          <w:sz w:val="20"/>
          <w:szCs w:val="20"/>
          <w:color w:val="auto"/>
        </w:rPr>
      </w:pPr>
    </w:p>
    <w:p>
      <w:pPr>
        <w:ind w:right="560" w:firstLine="623"/>
        <w:spacing w:after="0" w:line="295"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057" w:right="419" w:bottom="1440" w:gutter="0" w:footer="0" w:header="0"/>
        </w:sectPr>
      </w:pPr>
    </w:p>
    <w:bookmarkStart w:id="36" w:name="page37"/>
    <w:bookmarkEnd w:id="36"/>
    <w:p>
      <w:pPr>
        <w:ind w:right="100"/>
        <w:spacing w:after="0" w:line="263" w:lineRule="auto"/>
        <w:rPr>
          <w:sz w:val="20"/>
          <w:szCs w:val="20"/>
          <w:color w:val="auto"/>
        </w:rPr>
      </w:pPr>
      <w:r>
        <w:rPr>
          <w:rFonts w:ascii="Arial" w:cs="Arial" w:eastAsia="Arial" w:hAnsi="Arial"/>
          <w:sz w:val="17"/>
          <w:szCs w:val="17"/>
          <w:color w:val="auto"/>
        </w:rPr>
        <w:t>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w:t>
      </w:r>
    </w:p>
    <w:p>
      <w:pPr>
        <w:spacing w:after="0" w:line="143"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During the current fiscal year, we revised our adjusted free cash flow definition to include proceeds from the sale of assets, which we believe provides useful information regarding the net cash deployed for the purchase of capital assets by incorporating any cash that is recovered from the subsequent sale of any assets. We have revised all periods presented to incorporate this change.</w:t>
      </w:r>
    </w:p>
    <w:p>
      <w:pPr>
        <w:spacing w:after="0" w:line="152" w:lineRule="exact"/>
        <w:rPr>
          <w:sz w:val="20"/>
          <w:szCs w:val="20"/>
          <w:color w:val="auto"/>
        </w:rPr>
      </w:pPr>
    </w:p>
    <w:p>
      <w:pPr>
        <w:ind w:right="160" w:firstLine="623"/>
        <w:spacing w:after="0" w:line="261" w:lineRule="auto"/>
        <w:rPr>
          <w:sz w:val="20"/>
          <w:szCs w:val="20"/>
          <w:color w:val="auto"/>
        </w:rPr>
      </w:pPr>
      <w:r>
        <w:rPr>
          <w:rFonts w:ascii="Arial" w:cs="Arial" w:eastAsia="Arial" w:hAnsi="Arial"/>
          <w:sz w:val="17"/>
          <w:szCs w:val="17"/>
          <w:color w:val="auto"/>
        </w:rPr>
        <w:t>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0"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operating income and adjusted EBITDA for the three months ended September 30, 2024 and 2023:</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Arial" w:cs="Arial" w:eastAsia="Arial" w:hAnsi="Arial"/>
                <w:sz w:val="12"/>
                <w:szCs w:val="12"/>
                <w:b w:val="1"/>
                <w:bCs w:val="1"/>
                <w:color w:val="auto"/>
              </w:rPr>
              <w:t>2023</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39,339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34,100</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35,546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39,942</w:t>
            </w:r>
          </w:p>
        </w:tc>
      </w:tr>
      <w:tr>
        <w:trPr>
          <w:trHeight w:val="207"/>
        </w:trPr>
        <w:tc>
          <w:tcPr>
            <w:tcW w:w="784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15,633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12,453</w:t>
            </w:r>
          </w:p>
        </w:tc>
      </w:tr>
      <w:tr>
        <w:trPr>
          <w:trHeight w:val="209"/>
        </w:trPr>
        <w:tc>
          <w:tcPr>
            <w:tcW w:w="7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07"/>
        </w:trPr>
        <w:tc>
          <w:tcPr>
            <w:tcW w:w="7840" w:type="dxa"/>
            <w:vAlign w:val="bottom"/>
          </w:tcPr>
          <w:p>
            <w:pPr>
              <w:ind w:left="140"/>
              <w:spacing w:after="0"/>
              <w:rPr>
                <w:sz w:val="20"/>
                <w:szCs w:val="20"/>
                <w:color w:val="auto"/>
              </w:rPr>
            </w:pPr>
            <w:r>
              <w:rPr>
                <w:rFonts w:ascii="Arial" w:cs="Arial" w:eastAsia="Arial" w:hAnsi="Arial"/>
                <w:sz w:val="16"/>
                <w:szCs w:val="16"/>
                <w:color w:val="auto"/>
              </w:rPr>
              <w:t>Restructuring-related charges</w:t>
            </w: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09"/>
        </w:trPr>
        <w:tc>
          <w:tcPr>
            <w:tcW w:w="7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 (expense) benefit impact of:</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Realized (losses) gains on currency derivatives not included in operating income (1)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w:t>
            </w:r>
          </w:p>
        </w:tc>
      </w:tr>
      <w:tr>
        <w:trPr>
          <w:trHeight w:val="22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87,771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7" w:lineRule="exact"/>
        <w:rPr>
          <w:sz w:val="20"/>
          <w:szCs w:val="20"/>
          <w:color w:val="auto"/>
        </w:rPr>
      </w:pPr>
    </w:p>
    <w:p>
      <w:pPr>
        <w:ind w:left="240" w:right="220" w:hanging="236"/>
        <w:spacing w:after="0" w:line="281" w:lineRule="auto"/>
        <w:tabs>
          <w:tab w:leader="none" w:pos="21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realized (losses)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right="4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three months ended September 30,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2"/>
                <w:szCs w:val="12"/>
                <w:b w:val="1"/>
                <w:bCs w:val="1"/>
                <w:color w:val="auto"/>
              </w:rPr>
              <w:t>Three Months Ended September 30,</w:t>
            </w:r>
          </w:p>
        </w:tc>
      </w:tr>
      <w:tr>
        <w:trPr>
          <w:trHeight w:val="161"/>
        </w:trPr>
        <w:tc>
          <w:tcPr>
            <w:tcW w:w="78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2023</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42,254</w:t>
            </w:r>
          </w:p>
        </w:tc>
      </w:tr>
      <w:tr>
        <w:trPr>
          <w:trHeight w:val="207"/>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(22,565)</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(14,397)</w:t>
            </w:r>
          </w:p>
        </w:tc>
      </w:tr>
      <w:tr>
        <w:trPr>
          <w:trHeight w:val="20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w:t>
            </w: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7" w:lineRule="exact"/>
        <w:rPr>
          <w:sz w:val="20"/>
          <w:szCs w:val="20"/>
          <w:color w:val="auto"/>
        </w:rPr>
      </w:pPr>
    </w:p>
    <w:p>
      <w:pPr>
        <w:ind w:right="240" w:firstLine="623"/>
        <w:spacing w:after="0" w:line="275" w:lineRule="auto"/>
        <w:rPr>
          <w:sz w:val="20"/>
          <w:szCs w:val="20"/>
          <w:color w:val="auto"/>
        </w:rPr>
      </w:pPr>
      <w:r>
        <w:rPr>
          <w:rFonts w:ascii="Arial" w:cs="Arial" w:eastAsia="Arial" w:hAnsi="Arial"/>
          <w:sz w:val="17"/>
          <w:szCs w:val="17"/>
          <w:color w:val="auto"/>
        </w:rPr>
        <w:t>As of September 30, 2024,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46" w:lineRule="exact"/>
        <w:rPr>
          <w:sz w:val="20"/>
          <w:szCs w:val="20"/>
          <w:color w:val="auto"/>
        </w:rPr>
      </w:pPr>
    </w:p>
    <w:p>
      <w:pPr>
        <w:ind w:right="240" w:firstLine="623"/>
        <w:spacing w:after="0" w:line="263" w:lineRule="auto"/>
        <w:rPr>
          <w:sz w:val="20"/>
          <w:szCs w:val="20"/>
          <w:color w:val="auto"/>
        </w:rPr>
      </w:pPr>
      <w:r>
        <w:rPr>
          <w:rFonts w:ascii="Arial" w:cs="Arial" w:eastAsia="Arial" w:hAnsi="Arial"/>
          <w:sz w:val="17"/>
          <w:szCs w:val="17"/>
          <w:color w:val="auto"/>
        </w:rPr>
        <w:t>As of September 30, 2024, we had $1,083.9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September 30, 2024, a hypothetical 100 basis point increase in rates, inclusive of the impact of our outstanding interest rate swaps that are accruing interest as of September 30, 2024, would result in a $8.6 million impact to interest expense over the next 12 months. This does not include any yield from cash and marketable securities.</w:t>
      </w:r>
    </w:p>
    <w:p>
      <w:pPr>
        <w:spacing w:after="0" w:line="143"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4" w:lineRule="exact"/>
        <w:rPr>
          <w:sz w:val="20"/>
          <w:szCs w:val="20"/>
          <w:color w:val="auto"/>
        </w:rPr>
      </w:pPr>
    </w:p>
    <w:p>
      <w:pPr>
        <w:ind w:left="620" w:hanging="305"/>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p>
    <w:p>
      <w:pPr>
        <w:spacing w:after="0" w:line="28" w:lineRule="exact"/>
        <w:rPr>
          <w:rFonts w:ascii="Arial" w:cs="Arial" w:eastAsia="Arial" w:hAnsi="Arial"/>
          <w:sz w:val="17"/>
          <w:szCs w:val="17"/>
          <w:color w:val="auto"/>
        </w:rPr>
      </w:pPr>
    </w:p>
    <w:p>
      <w:pPr>
        <w:ind w:left="620" w:right="120"/>
        <w:spacing w:after="0" w:line="265" w:lineRule="auto"/>
        <w:rPr>
          <w:rFonts w:ascii="Arial" w:cs="Arial" w:eastAsia="Arial" w:hAnsi="Arial"/>
          <w:sz w:val="17"/>
          <w:szCs w:val="17"/>
          <w:color w:val="auto"/>
        </w:rPr>
      </w:pPr>
      <w:r>
        <w:rPr>
          <w:rFonts w:ascii="Arial" w:cs="Arial" w:eastAsia="Arial" w:hAnsi="Arial"/>
          <w:sz w:val="17"/>
          <w:szCs w:val="17"/>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54" w:lineRule="exact"/>
        <w:rPr>
          <w:rFonts w:ascii="Arial" w:cs="Arial" w:eastAsia="Arial" w:hAnsi="Arial"/>
          <w:sz w:val="17"/>
          <w:szCs w:val="17"/>
          <w:color w:val="auto"/>
        </w:rPr>
      </w:pPr>
    </w:p>
    <w:p>
      <w:pPr>
        <w:ind w:left="620" w:right="16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39" w:lineRule="exact"/>
        <w:rPr>
          <w:rFonts w:ascii="Arial" w:cs="Arial" w:eastAsia="Arial" w:hAnsi="Arial"/>
          <w:sz w:val="17"/>
          <w:szCs w:val="17"/>
          <w:color w:val="auto"/>
        </w:rPr>
      </w:pPr>
    </w:p>
    <w:p>
      <w:pPr>
        <w:ind w:left="620" w:right="14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52" w:lineRule="exact"/>
        <w:rPr>
          <w:rFonts w:ascii="Arial" w:cs="Arial" w:eastAsia="Arial" w:hAnsi="Arial"/>
          <w:sz w:val="17"/>
          <w:szCs w:val="17"/>
          <w:color w:val="auto"/>
        </w:rPr>
      </w:pPr>
    </w:p>
    <w:p>
      <w:pPr>
        <w:ind w:left="620" w:right="40" w:hanging="305"/>
        <w:spacing w:after="0" w:line="268"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8" w:name="page39"/>
    <w:bookmarkEnd w:id="38"/>
    <w:p>
      <w:pPr>
        <w:ind w:left="620" w:right="860"/>
        <w:spacing w:after="0" w:line="295" w:lineRule="auto"/>
        <w:rPr>
          <w:sz w:val="20"/>
          <w:szCs w:val="20"/>
          <w:color w:val="auto"/>
        </w:rPr>
      </w:pPr>
      <w:r>
        <w:rPr>
          <w:rFonts w:ascii="Arial" w:cs="Arial" w:eastAsia="Arial" w:hAnsi="Arial"/>
          <w:sz w:val="17"/>
          <w:szCs w:val="17"/>
          <w:color w:val="auto"/>
        </w:rPr>
        <w:t>assets and liabilities. We have currency exposure arising from our net investments in foreign operations. We enter into currency derivatives to mitigate the impact of currency rate changes on certain net investments.</w:t>
      </w:r>
    </w:p>
    <w:p>
      <w:pPr>
        <w:spacing w:after="0" w:line="117" w:lineRule="exact"/>
        <w:rPr>
          <w:sz w:val="20"/>
          <w:szCs w:val="20"/>
          <w:color w:val="auto"/>
        </w:rPr>
      </w:pPr>
    </w:p>
    <w:p>
      <w:pPr>
        <w:ind w:left="620" w:right="60" w:hanging="305"/>
        <w:spacing w:after="0" w:line="259" w:lineRule="auto"/>
        <w:tabs>
          <w:tab w:leader="none" w:pos="616"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(loss) income before income taxes in the near term. A hypothetical decrease in exchange rates of 10% against the functional currency of our subsidiaries would have resulted in a change of $11.2 million on our (loss) income before income taxes for the three months ended September 30, 2024.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2"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2024.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2"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September 30, 2024 that materially affected, or are reasonably likely to materially affect, our internal control over financial reporting.</w:t>
      </w:r>
    </w:p>
    <w:p>
      <w:pPr>
        <w:spacing w:after="0" w:line="383"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PART II. OTHER INFORMATION</w:t>
      </w:r>
    </w:p>
    <w:p>
      <w:pPr>
        <w:spacing w:after="0" w:line="16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48" w:lineRule="exact"/>
        <w:rPr>
          <w:sz w:val="20"/>
          <w:szCs w:val="20"/>
          <w:color w:val="auto"/>
        </w:rPr>
      </w:pPr>
    </w:p>
    <w:p>
      <w:pPr>
        <w:ind w:firstLine="192"/>
        <w:spacing w:after="0" w:line="268" w:lineRule="auto"/>
        <w:rPr>
          <w:sz w:val="20"/>
          <w:szCs w:val="20"/>
          <w:color w:val="auto"/>
        </w:rPr>
      </w:pPr>
      <w:r>
        <w:rPr>
          <w:rFonts w:ascii="Arial" w:cs="Arial" w:eastAsia="Arial" w:hAnsi="Arial"/>
          <w:sz w:val="17"/>
          <w:szCs w:val="17"/>
          <w:color w:val="auto"/>
        </w:rPr>
        <w:t>On May 29, 2024, we announced that our Board had authorized the repurchase of up to an additional $200.0 million aggregate purchase price (excluding any fees, commissions, or other expenses of such purchases) of Cimpress' issued and outstanding ordinary shares on the open market, through privately negotiated transactions, or in one or more self tender offers. The Board did not set an expiration date for this new repurchase program, and we may suspend or discontinue our share repurchases at any time.</w:t>
      </w:r>
    </w:p>
    <w:p>
      <w:pPr>
        <w:spacing w:after="0" w:line="191"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The following table outlines the repurchase of our ordinary shares during the three months ended September 30, 2024 under the program described above: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38"/>
        </w:trPr>
        <w:tc>
          <w:tcPr>
            <w:tcW w:w="4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Total Number of Shares</w:t>
            </w:r>
          </w:p>
        </w:tc>
        <w:tc>
          <w:tcPr>
            <w:tcW w:w="1620" w:type="dxa"/>
            <w:vAlign w:val="bottom"/>
            <w:gridSpan w:val="2"/>
          </w:tcPr>
          <w:p>
            <w:pPr>
              <w:jc w:val="right"/>
              <w:ind w:right="10"/>
              <w:spacing w:after="0"/>
              <w:rPr>
                <w:sz w:val="20"/>
                <w:szCs w:val="20"/>
                <w:color w:val="auto"/>
              </w:rPr>
            </w:pPr>
            <w:r>
              <w:rPr>
                <w:rFonts w:ascii="Arial" w:cs="Arial" w:eastAsia="Arial" w:hAnsi="Arial"/>
                <w:sz w:val="12"/>
                <w:szCs w:val="12"/>
                <w:b w:val="1"/>
                <w:bCs w:val="1"/>
                <w:color w:val="auto"/>
              </w:rPr>
              <w:t>Approximate Dollar Value</w:t>
            </w:r>
          </w:p>
        </w:tc>
        <w:tc>
          <w:tcPr>
            <w:tcW w:w="0" w:type="dxa"/>
            <w:vAlign w:val="bottom"/>
          </w:tcPr>
          <w:p>
            <w:pPr>
              <w:spacing w:after="0"/>
              <w:rPr>
                <w:sz w:val="1"/>
                <w:szCs w:val="1"/>
                <w:color w:val="auto"/>
              </w:rPr>
            </w:pPr>
          </w:p>
        </w:tc>
      </w:tr>
      <w:tr>
        <w:trPr>
          <w:trHeight w:val="130"/>
        </w:trPr>
        <w:tc>
          <w:tcPr>
            <w:tcW w:w="4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20" w:type="dxa"/>
            <w:vAlign w:val="bottom"/>
            <w:gridSpan w:val="2"/>
          </w:tcPr>
          <w:p>
            <w:pPr>
              <w:jc w:val="right"/>
              <w:ind w:right="10"/>
              <w:spacing w:after="0" w:line="130" w:lineRule="exact"/>
              <w:rPr>
                <w:sz w:val="20"/>
                <w:szCs w:val="20"/>
                <w:color w:val="auto"/>
              </w:rPr>
            </w:pPr>
            <w:r>
              <w:rPr>
                <w:rFonts w:ascii="Arial" w:cs="Arial" w:eastAsia="Arial" w:hAnsi="Arial"/>
                <w:sz w:val="12"/>
                <w:szCs w:val="12"/>
                <w:b w:val="1"/>
                <w:bCs w:val="1"/>
                <w:color w:val="auto"/>
              </w:rPr>
              <w:t>of Shares that May Yet be</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Total Number of Shares</w:t>
            </w:r>
          </w:p>
        </w:tc>
        <w:tc>
          <w:tcPr>
            <w:tcW w:w="120" w:type="dxa"/>
            <w:vAlign w:val="bottom"/>
          </w:tcPr>
          <w:p>
            <w:pPr>
              <w:spacing w:after="0"/>
              <w:rPr>
                <w:sz w:val="10"/>
                <w:szCs w:val="10"/>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Average Price Paid Per</w:t>
            </w:r>
          </w:p>
        </w:tc>
        <w:tc>
          <w:tcPr>
            <w:tcW w:w="168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Purchased as Part of a</w:t>
            </w:r>
          </w:p>
        </w:tc>
        <w:tc>
          <w:tcPr>
            <w:tcW w:w="160" w:type="dxa"/>
            <w:vAlign w:val="bottom"/>
          </w:tcPr>
          <w:p>
            <w:pPr>
              <w:spacing w:after="0"/>
              <w:rPr>
                <w:sz w:val="10"/>
                <w:szCs w:val="10"/>
                <w:color w:val="auto"/>
              </w:rPr>
            </w:pPr>
          </w:p>
        </w:tc>
        <w:tc>
          <w:tcPr>
            <w:tcW w:w="1460" w:type="dxa"/>
            <w:vAlign w:val="bottom"/>
          </w:tcPr>
          <w:p>
            <w:pPr>
              <w:jc w:val="center"/>
              <w:ind w:right="90"/>
              <w:spacing w:after="0" w:line="117" w:lineRule="exact"/>
              <w:rPr>
                <w:sz w:val="20"/>
                <w:szCs w:val="20"/>
                <w:color w:val="auto"/>
              </w:rPr>
            </w:pPr>
            <w:r>
              <w:rPr>
                <w:rFonts w:ascii="Arial" w:cs="Arial" w:eastAsia="Arial" w:hAnsi="Arial"/>
                <w:sz w:val="12"/>
                <w:szCs w:val="12"/>
                <w:b w:val="1"/>
                <w:bCs w:val="1"/>
                <w:color w:val="auto"/>
              </w:rPr>
              <w:t>Purchased Under the</w:t>
            </w:r>
          </w:p>
        </w:tc>
        <w:tc>
          <w:tcPr>
            <w:tcW w:w="0" w:type="dxa"/>
            <w:vAlign w:val="bottom"/>
          </w:tcPr>
          <w:p>
            <w:pPr>
              <w:spacing w:after="0"/>
              <w:rPr>
                <w:sz w:val="1"/>
                <w:szCs w:val="1"/>
                <w:color w:val="auto"/>
              </w:rPr>
            </w:pPr>
          </w:p>
        </w:tc>
      </w:tr>
      <w:tr>
        <w:trPr>
          <w:trHeight w:val="130"/>
        </w:trPr>
        <w:tc>
          <w:tcPr>
            <w:tcW w:w="45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680" w:type="dxa"/>
            <w:vAlign w:val="bottom"/>
            <w:gridSpan w:val="2"/>
          </w:tcPr>
          <w:p>
            <w:pPr>
              <w:jc w:val="center"/>
              <w:ind w:right="120"/>
              <w:spacing w:after="0" w:line="130" w:lineRule="exact"/>
              <w:rPr>
                <w:sz w:val="20"/>
                <w:szCs w:val="20"/>
                <w:color w:val="auto"/>
              </w:rPr>
            </w:pPr>
            <w:r>
              <w:rPr>
                <w:rFonts w:ascii="Arial" w:cs="Arial" w:eastAsia="Arial" w:hAnsi="Arial"/>
                <w:sz w:val="12"/>
                <w:szCs w:val="12"/>
                <w:b w:val="1"/>
                <w:bCs w:val="1"/>
                <w:color w:val="auto"/>
              </w:rPr>
              <w:t>Publicly Announced</w:t>
            </w:r>
          </w:p>
        </w:tc>
        <w:tc>
          <w:tcPr>
            <w:tcW w:w="160" w:type="dxa"/>
            <w:vAlign w:val="bottom"/>
          </w:tcPr>
          <w:p>
            <w:pPr>
              <w:spacing w:after="0"/>
              <w:rPr>
                <w:sz w:val="11"/>
                <w:szCs w:val="11"/>
                <w:color w:val="auto"/>
              </w:rPr>
            </w:pPr>
          </w:p>
        </w:tc>
        <w:tc>
          <w:tcPr>
            <w:tcW w:w="1460" w:type="dxa"/>
            <w:vAlign w:val="bottom"/>
          </w:tcPr>
          <w:p>
            <w:pPr>
              <w:jc w:val="center"/>
              <w:ind w:right="90"/>
              <w:spacing w:after="0" w:line="130" w:lineRule="exact"/>
              <w:rPr>
                <w:sz w:val="20"/>
                <w:szCs w:val="20"/>
                <w:color w:val="auto"/>
              </w:rPr>
            </w:pPr>
            <w:r>
              <w:rPr>
                <w:rFonts w:ascii="Arial" w:cs="Arial" w:eastAsia="Arial" w:hAnsi="Arial"/>
                <w:sz w:val="12"/>
                <w:szCs w:val="12"/>
                <w:b w:val="1"/>
                <w:bCs w:val="1"/>
                <w:color w:val="auto"/>
              </w:rPr>
              <w:t>Program</w:t>
            </w:r>
          </w:p>
        </w:tc>
        <w:tc>
          <w:tcPr>
            <w:tcW w:w="0" w:type="dxa"/>
            <w:vAlign w:val="bottom"/>
          </w:tcPr>
          <w:p>
            <w:pPr>
              <w:spacing w:after="0"/>
              <w:rPr>
                <w:sz w:val="1"/>
                <w:szCs w:val="1"/>
                <w:color w:val="auto"/>
              </w:rPr>
            </w:pPr>
          </w:p>
        </w:tc>
      </w:tr>
      <w:tr>
        <w:trPr>
          <w:trHeight w:val="167"/>
        </w:trPr>
        <w:tc>
          <w:tcPr>
            <w:tcW w:w="45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Purchased</w:t>
            </w:r>
          </w:p>
        </w:tc>
        <w:tc>
          <w:tcPr>
            <w:tcW w:w="1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Share</w:t>
            </w:r>
          </w:p>
        </w:tc>
        <w:tc>
          <w:tcPr>
            <w:tcW w:w="1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Program</w:t>
            </w:r>
          </w:p>
        </w:tc>
        <w:tc>
          <w:tcPr>
            <w:tcW w:w="160" w:type="dxa"/>
            <w:vAlign w:val="bottom"/>
          </w:tcPr>
          <w:p>
            <w:pPr>
              <w:spacing w:after="0"/>
              <w:rPr>
                <w:sz w:val="14"/>
                <w:szCs w:val="14"/>
                <w:color w:val="auto"/>
              </w:rPr>
            </w:pPr>
          </w:p>
        </w:tc>
        <w:tc>
          <w:tcPr>
            <w:tcW w:w="1460" w:type="dxa"/>
            <w:vAlign w:val="bottom"/>
          </w:tcPr>
          <w:p>
            <w:pPr>
              <w:jc w:val="center"/>
              <w:ind w:right="11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1, 2024 through July 31, 2024</w:t>
            </w:r>
          </w:p>
        </w:tc>
        <w:tc>
          <w:tcPr>
            <w:tcW w:w="1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31,403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89.27</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31,403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August 1, 2024 through August 31, 2024</w:t>
            </w:r>
          </w:p>
        </w:tc>
        <w:tc>
          <w:tcPr>
            <w:tcW w:w="1580" w:type="dxa"/>
            <w:vAlign w:val="bottom"/>
          </w:tcPr>
          <w:p>
            <w:pPr>
              <w:jc w:val="right"/>
              <w:ind w:right="8"/>
              <w:spacing w:after="0"/>
              <w:rPr>
                <w:sz w:val="20"/>
                <w:szCs w:val="20"/>
                <w:color w:val="auto"/>
              </w:rPr>
            </w:pPr>
            <w:r>
              <w:rPr>
                <w:rFonts w:ascii="Arial" w:cs="Arial" w:eastAsia="Arial" w:hAnsi="Arial"/>
                <w:sz w:val="16"/>
                <w:szCs w:val="16"/>
                <w:color w:val="auto"/>
              </w:rPr>
              <w:t>82,011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8"/>
              <w:spacing w:after="0"/>
              <w:rPr>
                <w:sz w:val="20"/>
                <w:szCs w:val="20"/>
                <w:color w:val="auto"/>
              </w:rPr>
            </w:pPr>
            <w:r>
              <w:rPr>
                <w:rFonts w:ascii="Arial" w:cs="Arial" w:eastAsia="Arial" w:hAnsi="Arial"/>
                <w:sz w:val="16"/>
                <w:szCs w:val="16"/>
                <w:color w:val="auto"/>
              </w:rPr>
              <w:t>85.20</w:t>
            </w:r>
          </w:p>
        </w:tc>
        <w:tc>
          <w:tcPr>
            <w:tcW w:w="120" w:type="dxa"/>
            <w:vAlign w:val="bottom"/>
          </w:tcPr>
          <w:p>
            <w:pPr>
              <w:spacing w:after="0"/>
              <w:rPr>
                <w:sz w:val="17"/>
                <w:szCs w:val="17"/>
                <w:color w:val="auto"/>
              </w:rPr>
            </w:pPr>
          </w:p>
        </w:tc>
        <w:tc>
          <w:tcPr>
            <w:tcW w:w="1580" w:type="dxa"/>
            <w:vAlign w:val="bottom"/>
          </w:tcPr>
          <w:p>
            <w:pPr>
              <w:jc w:val="right"/>
              <w:ind w:right="11"/>
              <w:spacing w:after="0"/>
              <w:rPr>
                <w:sz w:val="20"/>
                <w:szCs w:val="20"/>
                <w:color w:val="auto"/>
              </w:rPr>
            </w:pPr>
            <w:r>
              <w:rPr>
                <w:rFonts w:ascii="Arial" w:cs="Arial" w:eastAsia="Arial" w:hAnsi="Arial"/>
                <w:sz w:val="16"/>
                <w:szCs w:val="16"/>
                <w:color w:val="auto"/>
              </w:rPr>
              <w:t>82,011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10"/>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2024 through September 30, 2024</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9,911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83.68</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9,911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123,325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86.12</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123,325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40" w:type="dxa"/>
            <w:vAlign w:val="bottom"/>
            <w:gridSpan w:val="8"/>
            <w:vMerge w:val="restart"/>
          </w:tcPr>
          <w:p>
            <w:pPr>
              <w:ind w:left="2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4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line="168" w:lineRule="exact"/>
              <w:rPr>
                <w:sz w:val="20"/>
                <w:szCs w:val="20"/>
                <w:color w:val="auto"/>
              </w:rPr>
            </w:pPr>
            <w:r>
              <w:rPr>
                <w:rFonts w:ascii="Arial" w:cs="Arial" w:eastAsia="Arial" w:hAnsi="Arial"/>
                <w:sz w:val="16"/>
                <w:szCs w:val="16"/>
                <w:color w:val="auto"/>
              </w:rPr>
              <w:t>4.1</w:t>
            </w:r>
          </w:p>
        </w:tc>
        <w:tc>
          <w:tcPr>
            <w:tcW w:w="9540" w:type="dxa"/>
            <w:vAlign w:val="bottom"/>
            <w:tcBorders>
              <w:bottom w:val="single" w:sz="8" w:color="0000FF"/>
            </w:tcBorders>
            <w:gridSpan w:val="6"/>
          </w:tcPr>
          <w:p>
            <w:pPr>
              <w:spacing w:after="0" w:line="168" w:lineRule="exact"/>
              <w:rPr>
                <w:rFonts w:ascii="Arial" w:cs="Arial" w:eastAsia="Arial" w:hAnsi="Arial"/>
                <w:sz w:val="16"/>
                <w:szCs w:val="16"/>
                <w:color w:val="0000FF"/>
                <w:w w:val="97"/>
              </w:rPr>
            </w:pPr>
            <w:hyperlink r:id="rId52">
              <w:r>
                <w:rPr>
                  <w:rFonts w:ascii="Arial" w:cs="Arial" w:eastAsia="Arial" w:hAnsi="Arial"/>
                  <w:sz w:val="16"/>
                  <w:szCs w:val="16"/>
                  <w:color w:val="0000FF"/>
                  <w:w w:val="97"/>
                </w:rPr>
                <w:t>Senior Notes Indenture (including form of 7.375% senior notes due 2026), dated as of September 26, 2024, between Cimpress plc, certain</w:t>
              </w:r>
            </w:hyperlink>
          </w:p>
        </w:tc>
        <w:tc>
          <w:tcPr>
            <w:tcW w:w="7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280" w:type="dxa"/>
            <w:vAlign w:val="bottom"/>
            <w:gridSpan w:val="10"/>
          </w:tcPr>
          <w:p>
            <w:pPr>
              <w:spacing w:after="0" w:line="136" w:lineRule="exact"/>
              <w:rPr>
                <w:rFonts w:ascii="Arial" w:cs="Arial" w:eastAsia="Arial" w:hAnsi="Arial"/>
                <w:sz w:val="14"/>
                <w:szCs w:val="14"/>
                <w:color w:val="0000FF"/>
              </w:rPr>
            </w:pPr>
            <w:hyperlink r:id="rId52">
              <w:r>
                <w:rPr>
                  <w:rFonts w:ascii="Arial" w:cs="Arial" w:eastAsia="Arial" w:hAnsi="Arial"/>
                  <w:sz w:val="14"/>
                  <w:szCs w:val="14"/>
                  <w:color w:val="0000FF"/>
                </w:rPr>
                <w:t>subsidiaries of Cimpress plc as guarantors thereto, and U.S. Bank Trust Company, National Association, as Trustee, is incorporated by reference to</w:t>
              </w:r>
            </w:hyperlink>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140" w:type="dxa"/>
            <w:vAlign w:val="bottom"/>
            <w:tcBorders>
              <w:top w:val="single" w:sz="8" w:color="0000FF"/>
            </w:tcBorders>
            <w:gridSpan w:val="7"/>
          </w:tcPr>
          <w:p>
            <w:pPr>
              <w:spacing w:after="0" w:line="136" w:lineRule="exact"/>
              <w:rPr>
                <w:rFonts w:ascii="Arial" w:cs="Arial" w:eastAsia="Arial" w:hAnsi="Arial"/>
                <w:sz w:val="14"/>
                <w:szCs w:val="14"/>
                <w:color w:val="0000FF"/>
              </w:rPr>
            </w:pPr>
            <w:hyperlink r:id="rId52">
              <w:r>
                <w:rPr>
                  <w:rFonts w:ascii="Arial" w:cs="Arial" w:eastAsia="Arial" w:hAnsi="Arial"/>
                  <w:sz w:val="14"/>
                  <w:szCs w:val="14"/>
                  <w:color w:val="0000FF"/>
                </w:rPr>
                <w:t>our Current Report on Form 8-K filed with the SEC on September 30, 2024</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10280" w:type="dxa"/>
            <w:vAlign w:val="bottom"/>
            <w:gridSpan w:val="10"/>
          </w:tcPr>
          <w:p>
            <w:pPr>
              <w:spacing w:after="0"/>
              <w:rPr>
                <w:rFonts w:ascii="Arial" w:cs="Arial" w:eastAsia="Arial" w:hAnsi="Arial"/>
                <w:sz w:val="16"/>
                <w:szCs w:val="16"/>
                <w:color w:val="0000FF"/>
                <w:w w:val="97"/>
              </w:rPr>
            </w:pPr>
            <w:hyperlink r:id="rId53">
              <w:r>
                <w:rPr>
                  <w:rFonts w:ascii="Arial" w:cs="Arial" w:eastAsia="Arial" w:hAnsi="Arial"/>
                  <w:sz w:val="16"/>
                  <w:szCs w:val="16"/>
                  <w:color w:val="0000FF"/>
                  <w:w w:val="97"/>
                </w:rPr>
                <w:t>Amendment No. 3 dated as of September 26, 2024 to the Credit Agreement is incorporated by reference to our Current Report on Form 8-K filed with</w:t>
              </w:r>
            </w:hyperlink>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0260" w:type="dxa"/>
            <w:vAlign w:val="bottom"/>
            <w:tcBorders>
              <w:top w:val="single" w:sz="8" w:color="0000FF"/>
            </w:tcBorders>
            <w:gridSpan w:val="9"/>
          </w:tcPr>
          <w:p>
            <w:pPr>
              <w:spacing w:after="0" w:line="136" w:lineRule="exact"/>
              <w:rPr>
                <w:rFonts w:ascii="Arial" w:cs="Arial" w:eastAsia="Arial" w:hAnsi="Arial"/>
                <w:sz w:val="14"/>
                <w:szCs w:val="14"/>
                <w:color w:val="0000FF"/>
              </w:rPr>
            </w:pPr>
            <w:hyperlink r:id="rId53">
              <w:r>
                <w:rPr>
                  <w:rFonts w:ascii="Arial" w:cs="Arial" w:eastAsia="Arial" w:hAnsi="Arial"/>
                  <w:sz w:val="14"/>
                  <w:szCs w:val="14"/>
                  <w:color w:val="0000FF"/>
                </w:rPr>
                <w:t>the SEC on September 30, 2024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866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7"/>
              </w:rPr>
              <w:t>Certification pursuant to Section 302 of the Sarbanes-Oxley Act of 2002, Rule 13a-14(a)/15d-14(a), by Chief Executive Officer</w:t>
            </w:r>
          </w:p>
        </w:tc>
        <w:tc>
          <w:tcPr>
            <w:tcW w:w="16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280" w:type="dxa"/>
            <w:vAlign w:val="bottom"/>
            <w:gridSpan w:val="10"/>
          </w:tcPr>
          <w:p>
            <w:pPr>
              <w:spacing w:after="0"/>
              <w:rPr>
                <w:sz w:val="20"/>
                <w:szCs w:val="20"/>
                <w:color w:val="auto"/>
              </w:rPr>
            </w:pPr>
            <w:r>
              <w:rPr>
                <w:rFonts w:ascii="Arial" w:cs="Arial" w:eastAsia="Arial" w:hAnsi="Arial"/>
                <w:sz w:val="16"/>
                <w:szCs w:val="16"/>
                <w:color w:val="0000FF"/>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760" w:type="dxa"/>
            <w:vAlign w:val="bottom"/>
            <w:gridSpan w:val="3"/>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280" w:type="dxa"/>
            <w:vAlign w:val="bottom"/>
            <w:gridSpan w:val="10"/>
          </w:tcPr>
          <w:p>
            <w:pPr>
              <w:spacing w:after="0"/>
              <w:rPr>
                <w:sz w:val="20"/>
                <w:szCs w:val="20"/>
                <w:color w:val="auto"/>
              </w:rPr>
            </w:pPr>
            <w:r>
              <w:rPr>
                <w:rFonts w:ascii="Arial" w:cs="Arial" w:eastAsia="Arial" w:hAnsi="Arial"/>
                <w:sz w:val="16"/>
                <w:szCs w:val="16"/>
                <w:color w:val="0000FF"/>
                <w:w w:val="98"/>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840" w:type="dxa"/>
            <w:vAlign w:val="bottom"/>
            <w:tcBorders>
              <w:top w:val="single" w:sz="8" w:color="0000FF"/>
              <w:bottom w:val="single" w:sz="8" w:color="0000FF"/>
            </w:tcBorders>
          </w:tcPr>
          <w:p>
            <w:pPr>
              <w:spacing w:after="0" w:line="136" w:lineRule="exact"/>
              <w:rPr>
                <w:sz w:val="20"/>
                <w:szCs w:val="20"/>
                <w:color w:val="auto"/>
              </w:rPr>
            </w:pPr>
            <w:r>
              <w:rPr>
                <w:rFonts w:ascii="Arial" w:cs="Arial" w:eastAsia="Arial" w:hAnsi="Arial"/>
                <w:sz w:val="14"/>
                <w:szCs w:val="14"/>
                <w:color w:val="0000FF"/>
              </w:rPr>
              <w:t>and Chief Financial Officer</w:t>
            </w:r>
          </w:p>
        </w:tc>
        <w:tc>
          <w:tcPr>
            <w:tcW w:w="8320" w:type="dxa"/>
            <w:vAlign w:val="bottom"/>
            <w:tcBorders>
              <w:top w:val="single" w:sz="8" w:color="0000FF"/>
            </w:tcBorders>
            <w:gridSpan w:val="7"/>
          </w:tcPr>
          <w:p>
            <w:pPr>
              <w:spacing w:after="0"/>
              <w:rPr>
                <w:sz w:val="11"/>
                <w:szCs w:val="11"/>
                <w:color w:val="auto"/>
              </w:rPr>
            </w:pP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84" w:right="37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October 31, 2024</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80"/>
          </w:cols>
          <w:pgMar w:left="320" w:top="1068"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October 31, 2024</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October 31, 2024</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18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September 30, 2024 as filed with the Securities and Exchange Commission on the date hereof (the “Report”), the undersigned, Robert S. Keane, Chief Executive Officer,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and 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October 31, 2024</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October 31, 2024</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lvl w:ilvl="1">
      <w:lvlJc w:val="left"/>
      <w:lvlText w:val="◦"/>
      <w:numFmt w:val="bullet"/>
      <w:start w:val="1"/>
    </w:lvl>
  </w:abstractNum>
  <w:abstractNum w:abstractNumId="11">
    <w:nsid w:val="8EDBDAB"/>
    <w:multiLevelType w:val="hybridMultilevel"/>
    <w:lvl w:ilvl="0">
      <w:lvlJc w:val="left"/>
      <w:lvlText w:val="%1."/>
      <w:numFmt w:val="decimal"/>
      <w:start w:val="10"/>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lvl w:ilvl="1">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2"/>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2" Type="http://schemas.openxmlformats.org/officeDocument/2006/relationships/hyperlink" Target="https://www.sec.gov/Archives/edgar/data/1262976/000119312524228494/d884904dex41.htm" TargetMode="External"/><Relationship Id="rId53" Type="http://schemas.openxmlformats.org/officeDocument/2006/relationships/hyperlink" Target="https://www.sec.gov/Archives/edgar/data/1262976/000119312524228494/d8849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2024-10-31T16:24:22Z</dcterms:created>
  <dcterms:modified xsi:type="dcterms:W3CDTF">2024-10-31T16:24:22Z</dcterms:modified>
</cp:coreProperties>
</file>