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534670</wp:posOffset>
            </wp:positionH>
            <wp:positionV relativeFrom="page">
              <wp:posOffset>740410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654685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71" w:lineRule="exact"/>
        <w:rPr>
          <w:sz w:val="24"/>
          <w:szCs w:val="24"/>
          <w:color w:val="auto"/>
        </w:rPr>
      </w:pPr>
    </w:p>
    <w:p>
      <w:pPr>
        <w:ind w:left="840"/>
        <w:spacing w:after="0"/>
        <w:rPr>
          <w:sz w:val="20"/>
          <w:szCs w:val="20"/>
          <w:color w:val="auto"/>
        </w:rPr>
      </w:pPr>
      <w:r>
        <w:rPr>
          <w:rFonts w:ascii="Arial" w:cs="Arial" w:eastAsia="Arial" w:hAnsi="Arial"/>
          <w:sz w:val="15"/>
          <w:szCs w:val="15"/>
          <w:b w:val="1"/>
          <w:bCs w:val="1"/>
          <w:color w:val="auto"/>
        </w:rPr>
        <w:t>For the quarterly period ended December 31,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40" w:top="1355" w:right="259" w:bottom="1440" w:gutter="0" w:footer="0" w:header="0"/>
        </w:sectPr>
      </w:pPr>
    </w:p>
    <w:p>
      <w:pPr>
        <w:spacing w:after="0" w:line="44" w:lineRule="exact"/>
        <w:rPr>
          <w:sz w:val="24"/>
          <w:szCs w:val="24"/>
          <w:color w:val="auto"/>
        </w:rPr>
      </w:pPr>
    </w:p>
    <w:p>
      <w:pPr>
        <w:ind w:left="840"/>
        <w:spacing w:after="0"/>
        <w:tabs>
          <w:tab w:leader="none" w:pos="36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00"/>
          </w:cols>
          <w:pgMar w:left="240" w:top="1355" w:right="25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1355" w:right="259" w:bottom="1440" w:gutter="0" w:footer="0" w:header="0"/>
          <w:type w:val="continuous"/>
        </w:sectPr>
      </w:pPr>
    </w:p>
    <w:p>
      <w:pPr>
        <w:spacing w:after="0" w:line="144"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500" w:space="720"/>
            <w:col w:w="3180"/>
          </w:cols>
          <w:pgMar w:left="240" w:top="1355" w:right="25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280" w:space="720"/>
            <w:col w:w="3400"/>
          </w:cols>
          <w:pgMar w:left="240" w:top="1355"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Hudsonweg 8</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5928 LW Venlo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31-77-850-7700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1"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Name of Exchange on Which Registered</w:t>
      </w:r>
    </w:p>
    <w:p>
      <w:pPr>
        <w:sectPr>
          <w:pgSz w:w="11900" w:h="16838" w:orient="portrait"/>
          <w:cols w:equalWidth="0" w:num="1">
            <w:col w:w="11400"/>
          </w:cols>
          <w:pgMar w:left="240" w:top="1355" w:right="259" w:bottom="1440" w:gutter="0" w:footer="0" w:header="0"/>
          <w:type w:val="continuous"/>
        </w:sectPr>
      </w:pPr>
    </w:p>
    <w:p>
      <w:pPr>
        <w:spacing w:after="0" w:line="90"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Ordinary Shares, €0.01 par value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56" w:lineRule="exact"/>
        <w:rPr>
          <w:sz w:val="24"/>
          <w:szCs w:val="24"/>
          <w:color w:val="auto"/>
        </w:rPr>
      </w:pPr>
    </w:p>
    <w:p>
      <w:pPr>
        <w:sectPr>
          <w:pgSz w:w="11900" w:h="16838" w:orient="portrait"/>
          <w:cols w:equalWidth="0" w:num="2">
            <w:col w:w="6680" w:space="720"/>
            <w:col w:w="4000"/>
          </w:cols>
          <w:pgMar w:left="240" w:top="1355" w:right="259" w:bottom="1440" w:gutter="0" w:footer="0" w:header="0"/>
          <w:type w:val="continuous"/>
        </w:sectPr>
      </w:pPr>
    </w:p>
    <w:p>
      <w:pPr>
        <w:ind w:left="6540"/>
        <w:spacing w:after="0"/>
        <w:rPr>
          <w:sz w:val="20"/>
          <w:szCs w:val="20"/>
          <w:color w:val="auto"/>
        </w:rPr>
      </w:pPr>
      <w:r>
        <w:rPr>
          <w:rFonts w:ascii="Arial" w:cs="Arial" w:eastAsia="Arial" w:hAnsi="Arial"/>
          <w:sz w:val="11"/>
          <w:szCs w:val="11"/>
          <w:color w:val="auto"/>
        </w:rPr>
        <w:t>_________________________________</w:t>
      </w:r>
    </w:p>
    <w:p>
      <w:pPr>
        <w:sectPr>
          <w:pgSz w:w="11900" w:h="16838" w:orient="portrait"/>
          <w:cols w:equalWidth="0" w:num="1">
            <w:col w:w="11400"/>
          </w:cols>
          <w:pgMar w:left="240" w:top="1355" w:right="259" w:bottom="1440" w:gutter="0" w:footer="0" w:header="0"/>
          <w:type w:val="continuous"/>
        </w:sectPr>
      </w:pPr>
    </w:p>
    <w:p>
      <w:pPr>
        <w:spacing w:after="0" w:line="190"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89"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680" w:firstLine="554"/>
        <w:spacing w:after="0" w:line="24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10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240" w:type="dxa"/>
            <w:vAlign w:val="bottom"/>
          </w:tcPr>
          <w:p>
            <w:pPr>
              <w:ind w:left="480"/>
              <w:spacing w:after="0"/>
              <w:rPr>
                <w:sz w:val="20"/>
                <w:szCs w:val="20"/>
                <w:color w:val="auto"/>
              </w:rPr>
            </w:pPr>
            <w:r>
              <w:rPr>
                <w:rFonts w:ascii="Arial" w:cs="Arial" w:eastAsia="Arial" w:hAnsi="Arial"/>
                <w:sz w:val="14"/>
                <w:szCs w:val="14"/>
                <w:color w:val="auto"/>
              </w:rPr>
              <w:t>Accelerated filer o</w:t>
            </w:r>
          </w:p>
        </w:tc>
        <w:tc>
          <w:tcPr>
            <w:tcW w:w="2840" w:type="dxa"/>
            <w:vAlign w:val="bottom"/>
          </w:tcPr>
          <w:p>
            <w:pPr>
              <w:ind w:left="1360"/>
              <w:spacing w:after="0"/>
              <w:rPr>
                <w:sz w:val="20"/>
                <w:szCs w:val="20"/>
                <w:color w:val="auto"/>
              </w:rPr>
            </w:pPr>
            <w:r>
              <w:rPr>
                <w:rFonts w:ascii="Arial" w:cs="Arial" w:eastAsia="Arial" w:hAnsi="Arial"/>
                <w:sz w:val="14"/>
                <w:szCs w:val="14"/>
                <w:color w:val="auto"/>
              </w:rPr>
              <w:t>Non-accelerated filer o</w:t>
            </w:r>
          </w:p>
        </w:tc>
      </w:tr>
      <w:tr>
        <w:trPr>
          <w:trHeight w:val="268"/>
        </w:trPr>
        <w:tc>
          <w:tcPr>
            <w:tcW w:w="2120" w:type="dxa"/>
            <w:vAlign w:val="bottom"/>
          </w:tcPr>
          <w:p>
            <w:pPr>
              <w:spacing w:after="0"/>
              <w:rPr>
                <w:sz w:val="23"/>
                <w:szCs w:val="23"/>
                <w:color w:val="auto"/>
              </w:rPr>
            </w:pPr>
          </w:p>
        </w:tc>
        <w:tc>
          <w:tcPr>
            <w:tcW w:w="2240" w:type="dxa"/>
            <w:vAlign w:val="bottom"/>
          </w:tcPr>
          <w:p>
            <w:pPr>
              <w:ind w:left="480"/>
              <w:spacing w:after="0"/>
              <w:rPr>
                <w:sz w:val="20"/>
                <w:szCs w:val="20"/>
                <w:color w:val="auto"/>
              </w:rPr>
            </w:pPr>
            <w:r>
              <w:rPr>
                <w:rFonts w:ascii="Arial" w:cs="Arial" w:eastAsia="Arial" w:hAnsi="Arial"/>
                <w:sz w:val="14"/>
                <w:szCs w:val="14"/>
                <w:color w:val="auto"/>
              </w:rPr>
              <w:t>Smaller reporting company</w:t>
            </w:r>
          </w:p>
        </w:tc>
        <w:tc>
          <w:tcPr>
            <w:tcW w:w="2840" w:type="dxa"/>
            <w:vAlign w:val="bottom"/>
          </w:tcPr>
          <w:p>
            <w:pPr>
              <w:ind w:left="40"/>
              <w:spacing w:after="0"/>
              <w:rPr>
                <w:sz w:val="20"/>
                <w:szCs w:val="20"/>
                <w:color w:val="auto"/>
              </w:rPr>
            </w:pPr>
            <w:r>
              <w:rPr>
                <w:rFonts w:ascii="Arial" w:cs="Arial" w:eastAsia="Arial" w:hAnsi="Arial"/>
                <w:sz w:val="14"/>
                <w:szCs w:val="14"/>
                <w:color w:val="auto"/>
              </w:rPr>
              <w:t>o</w:t>
            </w:r>
          </w:p>
        </w:tc>
      </w:tr>
      <w:tr>
        <w:trPr>
          <w:trHeight w:val="270"/>
        </w:trPr>
        <w:tc>
          <w:tcPr>
            <w:tcW w:w="2120" w:type="dxa"/>
            <w:vAlign w:val="bottom"/>
          </w:tcPr>
          <w:p>
            <w:pPr>
              <w:spacing w:after="0"/>
              <w:rPr>
                <w:sz w:val="23"/>
                <w:szCs w:val="23"/>
                <w:color w:val="auto"/>
              </w:rPr>
            </w:pPr>
          </w:p>
        </w:tc>
        <w:tc>
          <w:tcPr>
            <w:tcW w:w="5080" w:type="dxa"/>
            <w:vAlign w:val="bottom"/>
            <w:gridSpan w:val="2"/>
          </w:tcPr>
          <w:p>
            <w:pPr>
              <w:ind w:left="480"/>
              <w:spacing w:after="0"/>
              <w:rPr>
                <w:sz w:val="20"/>
                <w:szCs w:val="20"/>
                <w:color w:val="auto"/>
              </w:rPr>
            </w:pPr>
            <w:r>
              <w:rPr>
                <w:rFonts w:ascii="Arial" w:cs="Arial" w:eastAsia="Arial" w:hAnsi="Arial"/>
                <w:sz w:val="14"/>
                <w:szCs w:val="14"/>
                <w:color w:val="auto"/>
              </w:rPr>
              <w:t>Emerging growth company o</w:t>
            </w:r>
          </w:p>
        </w:tc>
      </w:tr>
    </w:tbl>
    <w:p>
      <w:pPr>
        <w:spacing w:after="0" w:line="130" w:lineRule="exact"/>
        <w:rPr>
          <w:sz w:val="24"/>
          <w:szCs w:val="24"/>
          <w:color w:val="auto"/>
        </w:rPr>
      </w:pPr>
    </w:p>
    <w:p>
      <w:pPr>
        <w:ind w:right="260" w:firstLine="648"/>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o No </w:t>
      </w:r>
      <w:r>
        <w:rPr>
          <w:rFonts w:ascii="MS PGothic" w:cs="MS PGothic" w:eastAsia="MS PGothic" w:hAnsi="MS PGothic"/>
          <w:sz w:val="15"/>
          <w:szCs w:val="15"/>
          <w:color w:val="auto"/>
        </w:rPr>
        <w:t>☑</w:t>
      </w:r>
    </w:p>
    <w:p>
      <w:pPr>
        <w:spacing w:after="0" w:line="58" w:lineRule="exact"/>
        <w:rPr>
          <w:sz w:val="24"/>
          <w:szCs w:val="24"/>
          <w:color w:val="auto"/>
        </w:rPr>
      </w:pPr>
    </w:p>
    <w:p>
      <w:pPr>
        <w:ind w:left="220"/>
        <w:spacing w:after="0" w:line="173" w:lineRule="exact"/>
        <w:tabs>
          <w:tab w:leader="none" w:pos="8080" w:val="left"/>
        </w:tabs>
        <w:rPr>
          <w:sz w:val="20"/>
          <w:szCs w:val="20"/>
          <w:color w:val="auto"/>
        </w:rPr>
      </w:pPr>
      <w:r>
        <w:rPr>
          <w:rFonts w:ascii="Arial" w:cs="Arial" w:eastAsia="Arial" w:hAnsi="Arial"/>
          <w:sz w:val="15"/>
          <w:szCs w:val="15"/>
          <w:color w:val="auto"/>
        </w:rPr>
        <w:t>Indicate by check mark whether the registrant is a shell company (as defined in Exchange Act Rule 12b-2).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5"/>
          <w:szCs w:val="15"/>
          <w:color w:val="auto"/>
        </w:rPr>
        <w:t xml:space="preserve">As of January 25, 2019, there were 30,844,541 Cimpress N.V. ordinary shares, par value </w:t>
      </w:r>
      <w:r>
        <w:rPr>
          <w:rFonts w:ascii="Arial" w:cs="Arial" w:eastAsia="Arial" w:hAnsi="Arial"/>
          <w:sz w:val="15"/>
          <w:szCs w:val="15"/>
          <w:b w:val="1"/>
          <w:bCs w:val="1"/>
          <w:color w:val="auto"/>
        </w:rPr>
        <w:t>€</w:t>
      </w:r>
      <w:r>
        <w:rPr>
          <w:rFonts w:ascii="Arial" w:cs="Arial" w:eastAsia="Arial" w:hAnsi="Arial"/>
          <w:sz w:val="15"/>
          <w:szCs w:val="15"/>
          <w:color w:val="auto"/>
        </w:rPr>
        <w:t>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401320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315595</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1355"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Six Months Ended December 31,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290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w w:val="98"/>
              </w:rPr>
              <w:t>PART I FINANCIAL INFORMATION</w:t>
            </w:r>
          </w:p>
        </w:tc>
        <w:tc>
          <w:tcPr>
            <w:tcW w:w="7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10700" w:type="dxa"/>
            <w:vAlign w:val="bottom"/>
            <w:gridSpan w:val="4"/>
          </w:tcPr>
          <w:p>
            <w:pPr>
              <w:spacing w:after="0"/>
              <w:rPr>
                <w:sz w:val="20"/>
                <w:szCs w:val="20"/>
                <w:color w:val="auto"/>
              </w:rPr>
            </w:pPr>
            <w:r>
              <w:rPr>
                <w:rFonts w:ascii="Arial" w:cs="Arial" w:eastAsia="Arial" w:hAnsi="Arial"/>
                <w:sz w:val="18"/>
                <w:szCs w:val="18"/>
                <w:color w:val="auto"/>
              </w:rPr>
              <w:t>Item 1. Financial Statements (unaudited)</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Balance Sheets as of December 31, 2018 and June 30, 2018</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Operations for the three and six months ended December 31, 2018 and 2017</w:t>
            </w:r>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Comprehensive Income (Loss) for the three and six months ended December 31, 2018 and 2017</w:t>
            </w:r>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Cash Flows for the six months ended December 31, 2018 and 2017</w:t>
            </w: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540"/>
        </w:trPr>
        <w:tc>
          <w:tcPr>
            <w:tcW w:w="10700" w:type="dxa"/>
            <w:vAlign w:val="bottom"/>
            <w:gridSpan w:val="4"/>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r>
      <w:tr>
        <w:trPr>
          <w:trHeight w:val="291"/>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1A. Risk Factors</w:t>
            </w:r>
          </w:p>
        </w:tc>
        <w:tc>
          <w:tcPr>
            <w:tcW w:w="810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68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bl>
    <w:p>
      <w:pPr>
        <w:sectPr>
          <w:pgSz w:w="11900" w:h="16838" w:orient="portrait"/>
          <w:cols w:equalWidth="0" w:num="1">
            <w:col w:w="11380"/>
          </w:cols>
          <w:pgMar w:left="280" w:top="54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$7,307 and $6,898, respectively</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68,100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55,621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60,602</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95,903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78,846</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287,438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239,296</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495,107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483,664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 and website development costs, net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56,199</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59,336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67,087</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727,577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520,843</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290,242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230,201</w:t>
            </w:r>
          </w:p>
        </w:tc>
      </w:tr>
      <w:tr>
        <w:trPr>
          <w:trHeight w:val="24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50,295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54,927</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1,972,171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2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noncontrolling interests and shareholders’ equity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204,429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152,436</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237,564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186,661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27,697</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Short-term debt</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46,549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59,259</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54,971</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567,316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481,024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51,243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106,971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102,743</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1,001,900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767,585</w:t>
            </w: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67,447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69,524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1,790,613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1,472,119</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53,371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86,151</w:t>
            </w:r>
          </w:p>
        </w:tc>
      </w:tr>
      <w:tr>
        <w:trPr>
          <w:trHeight w:val="227"/>
        </w:trPr>
        <w:tc>
          <w:tcPr>
            <w:tcW w:w="83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shares, par value €0.01 per share, 100,000,000 shares authorized; none issued and outstanding</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Ordinary shares, par value €0.01 per share, 100,000,000 shares authorized; 44,080,627 shares issued; and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4"/>
        </w:trPr>
        <w:tc>
          <w:tcPr>
            <w:tcW w:w="8340" w:type="dxa"/>
            <w:vAlign w:val="bottom"/>
          </w:tcPr>
          <w:p>
            <w:pPr>
              <w:ind w:left="280"/>
              <w:spacing w:after="0"/>
              <w:rPr>
                <w:sz w:val="20"/>
                <w:szCs w:val="20"/>
                <w:color w:val="auto"/>
              </w:rPr>
            </w:pPr>
            <w:r>
              <w:rPr>
                <w:rFonts w:ascii="Arial" w:cs="Arial" w:eastAsia="Arial" w:hAnsi="Arial"/>
                <w:sz w:val="16"/>
                <w:szCs w:val="16"/>
                <w:color w:val="auto"/>
              </w:rPr>
              <w:t>30,843,950 and 30,876,193 shares outstanding, respectively</w:t>
            </w:r>
          </w:p>
        </w:tc>
        <w:tc>
          <w:tcPr>
            <w:tcW w:w="2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shares, at cost, 13,236,677 and 13,204,434 shares, respectively</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(685,577)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396,648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395,682</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496,745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452,756</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(69,814)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equity attributable to Cimpress N.V.</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128,187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93,662</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5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93,947</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1,972,171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96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825,567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762,054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1,414,548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1,325,338</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3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411,496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360,285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713,967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644,040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55,405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59,228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112,468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121,331</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3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211,963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200,785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394,751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366,878</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40,216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81,392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83,766</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3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14,846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12,558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26,147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25,191</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3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(47,545)</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90,615</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72,709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84,627</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119,322</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9,629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19,881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(24,044)</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(25,611)</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83,436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73,923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69,667</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14,399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19,880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15,638</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69,037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54,043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54,029</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(income)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8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Cimpress N.V.</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69,014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29,935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54,375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53,298</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share attributable to Cimpress N.V.</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income per share attributable to Cimpress N.V.</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30,863,339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31,026,043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30,873,478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31,123,177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31,820,497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32,319,022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31,913,510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32,325,592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Share-based compensation is allocated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4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December 31,</w:t>
            </w:r>
          </w:p>
        </w:tc>
      </w:tr>
      <w:tr>
        <w:trPr>
          <w:trHeight w:val="39"/>
        </w:trPr>
        <w:tc>
          <w:tcPr>
            <w:tcW w:w="47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4,674</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2,843</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10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8,037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5,752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11,965</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10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 December 31,</w:t>
            </w:r>
          </w:p>
        </w:tc>
      </w:tr>
      <w:tr>
        <w:trPr>
          <w:trHeight w:val="39"/>
        </w:trPr>
        <w:tc>
          <w:tcPr>
            <w:tcW w:w="5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69,037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54,043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54,029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gains (losses), net of hedges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39,134</w:t>
            </w:r>
          </w:p>
        </w:tc>
      </w:tr>
      <w:tr>
        <w:trPr>
          <w:trHeight w:val="218"/>
        </w:trPr>
        <w:tc>
          <w:tcPr>
            <w:tcW w:w="5160" w:type="dxa"/>
            <w:vAlign w:val="bottom"/>
          </w:tcPr>
          <w:p>
            <w:pPr>
              <w:ind w:left="280"/>
              <w:spacing w:after="0"/>
              <w:rPr>
                <w:sz w:val="20"/>
                <w:szCs w:val="20"/>
                <w:color w:val="auto"/>
              </w:rPr>
            </w:pPr>
            <w:r>
              <w:rPr>
                <w:rFonts w:ascii="Arial" w:cs="Arial" w:eastAsia="Arial" w:hAnsi="Arial"/>
                <w:sz w:val="16"/>
                <w:szCs w:val="16"/>
                <w:color w:val="auto"/>
              </w:rPr>
              <w:t>Net unrealized (losses) gains on derivative instruments designated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and qualifying as cash flow hedges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6,730</w:t>
            </w:r>
          </w:p>
        </w:tc>
      </w:tr>
      <w:tr>
        <w:trPr>
          <w:trHeight w:val="22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 net income on derivative instruments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66,877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50,751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95,759</w:t>
            </w:r>
          </w:p>
        </w:tc>
      </w:tr>
      <w:tr>
        <w:trPr>
          <w:trHeight w:val="22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 Comprehensive loss (income) attributable to noncontrolling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 comprehensive income attributable to Cimpress N.V.</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70,278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42,589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54,867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91,025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gridSpan w:val="4"/>
          </w:tcPr>
          <w:p>
            <w:pPr>
              <w:jc w:val="right"/>
              <w:ind w:right="379"/>
              <w:spacing w:after="0"/>
              <w:rPr>
                <w:sz w:val="20"/>
                <w:szCs w:val="20"/>
                <w:color w:val="auto"/>
              </w:rPr>
            </w:pPr>
            <w:r>
              <w:rPr>
                <w:rFonts w:ascii="Arial" w:cs="Arial" w:eastAsia="Arial" w:hAnsi="Arial"/>
                <w:sz w:val="15"/>
                <w:szCs w:val="15"/>
                <w:b w:val="1"/>
                <w:bCs w:val="1"/>
                <w:color w:val="auto"/>
              </w:rPr>
              <w:t>Six Months Ended December 31,</w:t>
            </w:r>
          </w:p>
        </w:tc>
      </w:tr>
      <w:tr>
        <w:trPr>
          <w:trHeight w:val="22"/>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9"/>
        </w:trPr>
        <w:tc>
          <w:tcPr>
            <w:tcW w:w="8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2017</w:t>
            </w:r>
          </w:p>
        </w:tc>
      </w:tr>
      <w:tr>
        <w:trPr>
          <w:trHeight w:val="24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54,043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54,029</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85,220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83,683</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20,226</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(6,869)</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subsidiaries</w:t>
            </w: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Change in contingent earn-out liability</w:t>
            </w:r>
          </w:p>
        </w:tc>
        <w:tc>
          <w:tcPr>
            <w:tcW w:w="3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1,774</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derivatives not designated as hedging instruments included in net income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4,541</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13,275</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non-cash items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(16,456)</w:t>
            </w:r>
          </w:p>
        </w:tc>
      </w:tr>
      <w:tr>
        <w:trPr>
          <w:trHeight w:val="233"/>
        </w:trPr>
        <w:tc>
          <w:tcPr>
            <w:tcW w:w="8120" w:type="dxa"/>
            <w:vAlign w:val="bottom"/>
          </w:tcPr>
          <w:p>
            <w:pPr>
              <w:ind w:left="60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(7,357)</w:t>
            </w:r>
          </w:p>
        </w:tc>
      </w:tr>
      <w:tr>
        <w:trPr>
          <w:trHeight w:val="253"/>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w:t>
            </w:r>
          </w:p>
        </w:tc>
      </w:tr>
      <w:tr>
        <w:trPr>
          <w:trHeight w:val="233"/>
        </w:trPr>
        <w:tc>
          <w:tcPr>
            <w:tcW w:w="812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48,839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43,604</w:t>
            </w:r>
          </w:p>
        </w:tc>
      </w:tr>
      <w:tr>
        <w:trPr>
          <w:trHeight w:val="246"/>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42,489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37,194</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205,490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176,742</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(38,767)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(38,674)</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93,779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Business acquisitions, net of cash acquired</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(289,269)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intangible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(18,114)</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the sale of assets</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investing activities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(349,508)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35,934</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borrowings of debt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692,938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311,349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Payments of debt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(474,997)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(487,466)</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debt issuance costs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Payments of withholding taxes in connection with equity awards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(2,098)</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capital lease obligations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Purchase of ordinary shares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(55,139)</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 shares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9,019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Issuance of loans</w:t>
            </w:r>
          </w:p>
        </w:tc>
        <w:tc>
          <w:tcPr>
            <w:tcW w:w="3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35,390</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Other financing activities</w:t>
            </w:r>
          </w:p>
        </w:tc>
        <w:tc>
          <w:tcPr>
            <w:tcW w:w="3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50"/>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149,861</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(213,741)</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3,390</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cash held for sale</w:t>
            </w: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12,042</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14,367</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25,697</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48,264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40,064</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300" w:type="dxa"/>
            <w:vAlign w:val="bottom"/>
            <w:gridSpan w:val="5"/>
          </w:tcPr>
          <w:p>
            <w:pPr>
              <w:jc w:val="right"/>
              <w:ind w:right="380"/>
              <w:spacing w:after="0"/>
              <w:rPr>
                <w:sz w:val="20"/>
                <w:szCs w:val="20"/>
                <w:color w:val="auto"/>
              </w:rPr>
            </w:pPr>
            <w:r>
              <w:rPr>
                <w:rFonts w:ascii="Arial" w:cs="Arial" w:eastAsia="Arial" w:hAnsi="Arial"/>
                <w:sz w:val="15"/>
                <w:szCs w:val="15"/>
                <w:b w:val="1"/>
                <w:bCs w:val="1"/>
                <w:color w:val="auto"/>
              </w:rPr>
              <w:t>Six Months Ended December 31,</w:t>
            </w:r>
          </w:p>
        </w:tc>
      </w:tr>
      <w:tr>
        <w:trPr>
          <w:trHeight w:val="35"/>
        </w:trPr>
        <w:tc>
          <w:tcPr>
            <w:tcW w:w="8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0"/>
        </w:trPr>
        <w:tc>
          <w:tcPr>
            <w:tcW w:w="8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5"/>
                <w:szCs w:val="15"/>
                <w:b w:val="1"/>
                <w:bCs w:val="1"/>
                <w:color w:val="auto"/>
              </w:rPr>
              <w:t>2017</w:t>
            </w:r>
          </w:p>
        </w:tc>
      </w:tr>
      <w:tr>
        <w:trPr>
          <w:trHeight w:val="26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25,863</w:t>
            </w:r>
          </w:p>
        </w:tc>
      </w:tr>
      <w:tr>
        <w:trPr>
          <w:trHeight w:val="260"/>
        </w:trPr>
        <w:tc>
          <w:tcPr>
            <w:tcW w:w="812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10,961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10,452</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Capitalization of construction costs related to financing lease obligation</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6,223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acquired under capital leases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color w:val="auto"/>
              </w:rPr>
              <w:t>Amounts accrued related to business acquisitions</w:t>
            </w:r>
          </w:p>
        </w:tc>
        <w:tc>
          <w:tcPr>
            <w:tcW w:w="98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52,472</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239" w:lineRule="exact"/>
        <w:rPr>
          <w:sz w:val="20"/>
          <w:szCs w:val="20"/>
          <w:color w:val="auto"/>
        </w:rPr>
      </w:pPr>
    </w:p>
    <w:p>
      <w:pPr>
        <w:ind w:right="7400" w:firstLine="8"/>
        <w:spacing w:after="0" w:line="498"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firstLine="648"/>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(“GAAP”) for interim financial information and, accordingly, do not include all of the information and footnotes required by GAAP for complete financial statements. In the opinion of management, all adjustments, consisting primarily of normal recurring accruals, considered necessary for fair presentation of the results of operations for the interim periods reported and of our financial condition as of the date of the interim balance sheet have been included.</w:t>
      </w:r>
    </w:p>
    <w:p>
      <w:pPr>
        <w:spacing w:after="0" w:line="20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the related equity securities do not have a readily determinable fair value, are accounted for using the cost method and are included in other assets on the consolidated balance sheets.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Operating results for the three and six months ended December 31, 2018 are not necessarily indicative of the results that may be expected for the year ending June 30, 2019 or for any other period. The consolidated balance sheet at June 30, 2018 has been derived from our audited consolidated financial statements at that date but does not include all of the information and notes required by GAAP for complete financial statements. These unaudited consolidated financial statements should be read in conjunction with the audited consolidated financial statements for the year ended June 30, 2018 included in our Annual Report on Form 10-K filed with the United States Securities and Exchange Commission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Adoption of ASC 606</w:t>
      </w:r>
    </w:p>
    <w:p>
      <w:pPr>
        <w:spacing w:after="0" w:line="2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July 1, 2018, we adopted ASC 606, Revenue from Contracts with Customers, using the modified retrospective transition approach. Under the modified retrospective approach, we applied the new standard for any contracts that were not complete as of the adoption date and recognized any cumulative impacts as of the adoption date within retained earnings on our consolidated balance sheet. We did not adjust the prior comparable period.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0" w:right="27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The following table summarizes the cumulative effect of adopting the new revenue standard as of the adoption date of July 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w:t>
            </w:r>
          </w:p>
        </w:tc>
        <w:tc>
          <w:tcPr>
            <w:tcW w:w="26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reported at</w:t>
            </w:r>
          </w:p>
        </w:tc>
        <w:tc>
          <w:tcPr>
            <w:tcW w:w="160" w:type="dxa"/>
            <w:vAlign w:val="bottom"/>
          </w:tcPr>
          <w:p>
            <w:pPr>
              <w:spacing w:after="0"/>
              <w:rPr>
                <w:sz w:val="14"/>
                <w:szCs w:val="1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ASC 606 adjustments</w:t>
            </w:r>
          </w:p>
        </w:tc>
        <w:tc>
          <w:tcPr>
            <w:tcW w:w="160" w:type="dxa"/>
            <w:vAlign w:val="bottom"/>
          </w:tcPr>
          <w:p>
            <w:pPr>
              <w:spacing w:after="0"/>
              <w:rPr>
                <w:sz w:val="14"/>
                <w:szCs w:val="14"/>
                <w:color w:val="auto"/>
              </w:rPr>
            </w:pPr>
          </w:p>
        </w:tc>
        <w:tc>
          <w:tcPr>
            <w:tcW w:w="1660" w:type="dxa"/>
            <w:vAlign w:val="bottom"/>
          </w:tcPr>
          <w:p>
            <w:pPr>
              <w:jc w:val="right"/>
              <w:ind w:right="182"/>
              <w:spacing w:after="0"/>
              <w:rPr>
                <w:sz w:val="20"/>
                <w:szCs w:val="20"/>
                <w:color w:val="auto"/>
              </w:rPr>
            </w:pPr>
            <w:r>
              <w:rPr>
                <w:rFonts w:ascii="Arial" w:cs="Arial" w:eastAsia="Arial" w:hAnsi="Arial"/>
                <w:sz w:val="14"/>
                <w:szCs w:val="14"/>
                <w:b w:val="1"/>
                <w:bCs w:val="1"/>
                <w:color w:val="auto"/>
              </w:rPr>
              <w:t>Adjusted balance at</w:t>
            </w:r>
          </w:p>
        </w:tc>
        <w:tc>
          <w:tcPr>
            <w:tcW w:w="0" w:type="dxa"/>
            <w:vAlign w:val="bottom"/>
          </w:tcPr>
          <w:p>
            <w:pPr>
              <w:spacing w:after="0"/>
              <w:rPr>
                <w:sz w:val="1"/>
                <w:szCs w:val="1"/>
                <w:color w:val="auto"/>
              </w:rPr>
            </w:pPr>
          </w:p>
        </w:tc>
      </w:tr>
      <w:tr>
        <w:trPr>
          <w:trHeight w:val="109"/>
        </w:trPr>
        <w:tc>
          <w:tcPr>
            <w:tcW w:w="5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July 1, 2018</w:t>
            </w:r>
          </w:p>
        </w:tc>
        <w:tc>
          <w:tcPr>
            <w:tcW w:w="0" w:type="dxa"/>
            <w:vAlign w:val="bottom"/>
          </w:tcPr>
          <w:p>
            <w:pPr>
              <w:spacing w:after="0"/>
              <w:rPr>
                <w:sz w:val="1"/>
                <w:szCs w:val="1"/>
                <w:color w:val="auto"/>
              </w:rPr>
            </w:pPr>
          </w:p>
        </w:tc>
      </w:tr>
      <w:tr>
        <w:trPr>
          <w:trHeight w:val="87"/>
        </w:trPr>
        <w:tc>
          <w:tcPr>
            <w:tcW w:w="5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78,846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75,108</w:t>
            </w: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2"/>
                <w:szCs w:val="22"/>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67,087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67,682</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27,697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27,800</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452,756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449,510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table summarizes the impact as of and for the three and six months ended December 31, 2018 from adopting the new revenue standard as compared to the previous revenue standard:</w:t>
      </w:r>
    </w:p>
    <w:p>
      <w:pPr>
        <w:sectPr>
          <w:pgSz w:w="11900" w:h="16838" w:orient="portrait"/>
          <w:cols w:equalWidth="0" w:num="1">
            <w:col w:w="11420"/>
          </w:cols>
          <w:pgMar w:left="240" w:top="490" w:right="239" w:bottom="1440" w:gutter="0" w:footer="0" w:header="0"/>
        </w:sectPr>
      </w:pPr>
    </w:p>
    <w:p>
      <w:pPr>
        <w:spacing w:after="0" w:line="1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As reported</w:t>
      </w:r>
    </w:p>
    <w:p>
      <w:pPr>
        <w:spacing w:after="0" w:line="19"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(current revenue</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166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2" w:lineRule="exact"/>
        <w:rPr>
          <w:sz w:val="20"/>
          <w:szCs w:val="20"/>
          <w:color w:val="auto"/>
        </w:rPr>
      </w:pPr>
    </w:p>
    <w:p>
      <w:pPr>
        <w:ind w:left="40" w:right="2020"/>
        <w:spacing w:after="0" w:line="286" w:lineRule="auto"/>
        <w:rPr>
          <w:sz w:val="20"/>
          <w:szCs w:val="20"/>
          <w:color w:val="auto"/>
        </w:rPr>
      </w:pPr>
      <w:r>
        <w:rPr>
          <w:rFonts w:ascii="Arial" w:cs="Arial" w:eastAsia="Arial" w:hAnsi="Arial"/>
          <w:sz w:val="16"/>
          <w:szCs w:val="16"/>
          <w:b w:val="1"/>
          <w:bCs w:val="1"/>
          <w:color w:val="auto"/>
        </w:rPr>
        <w:t>Consolidated Statement of Operations for the Three Months Ended December 31, 2018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Current period</w:t>
            </w: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81"/>
        </w:trPr>
        <w:tc>
          <w:tcPr>
            <w:tcW w:w="194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(previous revenue</w:t>
            </w:r>
          </w:p>
        </w:tc>
        <w:tc>
          <w:tcPr>
            <w:tcW w:w="0" w:type="dxa"/>
            <w:vAlign w:val="bottom"/>
          </w:tcPr>
          <w:p>
            <w:pPr>
              <w:spacing w:after="0"/>
              <w:rPr>
                <w:sz w:val="1"/>
                <w:szCs w:val="1"/>
                <w:color w:val="auto"/>
              </w:rPr>
            </w:pPr>
          </w:p>
        </w:tc>
      </w:tr>
      <w:tr>
        <w:trPr>
          <w:trHeight w:val="81"/>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940" w:type="dxa"/>
            <w:vAlign w:val="bottom"/>
            <w:gridSpan w:val="2"/>
            <w:vMerge w:val="continue"/>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standard)</w:t>
            </w:r>
          </w:p>
        </w:tc>
        <w:tc>
          <w:tcPr>
            <w:tcW w:w="0" w:type="dxa"/>
            <w:vAlign w:val="bottom"/>
          </w:tcPr>
          <w:p>
            <w:pPr>
              <w:spacing w:after="0"/>
              <w:rPr>
                <w:sz w:val="1"/>
                <w:szCs w:val="1"/>
                <w:color w:val="auto"/>
              </w:rPr>
            </w:pPr>
          </w:p>
        </w:tc>
      </w:tr>
      <w:tr>
        <w:trPr>
          <w:trHeight w:val="87"/>
        </w:trPr>
        <w:tc>
          <w:tcPr>
            <w:tcW w:w="1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7200" w:space="460"/>
            <w:col w:w="3760"/>
          </w:cols>
          <w:pgMar w:left="240" w:top="490"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360" w:type="dxa"/>
            <w:vAlign w:val="bottom"/>
          </w:tcPr>
          <w:p>
            <w:pPr>
              <w:ind w:left="180"/>
              <w:spacing w:after="0"/>
              <w:rPr>
                <w:sz w:val="20"/>
                <w:szCs w:val="20"/>
                <w:color w:val="auto"/>
              </w:rPr>
            </w:pPr>
            <w:r>
              <w:rPr>
                <w:rFonts w:ascii="Arial" w:cs="Arial" w:eastAsia="Arial" w:hAnsi="Arial"/>
                <w:sz w:val="16"/>
                <w:szCs w:val="16"/>
                <w:color w:val="auto"/>
              </w:rPr>
              <w:t>Marketing and selling expense (1)</w:t>
            </w: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211,963</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12,002</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223,965</w:t>
            </w:r>
          </w:p>
        </w:tc>
      </w:tr>
      <w:tr>
        <w:trPr>
          <w:trHeight w:val="280"/>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0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14,399</w:t>
            </w: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11,776</w:t>
            </w:r>
          </w:p>
        </w:tc>
      </w:tr>
      <w:tr>
        <w:trPr>
          <w:trHeight w:val="251"/>
        </w:trPr>
        <w:tc>
          <w:tcPr>
            <w:tcW w:w="5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69,037</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(9,379)</w:t>
            </w:r>
          </w:p>
        </w:tc>
        <w:tc>
          <w:tcPr>
            <w:tcW w:w="7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59,658</w:t>
            </w:r>
          </w:p>
        </w:tc>
      </w:tr>
      <w:tr>
        <w:trPr>
          <w:trHeight w:val="218"/>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 of Operations for the Six Months Ended</w:t>
            </w: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4"/>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 (1)</w:t>
            </w:r>
          </w:p>
        </w:tc>
        <w:tc>
          <w:tcPr>
            <w:tcW w:w="10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394,751</w:t>
            </w: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392,778</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0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19,880</w:t>
            </w:r>
          </w:p>
        </w:tc>
        <w:tc>
          <w:tcPr>
            <w:tcW w:w="760" w:type="dxa"/>
            <w:vAlign w:val="bottom"/>
          </w:tcPr>
          <w:p>
            <w:pPr>
              <w:spacing w:after="0"/>
              <w:rPr>
                <w:sz w:val="22"/>
                <w:szCs w:val="22"/>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169</w:t>
            </w:r>
          </w:p>
        </w:tc>
        <w:tc>
          <w:tcPr>
            <w:tcW w:w="7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20,049</w:t>
            </w: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54,043</w:t>
            </w: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1,804</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55,847</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as of December 31, 2018</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0"/>
        </w:trPr>
        <w:tc>
          <w:tcPr>
            <w:tcW w:w="536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95,903</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5,711</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101,614</w:t>
            </w:r>
          </w:p>
        </w:tc>
      </w:tr>
      <w:tr>
        <w:trPr>
          <w:trHeight w:val="280"/>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10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59,336</w:t>
            </w: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59,443</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0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237,564</w:t>
            </w: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237,289</w:t>
            </w:r>
          </w:p>
        </w:tc>
      </w:tr>
      <w:tr>
        <w:trPr>
          <w:trHeight w:val="260"/>
        </w:trPr>
        <w:tc>
          <w:tcPr>
            <w:tcW w:w="536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32,132</w:t>
            </w:r>
          </w:p>
        </w:tc>
        <w:tc>
          <w:tcPr>
            <w:tcW w:w="7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7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32,029</w:t>
            </w:r>
          </w:p>
        </w:tc>
      </w:tr>
      <w:tr>
        <w:trPr>
          <w:trHeight w:val="280"/>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0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496,745</w:t>
            </w: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6,196</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502,941</w:t>
            </w:r>
          </w:p>
        </w:tc>
      </w:tr>
      <w:tr>
        <w:trPr>
          <w:trHeight w:val="182"/>
        </w:trPr>
        <w:tc>
          <w:tcPr>
            <w:tcW w:w="5360" w:type="dxa"/>
            <w:vAlign w:val="bottom"/>
          </w:tcPr>
          <w:p>
            <w:pPr>
              <w:spacing w:after="0"/>
              <w:rPr>
                <w:sz w:val="20"/>
                <w:szCs w:val="20"/>
                <w:color w:val="auto"/>
              </w:rPr>
            </w:pPr>
            <w:r>
              <w:rPr>
                <w:rFonts w:ascii="Arial" w:cs="Arial" w:eastAsia="Arial" w:hAnsi="Arial"/>
                <w:sz w:val="14"/>
                <w:szCs w:val="14"/>
                <w:color w:val="auto"/>
              </w:rPr>
              <w:t>_____________________</w:t>
            </w: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39" w:lineRule="exact"/>
        <w:rPr>
          <w:sz w:val="20"/>
          <w:szCs w:val="20"/>
          <w:color w:val="auto"/>
        </w:rPr>
      </w:pPr>
    </w:p>
    <w:p>
      <w:pPr>
        <w:jc w:val="both"/>
        <w:ind w:left="260" w:right="40" w:hanging="252"/>
        <w:spacing w:after="0" w:line="241" w:lineRule="auto"/>
        <w:tabs>
          <w:tab w:leader="none" w:pos="233"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three and six months ended December 31, 2018, the adjustment to marketing and selling expense was the impact from National Pen's direct mail costs that resulted in lower expense of $12,002 and higher expense of $1,973, respectively. The timing of the expense recognition would have been different under the previous revenue standard since they would have been capitalized within prepaid expense and other current assets and amortized over the customer response period to marketing and selling expense.</w:t>
      </w:r>
    </w:p>
    <w:p>
      <w:pPr>
        <w:spacing w:after="0" w:line="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These impacts were partially offset by the cumulative effect adjustment recognized within retained earnings of $3,738.</w:t>
      </w:r>
    </w:p>
    <w:p>
      <w:pPr>
        <w:spacing w:after="0" w:line="185"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material impact of our adoption of ASC 606 is related to the timing for recognizing direct-response advertising costs, which were costs previously capitalized and expensed based on the guidance outlined in ASC 340 - "Other Assets and Deferred Assets". The guidance included in ASC 340 is eliminated by ASC 606, and under the new revenue standard these costs are expensed as incurred because they do not meet the requirements for capitalization since they are not direct and incremental to obtaining a contract. Historically the direct mail costs were capitalized and amortized over the customer response period (typically 3-4 months) and now costs are recognized when the direct mail is sent to the customers. This creates volatility in our quarterly profitability but should not have a significant impact on an annual basis and has no impact on cash flow. By applying the modified retrospective approach for implementing the standard, we adjusted the cumulative impact of capitalized costs of $3,738, resulting in a decrease to prepaid expenses and other current assets and a decrease to retained earnings, as well as the related tax impact of $595, resulting in an increase to deferred tax assets and an increase to retained earnings on July 1, 2018.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type w:val="continuous"/>
        </w:sectPr>
      </w:pPr>
    </w:p>
    <w:bookmarkStart w:id="9" w:name="page10"/>
    <w:bookmarkEnd w:id="9"/>
    <w:p>
      <w:pPr>
        <w:ind w:right="500" w:firstLine="648"/>
        <w:spacing w:after="0" w:line="253" w:lineRule="auto"/>
        <w:rPr>
          <w:sz w:val="20"/>
          <w:szCs w:val="20"/>
          <w:color w:val="auto"/>
        </w:rPr>
      </w:pPr>
      <w:r>
        <w:rPr>
          <w:rFonts w:ascii="Arial" w:cs="Arial" w:eastAsia="Arial" w:hAnsi="Arial"/>
          <w:sz w:val="18"/>
          <w:szCs w:val="18"/>
          <w:color w:val="auto"/>
        </w:rPr>
        <w:t>We also identified an impact related to customer loyalty programs that are offered by several of our businesses. Under the new revenue standard, the rewards associated with these programs are recognized as an additional performance obligation, resulting in an allocation of the transaction price and deferral of revenue until the subsequent reward redemption. By applying the modified retrospective approach for implementing the standard, we adjusted the cumulative impact of $103, resulting in an increase to deferred revenue and a decrease to retained earnings on July 1, 2018. All other impacts during the current periods were not considered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Policy</w:t>
      </w:r>
    </w:p>
    <w:p>
      <w:pPr>
        <w:spacing w:after="0" w:line="216" w:lineRule="exact"/>
        <w:rPr>
          <w:sz w:val="20"/>
          <w:szCs w:val="20"/>
          <w:color w:val="auto"/>
        </w:rPr>
      </w:pPr>
    </w:p>
    <w:p>
      <w:pPr>
        <w:ind w:right="20" w:firstLine="662"/>
        <w:spacing w:after="0" w:line="253" w:lineRule="auto"/>
        <w:rPr>
          <w:sz w:val="20"/>
          <w:szCs w:val="20"/>
          <w:color w:val="auto"/>
        </w:rPr>
      </w:pPr>
      <w:r>
        <w:rPr>
          <w:rFonts w:ascii="Arial" w:cs="Arial" w:eastAsia="Arial" w:hAnsi="Arial"/>
          <w:sz w:val="18"/>
          <w:szCs w:val="18"/>
          <w:color w:val="auto"/>
        </w:rPr>
        <w:t>We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are transferred to the customer.</w:t>
      </w:r>
    </w:p>
    <w:p>
      <w:pPr>
        <w:spacing w:after="0" w:line="179" w:lineRule="exact"/>
        <w:rPr>
          <w:sz w:val="20"/>
          <w:szCs w:val="20"/>
          <w:color w:val="auto"/>
        </w:rPr>
      </w:pPr>
    </w:p>
    <w:p>
      <w:pPr>
        <w:ind w:right="20" w:firstLine="662"/>
        <w:spacing w:after="0" w:line="253" w:lineRule="auto"/>
        <w:rPr>
          <w:sz w:val="20"/>
          <w:szCs w:val="20"/>
          <w:color w:val="auto"/>
        </w:rPr>
      </w:pPr>
      <w:r>
        <w:rPr>
          <w:rFonts w:ascii="Arial" w:cs="Arial" w:eastAsia="Arial" w:hAnsi="Arial"/>
          <w:sz w:val="18"/>
          <w:szCs w:val="18"/>
          <w:color w:val="auto"/>
        </w:rPr>
        <w:t>We recognize revenue upon shipment of the fulfilled orders, which generally occurs upon delivery to the shipping carrier, but for certain revenues occurs upon delivery to the customer. If multiple products are ordered together, each product is considered a separate performance obligation, and the transaction price is allocated to each performance obligation based on the standalone selling price and revenue is recognized upon satisfaction of each performance obligation. We generally determine the standalone selling prices based on the prices charged to our customers.</w:t>
      </w:r>
    </w:p>
    <w:p>
      <w:pPr>
        <w:spacing w:after="0" w:line="179" w:lineRule="exact"/>
        <w:rPr>
          <w:sz w:val="20"/>
          <w:szCs w:val="20"/>
          <w:color w:val="auto"/>
        </w:rPr>
      </w:pPr>
    </w:p>
    <w:p>
      <w:pPr>
        <w:ind w:right="280" w:firstLine="662"/>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December 31, 2018.</w:t>
      </w:r>
    </w:p>
    <w:p>
      <w:pPr>
        <w:spacing w:after="0" w:line="175" w:lineRule="exact"/>
        <w:rPr>
          <w:sz w:val="20"/>
          <w:szCs w:val="20"/>
          <w:color w:val="auto"/>
        </w:rPr>
      </w:pPr>
    </w:p>
    <w:p>
      <w:pPr>
        <w:ind w:right="240" w:firstLine="662"/>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as well as existing customers intended to improve customer retention. These incentive offers are generally available to all customers, and therefore these do not represent a performance obligation since customers are not required to enter into a contractual commitment to receive these offers. These discounts are recognized as a reduction to the transaction price when used by the customer. Costs related to free products are included within cost of revenue and sample products are included within marketing and selling expense.</w:t>
      </w:r>
    </w:p>
    <w:p>
      <w:pPr>
        <w:spacing w:after="0" w:line="179" w:lineRule="exact"/>
        <w:rPr>
          <w:sz w:val="20"/>
          <w:szCs w:val="20"/>
          <w:color w:val="auto"/>
        </w:rPr>
      </w:pPr>
    </w:p>
    <w:p>
      <w:pPr>
        <w:ind w:right="140" w:firstLine="662"/>
        <w:spacing w:after="0" w:line="256"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revenue disaggregation disclosure requirements resulting from the adoption of ASC 606 are included in Note 13.</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During the three months ended December 31, 2018, we recognized a net benefit in our consolidated statement of operations for share-based compensation costs of $ 2,720 and expense of $6,196 during the six months ended December 31, 2018. For the three and six months ended December 31, 2017, we recognized $13,314 and $20,226 of share-based compensation expense, respectively.</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the first quarter of fiscal 2018, we issued supplemental performance share units ("supplemental PSUs") to certain members of management (excluding Robert Keane, our Chairman and CEO) that were incremental to our typical long-term incentive award grants. Since these awards are incremental to our typical long-term incentive awards, the supplemental PSUs are subject to a three-year cumulative financial performance condition intended to provide a stretch goal for participants in addition to service vesting and share price performance conditions. The evaluation of achievement of the performance condition is at the discretion of the Compensation Committee and, therefore, the awards are subject to mark-to-market accounting throughout the performance vesting period. Beginning in the second quarter of fiscal 2018, we concluded that the achievement of the performance condition was probable and recognized $15,397 of expense cumulatively through the first quarter of fiscal 2019. Based on our current quarter results (which are seasonally significant for several of our businesses),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71" w:right="259" w:bottom="1440" w:gutter="0" w:footer="0" w:header="0"/>
        </w:sectPr>
      </w:pPr>
    </w:p>
    <w:bookmarkStart w:id="10" w:name="page11"/>
    <w:bookmarkEnd w:id="10"/>
    <w:p>
      <w:pPr>
        <w:ind w:right="80"/>
        <w:spacing w:after="0" w:line="256" w:lineRule="auto"/>
        <w:rPr>
          <w:sz w:val="20"/>
          <w:szCs w:val="20"/>
          <w:color w:val="auto"/>
        </w:rPr>
      </w:pPr>
      <w:r>
        <w:rPr>
          <w:rFonts w:ascii="Arial" w:cs="Arial" w:eastAsia="Arial" w:hAnsi="Arial"/>
          <w:sz w:val="18"/>
          <w:szCs w:val="18"/>
          <w:color w:val="auto"/>
        </w:rPr>
        <w:t>we concluded that the achievement of the three-year cumulative performance condition was no longer probable as of December 31, 2018, and we have reversed the previously recognized expense of $15,397. If in a future period we determine that it is probable that the financial performance condition will be achieved based on our financial performance, we will cumulatively catch-up the expense in that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instruments (1)</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11,171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18,544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(10,001)</w:t>
            </w:r>
          </w:p>
        </w:tc>
        <w:tc>
          <w:tcPr>
            <w:tcW w:w="0" w:type="dxa"/>
            <w:vAlign w:val="bottom"/>
          </w:tcPr>
          <w:p>
            <w:pPr>
              <w:spacing w:after="0"/>
              <w:rPr>
                <w:sz w:val="1"/>
                <w:szCs w:val="1"/>
                <w:color w:val="auto"/>
              </w:rPr>
            </w:pPr>
          </w:p>
        </w:tc>
      </w:tr>
      <w:tr>
        <w:trPr>
          <w:trHeight w:val="233"/>
        </w:trPr>
        <w:tc>
          <w:tcPr>
            <w:tcW w:w="4700" w:type="dxa"/>
            <w:vAlign w:val="bottom"/>
          </w:tcPr>
          <w:p>
            <w:pPr>
              <w:ind w:left="40"/>
              <w:spacing w:after="0"/>
              <w:rPr>
                <w:sz w:val="20"/>
                <w:szCs w:val="20"/>
                <w:color w:val="auto"/>
              </w:rPr>
            </w:pPr>
            <w:r>
              <w:rPr>
                <w:rFonts w:ascii="Arial" w:cs="Arial" w:eastAsia="Arial" w:hAnsi="Arial"/>
                <w:sz w:val="16"/>
                <w:szCs w:val="16"/>
                <w:color w:val="auto"/>
              </w:rPr>
              <w:t>Currency-related (losses) gains, net (2)</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(6,449)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(14,652)</w:t>
            </w:r>
          </w:p>
        </w:tc>
        <w:tc>
          <w:tcPr>
            <w:tcW w:w="0" w:type="dxa"/>
            <w:vAlign w:val="bottom"/>
          </w:tcPr>
          <w:p>
            <w:pPr>
              <w:spacing w:after="0"/>
              <w:rPr>
                <w:sz w:val="1"/>
                <w:szCs w:val="1"/>
                <w:color w:val="auto"/>
              </w:rPr>
            </w:pPr>
          </w:p>
        </w:tc>
      </w:tr>
      <w:tr>
        <w:trPr>
          <w:trHeight w:val="24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(losses) gains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98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9,629</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25"/>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(7,732)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19,881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gains (losses) on derivative currency forward and option contracts not designated as hedging instruments.</w:t>
      </w:r>
    </w:p>
    <w:p>
      <w:pPr>
        <w:spacing w:after="0" w:line="82" w:lineRule="exact"/>
        <w:rPr>
          <w:rFonts w:ascii="Arial" w:cs="Arial" w:eastAsia="Arial" w:hAnsi="Arial"/>
          <w:sz w:val="14"/>
          <w:szCs w:val="14"/>
          <w:color w:val="auto"/>
        </w:rPr>
      </w:pPr>
    </w:p>
    <w:p>
      <w:pPr>
        <w:ind w:left="260" w:right="80" w:hanging="252"/>
        <w:spacing w:after="0" w:line="245" w:lineRule="auto"/>
        <w:tabs>
          <w:tab w:leader="none" w:pos="233"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gains (losses), net for the three and six months ended December 31, 2018 and 2017 are primarily driven by this intercompany activity. In addition, we have certain cross-currency swaps designated as cash flow hedges, which hedge the remeasurement of certain intercompany loans, both presented in the same component above. Unrealized gains related to cross-currency swaps were $2,080 and $1,243 for the three and six months ended December 31, 2018, respectively, as compared to unrealized losses of $2,016 and $6,126 for the three and six months ended December 31, 2017,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Attributable to Cimpress N.V.</w:t>
      </w:r>
    </w:p>
    <w:p>
      <w:pPr>
        <w:spacing w:after="0" w:line="22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Basic net income per share attributable to Cimpress N.V. is computed by dividing net income attributable to Cimpress N.V. by the weighted-average number of ordinary shares outstanding for the respective period. Diluted net income per share attributable to Cimpress N.V. gives effect to all potentially dilutive securities, including share options, restricted share units (“RSUs”), restricted share awards ("RSAs")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200" w:type="dxa"/>
            <w:vAlign w:val="bottom"/>
            <w:gridSpan w:val="4"/>
          </w:tcPr>
          <w:p>
            <w:pPr>
              <w:ind w:left="520"/>
              <w:spacing w:after="0"/>
              <w:rPr>
                <w:sz w:val="20"/>
                <w:szCs w:val="20"/>
                <w:color w:val="auto"/>
              </w:rPr>
            </w:pPr>
            <w:r>
              <w:rPr>
                <w:rFonts w:ascii="Arial" w:cs="Arial" w:eastAsia="Arial" w:hAnsi="Arial"/>
                <w:sz w:val="13"/>
                <w:szCs w:val="13"/>
                <w:b w:val="1"/>
                <w:bCs w:val="1"/>
                <w:color w:val="auto"/>
              </w:rPr>
              <w:t>Three Months Ended December 31,</w:t>
            </w:r>
          </w:p>
        </w:tc>
        <w:tc>
          <w:tcPr>
            <w:tcW w:w="3060" w:type="dxa"/>
            <w:vAlign w:val="bottom"/>
            <w:gridSpan w:val="3"/>
          </w:tcPr>
          <w:p>
            <w:pPr>
              <w:jc w:val="right"/>
              <w:ind w:right="463"/>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5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30,863,339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31,026,043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30,873,478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31,123,177</w:t>
            </w:r>
          </w:p>
        </w:tc>
        <w:tc>
          <w:tcPr>
            <w:tcW w:w="0" w:type="dxa"/>
            <w:vAlign w:val="bottom"/>
          </w:tcPr>
          <w:p>
            <w:pPr>
              <w:spacing w:after="0"/>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share options/RSUs/RSAs</w:t>
            </w:r>
          </w:p>
        </w:tc>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957,158</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1,292,979</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1,040,032</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1,202,415</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income per share attributable to</w:t>
            </w:r>
          </w:p>
        </w:tc>
        <w:tc>
          <w:tcPr>
            <w:tcW w:w="150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rPr>
              <w:t>31,820,497</w:t>
            </w:r>
          </w:p>
        </w:tc>
        <w:tc>
          <w:tcPr>
            <w:tcW w:w="12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32,319,022</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31,913,510</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32,325,592</w:t>
            </w:r>
          </w:p>
        </w:tc>
        <w:tc>
          <w:tcPr>
            <w:tcW w:w="0" w:type="dxa"/>
            <w:vAlign w:val="bottom"/>
          </w:tcPr>
          <w:p>
            <w:pPr>
              <w:spacing w:after="0"/>
              <w:rPr>
                <w:sz w:val="1"/>
                <w:szCs w:val="1"/>
                <w:color w:val="auto"/>
              </w:rPr>
            </w:pPr>
          </w:p>
        </w:tc>
      </w:tr>
      <w:tr>
        <w:trPr>
          <w:trHeight w:val="19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Cimpress N.V.</w:t>
            </w:r>
          </w:p>
        </w:tc>
        <w:tc>
          <w:tcPr>
            <w:tcW w:w="15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40"/>
              <w:spacing w:after="0"/>
              <w:rPr>
                <w:sz w:val="20"/>
                <w:szCs w:val="20"/>
                <w:color w:val="auto"/>
              </w:rPr>
            </w:pPr>
            <w:r>
              <w:rPr>
                <w:rFonts w:ascii="Arial" w:cs="Arial" w:eastAsia="Arial" w:hAnsi="Arial"/>
                <w:sz w:val="16"/>
                <w:szCs w:val="16"/>
                <w:color w:val="auto"/>
              </w:rPr>
              <w:t>income per share attributable to Cimpress N.V.</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Build-to-Suit Lease Arrangements</w:t>
      </w:r>
    </w:p>
    <w:p>
      <w:pPr>
        <w:spacing w:after="0" w:line="22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two projects during their respective construction periods: the Waltham, Massachusetts office building lease and a lease executed during the first quarter of fiscal 2019 for a production facility in Dallas, Texas. For both build-to-suit leases, property, plant and equipment, net, was $116,089 and $ 111,926 as of December 31, 2018 and June 30, 2018, respectively, related to the buildings. The financing lease obligation and deferred rent credit related to the buildings on our consolidated balance sheets was $119,540 and $115,312 as of December 31, 2018 and June 30, 2018, respectively. All additions during the current period were capitalized construction costs related to the Dallas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47" w:lineRule="exact"/>
        <w:rPr>
          <w:sz w:val="20"/>
          <w:szCs w:val="20"/>
          <w:color w:val="auto"/>
        </w:rPr>
      </w:pPr>
    </w:p>
    <w:p>
      <w:pPr>
        <w:jc w:val="both"/>
        <w:ind w:right="420" w:firstLine="648"/>
        <w:spacing w:after="0" w:line="278" w:lineRule="auto"/>
        <w:rPr>
          <w:sz w:val="20"/>
          <w:szCs w:val="20"/>
          <w:color w:val="auto"/>
        </w:rPr>
      </w:pPr>
      <w:r>
        <w:rPr>
          <w:rFonts w:ascii="Arial" w:cs="Arial" w:eastAsia="Arial" w:hAnsi="Arial"/>
          <w:sz w:val="17"/>
          <w:szCs w:val="17"/>
          <w:color w:val="auto"/>
        </w:rPr>
        <w:t>Treasury shares are accounted for using the cost method and are included as a component of shareholders' equity. During the six months ended December 31, 2018 and 2017, we repurchased 117,552 and 574,264, respectively, of our ordinary shares for a total cost of $14,043 and $55,139, respectively, inclusive of transaction costs, in connection with our publicly announced share repurchase programs.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Under the new standard, changes to the terms or conditions of a share-based payment award are to be accounted for under modification accounting unless there is no change to the fair value, vesting conditions and classification of the award after modification. We adopted the amendment on its effective date of July 1, 2018. The amendment is applied prospectively, and the new standard did not have a material impact on our consolidated financial statements.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should be included with cash and cash equivalents when reconciling the beginning-of-period and end-of-period total amounts shown on the statement of cash flows. We adopted the new standard on July 1, 2018. The new standard did not have a material effect on our consolidated financial statements.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 "Liabilities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should be applied either retrospectively to each period presented or by means of a cumulative adjustment to retained earnings as of the beginning of the fiscal year adopted. We adopted the new standard on July 1, 2018. The new standard did not have a material effect on our consolidated financial statements.</w:t>
      </w:r>
    </w:p>
    <w:p>
      <w:pPr>
        <w:spacing w:after="0" w:line="18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requires an entity to recognize the amount of revenue to which it expects to be entitled for the transfer of promised goods or services to customers. This guidance replaced most existing revenue recognition guidance in U.S. GAAP. The new standard is effective for us of July 1, 2018. The standard permits the use of either the retrospective or modified retrospective method. We adopted the new standard during the first quarter of fiscal 2019. Refer to the information above for additional details of the adoption.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August 2018, the FASB issued Accounting Standards Update No. 2018-15 "Intangibles—Goodwill and Other—Internal-Use Software (Subtopic 350-40)" (ASU 2018-15), which requires a customer in a cloud computing arrangement that is a service contract to follow the internal use software guidance in ASC 350-40 to determine which implementation costs to capitalize as assets or expense as incurred. The new standard is effective for us on July 1, 2020. We are currently evaluating the requirements of the standard, and we have not yet determined the impact of adoption on our consolidated financial statements.</w:t>
      </w:r>
    </w:p>
    <w:p>
      <w:pPr>
        <w:spacing w:after="0" w:line="17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we will recognize the cumulative effect of the change on the opening balance of each affected component of equity in the statement of financial position as of the date of adoption. We do not expect this standard to have material impact on our consolidated financial statements.</w:t>
      </w:r>
    </w:p>
    <w:p>
      <w:pPr>
        <w:spacing w:after="0" w:line="16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and we expect to adopt the new standard using the modified retrospective approach. We also plan to use the transition relief package, in which we will not reassess the classification of our existing leases, whether any expired or existing contracts contain leases and if our existing leases have any initial direct costs. We are in the process of collecting our existing lease contracts and implementing changes to our systems and processes. While we expect the new standard to have a material impact on our consolidated balance sheet, we have not yet determined the full impact of adoption on our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53"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3"/>
                <w:szCs w:val="13"/>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6,732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i w:val="1"/>
                <w:iCs w:val="1"/>
                <w:color w:val="auto"/>
              </w:rPr>
              <w:t>$</w:t>
            </w:r>
          </w:p>
        </w:tc>
        <w:tc>
          <w:tcPr>
            <w:tcW w:w="1260" w:type="dxa"/>
            <w:vAlign w:val="bottom"/>
          </w:tcPr>
          <w:p>
            <w:pPr>
              <w:ind w:left="980"/>
              <w:spacing w:after="0"/>
              <w:rPr>
                <w:sz w:val="20"/>
                <w:szCs w:val="20"/>
                <w:color w:val="auto"/>
              </w:rPr>
            </w:pPr>
            <w:r>
              <w:rPr>
                <w:rFonts w:ascii="Arial" w:cs="Arial" w:eastAsia="Arial" w:hAnsi="Arial"/>
                <w:sz w:val="16"/>
                <w:szCs w:val="16"/>
                <w:i w:val="1"/>
                <w:iCs w:val="1"/>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16,691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i w:val="1"/>
                <w:iCs w:val="1"/>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16,691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i w:val="1"/>
                <w:iCs w:val="1"/>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i w:val="1"/>
                <w:i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4,035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27,458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(17,019)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(17,019)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17"/>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13,370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13,370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24,354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(25,348)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(25,348)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During the quarter ended December 31, 2018 and year ended June 30, 2018,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December 31, 2018,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3" w:right="239" w:bottom="1440" w:gutter="0" w:footer="0" w:header="0"/>
        </w:sectPr>
      </w:pPr>
    </w:p>
    <w:bookmarkStart w:id="14" w:name="page15"/>
    <w:bookmarkEnd w:id="14"/>
    <w:p>
      <w:pPr>
        <w:ind w:right="60" w:firstLine="648"/>
        <w:spacing w:after="0" w:line="252" w:lineRule="auto"/>
        <w:rPr>
          <w:sz w:val="20"/>
          <w:szCs w:val="20"/>
          <w:color w:val="auto"/>
        </w:rPr>
      </w:pPr>
      <w:r>
        <w:rPr>
          <w:rFonts w:ascii="Arial" w:cs="Arial" w:eastAsia="Arial" w:hAnsi="Arial"/>
          <w:sz w:val="18"/>
          <w:szCs w:val="18"/>
          <w:color w:val="auto"/>
        </w:rPr>
        <w:t>As of December 31, 2018 and June 30, 2018, the carrying amounts of our cash and cash equivalents, accounts receivable, accounts payable, and other current liabilities approximated their estimated fair values. As of December 31, 2018 and June 30, 2018 the carrying value of our debt, excluding debt issuance costs and debt discounts, was $ 1,060,321 and $839,429, respectively, and the fair value was $1,048,771 and $847,520, respectively. Our debt at December 31, 2018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The estimated fair value of assets and liabilities disclosed above may not be representative of actual values that could have been or will be realized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seven of our interest rate swap contracts was deemed to be ineffective during the three and six months ended December 31, 2018 and during the three and six months ended December 31, 2017, a portion of seven of our interest rate swap contracts was deemed to be ineffective.</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as interest payments are accrued or made on our variable-rate debt. As of December 31, 2018, we estimate that $1,446 of income will be reclassified from accumulated other comprehensive loss to interest expense during the twelve months ending December 31, 2019. As of December 31, 2018, we had eight outstanding interest rate swap contracts indexed to USD LIBOR. These instruments were designated as cash flow hedges of interest rate risk and have varying start dates and maturity dates through December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 rate swap contracts outstanding:</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Notional Amounts</w:t>
            </w:r>
          </w:p>
        </w:tc>
      </w:tr>
      <w:tr>
        <w:trPr>
          <w:trHeight w:val="256"/>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December 31, 2018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210,000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170,000</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380,000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5" w:name="page16"/>
    <w:bookmarkEnd w:id="15"/>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December 31, 2018, we had two outstanding cross-currency swap contracts designated as cash flow hedges with a total notional amount of $120,011, both maturing during June 2019. We entered into the two cross-currency swap contracts to hedge the risk of changes in one Euro denominated intercompany loan entered into with one of our consolidated subsidiaries that has the Euro as its functional currency.</w:t>
      </w:r>
    </w:p>
    <w:p>
      <w:pPr>
        <w:spacing w:after="0" w:line="23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income (expense), net as interest payments are accrued or paid and upon remeasuring the intercompany loan. As of December 31, 2018, we estimate that $1,068 will be reclassified from accumulated other comprehensive loss to interest expense, net during the twelve months ending December 31, 2019.</w:t>
      </w:r>
    </w:p>
    <w:p>
      <w:pPr>
        <w:spacing w:after="0" w:line="22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December 31, 2018, we had two outstanding cross-currency swap contracts designated as net investment hedges with a total notional amount of $122,969, both maturing during April 2019. We entered into the two cross-currency swap contracts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236" w:lineRule="exact"/>
        <w:rPr>
          <w:sz w:val="20"/>
          <w:szCs w:val="20"/>
          <w:color w:val="auto"/>
        </w:rPr>
      </w:pPr>
    </w:p>
    <w:p>
      <w:pPr>
        <w:ind w:right="920" w:firstLine="648"/>
        <w:spacing w:after="0" w:line="481" w:lineRule="auto"/>
        <w:rPr>
          <w:sz w:val="20"/>
          <w:szCs w:val="20"/>
          <w:color w:val="auto"/>
        </w:rPr>
      </w:pPr>
      <w:r>
        <w:rPr>
          <w:rFonts w:ascii="Arial" w:cs="Arial" w:eastAsia="Arial" w:hAnsi="Arial"/>
          <w:sz w:val="18"/>
          <w:szCs w:val="18"/>
          <w:color w:val="auto"/>
        </w:rPr>
        <w:t xml:space="preserve">We did not hold any ineffective cross-currency swaps during the three and six months ended December 31, 2018 and 2017. </w:t>
      </w:r>
      <w:r>
        <w:rPr>
          <w:rFonts w:ascii="Arial" w:cs="Arial" w:eastAsia="Arial" w:hAnsi="Arial"/>
          <w:sz w:val="18"/>
          <w:szCs w:val="18"/>
          <w:i w:val="1"/>
          <w:iCs w:val="1"/>
          <w:color w:val="auto"/>
        </w:rPr>
        <w:t>Other Currency Contracts</w:t>
      </w:r>
    </w:p>
    <w:p>
      <w:pPr>
        <w:spacing w:after="0" w:line="6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December 31, 2018, we had six currency forward contracts designated as net investment hedges with a total notional amount of $181,344, maturing during various dates through October 2023. We entered into these contracts to hedge the risk of changes in the U.S. Dollar equivalent value of a portion of our net investment in two consolidated subsidiaries that have Euro as their functional currency. Amounts reported in accumulated other comprehensive loss are recognized as a component of our cumulative translation adjustment.</w:t>
      </w:r>
    </w:p>
    <w:p>
      <w:pPr>
        <w:spacing w:after="0" w:line="17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three and six months ended December 31, 2018 and 2017, we have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2" w:lineRule="exact"/>
        <w:rPr>
          <w:sz w:val="20"/>
          <w:szCs w:val="20"/>
          <w:color w:val="auto"/>
        </w:rPr>
      </w:pPr>
    </w:p>
    <w:p>
      <w:pPr>
        <w:ind w:right="360" w:firstLine="648"/>
        <w:spacing w:after="0" w:line="254" w:lineRule="auto"/>
        <w:rPr>
          <w:sz w:val="20"/>
          <w:szCs w:val="20"/>
          <w:color w:val="auto"/>
        </w:rPr>
      </w:pPr>
      <w:r>
        <w:rPr>
          <w:rFonts w:ascii="Arial" w:cs="Arial" w:eastAsia="Arial" w:hAnsi="Arial"/>
          <w:sz w:val="18"/>
          <w:szCs w:val="18"/>
          <w:color w:val="auto"/>
        </w:rPr>
        <w:t>As of December 31, 2018, we had the following outstanding currency derivative contracts that were not designated for hedge accounting and were used to hedge fluctuations in the U.S. Dollar value of forecasted transactions denominated in Australian Dollar, British Pound, Canadian Dollar, Danish Krone, Euro, Indian Rupee, Mexican Peso, New Zealand Dollar, Norwegian Krone, Philippine Peso and Swedish Krona: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17"/>
        </w:trPr>
        <w:tc>
          <w:tcPr>
            <w:tcW w:w="1840" w:type="dxa"/>
            <w:vAlign w:val="bottom"/>
            <w:vMerge w:val="restart"/>
            <w:shd w:val="clear" w:color="auto" w:fill="CCEEFF"/>
          </w:tcPr>
          <w:p>
            <w:pPr>
              <w:jc w:val="right"/>
              <w:ind w:right="503"/>
              <w:spacing w:after="0"/>
              <w:rPr>
                <w:sz w:val="20"/>
                <w:szCs w:val="20"/>
                <w:color w:val="auto"/>
              </w:rPr>
            </w:pPr>
            <w:r>
              <w:rPr>
                <w:rFonts w:ascii="Arial" w:cs="Arial" w:eastAsia="Arial" w:hAnsi="Arial"/>
                <w:sz w:val="16"/>
                <w:szCs w:val="16"/>
                <w:color w:val="auto"/>
              </w:rPr>
              <w:t>$614,831</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September 2017 through</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w:t>
            </w:r>
          </w:p>
        </w:tc>
        <w:tc>
          <w:tcPr>
            <w:tcW w:w="2160" w:type="dxa"/>
            <w:vAlign w:val="bottom"/>
            <w:vMerge w:val="restart"/>
            <w:shd w:val="clear" w:color="auto" w:fill="CCEEFF"/>
          </w:tcPr>
          <w:p>
            <w:pPr>
              <w:jc w:val="right"/>
              <w:ind w:right="883"/>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December 2018</w:t>
            </w:r>
          </w:p>
        </w:tc>
        <w:tc>
          <w:tcPr>
            <w:tcW w:w="2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December 2020</w:t>
            </w: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540" w:type="dxa"/>
            <w:vAlign w:val="bottom"/>
            <w:gridSpan w:val="2"/>
            <w:vMerge w:val="continue"/>
            <w:shd w:val="clear" w:color="auto" w:fill="CCEEFF"/>
          </w:tcPr>
          <w:p>
            <w:pPr>
              <w:spacing w:after="0"/>
              <w:rPr>
                <w:sz w:val="9"/>
                <w:szCs w:val="9"/>
                <w:color w:val="auto"/>
              </w:rPr>
            </w:pPr>
          </w:p>
        </w:tc>
        <w:tc>
          <w:tcPr>
            <w:tcW w:w="2500" w:type="dxa"/>
            <w:vAlign w:val="bottom"/>
            <w:gridSpan w:val="2"/>
            <w:vMerge w:val="continue"/>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December 31, 2018 and June 30, 2018. Our derivative asset and liability balances will fluctuate with interest rate and currency exchange rate volatility.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6,732</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6,732</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991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991</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(5,458)</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(22,477)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(22,477)</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15,700</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4,035</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21,292</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19,735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780" w:type="dxa"/>
            <w:vAlign w:val="bottom"/>
            <w:vMerge w:val="restart"/>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liabilities /</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12,215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10,984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three and six months ended December 31, 2018 and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0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gridSpan w:val="10"/>
          </w:tcPr>
          <w:p>
            <w:pPr>
              <w:jc w:val="right"/>
              <w:ind w:right="202"/>
              <w:spacing w:after="0"/>
              <w:rPr>
                <w:sz w:val="20"/>
                <w:szCs w:val="20"/>
                <w:color w:val="auto"/>
              </w:rPr>
            </w:pPr>
            <w:r>
              <w:rPr>
                <w:rFonts w:ascii="Arial" w:cs="Arial" w:eastAsia="Arial" w:hAnsi="Arial"/>
                <w:sz w:val="13"/>
                <w:szCs w:val="13"/>
                <w:b w:val="1"/>
                <w:bCs w:val="1"/>
                <w:color w:val="auto"/>
                <w:w w:val="98"/>
              </w:rPr>
              <w:t>Amount of Gain (Loss) Recognized in Comprehensive Income (Loss) on Derivatives (Effective Portion)</w:t>
            </w:r>
          </w:p>
        </w:tc>
      </w:tr>
      <w:tr>
        <w:trPr>
          <w:trHeight w:val="263"/>
        </w:trPr>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20" w:type="dxa"/>
            <w:vAlign w:val="bottom"/>
            <w:gridSpan w:val="5"/>
          </w:tcPr>
          <w:p>
            <w:pPr>
              <w:ind w:left="420"/>
              <w:spacing w:after="0"/>
              <w:rPr>
                <w:sz w:val="20"/>
                <w:szCs w:val="20"/>
                <w:color w:val="auto"/>
              </w:rPr>
            </w:pPr>
            <w:r>
              <w:rPr>
                <w:rFonts w:ascii="Arial" w:cs="Arial" w:eastAsia="Arial" w:hAnsi="Arial"/>
                <w:sz w:val="13"/>
                <w:szCs w:val="13"/>
                <w:b w:val="1"/>
                <w:bCs w:val="1"/>
                <w:color w:val="auto"/>
              </w:rPr>
              <w:t>Three Months Ended December 31,</w:t>
            </w:r>
          </w:p>
        </w:tc>
        <w:tc>
          <w:tcPr>
            <w:tcW w:w="400" w:type="dxa"/>
            <w:vAlign w:val="bottom"/>
          </w:tcPr>
          <w:p>
            <w:pPr>
              <w:spacing w:after="0"/>
              <w:rPr>
                <w:sz w:val="22"/>
                <w:szCs w:val="22"/>
                <w:color w:val="auto"/>
              </w:rPr>
            </w:pPr>
          </w:p>
        </w:tc>
        <w:tc>
          <w:tcPr>
            <w:tcW w:w="2900" w:type="dxa"/>
            <w:vAlign w:val="bottom"/>
            <w:gridSpan w:val="4"/>
          </w:tcPr>
          <w:p>
            <w:pPr>
              <w:jc w:val="right"/>
              <w:ind w:right="582"/>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47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(5,686)</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1,656</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5,074</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5,015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5,433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7,319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(9,542)</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6,137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(10,157)</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2"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following table presents reclassifications out of accumulated other comprehensive loss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8"/>
        </w:trPr>
        <w:tc>
          <w:tcPr>
            <w:tcW w:w="2520" w:type="dxa"/>
            <w:vAlign w:val="bottom"/>
          </w:tcPr>
          <w:p>
            <w:pPr>
              <w:spacing w:after="0"/>
              <w:rPr>
                <w:sz w:val="15"/>
                <w:szCs w:val="15"/>
                <w:color w:val="auto"/>
              </w:rPr>
            </w:pPr>
          </w:p>
        </w:tc>
        <w:tc>
          <w:tcPr>
            <w:tcW w:w="6740" w:type="dxa"/>
            <w:vAlign w:val="bottom"/>
            <w:tcBorders>
              <w:bottom w:val="single" w:sz="8" w:color="auto"/>
            </w:tcBorders>
            <w:gridSpan w:val="11"/>
          </w:tcPr>
          <w:p>
            <w:pPr>
              <w:jc w:val="right"/>
              <w:ind w:right="322"/>
              <w:spacing w:after="0"/>
              <w:rPr>
                <w:sz w:val="20"/>
                <w:szCs w:val="20"/>
                <w:color w:val="auto"/>
              </w:rPr>
            </w:pPr>
            <w:r>
              <w:rPr>
                <w:rFonts w:ascii="Arial" w:cs="Arial" w:eastAsia="Arial" w:hAnsi="Arial"/>
                <w:sz w:val="13"/>
                <w:szCs w:val="13"/>
                <w:b w:val="1"/>
                <w:bCs w:val="1"/>
                <w:color w:val="auto"/>
              </w:rPr>
              <w:t>Amount of Net Gain (Loss) Reclassified from Accumulated Other Comprehensive Loss into Income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4"/>
        </w:trPr>
        <w:tc>
          <w:tcPr>
            <w:tcW w:w="2520" w:type="dxa"/>
            <w:vAlign w:val="bottom"/>
          </w:tcPr>
          <w:p>
            <w:pPr>
              <w:spacing w:after="0"/>
              <w:rPr>
                <w:sz w:val="22"/>
                <w:szCs w:val="22"/>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3"/>
                <w:szCs w:val="13"/>
                <w:b w:val="1"/>
                <w:bCs w:val="1"/>
                <w:color w:val="auto"/>
              </w:rPr>
              <w:t>Six Months Ended December 31,</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2520" w:type="dxa"/>
            <w:vAlign w:val="bottom"/>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Derivatives in cash flow hedging</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96"/>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relationships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Interest expense, net</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Cross-currency swaps</w:t>
            </w: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(1,688)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3,774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(5,435)</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income (expense), net</w:t>
            </w: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before income tax</w:t>
            </w: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(1,852)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Income before income taxes</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w:t>
            </w: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 tax expense (benefit)</w:t>
            </w:r>
          </w:p>
        </w:tc>
      </w:tr>
      <w:tr>
        <w:trPr>
          <w:trHeight w:val="24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8"/>
        </w:trPr>
        <w:tc>
          <w:tcPr>
            <w:tcW w:w="25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Amount of Gain (Loss) Recognized in Net Income</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4"/>
        </w:trPr>
        <w:tc>
          <w:tcPr>
            <w:tcW w:w="2520" w:type="dxa"/>
            <w:vAlign w:val="bottom"/>
          </w:tcPr>
          <w:p>
            <w:pPr>
              <w:spacing w:after="0"/>
              <w:rPr>
                <w:sz w:val="22"/>
                <w:szCs w:val="22"/>
                <w:color w:val="auto"/>
              </w:rPr>
            </w:pPr>
          </w:p>
        </w:tc>
        <w:tc>
          <w:tcPr>
            <w:tcW w:w="3440" w:type="dxa"/>
            <w:vAlign w:val="bottom"/>
            <w:gridSpan w:val="6"/>
          </w:tcPr>
          <w:p>
            <w:pPr>
              <w:ind w:left="640"/>
              <w:spacing w:after="0"/>
              <w:rPr>
                <w:sz w:val="20"/>
                <w:szCs w:val="20"/>
                <w:color w:val="auto"/>
              </w:rPr>
            </w:pPr>
            <w:r>
              <w:rPr>
                <w:rFonts w:ascii="Arial" w:cs="Arial" w:eastAsia="Arial" w:hAnsi="Arial"/>
                <w:sz w:val="13"/>
                <w:szCs w:val="13"/>
                <w:b w:val="1"/>
                <w:bCs w:val="1"/>
                <w:color w:val="auto"/>
              </w:rPr>
              <w:t>Three Months Ended December 31,</w:t>
            </w:r>
          </w:p>
        </w:tc>
        <w:tc>
          <w:tcPr>
            <w:tcW w:w="400" w:type="dxa"/>
            <w:vAlign w:val="bottom"/>
          </w:tcPr>
          <w:p>
            <w:pPr>
              <w:spacing w:after="0"/>
              <w:rPr>
                <w:sz w:val="22"/>
                <w:szCs w:val="22"/>
                <w:color w:val="auto"/>
              </w:rPr>
            </w:pPr>
          </w:p>
        </w:tc>
        <w:tc>
          <w:tcPr>
            <w:tcW w:w="2900" w:type="dxa"/>
            <w:vAlign w:val="bottom"/>
            <w:gridSpan w:val="4"/>
          </w:tcPr>
          <w:p>
            <w:pPr>
              <w:jc w:val="right"/>
              <w:ind w:right="583"/>
              <w:spacing w:after="0"/>
              <w:rPr>
                <w:sz w:val="20"/>
                <w:szCs w:val="20"/>
                <w:color w:val="auto"/>
              </w:rPr>
            </w:pPr>
            <w:r>
              <w:rPr>
                <w:rFonts w:ascii="Arial" w:cs="Arial" w:eastAsia="Arial" w:hAnsi="Arial"/>
                <w:sz w:val="13"/>
                <w:szCs w:val="13"/>
                <w:b w:val="1"/>
                <w:bCs w:val="1"/>
                <w:color w:val="auto"/>
              </w:rPr>
              <w:t>Six Months Ended December 31,</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contracts</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18,544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(10,279)</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income (expense), net</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w:t>
            </w: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income (expense), net</w:t>
            </w:r>
          </w:p>
        </w:tc>
      </w:tr>
      <w:tr>
        <w:trPr>
          <w:trHeight w:val="24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18,330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(10,001)</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$3,069 for the six months ended December 31,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08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20" w:type="dxa"/>
            <w:vAlign w:val="bottom"/>
          </w:tcPr>
          <w:p>
            <w:pPr>
              <w:spacing w:after="0"/>
              <w:rPr>
                <w:sz w:val="15"/>
                <w:szCs w:val="15"/>
                <w:color w:val="auto"/>
              </w:rPr>
            </w:pPr>
          </w:p>
        </w:tc>
        <w:tc>
          <w:tcPr>
            <w:tcW w:w="1040" w:type="dxa"/>
            <w:vAlign w:val="bottom"/>
          </w:tcPr>
          <w:p>
            <w:pPr>
              <w:jc w:val="right"/>
              <w:ind w:right="4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8,195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(69,814)</w:t>
            </w:r>
          </w:p>
        </w:tc>
        <w:tc>
          <w:tcPr>
            <w:tcW w:w="0" w:type="dxa"/>
            <w:vAlign w:val="bottom"/>
          </w:tcPr>
          <w:p>
            <w:pPr>
              <w:spacing w:after="0"/>
              <w:rPr>
                <w:sz w:val="1"/>
                <w:szCs w:val="1"/>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3,702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 income</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3,702</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4,985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(69,322)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400" w:hanging="252"/>
        <w:spacing w:after="0" w:line="258"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December 31, 2018 and June 30, 2018, the translation adjustment is inclusive of the effects of our net investment hedges, of which, unrealized losses of $9,681 and $22,014,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December 31, 2018 and June 30, 2018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Vistaprint</w:t>
            </w:r>
          </w:p>
        </w:tc>
        <w:tc>
          <w:tcPr>
            <w:tcW w:w="12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Upload and Print</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All Other</w:t>
            </w:r>
          </w:p>
        </w:tc>
        <w:tc>
          <w:tcPr>
            <w:tcW w:w="300" w:type="dxa"/>
            <w:vAlign w:val="bottom"/>
          </w:tcPr>
          <w:p>
            <w:pPr>
              <w:spacing w:after="0"/>
              <w:rPr>
                <w:sz w:val="13"/>
                <w:szCs w:val="13"/>
                <w:color w:val="auto"/>
              </w:rPr>
            </w:pPr>
          </w:p>
        </w:tc>
        <w:tc>
          <w:tcPr>
            <w:tcW w:w="960" w:type="dxa"/>
            <w:vAlign w:val="bottom"/>
            <w:vMerge w:val="restart"/>
          </w:tcPr>
          <w:p>
            <w:pPr>
              <w:jc w:val="right"/>
              <w:ind w:right="4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Businesses</w:t>
            </w:r>
          </w:p>
        </w:tc>
        <w:tc>
          <w:tcPr>
            <w:tcW w:w="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146,207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328,771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34,434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11,431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520,843</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Acquisitions (1)</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212,768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214,792</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adjustments (2)</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145,649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323,295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34,434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224,199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727,577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200" w:hanging="252"/>
        <w:spacing w:after="0" w:line="258"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Note 7 for additional details related to our acquisitions of BuildASign and VIDA. We also recognized goodwill related to a small acquisition of a supplier by one of our businesses within our Upload and Print reportable segment.</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9"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Acquired intangible assets amortization expense for the three and six months ended December 31, 2018 was $14,846 and $26,147</w:t>
      </w:r>
      <w:r>
        <w:rPr>
          <w:rFonts w:ascii="Arial" w:cs="Arial" w:eastAsia="Arial" w:hAnsi="Arial"/>
          <w:sz w:val="18"/>
          <w:szCs w:val="18"/>
          <w:color w:val="661DE8"/>
        </w:rPr>
        <w:t>,</w:t>
      </w:r>
      <w:r>
        <w:rPr>
          <w:rFonts w:ascii="Arial" w:cs="Arial" w:eastAsia="Arial" w:hAnsi="Arial"/>
          <w:sz w:val="18"/>
          <w:szCs w:val="18"/>
          <w:color w:val="auto"/>
        </w:rPr>
        <w:t xml:space="preserve"> respectively, compared to $12,558 and $25,191 for the prior comparative periods, respectively.</w:t>
      </w:r>
    </w:p>
    <w:p>
      <w:pPr>
        <w:spacing w:after="0" w:line="174" w:lineRule="exact"/>
        <w:rPr>
          <w:sz w:val="20"/>
          <w:szCs w:val="20"/>
          <w:color w:val="auto"/>
        </w:rPr>
      </w:pPr>
    </w:p>
    <w:p>
      <w:pPr>
        <w:ind w:right="8700" w:firstLine="8"/>
        <w:spacing w:after="0" w:line="544" w:lineRule="auto"/>
        <w:tabs>
          <w:tab w:leader="none" w:pos="2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Acquisition of Build A Sign LLC</w:t>
      </w:r>
    </w:p>
    <w:p>
      <w:pPr>
        <w:ind w:left="660"/>
        <w:spacing w:after="0"/>
        <w:rPr>
          <w:sz w:val="20"/>
          <w:szCs w:val="20"/>
          <w:color w:val="auto"/>
        </w:rPr>
      </w:pPr>
      <w:r>
        <w:rPr>
          <w:rFonts w:ascii="Arial" w:cs="Arial" w:eastAsia="Arial" w:hAnsi="Arial"/>
          <w:sz w:val="18"/>
          <w:szCs w:val="18"/>
          <w:color w:val="auto"/>
        </w:rPr>
        <w:t>On October 1, 2018, we completed the acquisition of Build A Sign LLC ("BuildASign"), a vertically integrated U.S. web-to-print canvas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wall dècor and signage company. We acquired approximately 99% of the outstanding equity interests of BuildASign for a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$275,079 in cash, which includes a post-closing adjustment paid during the second quarter of fiscal 2019 and was based on BuildASign's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and working capital position as of the acquisition date.</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 acquisition supports our strategy of investing in and building customer-focused, entrepreneurial, mass customization businesses for the long term, which we manage in a decentralized and autonomous manner. BuildASign brings strong talent, a customer-centric culture, low-cost production operations and strong e-commerce capabilities that work seamlessly together to serve customers with market-leading prices, fast delivery and great customer service.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At the closing, Build A Sign Management Pool, LLC (the "Management Pool"), one of the sellers, retained approximately 1% of the outstanding equity interests of BuildASign for the benefit of certain BuildASign employees who hold equity interests in the Management Pool. We entered into a put and call option agreement with respect to the retained BuildASign equity interests, which provides the holders of the Management Pool the right to sell to us all or any portion of their shares, beginning with our fiscal year ending June 30, 2022 and for each fiscal year thereafter. We have the right to buy all (but not less than all) of the retained equity interest of any holder that is no longer an active employee of the company, beginning with our fiscal year ending June 30, 2022. The put and call purchase price is based on BuildASign's revenue growth and EBITDA for the fiscal year as to which the option is exercised. Due to the presence of the put arrangement, the noncontrolling interest is presented as redeemable noncontrolling interest as redemption is not solely within our control. We initially recognized the noncontrolling interest at fair value of $3,356 and will adjust the balance for the pro rata impact of the BuildASign earnings or loss, as well as adjustments to increase the balance to the redemption value, if necessary.</w:t>
      </w:r>
    </w:p>
    <w:p>
      <w:pPr>
        <w:spacing w:after="0" w:line="21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excess purchase price over the fair value of BuildASign's net assets was recorded as goodwill, which is primarily attributable to the value of its workforce, its manufacturing and marketing process and know-how, as well as synergies which include leveraging Cimpress' scale-based sourcing channels. Goodwill is deductible for tax purposes and has been attributed to the All Other Businesses reportable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49" w:right="239" w:bottom="1440" w:gutter="0" w:footer="0" w:header="0"/>
        </w:sectPr>
      </w:pPr>
    </w:p>
    <w:bookmarkStart w:id="20" w:name="page21"/>
    <w:bookmarkEnd w:id="20"/>
    <w:p>
      <w:pPr>
        <w:ind w:right="80" w:firstLine="648"/>
        <w:spacing w:after="0" w:line="254" w:lineRule="auto"/>
        <w:rPr>
          <w:sz w:val="20"/>
          <w:szCs w:val="20"/>
          <w:color w:val="auto"/>
        </w:rPr>
      </w:pPr>
      <w:r>
        <w:rPr>
          <w:rFonts w:ascii="Arial" w:cs="Arial" w:eastAsia="Arial" w:hAnsi="Arial"/>
          <w:sz w:val="18"/>
          <w:szCs w:val="18"/>
          <w:color w:val="auto"/>
        </w:rPr>
        <w:t>Our preliminary estimate of the fair value of specifically identifiable assets acquired and liabilities assumed as of the date of acquisition is subject to change upon finalizing our valuation analysis, including certain valuation assumptions and tax matters. The final determination may result in changes in the fair value of certain assets and liabilities as compared to our preliminary estimates, which are expected to be finalized prior to the end of fiscal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was: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right"/>
              <w:ind w:right="401"/>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8"/>
        </w:trPr>
        <w:tc>
          <w:tcPr>
            <w:tcW w:w="7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Useful Life in Years</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32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4,093</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 (1)</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12,080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(3,369)</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expenses (1)</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Other current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liabilities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Identifiable intangible assets:</w:t>
            </w: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Trade name</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47,600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years</w:t>
            </w:r>
          </w:p>
        </w:tc>
        <w:tc>
          <w:tcPr>
            <w:tcW w:w="0" w:type="dxa"/>
            <w:vAlign w:val="bottom"/>
          </w:tcPr>
          <w:p>
            <w:pPr>
              <w:spacing w:after="0"/>
              <w:rPr>
                <w:sz w:val="1"/>
                <w:szCs w:val="1"/>
                <w:color w:val="auto"/>
              </w:rPr>
            </w:pPr>
          </w:p>
        </w:tc>
      </w:tr>
      <w:tr>
        <w:trPr>
          <w:trHeight w:val="260"/>
        </w:trPr>
        <w:tc>
          <w:tcPr>
            <w:tcW w:w="7200" w:type="dxa"/>
            <w:vAlign w:val="bottom"/>
          </w:tcPr>
          <w:p>
            <w:pPr>
              <w:ind w:left="380"/>
              <w:spacing w:after="0"/>
              <w:rPr>
                <w:sz w:val="20"/>
                <w:szCs w:val="20"/>
                <w:color w:val="auto"/>
              </w:rPr>
            </w:pPr>
            <w:r>
              <w:rPr>
                <w:rFonts w:ascii="Arial" w:cs="Arial" w:eastAsia="Arial" w:hAnsi="Arial"/>
                <w:sz w:val="16"/>
                <w:szCs w:val="16"/>
                <w:color w:val="auto"/>
              </w:rPr>
              <w:t>Developed technology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28,900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3 - 7 years</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Customer relationships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2 - 5 years</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(3,356)</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186,570</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Total purchase price</w:t>
            </w:r>
          </w:p>
        </w:tc>
        <w:tc>
          <w:tcPr>
            <w:tcW w:w="1320" w:type="dxa"/>
            <w:vAlign w:val="bottom"/>
            <w:tcBorders>
              <w:bottom w:val="single" w:sz="8" w:color="auto"/>
            </w:tcBorders>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275,079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2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60" w:hanging="252"/>
        <w:spacing w:after="0" w:line="250"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connection with the BuildASign acquisition, we recorded an indemnification asset of $5,500, which represents the seller's obligation under the merger agreement to indemnify us for a portion of their potential contingent liabilities related to certain tax matters. We also recognized a contingent liability of $10,106, which represents our estimate based on guidance within ASC 450 - "Contingencies," as of the acquisition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BuildASign Pro Forma Financial Information</w:t>
      </w:r>
    </w:p>
    <w:p>
      <w:pPr>
        <w:spacing w:after="0" w:line="2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BuildASign has been included in our consolidated financial statements starting on its acquisition date. The following unaudited pro forma financial information presents our results as if the BuildASign acquisition had occurred on July 1, 2017. The pro forma financial information for all periods presented adjusts for the effects of material business combination items, including estimated amortization of acquired intangible assets, interest associated with debt used to finance the acquisition, and transaction related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2017</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 forma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1,446,678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1,387,578</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Pro forma net income attributable to Cimpress N.V.</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6"/>
                <w:szCs w:val="16"/>
                <w:color w:val="auto"/>
              </w:rPr>
              <w:t>48,806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46,440</w:t>
            </w:r>
          </w:p>
        </w:tc>
      </w:tr>
    </w:tbl>
    <w:p>
      <w:pPr>
        <w:spacing w:after="0" w:line="20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We utilized proceeds from our credit facility in order to finance the acquisition. In connection with the acquisition, we incurred $1,047 and $1,140 in general and administrative expenses during the three and six months ended December 31, 2018, primarily related to legal, financial, and other professional services.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Acquisition of VIDA Group Co.</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July 2, 2018, we acquired approximately 73% of the shares of VIDA Group Co. ("VIDA"), a rapidly growing U.S.-based startup, with options to increase our ownership beginning in fiscal 2023. For the noncontrolling interest, we entered into put and call options with each employee who holds shares, which become exercisable starting in fiscal 2023, or earlier if the employee terminates their employment. The total consideration was $19,897, net of cash acquired. VIDA brings manufacturing access and an e-commerce marketplace to artists, thereby enabling artists to convert ideas in beautiful, original products for customers, ranging from fashion, jewelry and accessories to home accent pieces. This investment supports our strategy to build a competitively differentiated portfolio of focused brands by providing access to the textiles marketplace.</w:t>
      </w:r>
    </w:p>
    <w:p>
      <w:pPr>
        <w:spacing w:after="0" w:line="207"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We recognized the assets, liabilities and noncontrolling interest on the basis of their fair values at the date of the acquisition, with any excess of the purchase price paid over the fair value of the net assets recorded as goodwill. The aggregate allocation to goodwill, net liabilities and noncontrolling interest was $26,198, $647, and $5,705, respectively.</w:t>
      </w:r>
    </w:p>
    <w:p>
      <w:pPr>
        <w:spacing w:after="0" w:line="202"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revenue and earnings included in our consolidated financial statements for the three and six months ended December 31, 2018 are not material. We utilized proceeds from our credit facility to finance the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2018</w:t>
            </w:r>
          </w:p>
        </w:tc>
        <w:tc>
          <w:tcPr>
            <w:tcW w:w="280" w:type="dxa"/>
            <w:vAlign w:val="bottom"/>
          </w:tcPr>
          <w:p>
            <w:pPr>
              <w:spacing w:after="0"/>
              <w:rPr>
                <w:sz w:val="15"/>
                <w:szCs w:val="15"/>
                <w:color w:val="auto"/>
              </w:rPr>
            </w:pPr>
          </w:p>
        </w:tc>
        <w:tc>
          <w:tcPr>
            <w:tcW w:w="1420" w:type="dxa"/>
            <w:vAlign w:val="bottom"/>
          </w:tcPr>
          <w:p>
            <w:pPr>
              <w:jc w:val="right"/>
              <w:ind w:right="360"/>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54,779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57,024</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Income and indirect taxes (1)</w:t>
            </w:r>
          </w:p>
        </w:tc>
        <w:tc>
          <w:tcPr>
            <w:tcW w:w="200" w:type="dxa"/>
            <w:vAlign w:val="bottom"/>
          </w:tcPr>
          <w:p>
            <w:pPr>
              <w:spacing w:after="0"/>
              <w:rPr>
                <w:sz w:val="22"/>
                <w:szCs w:val="22"/>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58,506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33,557</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costs (1)</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43,824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28,140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Production costs (1)</w:t>
            </w:r>
          </w:p>
        </w:tc>
        <w:tc>
          <w:tcPr>
            <w:tcW w:w="200" w:type="dxa"/>
            <w:vAlign w:val="bottom"/>
          </w:tcPr>
          <w:p>
            <w:pPr>
              <w:spacing w:after="0"/>
              <w:rPr>
                <w:sz w:val="22"/>
                <w:szCs w:val="22"/>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14,029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8,903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Shipping costs (1)</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Sales returns</w:t>
            </w:r>
          </w:p>
        </w:tc>
        <w:tc>
          <w:tcPr>
            <w:tcW w:w="200" w:type="dxa"/>
            <w:vAlign w:val="bottom"/>
          </w:tcPr>
          <w:p>
            <w:pPr>
              <w:spacing w:after="0"/>
              <w:rPr>
                <w:sz w:val="22"/>
                <w:szCs w:val="22"/>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4,489</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22"/>
                <w:szCs w:val="22"/>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44,093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38,776</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237,564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186,661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60" w:right="100" w:hanging="252"/>
        <w:spacing w:after="0" w:line="258" w:lineRule="auto"/>
        <w:tabs>
          <w:tab w:leader="none" w:pos="2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increase in income and indirect taxes, advertising, production, and shipping costs is due to increased sales volumes during our peak holiday season in the second quarter of our fiscal year.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2018</w:t>
            </w:r>
          </w:p>
        </w:tc>
        <w:tc>
          <w:tcPr>
            <w:tcW w:w="28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June 30, 2018</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Short-term derivative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20,069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31,054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portion of lease financing obligation</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12,569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portion of capital lease obligations</w:t>
            </w:r>
          </w:p>
        </w:tc>
        <w:tc>
          <w:tcPr>
            <w:tcW w:w="200" w:type="dxa"/>
            <w:vAlign w:val="bottom"/>
          </w:tcPr>
          <w:p>
            <w:pPr>
              <w:spacing w:after="0"/>
              <w:rPr>
                <w:sz w:val="22"/>
                <w:szCs w:val="22"/>
                <w:color w:val="auto"/>
              </w:rPr>
            </w:pP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10,837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10,747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601</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Total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46,642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54,971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0" w:right="239" w:bottom="1440" w:gutter="0" w:footer="0" w:header="0"/>
        </w:sectPr>
      </w:pPr>
    </w:p>
    <w:bookmarkStart w:id="22" w:name="page23"/>
    <w:bookmarkEnd w:id="22"/>
    <w:p>
      <w:pPr>
        <w:ind w:left="720"/>
        <w:spacing w:after="0"/>
        <w:rPr>
          <w:sz w:val="20"/>
          <w:szCs w:val="20"/>
          <w:color w:val="auto"/>
        </w:rPr>
      </w:pPr>
      <w:r>
        <w:rPr>
          <w:rFonts w:ascii="Arial" w:cs="Arial" w:eastAsia="Arial" w:hAnsi="Arial"/>
          <w:sz w:val="18"/>
          <w:szCs w:val="18"/>
          <w:color w:val="auto"/>
        </w:rPr>
        <w:t>Other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2018</w:t>
            </w:r>
          </w:p>
        </w:tc>
        <w:tc>
          <w:tcPr>
            <w:tcW w:w="28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Long-term capital lease obligations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17,490</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16,883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derivative liabilities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10,080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Mandatorily redeemable noncontrolling interest (1)</w:t>
            </w:r>
          </w:p>
        </w:tc>
        <w:tc>
          <w:tcPr>
            <w:tcW w:w="200" w:type="dxa"/>
            <w:vAlign w:val="bottom"/>
          </w:tcPr>
          <w:p>
            <w:pPr>
              <w:spacing w:after="0"/>
              <w:rPr>
                <w:sz w:val="22"/>
                <w:szCs w:val="22"/>
                <w:color w:val="auto"/>
              </w:rPr>
            </w:pP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4,366</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(2)</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40,636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38,195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67,447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69,524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Relates to the mandatorily redeemable noncontrolling interest of Printi LLC. Refer to Note 12 for additional details.</w:t>
      </w:r>
    </w:p>
    <w:p>
      <w:pPr>
        <w:spacing w:after="0" w:line="1" w:lineRule="exact"/>
        <w:rPr>
          <w:rFonts w:ascii="Arial" w:cs="Arial" w:eastAsia="Arial" w:hAnsi="Arial"/>
          <w:sz w:val="14"/>
          <w:szCs w:val="14"/>
          <w:color w:val="auto"/>
        </w:rPr>
      </w:pPr>
    </w:p>
    <w:p>
      <w:pPr>
        <w:ind w:left="260" w:right="60" w:hanging="252"/>
        <w:spacing w:after="0" w:line="258"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December 31, 2018 and June 30, 2018, other liabilities includes $18,371 and $15,464, respectively, of share-based compensation awards associated with our investment in Printi LLC. Refer to Note 12 for additional details.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2018</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650,107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432,414</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7.0% Senior unsecured notes due 2026</w:t>
            </w:r>
          </w:p>
        </w:tc>
        <w:tc>
          <w:tcPr>
            <w:tcW w:w="160" w:type="dxa"/>
            <w:vAlign w:val="bottom"/>
          </w:tcPr>
          <w:p>
            <w:pPr>
              <w:spacing w:after="0"/>
              <w:rPr>
                <w:sz w:val="22"/>
                <w:szCs w:val="22"/>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costs and debt discounts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debt outstanding, net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1,048,449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826,844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short-term debt (1)</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46,549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59,259</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1,001,900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767,585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December 31, 2018 and June 30, 2018 are inclusive of short-term debt issuance costs and debt discounts of $2,047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w:t>
      </w:r>
    </w:p>
    <w:p>
      <w:pPr>
        <w:spacing w:after="0" w:line="247" w:lineRule="exact"/>
        <w:rPr>
          <w:sz w:val="20"/>
          <w:szCs w:val="20"/>
          <w:color w:val="auto"/>
        </w:rPr>
      </w:pPr>
    </w:p>
    <w:p>
      <w:pPr>
        <w:ind w:left="60" w:right="90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December 31, 2018, we were in compliance with all financial and other covenants related to our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had a committed credit facility of $1,113,172 as follows:</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Revolving loans of $839,422 with a maturity date of June 14, 2023</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 loans of $273,750 amortizing over the loan period, with a final maturity date of June 14, 2023</w:t>
      </w:r>
    </w:p>
    <w:p>
      <w:pPr>
        <w:spacing w:after="0" w:line="27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1.375% to 2.0%. Interest rates depend on our leverage ratio, which is the ratio of our consolidated total indebtedness to our consolidated EBITDA, as defined by the credit agreement. As of December 31, 2018, the weighted-average interest rate on outstanding borrowings was 3.91%, inclusive of interest rate swap rates. We are also required to pay a commitment fee on unused balances of 0.225% to 0.35% depending on our leverage ratio. We have pledged the assets and/or share capital of a number of our subsidiaries as collateral for our outstanding debt as of December 31, 2018.</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7, 2019, we amended the terms of our senior secured credit facility, resulting in an increase of loan commitments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$1,613,172 in the aggregate, which includes $1,087,257 of revolving loans and $525,915 of term loans. The terms and covenants of the senior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secured credit facility remain unchanged.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Indenture and Senior Unsecured Notes</w:t>
      </w:r>
    </w:p>
    <w:p>
      <w:pPr>
        <w:spacing w:after="0" w:line="324" w:lineRule="exact"/>
        <w:rPr>
          <w:sz w:val="20"/>
          <w:szCs w:val="20"/>
          <w:color w:val="auto"/>
        </w:rPr>
      </w:pPr>
    </w:p>
    <w:p>
      <w:pPr>
        <w:ind w:left="60" w:firstLine="648"/>
        <w:spacing w:after="0" w:line="253" w:lineRule="auto"/>
        <w:rPr>
          <w:sz w:val="20"/>
          <w:szCs w:val="20"/>
          <w:color w:val="auto"/>
        </w:rPr>
      </w:pPr>
      <w:r>
        <w:rPr>
          <w:rFonts w:ascii="Arial" w:cs="Arial" w:eastAsia="Arial" w:hAnsi="Arial"/>
          <w:sz w:val="18"/>
          <w:szCs w:val="18"/>
          <w:color w:val="auto"/>
        </w:rPr>
        <w:t>On June 15, 2018, we completed a private placement of $ 400,000 in aggregate principal amount of 7.0% senior unsecured notes due 2026 (the “2026 Notes”). We issued the 2026 Notes pursuant to a senior notes indenture dated as of June 15, 2018, among Cimpress N.V., our subsidiary guarantors, and MUFG Union Bank, N.A., as trustee (the "Indenture"). We used the net proceeds from the 2026 Notes during fiscal 2018 to redeem all of the outstanding 7.0% senior unsecured notes due 2022, repay a portion of the indebtedness outstanding under our revolving credit facility and pay all related fees and expenses.</w:t>
      </w:r>
    </w:p>
    <w:p>
      <w:pPr>
        <w:spacing w:after="0" w:line="206"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2026 Notes bear interest at a rate of 7.0% per annum and mature on June 15, 2026. Interest on the Notes is payable semi-annually on June 15 and December 15 of each year, commencing on December 15, 2018, to the holders of record of the 2026 Notes at the close of business on June 1 and December 1, respectively, preceding such interest payment date.</w:t>
      </w:r>
    </w:p>
    <w:p>
      <w:pPr>
        <w:spacing w:after="0" w:line="20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2026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2026 Notes.</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indenture under which the 2026 Notes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the right to redeem, at any time prior to June 15, 2021, some or all of the 2026 Notes at a redemption price equal to 100% of the principal amount redeemed, plus a make-whole amount as set forth in the Indenture, plus, in each case, accrued and unpaid interest to, but not including, the redemption date. In addition, we have the right to redeem, at any time prior to June 15, 2021, up to 40% of the aggregate outstanding principal amount of the 2026 Notes at a redemption price equal to 107% of the principal amount thereof, plus accrued and unpaid interest to, but not including, the redemption date, with the net proceeds of certain equity offerings by Cimpress. At any time on or after June 15, 2021, we may redeem some or all of the Notes at the redemption prices specified in the Indenture, plus accrued and unpaid interest to, but not including, the redemption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Other debt consists primarily of term loans acquired through our various acquisitions. As of December 31, 2018 and June 30, 2018 we had $10,214 and $7,015, respectively, outstanding for those obligations that are payable through September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income tax expense was $14,399 and $19,880 for the three and six months ended December 31, 2018, as compared to $21,825 and $15,638 for the prior comparable periods. The decrease in tax expense for the three months ended December 31, 2018 from the same prior year period is primarily due to "Patent Box" tax benefits of $3,547 granted to our Pixartprinting business in Italy and recognized as a discrete adjustment to our tax expense for the three months ended December 31, 2018 as well as increased tax expense of $4,701 related to the impacts of U.S. tax reform recognized in the same prior year period. The increase in tax expense for the six months ended December 31, 2018 from the same prior year period is primarily due to higher profits and a decrease in deferred tax assets of $5,574 recognized as a discrete adjustment during the three months ended September 30, 2018 related to guidance issued by the Internal Revenue Service regarding limitations on tax deductions for compensation granted to certain executives. Excluding the effect of these discrete tax adjustments, our estimated annual effective tax rate is lower for fiscal 2019 as compared to fiscal 2018 primarily due to an expectation of a more favorable geographical mix of consolidated earnings. Our effective tax rate continues to be negatively impacted by losses in certain jurisdictions where we are unable to recognize a full tax benefit in the current period.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53" w:right="259" w:bottom="1440" w:gutter="0" w:footer="0" w:header="0"/>
        </w:sectPr>
      </w:pPr>
    </w:p>
    <w:bookmarkStart w:id="24" w:name="page25"/>
    <w:bookmarkEnd w:id="24"/>
    <w:p>
      <w:pPr>
        <w:ind w:right="40" w:firstLine="648"/>
        <w:spacing w:after="0" w:line="252" w:lineRule="auto"/>
        <w:rPr>
          <w:sz w:val="20"/>
          <w:szCs w:val="20"/>
          <w:color w:val="auto"/>
        </w:rPr>
      </w:pPr>
      <w:r>
        <w:rPr>
          <w:rFonts w:ascii="Arial" w:cs="Arial" w:eastAsia="Arial" w:hAnsi="Arial"/>
          <w:sz w:val="18"/>
          <w:szCs w:val="18"/>
          <w:color w:val="auto"/>
        </w:rPr>
        <w:t>In response to the U.S. Tax Cuts and Jobs Act ("The Act") enacted in December 2017, the Securities and Exchange Commission issued Staff Accounting Bulletin 118 ("SAB 118"), which allowed us to record provisional amounts during a measurement period not to extend beyond one year of the enactment date. The one-year measurement period has expired for us during this quarter and our analysis under SAB 118 is complete. There have been no changes to our tax balances in the three months ended December 31, 2018 as a result of changes to our interpretation of nor the issuance of new guidance on The Act. However, we will continue to evaluate our tax positions to the extent additional guidance relating to The Act is issued in the future.</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of December 31, 2018, we had a liability for unrecognized tax benefits included in the balance sheet of $5,552, including accrued interest and penalties of $552. We recognize interest and, if applicable, penalties related to unrecognized tax benefits in the provision for income taxes. If recognized, the entire liability for unrecognized tax benefits would reduce our tax expense. It is reasonably possible that a reduction in unrecognized tax benefits may occur within the next twelve months in the range of $800 to $1,000 related to the lapse of applicable statutes of limitations. We believe we have appropriately provided for all tax uncertainties.</w:t>
      </w:r>
    </w:p>
    <w:p>
      <w:pPr>
        <w:spacing w:after="0" w:line="20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2013 through 2018 remain open for examination by the IRS and the years 2013 through 2018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w:t>
      </w:r>
    </w:p>
    <w:p>
      <w:pPr>
        <w:spacing w:after="0" w:line="20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certain of our strategic investments we own a controlling equity stake, but a third party owns a minority portion of the equity.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 We recognize redeemable noncontrolling interests at fair value on the sale or acquisition date and adjust to the redemption value on a periodic basis, if that amount exceeds the fair value. If the formulaic redemption value exceeds the fair value of the noncontrolling interest, then the accretion to redemption value is offset to the net (income) loss attributable to noncontrolling interest in our consolidated statement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20, 2018, we purchased the outstanding 12% equity interest of our WIRmachenDRUCK subsidiary for €36,173 ($41,177 based on the exchange rate as of the redemption date). During the six months ended December 31, 2018, we increased the carrying amount of the redeemable noncontrolling interest by $7,133, to reflect the change in the redemption value, offset to retained earnings, since the redemption value remained below the fair value.</w:t>
      </w:r>
    </w:p>
    <w:p>
      <w:pPr>
        <w:spacing w:after="0" w:line="204"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On October 1, 2018, we acquired approximately 99% of the outstanding equity interests of Build A Sign LLC. The remaining 1% is considered a redeemable noncontrolling equity interest, as it is redeemable for cash based on future financial results through put and call rights and not solely within our control. On the acquisition date, we recognized the redeemable noncontrolling interest at fair value of $3,356. As</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of December 31, 2018, the redemption value was less than the carrying value, and therefore no adjustment was required. Refer to Note 7 for additional details.</w:t>
      </w:r>
    </w:p>
    <w:p>
      <w:pPr>
        <w:spacing w:after="0" w:line="196"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On July 2, 2018, we acquired approximately 73% of the shares of VIDA Group Co. The remaining 27% is considered a redeemable noncontrolling equity interest, as it is redeemable in the future not solely within our control. The shares we hold include certain liquidation preferences to all other share classes, and therefore the noncontrolling interest will bear any losses until the recoverable value of our investment declines below the stated redemption value. As of December 31, 2018, the redemption value is less than the carrying value and therefore no adjustment has been made. Refer to Note 7 for additional details.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5" w:name="page26"/>
    <w:bookmarkEnd w:id="25"/>
    <w:p>
      <w:pPr>
        <w:ind w:right="140" w:firstLine="648"/>
        <w:spacing w:after="0" w:line="254" w:lineRule="auto"/>
        <w:rPr>
          <w:sz w:val="20"/>
          <w:szCs w:val="20"/>
          <w:color w:val="auto"/>
        </w:rPr>
      </w:pPr>
      <w:r>
        <w:rPr>
          <w:rFonts w:ascii="Arial" w:cs="Arial" w:eastAsia="Arial" w:hAnsi="Arial"/>
          <w:sz w:val="18"/>
          <w:szCs w:val="18"/>
          <w:color w:val="auto"/>
        </w:rPr>
        <w:t>On April 15, 2015, we acquired 70% of the outstanding shares of Exagroup SAS. The remaining 30% is considered a redeemable noncontrolling equity interest, as it is redeemable in the future and not solely within our control. The first redemption date in which a put option can be exercised is April 15, 2019. The Exagroup noncontrolling interest is redeemable at a fixed amount of €39,000. As of December 31, 2018, the redemption value was less than the carrying value, and therefore no adjustment was required.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Redeemable</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120" w:type="dxa"/>
            <w:vAlign w:val="bottom"/>
          </w:tcPr>
          <w:p>
            <w:pPr>
              <w:spacing w:after="0"/>
              <w:rPr>
                <w:sz w:val="15"/>
                <w:szCs w:val="15"/>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noncontrolling interests</w:t>
            </w:r>
          </w:p>
        </w:tc>
        <w:tc>
          <w:tcPr>
            <w:tcW w:w="160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Noncontrolling interest</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8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86,151</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Acquisition of noncontrolling interest (1)</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9,061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to redeemable noncontrolling interest (2)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Accretion to redemption value recognized in retained earnings (3)</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7,133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 (4)</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Shares forfeited by noncontrolling interest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53,371</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noncontrolling interests related to our VIDA and BuildASign acquisitions. Refer to Note 7 for additional details.</w:t>
      </w:r>
    </w:p>
    <w:p>
      <w:pPr>
        <w:spacing w:after="0" w:line="55" w:lineRule="exact"/>
        <w:rPr>
          <w:rFonts w:ascii="Arial" w:cs="Arial" w:eastAsia="Arial" w:hAnsi="Arial"/>
          <w:sz w:val="14"/>
          <w:szCs w:val="14"/>
          <w:color w:val="auto"/>
        </w:rPr>
      </w:pPr>
    </w:p>
    <w:p>
      <w:pPr>
        <w:ind w:left="260" w:right="840" w:hanging="252"/>
        <w:spacing w:after="0" w:line="258" w:lineRule="auto"/>
        <w:tabs>
          <w:tab w:leader="none" w:pos="233"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first quarter of fiscal 2019, we amended our agreement with one noncontrolling interest holder and agreed to put and call options related to their existing noncontrolling interest. As such, we reclassified the noncontrolling interest to redeemable noncontrolling interest since the exercise is not solely within our control.</w:t>
      </w:r>
    </w:p>
    <w:p>
      <w:pPr>
        <w:spacing w:after="0" w:line="32" w:lineRule="exact"/>
        <w:rPr>
          <w:rFonts w:ascii="Arial" w:cs="Arial" w:eastAsia="Arial" w:hAnsi="Arial"/>
          <w:sz w:val="14"/>
          <w:szCs w:val="14"/>
          <w:color w:val="auto"/>
        </w:rPr>
      </w:pPr>
    </w:p>
    <w:p>
      <w:pPr>
        <w:ind w:left="260" w:right="460" w:hanging="252"/>
        <w:spacing w:after="0" w:line="258" w:lineRule="auto"/>
        <w:tabs>
          <w:tab w:leader="none" w:pos="233"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the redemption amount estimated to be greater than carrying value but less than fair value.</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second quarter of fiscal 2019, we purchased the WIRmachenDRUCK noncontrolling interest for $41,177.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Entity ("VIE")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Printi LLC</w:t>
      </w:r>
    </w:p>
    <w:p>
      <w:pPr>
        <w:spacing w:after="0" w:line="21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and other geographies as Printi expands internationally in the future. The shareholders of Printi share profits and voting control on a pro-rata basis. While we do not manage the day-to-day operations of Printi, we do have the unilateral ability to exercise participating voting rights for specific transactions, and as such no one shareholder is considered to be the primary beneficiary. Based upon the level of equity investment at risk, Printi is considered a variable interest entity. Due to certain unilateral participating voting rights for certain transactions and the presence of a de facto agency relationship, we concluded that we were most exposed to the variability of the economics and therefore considered the primary beneficiary.</w:t>
      </w:r>
    </w:p>
    <w:p>
      <w:pPr>
        <w:spacing w:after="0" w:line="16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As of December 31, 2018, we have a 53.69% equity interest in Printi. In addition, we will acquire the remaining equity interest in Printi through a reciprocal put and call structure, exercisable from March 31, 2021 through a mandatory redemption date of July 31, 2023. As the remaining equity interests are mandatorily redeemable by all parties no later than a specified future date, the noncontrolling interest is within the scope of ASC 480 - "Distinguishing Liabilities from Equity" and is required to be presented as a liability on our consolidated balance sheet. As of December 31, 2018 and June 30, 2018, we recognized a liability of $5,178 and $4,366, respectively, based on our current estimate of the redemption value. During the three and six months ended December 31, 2018, we recognized an adjustment within interest expense, net of $813. We did not recognize any adjustments within interest expense, net during the prior comparative periods. We will continue to adjust the liability to its estimated redemption value each reporting period and recognize any changes within interest expense, net in our consolidated statement of operations.</w:t>
      </w:r>
    </w:p>
    <w:p>
      <w:pPr>
        <w:spacing w:after="0" w:line="17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also have liability-based awards for Printi restricted stock held by Printi employees that are fully vested and marked to fair value each reporting period until cash settlement. As of December 31, 2018, our estimated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6" w:name="page27"/>
    <w:bookmarkEnd w:id="26"/>
    <w:p>
      <w:pPr>
        <w:ind w:right="440"/>
        <w:spacing w:after="0" w:line="262" w:lineRule="auto"/>
        <w:rPr>
          <w:sz w:val="20"/>
          <w:szCs w:val="20"/>
          <w:color w:val="auto"/>
        </w:rPr>
      </w:pPr>
      <w:r>
        <w:rPr>
          <w:rFonts w:ascii="Arial" w:cs="Arial" w:eastAsia="Arial" w:hAnsi="Arial"/>
          <w:sz w:val="18"/>
          <w:szCs w:val="18"/>
          <w:color w:val="auto"/>
        </w:rPr>
        <w:t>redemption value was $18,371 and we have recognized $2,904 in general and administrative expense for the three and six months ended December 31, 2018, compared to $1,007 and $1,047 in the prior comparative periods.</w:t>
      </w:r>
    </w:p>
    <w:p>
      <w:pPr>
        <w:spacing w:after="0" w:line="15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also have an arrangement to lend two Printi equity holders up to $24,000 that is payable on the date the put or call option is exercised, which will occur no later than July 31, 2023. As of December 31, 2018 and June 30, 2018, the long-term loan receivable, including accrued interest, is $23,167 and $22,234, respectively, and is classified within other assets in our consolidated balance sheets. The loans carry 8.5% annual interest, and are not contingent upon continued employment. We expect that the loan proceeds will be used to offset our purchase of the remaining noncontrolling interest in the future.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As of December 31, 2018, we have numerous operating segments under our management reporting structure which are reported in the following four reportable segments:</w:t>
      </w:r>
    </w:p>
    <w:p>
      <w:pPr>
        <w:spacing w:after="0" w:line="159" w:lineRule="exact"/>
        <w:rPr>
          <w:sz w:val="20"/>
          <w:szCs w:val="20"/>
          <w:color w:val="auto"/>
        </w:rPr>
      </w:pPr>
    </w:p>
    <w:p>
      <w:pPr>
        <w:jc w:val="both"/>
        <w:ind w:left="660" w:right="56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right="154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Upload and Print - </w:t>
      </w:r>
      <w:r>
        <w:rPr>
          <w:rFonts w:ascii="Arial" w:cs="Arial" w:eastAsia="Arial" w:hAnsi="Arial"/>
          <w:sz w:val="18"/>
          <w:szCs w:val="18"/>
          <w:color w:val="auto"/>
        </w:rPr>
        <w:t>Includes the results of our druck.at, Easyflyer, Exagroup, Pixartprinting, Printdeal, Tradeprint,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WIRmachenDRUCK businesses.</w:t>
      </w:r>
    </w:p>
    <w:p>
      <w:pPr>
        <w:spacing w:after="0" w:line="134"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businesses, which manufacture and market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a collection of businesses grouped together based on materiality:</w:t>
      </w:r>
    </w:p>
    <w:p>
      <w:pPr>
        <w:spacing w:after="0" w:line="129" w:lineRule="exact"/>
        <w:rPr>
          <w:rFonts w:ascii="Arial" w:cs="Arial" w:eastAsia="Arial" w:hAnsi="Arial"/>
          <w:sz w:val="18"/>
          <w:szCs w:val="18"/>
          <w:i w:val="1"/>
          <w:iCs w:val="1"/>
          <w:color w:val="auto"/>
        </w:rPr>
      </w:pPr>
    </w:p>
    <w:p>
      <w:pPr>
        <w:ind w:left="1300" w:right="380" w:hanging="320"/>
        <w:spacing w:after="0" w:line="260"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BuildASign, acquired October 1, 2018, is a fast-growing internet-based provider of canvas-print wall décor, business signage and other large-format printed products, based in Austin, Texas.</w:t>
      </w:r>
    </w:p>
    <w:p>
      <w:pPr>
        <w:spacing w:after="0" w:line="35" w:lineRule="exact"/>
        <w:rPr>
          <w:rFonts w:ascii="Arial" w:cs="Arial" w:eastAsia="Arial" w:hAnsi="Arial"/>
          <w:sz w:val="17"/>
          <w:szCs w:val="17"/>
          <w:color w:val="auto"/>
        </w:rPr>
      </w:pPr>
    </w:p>
    <w:p>
      <w:pPr>
        <w:ind w:left="1300" w:right="40" w:hanging="320"/>
        <w:spacing w:after="0" w:line="260"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35" w:lineRule="exact"/>
        <w:rPr>
          <w:rFonts w:ascii="Arial" w:cs="Arial" w:eastAsia="Arial" w:hAnsi="Arial"/>
          <w:sz w:val="17"/>
          <w:szCs w:val="17"/>
          <w:color w:val="auto"/>
        </w:rPr>
      </w:pPr>
    </w:p>
    <w:p>
      <w:pPr>
        <w:ind w:left="1300" w:right="80" w:hanging="320"/>
        <w:spacing w:after="0" w:line="254"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VIDA, acquired on July 2, 2018, is an innovative startup that brings manufacturing access and an e-commerce marketplace to artists, thereby enabling artists to convert ideas into beautiful, original products for customers, ranging from custom fashion, jewelry and accessories to home accent pieces.</w:t>
      </w:r>
    </w:p>
    <w:p>
      <w:pPr>
        <w:spacing w:after="0" w:line="41" w:lineRule="exact"/>
        <w:rPr>
          <w:rFonts w:ascii="Arial" w:cs="Arial" w:eastAsia="Arial" w:hAnsi="Arial"/>
          <w:sz w:val="17"/>
          <w:szCs w:val="17"/>
          <w:color w:val="auto"/>
        </w:rPr>
      </w:pPr>
    </w:p>
    <w:p>
      <w:pPr>
        <w:ind w:left="1300" w:hanging="320"/>
        <w:spacing w:after="0" w:line="260"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Vistaprint Corporate Solutions serves medium-sized businesses and large corporations, as well as a legacy revenue stream with retail partners and franchise businesses.</w:t>
      </w:r>
    </w:p>
    <w:p>
      <w:pPr>
        <w:spacing w:after="0" w:line="35" w:lineRule="exact"/>
        <w:rPr>
          <w:rFonts w:ascii="Arial" w:cs="Arial" w:eastAsia="Arial" w:hAnsi="Arial"/>
          <w:sz w:val="17"/>
          <w:szCs w:val="17"/>
          <w:color w:val="auto"/>
        </w:rPr>
      </w:pPr>
    </w:p>
    <w:p>
      <w:pPr>
        <w:ind w:left="1300" w:right="400" w:hanging="320"/>
        <w:spacing w:after="0" w:line="260"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Vistaprint India operates a derivative of the Vistaprint business model, albeit with higher service levels and quality, fully domestic, Indian content, pricing that is a slight premium to many traditional offline alternatives, and almost no discounting.</w:t>
      </w:r>
    </w:p>
    <w:p>
      <w:pPr>
        <w:spacing w:after="0" w:line="35" w:lineRule="exact"/>
        <w:rPr>
          <w:rFonts w:ascii="Arial" w:cs="Arial" w:eastAsia="Arial" w:hAnsi="Arial"/>
          <w:sz w:val="17"/>
          <w:szCs w:val="17"/>
          <w:color w:val="auto"/>
        </w:rPr>
      </w:pPr>
    </w:p>
    <w:p>
      <w:pPr>
        <w:ind w:left="1300" w:right="160" w:hanging="320"/>
        <w:spacing w:after="0" w:line="260"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Vistaprint Japan operates a derivative of the Vistaprint business model with a differentiated position relative to competitors who tend to focus on upload and print, not the self-service, micro-business customer which Vistaprint Japan serves.</w:t>
      </w:r>
    </w:p>
    <w:p>
      <w:pPr>
        <w:spacing w:after="0" w:line="35" w:lineRule="exact"/>
        <w:rPr>
          <w:rFonts w:ascii="Arial" w:cs="Arial" w:eastAsia="Arial" w:hAnsi="Arial"/>
          <w:sz w:val="17"/>
          <w:szCs w:val="17"/>
          <w:color w:val="auto"/>
        </w:rPr>
      </w:pPr>
    </w:p>
    <w:p>
      <w:pPr>
        <w:ind w:left="1300" w:hanging="320"/>
        <w:spacing w:after="0"/>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Albumprinter through its divestiture date of August 31, 2017.</w:t>
      </w:r>
    </w:p>
    <w:p>
      <w:pPr>
        <w:spacing w:after="0" w:line="20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Central and corporate consists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7" w:name="page28"/>
    <w:bookmarkEnd w:id="27"/>
    <w:p>
      <w:pPr>
        <w:ind w:right="640"/>
        <w:spacing w:after="0" w:line="262" w:lineRule="auto"/>
        <w:rPr>
          <w:sz w:val="20"/>
          <w:szCs w:val="20"/>
          <w:color w:val="auto"/>
        </w:rPr>
      </w:pPr>
      <w:r>
        <w:rPr>
          <w:rFonts w:ascii="Arial" w:cs="Arial" w:eastAsia="Arial" w:hAnsi="Arial"/>
          <w:sz w:val="18"/>
          <w:szCs w:val="18"/>
          <w:color w:val="auto"/>
        </w:rPr>
        <w:t>expense profile of the awards is recognized within Central and corporate costs. All expense or benefit associated with our supplemental performance share units is recognized within Central and corporate costs.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Massachusetts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Our All Other Businesses reportable segment includes businesses that have operating losses as they are in the early stage of investment relative to the scale of the underlying businesses, which may limit its comparability to other segments regarding profit (loss).</w:t>
      </w:r>
    </w:p>
    <w:p>
      <w:pPr>
        <w:spacing w:after="0" w:line="169" w:lineRule="exact"/>
        <w:rPr>
          <w:sz w:val="20"/>
          <w:szCs w:val="20"/>
          <w:color w:val="auto"/>
        </w:rPr>
      </w:pPr>
    </w:p>
    <w:p>
      <w:pPr>
        <w:ind w:right="10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segments, as well as disaggregation of revenue by major geographic regions and reportable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40" w:type="dxa"/>
            <w:vAlign w:val="bottom"/>
          </w:tcPr>
          <w:p>
            <w:pPr>
              <w:spacing w:after="0"/>
              <w:rPr>
                <w:sz w:val="15"/>
                <w:szCs w:val="15"/>
                <w:color w:val="auto"/>
              </w:rPr>
            </w:pPr>
          </w:p>
        </w:tc>
        <w:tc>
          <w:tcPr>
            <w:tcW w:w="2720" w:type="dxa"/>
            <w:vAlign w:val="bottom"/>
            <w:gridSpan w:val="4"/>
          </w:tcPr>
          <w:p>
            <w:pPr>
              <w:jc w:val="right"/>
              <w:ind w:right="461"/>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Vistaprint (1)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434,326</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428,908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771,255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747,951</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 (2)</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203,799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192,527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375,964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352,917</w:t>
            </w:r>
          </w:p>
        </w:tc>
        <w:tc>
          <w:tcPr>
            <w:tcW w:w="0" w:type="dxa"/>
            <w:vAlign w:val="bottom"/>
          </w:tcPr>
          <w:p>
            <w:pPr>
              <w:spacing w:after="0"/>
              <w:rPr>
                <w:sz w:val="1"/>
                <w:szCs w:val="1"/>
                <w:color w:val="auto"/>
              </w:rPr>
            </w:pP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National Pen (3)</w:t>
            </w:r>
          </w:p>
        </w:tc>
        <w:tc>
          <w:tcPr>
            <w:tcW w:w="320" w:type="dxa"/>
            <w:vAlign w:val="bottom"/>
          </w:tcPr>
          <w:p>
            <w:pPr>
              <w:spacing w:after="0"/>
              <w:rPr>
                <w:sz w:val="22"/>
                <w:szCs w:val="22"/>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132,951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126,098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198,922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185,815</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 (4)</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61,827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20,994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80,715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49,048</w:t>
            </w:r>
          </w:p>
        </w:tc>
        <w:tc>
          <w:tcPr>
            <w:tcW w:w="0" w:type="dxa"/>
            <w:vAlign w:val="bottom"/>
          </w:tcPr>
          <w:p>
            <w:pPr>
              <w:spacing w:after="0"/>
              <w:rPr>
                <w:sz w:val="1"/>
                <w:szCs w:val="1"/>
                <w:color w:val="auto"/>
              </w:rPr>
            </w:pPr>
          </w:p>
        </w:tc>
      </w:tr>
      <w:tr>
        <w:trPr>
          <w:trHeight w:val="247"/>
        </w:trPr>
        <w:tc>
          <w:tcPr>
            <w:tcW w:w="5160" w:type="dxa"/>
            <w:vAlign w:val="bottom"/>
          </w:tcPr>
          <w:p>
            <w:pPr>
              <w:ind w:left="720"/>
              <w:spacing w:after="0"/>
              <w:rPr>
                <w:sz w:val="20"/>
                <w:szCs w:val="20"/>
                <w:color w:val="auto"/>
              </w:rPr>
            </w:pPr>
            <w:r>
              <w:rPr>
                <w:rFonts w:ascii="Arial" w:cs="Arial" w:eastAsia="Arial" w:hAnsi="Arial"/>
                <w:sz w:val="16"/>
                <w:szCs w:val="16"/>
                <w:color w:val="auto"/>
              </w:rPr>
              <w:t>Total segment revenue</w:t>
            </w:r>
          </w:p>
        </w:tc>
        <w:tc>
          <w:tcPr>
            <w:tcW w:w="320" w:type="dxa"/>
            <w:vAlign w:val="bottom"/>
          </w:tcPr>
          <w:p>
            <w:pPr>
              <w:spacing w:after="0"/>
              <w:rPr>
                <w:sz w:val="21"/>
                <w:szCs w:val="21"/>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832,903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768,527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1,426,856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1,335,731</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Inter-segment eliminations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Total consolidated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825,567</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762,054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1,414,548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1,325,338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right="40" w:hanging="252"/>
        <w:spacing w:after="0" w:line="241"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$3,549 and $6,265 for the three and six months ended December 31, 2018, respectively, and $2,803 and $5,006 for the prior comparative periods, respectively.</w:t>
      </w:r>
    </w:p>
    <w:p>
      <w:pPr>
        <w:ind w:left="260" w:right="80" w:hanging="252"/>
        <w:spacing w:after="0" w:line="241"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Upload and Print segment revenues include inter-segment revenue of $537 and $728 for the three and six months ended December 31, 2018, respectively and $480 and $808 for the prior comparative periods, respectively.</w:t>
      </w: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$754 and $1,504 for the three and six months ended December 31, 2018, respectively, and $1,024 and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$1,470 for the prior comparative periods, respectively.</w:t>
      </w:r>
    </w:p>
    <w:p>
      <w:pPr>
        <w:spacing w:after="0" w:line="1" w:lineRule="exact"/>
        <w:rPr>
          <w:sz w:val="20"/>
          <w:szCs w:val="20"/>
          <w:color w:val="auto"/>
        </w:rPr>
      </w:pPr>
    </w:p>
    <w:p>
      <w:pPr>
        <w:ind w:left="260" w:right="60" w:hanging="252"/>
        <w:spacing w:after="0" w:line="247" w:lineRule="auto"/>
        <w:tabs>
          <w:tab w:leader="none" w:pos="233"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$2,496 and $3,811 for the three and six months ended December 31, 2018, respectively, and $2,166 and $3,109 for the prior comparative periods, respectively. The All Other Businesses segment includes the revenue of the VIDA and BuildASign's businesses since its acquisition of July 2, 2018 and October 1, 2018, respectively, as well as the Albumprinter business during the six months ended September 30, 2017 until the sale completion date of August 31, 2017.</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6"/>
          </w:tcPr>
          <w:p>
            <w:pPr>
              <w:jc w:val="center"/>
              <w:ind w:left="903"/>
              <w:spacing w:after="0"/>
              <w:rPr>
                <w:sz w:val="20"/>
                <w:szCs w:val="20"/>
                <w:color w:val="auto"/>
              </w:rPr>
            </w:pPr>
            <w:r>
              <w:rPr>
                <w:rFonts w:ascii="Arial" w:cs="Arial" w:eastAsia="Arial" w:hAnsi="Arial"/>
                <w:sz w:val="13"/>
                <w:szCs w:val="13"/>
                <w:b w:val="1"/>
                <w:bCs w:val="1"/>
                <w:color w:val="auto"/>
                <w:w w:val="96"/>
              </w:rPr>
              <w:t>Three Months Ended December 31, 2018</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14"/>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3"/>
                <w:szCs w:val="13"/>
                <w:b w:val="1"/>
                <w:bCs w:val="1"/>
                <w:color w:val="auto"/>
              </w:rPr>
              <w:t>Vistaprint</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Upload and Print</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National Pen</w:t>
            </w:r>
          </w:p>
        </w:tc>
        <w:tc>
          <w:tcPr>
            <w:tcW w:w="4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380" w:type="dxa"/>
            <w:vAlign w:val="bottom"/>
          </w:tcPr>
          <w:p>
            <w:pPr>
              <w:spacing w:after="0"/>
              <w:rPr>
                <w:sz w:val="18"/>
                <w:szCs w:val="18"/>
                <w:color w:val="auto"/>
              </w:rPr>
            </w:pPr>
          </w:p>
        </w:tc>
        <w:tc>
          <w:tcPr>
            <w:tcW w:w="1180" w:type="dxa"/>
            <w:vAlign w:val="bottom"/>
          </w:tcPr>
          <w:p>
            <w:pPr>
              <w:jc w:val="right"/>
              <w:ind w:right="561"/>
              <w:spacing w:after="0"/>
              <w:rPr>
                <w:sz w:val="20"/>
                <w:szCs w:val="20"/>
                <w:color w:val="auto"/>
              </w:rPr>
            </w:pPr>
            <w:r>
              <w:rPr>
                <w:rFonts w:ascii="Arial" w:cs="Arial" w:eastAsia="Arial" w:hAnsi="Arial"/>
                <w:sz w:val="13"/>
                <w:szCs w:val="13"/>
                <w:b w:val="1"/>
                <w:bCs w:val="1"/>
                <w:color w:val="auto"/>
              </w:rPr>
              <w:t>Total</w:t>
            </w:r>
          </w:p>
        </w:tc>
      </w:tr>
      <w:tr>
        <w:trPr>
          <w:trHeight w:val="57"/>
        </w:trPr>
        <w:tc>
          <w:tcPr>
            <w:tcW w:w="29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279,769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57,348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47,447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384,564</w:t>
            </w:r>
          </w:p>
        </w:tc>
      </w:tr>
      <w:tr>
        <w:trPr>
          <w:trHeight w:val="260"/>
        </w:trPr>
        <w:tc>
          <w:tcPr>
            <w:tcW w:w="2900" w:type="dxa"/>
            <w:vAlign w:val="bottom"/>
          </w:tcPr>
          <w:p>
            <w:pPr>
              <w:ind w:left="20"/>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129,932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203,262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62,473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396,466</w:t>
            </w:r>
          </w:p>
        </w:tc>
      </w:tr>
      <w:tr>
        <w:trPr>
          <w:trHeight w:val="28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21,076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12,376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11,085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44,537</w:t>
            </w:r>
          </w:p>
        </w:tc>
      </w:tr>
      <w:tr>
        <w:trPr>
          <w:trHeight w:val="264"/>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2,496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7,336</w:t>
            </w:r>
          </w:p>
        </w:tc>
      </w:tr>
      <w:tr>
        <w:trPr>
          <w:trHeight w:val="250"/>
        </w:trPr>
        <w:tc>
          <w:tcPr>
            <w:tcW w:w="2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434,326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203,799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132,951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61,827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832,903</w:t>
            </w:r>
          </w:p>
        </w:tc>
      </w:tr>
      <w:tr>
        <w:trPr>
          <w:trHeight w:val="25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(7,336)</w:t>
            </w:r>
          </w:p>
        </w:tc>
      </w:tr>
      <w:tr>
        <w:trPr>
          <w:trHeight w:val="24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430,777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203,262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132,197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59,331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825,567</w:t>
            </w:r>
          </w:p>
        </w:tc>
      </w:tr>
      <w:tr>
        <w:trPr>
          <w:trHeight w:val="20"/>
        </w:trPr>
        <w:tc>
          <w:tcPr>
            <w:tcW w:w="2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8"/>
        </w:trPr>
        <w:tc>
          <w:tcPr>
            <w:tcW w:w="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10"/>
          </w:tcPr>
          <w:p>
            <w:pPr>
              <w:jc w:val="center"/>
              <w:ind w:left="803"/>
              <w:spacing w:after="0"/>
              <w:rPr>
                <w:sz w:val="20"/>
                <w:szCs w:val="20"/>
                <w:color w:val="auto"/>
              </w:rPr>
            </w:pPr>
            <w:r>
              <w:rPr>
                <w:rFonts w:ascii="Arial" w:cs="Arial" w:eastAsia="Arial" w:hAnsi="Arial"/>
                <w:sz w:val="13"/>
                <w:szCs w:val="13"/>
                <w:b w:val="1"/>
                <w:bCs w:val="1"/>
                <w:color w:val="auto"/>
                <w:w w:val="97"/>
              </w:rPr>
              <w:t>Three Months Ended December 31, 2017</w:t>
            </w: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14"/>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Vistaprint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b w:val="1"/>
                <w:bCs w:val="1"/>
                <w:color w:val="auto"/>
              </w:rPr>
              <w:t>Upload and Print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81"/>
              <w:spacing w:after="0"/>
              <w:rPr>
                <w:sz w:val="20"/>
                <w:szCs w:val="20"/>
                <w:color w:val="auto"/>
              </w:rPr>
            </w:pPr>
            <w:r>
              <w:rPr>
                <w:rFonts w:ascii="Arial" w:cs="Arial" w:eastAsia="Arial" w:hAnsi="Arial"/>
                <w:sz w:val="13"/>
                <w:szCs w:val="13"/>
                <w:b w:val="1"/>
                <w:bCs w:val="1"/>
                <w:color w:val="auto"/>
              </w:rPr>
              <w:t>Total</w:t>
            </w:r>
          </w:p>
        </w:tc>
      </w:tr>
      <w:tr>
        <w:trPr>
          <w:trHeight w:val="57"/>
        </w:trPr>
        <w:tc>
          <w:tcPr>
            <w:tcW w:w="240" w:type="dxa"/>
            <w:vAlign w:val="bottom"/>
            <w:tcBorders>
              <w:bottom w:val="single" w:sz="8" w:color="CCEEFF"/>
            </w:tcBorders>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271,547</w:t>
            </w:r>
          </w:p>
        </w:tc>
        <w:tc>
          <w:tcPr>
            <w:tcW w:w="1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1,079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55,286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4,722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332,634</w:t>
            </w:r>
          </w:p>
        </w:tc>
      </w:tr>
      <w:tr>
        <w:trPr>
          <w:trHeight w:val="260"/>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131,977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190,968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60,820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384,283</w:t>
            </w:r>
          </w:p>
        </w:tc>
      </w:tr>
      <w:tr>
        <w:trPr>
          <w:trHeight w:val="28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22,581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8,968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13,588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45,137</w:t>
            </w:r>
          </w:p>
        </w:tc>
      </w:tr>
      <w:tr>
        <w:trPr>
          <w:trHeight w:val="264"/>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Inter-segment</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2,803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480</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1,024</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2,166</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6,473</w:t>
            </w:r>
          </w:p>
        </w:tc>
      </w:tr>
      <w:tr>
        <w:trPr>
          <w:trHeight w:val="250"/>
        </w:trPr>
        <w:tc>
          <w:tcPr>
            <w:tcW w:w="2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428,908</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192,527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126,098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20,994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768,527</w:t>
            </w:r>
          </w:p>
        </w:tc>
      </w:tr>
      <w:tr>
        <w:trPr>
          <w:trHeight w:val="250"/>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inter-segment elimination</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(2,803)</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(6,473)</w:t>
            </w:r>
          </w:p>
        </w:tc>
      </w:tr>
      <w:tr>
        <w:trPr>
          <w:trHeight w:val="24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426,105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192,047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125,074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18,828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762,054</w:t>
            </w:r>
          </w:p>
        </w:tc>
      </w:tr>
      <w:tr>
        <w:trPr>
          <w:trHeight w:val="20"/>
        </w:trPr>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06"/>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center"/>
              <w:ind w:left="963"/>
              <w:spacing w:after="0"/>
              <w:rPr>
                <w:sz w:val="20"/>
                <w:szCs w:val="20"/>
                <w:color w:val="auto"/>
              </w:rPr>
            </w:pPr>
            <w:r>
              <w:rPr>
                <w:rFonts w:ascii="Arial" w:cs="Arial" w:eastAsia="Arial" w:hAnsi="Arial"/>
                <w:sz w:val="13"/>
                <w:szCs w:val="13"/>
                <w:b w:val="1"/>
                <w:bCs w:val="1"/>
                <w:color w:val="auto"/>
                <w:w w:val="96"/>
              </w:rPr>
              <w:t>Six Months Ended December 31, 2018</w:t>
            </w: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Vistaprint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3"/>
                <w:szCs w:val="13"/>
                <w:b w:val="1"/>
                <w:bCs w:val="1"/>
                <w:color w:val="auto"/>
              </w:rPr>
              <w:t>Upload and Print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61"/>
              <w:spacing w:after="0"/>
              <w:rPr>
                <w:sz w:val="20"/>
                <w:szCs w:val="20"/>
                <w:color w:val="auto"/>
              </w:rPr>
            </w:pPr>
            <w:r>
              <w:rPr>
                <w:rFonts w:ascii="Arial" w:cs="Arial" w:eastAsia="Arial" w:hAnsi="Arial"/>
                <w:sz w:val="13"/>
                <w:szCs w:val="13"/>
                <w:b w:val="1"/>
                <w:bCs w:val="1"/>
                <w:color w:val="auto"/>
              </w:rPr>
              <w:t>Total</w:t>
            </w:r>
          </w:p>
        </w:tc>
      </w:tr>
      <w:tr>
        <w:trPr>
          <w:trHeight w:val="57"/>
        </w:trPr>
        <w:tc>
          <w:tcPr>
            <w:tcW w:w="240" w:type="dxa"/>
            <w:vAlign w:val="bottom"/>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0"/>
        </w:trPr>
        <w:tc>
          <w:tcPr>
            <w:tcW w:w="240" w:type="dxa"/>
            <w:vAlign w:val="bottom"/>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520,854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54,211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670,971</w:t>
            </w:r>
          </w:p>
        </w:tc>
      </w:tr>
      <w:tr>
        <w:trPr>
          <w:trHeight w:val="260"/>
        </w:trPr>
        <w:tc>
          <w:tcPr>
            <w:tcW w:w="24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205,931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375,236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83,509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1,470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666,146</w:t>
            </w:r>
          </w:p>
        </w:tc>
      </w:tr>
      <w:tr>
        <w:trPr>
          <w:trHeight w:val="280"/>
        </w:trPr>
        <w:tc>
          <w:tcPr>
            <w:tcW w:w="240" w:type="dxa"/>
            <w:vAlign w:val="bottom"/>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21,223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77,431</w:t>
            </w:r>
          </w:p>
        </w:tc>
      </w:tr>
      <w:tr>
        <w:trPr>
          <w:trHeight w:val="264"/>
        </w:trPr>
        <w:tc>
          <w:tcPr>
            <w:tcW w:w="240" w:type="dxa"/>
            <w:vAlign w:val="bottom"/>
          </w:tcPr>
          <w:p>
            <w:pPr>
              <w:spacing w:after="0"/>
              <w:rPr>
                <w:sz w:val="22"/>
                <w:szCs w:val="22"/>
                <w:color w:val="auto"/>
              </w:rPr>
            </w:pPr>
          </w:p>
        </w:tc>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6,265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3,811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12,308</w:t>
            </w:r>
          </w:p>
        </w:tc>
      </w:tr>
      <w:tr>
        <w:trPr>
          <w:trHeight w:val="250"/>
        </w:trPr>
        <w:tc>
          <w:tcPr>
            <w:tcW w:w="240" w:type="dxa"/>
            <w:vAlign w:val="bottom"/>
          </w:tcPr>
          <w:p>
            <w:pPr>
              <w:spacing w:after="0"/>
              <w:rPr>
                <w:sz w:val="21"/>
                <w:szCs w:val="21"/>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771,255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375,964</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198,922</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80,715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1,426,856</w:t>
            </w: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(6,265)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(728)</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(12,308)</w:t>
            </w:r>
          </w:p>
        </w:tc>
      </w:tr>
      <w:tr>
        <w:trPr>
          <w:trHeight w:val="240"/>
        </w:trPr>
        <w:tc>
          <w:tcPr>
            <w:tcW w:w="240" w:type="dxa"/>
            <w:vAlign w:val="bottom"/>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764,990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375,236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197,418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76,904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1,414,548</w:t>
            </w:r>
          </w:p>
        </w:tc>
      </w:tr>
      <w:tr>
        <w:trPr>
          <w:trHeight w:val="20"/>
        </w:trPr>
        <w:tc>
          <w:tcPr>
            <w:tcW w:w="24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706"/>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center"/>
              <w:ind w:left="963"/>
              <w:spacing w:after="0"/>
              <w:rPr>
                <w:sz w:val="20"/>
                <w:szCs w:val="20"/>
                <w:color w:val="auto"/>
              </w:rPr>
            </w:pPr>
            <w:r>
              <w:rPr>
                <w:rFonts w:ascii="Arial" w:cs="Arial" w:eastAsia="Arial" w:hAnsi="Arial"/>
                <w:sz w:val="13"/>
                <w:szCs w:val="13"/>
                <w:b w:val="1"/>
                <w:bCs w:val="1"/>
                <w:color w:val="auto"/>
                <w:w w:val="96"/>
              </w:rPr>
              <w:t>Six Months Ended December 31, 2017</w:t>
            </w: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Vistaprint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3"/>
                <w:szCs w:val="13"/>
                <w:b w:val="1"/>
                <w:bCs w:val="1"/>
                <w:color w:val="auto"/>
              </w:rPr>
              <w:t>Upload and Print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National Pen</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61"/>
              <w:spacing w:after="0"/>
              <w:rPr>
                <w:sz w:val="20"/>
                <w:szCs w:val="20"/>
                <w:color w:val="auto"/>
              </w:rPr>
            </w:pPr>
            <w:r>
              <w:rPr>
                <w:rFonts w:ascii="Arial" w:cs="Arial" w:eastAsia="Arial" w:hAnsi="Arial"/>
                <w:sz w:val="13"/>
                <w:szCs w:val="13"/>
                <w:b w:val="1"/>
                <w:bCs w:val="1"/>
                <w:color w:val="auto"/>
              </w:rPr>
              <w:t>Total</w:t>
            </w:r>
          </w:p>
        </w:tc>
      </w:tr>
      <w:tr>
        <w:trPr>
          <w:trHeight w:val="57"/>
        </w:trPr>
        <w:tc>
          <w:tcPr>
            <w:tcW w:w="240" w:type="dxa"/>
            <w:vAlign w:val="bottom"/>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0"/>
        </w:trPr>
        <w:tc>
          <w:tcPr>
            <w:tcW w:w="240" w:type="dxa"/>
            <w:vAlign w:val="bottom"/>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494,359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90,287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8,920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595,661</w:t>
            </w:r>
          </w:p>
        </w:tc>
      </w:tr>
      <w:tr>
        <w:trPr>
          <w:trHeight w:val="260"/>
        </w:trPr>
        <w:tc>
          <w:tcPr>
            <w:tcW w:w="24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Europe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208,173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350,014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80,278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13,675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652,140</w:t>
            </w:r>
          </w:p>
        </w:tc>
      </w:tr>
      <w:tr>
        <w:trPr>
          <w:trHeight w:val="280"/>
        </w:trPr>
        <w:tc>
          <w:tcPr>
            <w:tcW w:w="240" w:type="dxa"/>
            <w:vAlign w:val="bottom"/>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40,413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23,344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77,537</w:t>
            </w:r>
          </w:p>
        </w:tc>
      </w:tr>
      <w:tr>
        <w:trPr>
          <w:trHeight w:val="264"/>
        </w:trPr>
        <w:tc>
          <w:tcPr>
            <w:tcW w:w="240" w:type="dxa"/>
            <w:vAlign w:val="bottom"/>
          </w:tcPr>
          <w:p>
            <w:pPr>
              <w:spacing w:after="0"/>
              <w:rPr>
                <w:sz w:val="22"/>
                <w:szCs w:val="22"/>
                <w:color w:val="auto"/>
              </w:rPr>
            </w:pPr>
          </w:p>
        </w:tc>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5,006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3,109</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10,393</w:t>
            </w:r>
          </w:p>
        </w:tc>
      </w:tr>
      <w:tr>
        <w:trPr>
          <w:trHeight w:val="250"/>
        </w:trPr>
        <w:tc>
          <w:tcPr>
            <w:tcW w:w="240" w:type="dxa"/>
            <w:vAlign w:val="bottom"/>
          </w:tcPr>
          <w:p>
            <w:pPr>
              <w:spacing w:after="0"/>
              <w:rPr>
                <w:sz w:val="21"/>
                <w:szCs w:val="21"/>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747,951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352,917</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185,815</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49,048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1,335,731</w:t>
            </w: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(5,006)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(808)</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(10,393)</w:t>
            </w:r>
          </w:p>
        </w:tc>
      </w:tr>
      <w:tr>
        <w:trPr>
          <w:trHeight w:val="240"/>
        </w:trPr>
        <w:tc>
          <w:tcPr>
            <w:tcW w:w="240" w:type="dxa"/>
            <w:vAlign w:val="bottom"/>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742,945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352,109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45,939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1,325,338</w:t>
            </w:r>
          </w:p>
        </w:tc>
      </w:tr>
      <w:tr>
        <w:trPr>
          <w:trHeight w:val="20"/>
        </w:trPr>
        <w:tc>
          <w:tcPr>
            <w:tcW w:w="24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658" w:right="25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following table includes segment profit (loss) by reportable segment, total income from operations and total income before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December 31,</w:t>
            </w:r>
          </w:p>
        </w:tc>
        <w:tc>
          <w:tcPr>
            <w:tcW w:w="400" w:type="dxa"/>
            <w:vAlign w:val="bottom"/>
          </w:tcPr>
          <w:p>
            <w:pPr>
              <w:spacing w:after="0"/>
              <w:rPr>
                <w:sz w:val="15"/>
                <w:szCs w:val="15"/>
                <w:color w:val="auto"/>
              </w:rPr>
            </w:pPr>
          </w:p>
        </w:tc>
        <w:tc>
          <w:tcPr>
            <w:tcW w:w="29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 (loss):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83,788</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99,049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131,052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129,944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22,454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22,470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38,633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37,238</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 (1)</w:t>
            </w:r>
          </w:p>
        </w:tc>
        <w:tc>
          <w:tcPr>
            <w:tcW w:w="36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24,862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17,645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6,826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18,830</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segment profit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123,522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130,598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159,358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169,895</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(61,667)</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Acquisition-related amortization and depreciation</w:t>
            </w: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(26,283)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(25,300)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Earn-out related charges (2)</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18"/>
        </w:trPr>
        <w:tc>
          <w:tcPr>
            <w:tcW w:w="4700" w:type="dxa"/>
            <w:vAlign w:val="bottom"/>
          </w:tcPr>
          <w:p>
            <w:pPr>
              <w:ind w:left="380"/>
              <w:spacing w:after="0"/>
              <w:rPr>
                <w:sz w:val="20"/>
                <w:szCs w:val="20"/>
                <w:color w:val="auto"/>
              </w:rPr>
            </w:pPr>
            <w:r>
              <w:rPr>
                <w:rFonts w:ascii="Arial" w:cs="Arial" w:eastAsia="Arial" w:hAnsi="Arial"/>
                <w:sz w:val="16"/>
                <w:szCs w:val="16"/>
                <w:color w:val="auto"/>
              </w:rPr>
              <w:t>Share-based compensation related to investment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380"/>
              <w:spacing w:after="0"/>
              <w:rPr>
                <w:sz w:val="20"/>
                <w:szCs w:val="20"/>
                <w:color w:val="auto"/>
              </w:rPr>
            </w:pPr>
            <w:r>
              <w:rPr>
                <w:rFonts w:ascii="Arial" w:cs="Arial" w:eastAsia="Arial" w:hAnsi="Arial"/>
                <w:sz w:val="16"/>
                <w:szCs w:val="16"/>
                <w:color w:val="auto"/>
              </w:rPr>
              <w:t>consideration</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Restructuring-related charges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(12,355)</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Interest expense for Waltham, MA lease</w:t>
            </w:r>
          </w:p>
        </w:tc>
        <w:tc>
          <w:tcPr>
            <w:tcW w:w="36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the purchase or sale of subsidiaries (3)</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48,380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income from operations</w:t>
            </w: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90,615</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72,709</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84,627</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119,322</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(25,611)</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83,436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52,448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73,923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69,667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40" w:hanging="252"/>
        <w:spacing w:after="0" w:line="241"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first quarter of fiscal 2019, we adopted ASC 606, Revenue from Contracts with Customers, which is the new revenue standard described in Note 2 of the accompanying consolidated financial statements. We applied the new standard under the modified retrospective method, in which we did not apply the new standard to the prior comparable period. The adoption of the new standard resulted in lower direct mail advertising costs within our National Pen business during the three months ended December 31, 2018 of $12,002, as compared to the prior comparative period, due to the earlier recognition of costs during the first quarter of fiscal 2019. During the six months ended December 31, 2018, the new standard had a negative impact on operating income and adjusted NOP of $1,973,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164" w:lineRule="exact"/>
        <w:rPr>
          <w:rFonts w:ascii="Arial" w:cs="Arial" w:eastAsia="Arial" w:hAnsi="Arial"/>
          <w:sz w:val="14"/>
          <w:szCs w:val="14"/>
          <w:color w:val="auto"/>
        </w:rPr>
      </w:pPr>
    </w:p>
    <w:p>
      <w:pPr>
        <w:ind w:left="260" w:right="100" w:hanging="252"/>
        <w:spacing w:after="0" w:line="241"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ind w:left="260" w:right="20" w:hanging="252"/>
        <w:spacing w:after="0" w:line="258" w:lineRule="auto"/>
        <w:tabs>
          <w:tab w:leader="none" w:pos="2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that was recognized in general and administrative expense in our consolidated statement of operations during the six months ended December 31,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420" w:type="dxa"/>
            <w:vAlign w:val="bottom"/>
            <w:gridSpan w:val="6"/>
          </w:tcPr>
          <w:p>
            <w:pPr>
              <w:ind w:left="620"/>
              <w:spacing w:after="0"/>
              <w:rPr>
                <w:sz w:val="20"/>
                <w:szCs w:val="20"/>
                <w:color w:val="auto"/>
              </w:rPr>
            </w:pPr>
            <w:r>
              <w:rPr>
                <w:rFonts w:ascii="Arial" w:cs="Arial" w:eastAsia="Arial" w:hAnsi="Arial"/>
                <w:sz w:val="13"/>
                <w:szCs w:val="13"/>
                <w:b w:val="1"/>
                <w:bCs w:val="1"/>
                <w:color w:val="auto"/>
              </w:rPr>
              <w:t>Three Months Ended December 31,</w:t>
            </w:r>
          </w:p>
        </w:tc>
        <w:tc>
          <w:tcPr>
            <w:tcW w:w="400" w:type="dxa"/>
            <w:vAlign w:val="bottom"/>
          </w:tcPr>
          <w:p>
            <w:pPr>
              <w:spacing w:after="0"/>
              <w:rPr>
                <w:sz w:val="15"/>
                <w:szCs w:val="15"/>
                <w:color w:val="auto"/>
              </w:rPr>
            </w:pPr>
          </w:p>
        </w:tc>
        <w:tc>
          <w:tcPr>
            <w:tcW w:w="2900" w:type="dxa"/>
            <w:vAlign w:val="bottom"/>
            <w:gridSpan w:val="4"/>
          </w:tcPr>
          <w:p>
            <w:pPr>
              <w:jc w:val="right"/>
              <w:ind w:right="582"/>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47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80" w:type="dxa"/>
            <w:vAlign w:val="bottom"/>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16,134</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15,709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31,868</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32,483</w:t>
            </w: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15,005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27,494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29,725</w:t>
            </w: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9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5,275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10,443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10,370</w:t>
            </w: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8,652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4,443</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3,154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6,763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6,662</w:t>
            </w: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depreciation and amortization</w:t>
            </w: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44,502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41,299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85,220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83,683</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December 31,</w:t>
            </w:r>
          </w:p>
        </w:tc>
        <w:tc>
          <w:tcPr>
            <w:tcW w:w="180" w:type="dxa"/>
            <w:vAlign w:val="bottom"/>
          </w:tcPr>
          <w:p>
            <w:pPr>
              <w:spacing w:after="0"/>
              <w:rPr>
                <w:sz w:val="15"/>
                <w:szCs w:val="15"/>
                <w:color w:val="auto"/>
              </w:rPr>
            </w:pPr>
          </w:p>
        </w:tc>
        <w:tc>
          <w:tcPr>
            <w:tcW w:w="3120" w:type="dxa"/>
            <w:vAlign w:val="bottom"/>
            <w:gridSpan w:val="4"/>
          </w:tcPr>
          <w:p>
            <w:pPr>
              <w:jc w:val="right"/>
              <w:ind w:right="581"/>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9,322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10,835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21,232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24,499</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8,991</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360" w:type="dxa"/>
            <w:vAlign w:val="bottom"/>
          </w:tcPr>
          <w:p>
            <w:pPr>
              <w:spacing w:after="0"/>
              <w:rPr>
                <w:sz w:val="22"/>
                <w:szCs w:val="22"/>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7,035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purchases of property, plant and equipment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17,741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18,217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38,767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38,674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December 31,</w:t>
            </w:r>
          </w:p>
        </w:tc>
        <w:tc>
          <w:tcPr>
            <w:tcW w:w="180" w:type="dxa"/>
            <w:vAlign w:val="bottom"/>
          </w:tcPr>
          <w:p>
            <w:pPr>
              <w:spacing w:after="0"/>
              <w:rPr>
                <w:sz w:val="24"/>
                <w:szCs w:val="24"/>
                <w:color w:val="auto"/>
              </w:rPr>
            </w:pPr>
          </w:p>
        </w:tc>
        <w:tc>
          <w:tcPr>
            <w:tcW w:w="3120" w:type="dxa"/>
            <w:vAlign w:val="bottom"/>
            <w:gridSpan w:val="4"/>
          </w:tcPr>
          <w:p>
            <w:pPr>
              <w:jc w:val="right"/>
              <w:ind w:right="581"/>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5,833</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12,615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11,080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360" w:type="dxa"/>
            <w:vAlign w:val="bottom"/>
          </w:tcPr>
          <w:p>
            <w:pPr>
              <w:spacing w:after="0"/>
              <w:rPr>
                <w:sz w:val="22"/>
                <w:szCs w:val="22"/>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capitalization of software and website</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10,688</w:t>
            </w: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9,180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21,921</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18,114</w:t>
            </w:r>
          </w:p>
        </w:tc>
        <w:tc>
          <w:tcPr>
            <w:tcW w:w="0" w:type="dxa"/>
            <w:vAlign w:val="bottom"/>
          </w:tcPr>
          <w:p>
            <w:pPr>
              <w:spacing w:after="0"/>
              <w:rPr>
                <w:sz w:val="1"/>
                <w:szCs w:val="1"/>
                <w:color w:val="auto"/>
              </w:rPr>
            </w:pPr>
          </w:p>
        </w:tc>
      </w:tr>
      <w:tr>
        <w:trPr>
          <w:trHeight w:val="198"/>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development costs</w:t>
            </w: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420" w:type="dxa"/>
            <w:vAlign w:val="bottom"/>
            <w:gridSpan w:val="4"/>
          </w:tcPr>
          <w:p>
            <w:pPr>
              <w:ind w:left="660"/>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2018</w:t>
            </w:r>
          </w:p>
        </w:tc>
        <w:tc>
          <w:tcPr>
            <w:tcW w:w="26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Netherlands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101,428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109,556</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78,171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81,334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58,234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45,709</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55,468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52,523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44,097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Jamaica</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22,132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21,720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Australia</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21,697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22,418</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France</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21,194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20,131</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Japan</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18,209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19,117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70,859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67,842</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491,489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482,864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goodwill of $727,577 and $520,843, intangible assets, net of $290,242 and $230,201, build-to-suit lease assets of $116,089 and $111,926, and deferred tax assets of $59,336 and $67,087 as of December 31, 2018 and June 30,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jc w:val="both"/>
        <w:ind w:right="80" w:firstLine="662"/>
        <w:spacing w:after="0" w:line="256"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2026. Total lease expense, net of sublease income, for the three and six months ended December 31, 2018 was $4,296 and $8,764, respectively, and $1,943 and $6,187 for the three and six months ended December 31, 2017, respectively.</w:t>
      </w:r>
    </w:p>
    <w:p>
      <w:pPr>
        <w:spacing w:after="0" w:line="175"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We lease certain machinery and plant equipment, as well as buildings, under both capital and operating lease agreements that expire at various dates through 2027. The aggregate carrying value of the leased buildings and equipment under capital leases included in property, plant and equipment, net in our consolidated balance sheet at December 31, 2018, is $33,069, net of accumulated depreciation of $37,997; the present value of 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04" w:right="239" w:bottom="1440" w:gutter="0" w:footer="0" w:header="0"/>
        </w:sectPr>
      </w:pPr>
    </w:p>
    <w:bookmarkStart w:id="31" w:name="page32"/>
    <w:bookmarkEnd w:id="31"/>
    <w:p>
      <w:pPr>
        <w:ind w:right="700"/>
        <w:spacing w:after="0" w:line="262" w:lineRule="auto"/>
        <w:rPr>
          <w:sz w:val="20"/>
          <w:szCs w:val="20"/>
          <w:color w:val="auto"/>
        </w:rPr>
      </w:pPr>
      <w:r>
        <w:rPr>
          <w:rFonts w:ascii="Arial" w:cs="Arial" w:eastAsia="Arial" w:hAnsi="Arial"/>
          <w:sz w:val="18"/>
          <w:szCs w:val="18"/>
          <w:color w:val="auto"/>
        </w:rPr>
        <w:t>installments not yet due included in other current liabilities and other liabilities in our consolidated balance sheet at December 31, 2018 amounts to $28,327.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180" w:firstLine="662"/>
        <w:spacing w:after="0" w:line="254" w:lineRule="auto"/>
        <w:rPr>
          <w:sz w:val="20"/>
          <w:szCs w:val="20"/>
          <w:color w:val="auto"/>
        </w:rPr>
      </w:pPr>
      <w:r>
        <w:rPr>
          <w:rFonts w:ascii="Arial" w:cs="Arial" w:eastAsia="Arial" w:hAnsi="Arial"/>
          <w:sz w:val="18"/>
          <w:szCs w:val="18"/>
          <w:color w:val="auto"/>
        </w:rPr>
        <w:t>At December 31, 2018, we had unrecorded commitments under contract of $65,505, including inventory and third-party fulfillment purchase commitments of $22,848 and third-party web services of $13,184. In addition, we had purchase commitments for production and computer equipment purchases of approximately $7,100, commitments for advertising campaigns of $3,068, professional and consulting fees of $2,406, and other unrecorded purchase commitments of $16,899.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deferred payments for several of our acquisitions resulting in the recognition of a liability of $5,729 in aggregate. In addition, we have an outstanding installment obligation of $1,051 related to the fiscal 2012 intra-entity transfer of the intellectual property of our subsidiary Webs, Inc., which results in tax being paid over a 7.5 year term and has been classified as a deferred tax liability in our consolidated balance sheet as of December 31,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Charges</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and other related costs including third-party professional and outplacement services. During the three and six months ended December 31, 2018, we recognized restructuring charges of $1,026 and $1,196, respectively, related primarily to two actions that are substantially complete as of December 31, 2018 and we do not expect any material charges in future periods related to these actions.</w:t>
      </w:r>
    </w:p>
    <w:p>
      <w:pPr>
        <w:spacing w:after="0" w:line="19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three and six months ended December 31, 2017, we recognized restructuring charges of $ 11,501 and $12,355, respectively, which primarily related to Vistaprint's November 2017 restructuring action. We do not expect any material charges to be incurred in future periods related to this initiative.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six months ended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8"/>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300" w:type="dxa"/>
            <w:vAlign w:val="bottom"/>
          </w:tcPr>
          <w:p>
            <w:pPr>
              <w:jc w:val="right"/>
              <w:ind w:right="623"/>
              <w:spacing w:after="0"/>
              <w:rPr>
                <w:sz w:val="20"/>
                <w:szCs w:val="20"/>
                <w:color w:val="auto"/>
              </w:rPr>
            </w:pPr>
            <w:r>
              <w:rPr>
                <w:rFonts w:ascii="Arial" w:cs="Arial" w:eastAsia="Arial" w:hAnsi="Arial"/>
                <w:sz w:val="13"/>
                <w:szCs w:val="13"/>
                <w:b w:val="1"/>
                <w:bCs w:val="1"/>
                <w:color w:val="auto"/>
              </w:rPr>
              <w:t>Total</w:t>
            </w: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1,385</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1,387</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600" w:type="dxa"/>
            <w:vAlign w:val="bottom"/>
          </w:tcPr>
          <w:p>
            <w:pPr>
              <w:jc w:val="right"/>
              <w:ind w:right="45"/>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1,196</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40"/>
        </w:trPr>
        <w:tc>
          <w:tcPr>
            <w:tcW w:w="6060" w:type="dxa"/>
            <w:vAlign w:val="bottom"/>
          </w:tcPr>
          <w:p>
            <w:pPr>
              <w:ind w:left="40"/>
              <w:spacing w:after="0"/>
              <w:rPr>
                <w:sz w:val="20"/>
                <w:szCs w:val="20"/>
                <w:color w:val="auto"/>
              </w:rPr>
            </w:pPr>
            <w:r>
              <w:rPr>
                <w:rFonts w:ascii="Arial" w:cs="Arial" w:eastAsia="Arial" w:hAnsi="Arial"/>
                <w:sz w:val="16"/>
                <w:szCs w:val="16"/>
                <w:color w:val="auto"/>
              </w:rPr>
              <w:t>Accrued restructuring liability as of December 31, 2018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0"/>
                <w:szCs w:val="20"/>
                <w:color w:val="auto"/>
              </w:rPr>
            </w:pPr>
          </w:p>
        </w:tc>
        <w:tc>
          <w:tcPr>
            <w:tcW w:w="78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927</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16. Subsequent Events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7, 2019, we entered into an amendment to our senior secured credit facility. Refer to Note 9 for additional details.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January 29, 2019, Cimpress' Board of Directors approved the separation of Katryn "Trynka" Shineman Blake, Executive Vice President and Chief Executive Officer of Vistaprint, whose employment with Cimpress will end on March 1, 2019, and effective January 29, 2019, she is no longer designated an executive officer of Cimpress, as defined under the rules of the Securities and Exchange Commission ("SEC"). Cimpress' Chief Executive Officer, Robert Keane, will be taking on the interim additional role of Chief Executive Officer of Vistaprint for the foreseeable future until a permanent successor is named.</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three months ended March 31, 2019, we estimate that we will incur an aggregate pre-tax restructuring charge of approximately $6,500, for expenses related to the employment separation summarized above and some limited workforce reductions within the Vistaprint business, as well as a smaller action in one of our other businesses. This is a preliminary estimate, and we estimate that the charge will include approximately $3,500 of non-cash charges related to the acceleration of share-based compensation, as well as approximately $3,000 of cash severance charges.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1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revenue growth and profitability of certain of our businesses, planned investments in our business and the expected effects of those investments, sufficiency of our tax reserves, sufficiency of our cash, legal proceedings, expected allocations of capital, anticipated competitive position of certain of our businesses, and the impact of exchange rate and currency volatility.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8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December 31, 2018, we have numerous operating segments under our management reporting structure that are reported in the following four reportable segments: Vistaprint, Upload and Print, National Pen, and All Other Businesses. Vistaprint represents our Vistaprint websites focused on the North America, Europe, Australia and New Zealand markets, and our Webs business, which is managed with the Vistaprint digital business. Upload and Print includes the druck.at, Easyflyer, Exagroup, Pixartprinting, Printdeal, Tradeprint, and WIRmachenDRUCK businesses. National Pen includes the global operations of our National Pen business. All Other Businesses segment includes the operations of our Printi, Vistaprint India, Vistaprint Japan, and Vistaprint Corporate Solutions businesses, as well as our operations in China, VIDA since its acquisition date of July 2, 2018, BuildASign since its acquisition on October 1, 2018, and the Albumprinter business through its divestiture on August 31, 2017.</w:t>
      </w:r>
    </w:p>
    <w:p>
      <w:pPr>
        <w:spacing w:after="0" w:line="260"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We present inter-segment fulfillment activity as revenue for the fulfilling business for purposes of measuring and reporting our segment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free cash flow prior to cash interest costs; however, in evaluating the financial condition and operating performance of our business, management considers a number of metrics including revenue growth, constant-currency revenue growth, operating income, adjusted net operating profit, cash flow from operations and free cash flow. A summary of these key financial metrics for the three and six months ended December 31, 2018 as compared to the three and six months ended December 31, 2017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2019</w:t>
      </w:r>
    </w:p>
    <w:p>
      <w:pPr>
        <w:spacing w:after="0" w:line="13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increased by 8% to $825.6 million.</w:t>
      </w:r>
    </w:p>
    <w:p>
      <w:pPr>
        <w:spacing w:after="0" w:line="117"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constant-currency revenue (a non-GAAP financial measure) increased by 11% and, excluding acquisitions completed in the last four quarters, increased by 6%.</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68" w:right="239" w:bottom="1440" w:gutter="0" w:footer="0" w:header="0"/>
        </w:sectPr>
      </w:pPr>
    </w:p>
    <w:bookmarkStart w:id="34" w:name="page35"/>
    <w:bookmarkEnd w:id="34"/>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increased by $17.9 million to $90.6 million.</w:t>
      </w:r>
    </w:p>
    <w:p>
      <w:pPr>
        <w:spacing w:after="0" w:line="117" w:lineRule="exact"/>
        <w:rPr>
          <w:rFonts w:ascii="Arial" w:cs="Arial" w:eastAsia="Arial" w:hAnsi="Arial"/>
          <w:sz w:val="18"/>
          <w:szCs w:val="18"/>
          <w:color w:val="auto"/>
        </w:rPr>
      </w:pPr>
    </w:p>
    <w:p>
      <w:pPr>
        <w:ind w:left="980" w:right="400" w:hanging="324"/>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operating profit (a non-GAAP financial measure which we refer to as adjusted NOP) increased by $21.4 million to $115.1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 2019</w:t>
      </w:r>
    </w:p>
    <w:p>
      <w:pPr>
        <w:spacing w:after="0" w:line="13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increased by 7% to $1,414.5 million.</w:t>
      </w:r>
    </w:p>
    <w:p>
      <w:pPr>
        <w:spacing w:after="0" w:line="117" w:lineRule="exact"/>
        <w:rPr>
          <w:rFonts w:ascii="Arial" w:cs="Arial" w:eastAsia="Arial" w:hAnsi="Arial"/>
          <w:sz w:val="18"/>
          <w:szCs w:val="18"/>
          <w:color w:val="auto"/>
        </w:rPr>
      </w:pPr>
    </w:p>
    <w:p>
      <w:pPr>
        <w:ind w:left="980" w:right="260" w:hanging="324"/>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constant-currency revenue increased by 9% and, excluding acquisitions and divestitures completed in the last four quarters, increased by 7%.</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decreased by $34.7 million to $84.6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NOP increased by $16.3 million to $120.4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$28.7 million to $205.5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 cash flow (a non-GAAP financial measure) increased by $25.1 million to $144.8 million.</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the second quarter of fiscal 2019, the increase in reported revenue is primarily due to the addition of the revenue of our recently acquired BuildASign business, as well as continued growth in our Vistaprint, Upload and Print and National Pen businesses. Currency exchange rate fluctuations negatively impacted revenue during the quarter. Revenue growth slowed during the second quarter of fiscal 2019, primarily due to a decline in revenue generated from Vistaprint's consumer product offerings, which generates significant revenue during the holiday season. While Vistaprint's revenue growth was negatively impacted by consumer product offerings, these declines were more than offset by growth in marketing materials, signage and promotional products. Revenue growth also slowed year-over-year in our Upload and Print and National Pen businesses, as well as a couple of the smaller businesses in our All Other Businesses reportable segment.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factors contributed to the increase in operating income for the second quarter of fiscal 2019:</w:t>
      </w:r>
    </w:p>
    <w:p>
      <w:pPr>
        <w:spacing w:after="0" w:line="198" w:lineRule="exact"/>
        <w:rPr>
          <w:sz w:val="20"/>
          <w:szCs w:val="20"/>
          <w:color w:val="auto"/>
        </w:rPr>
      </w:pPr>
    </w:p>
    <w:p>
      <w:pPr>
        <w:ind w:left="660" w:right="10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of share-based compensation expense of $19.7 million, due to a $15.4 million reversal of expenses during the quarter that were previously recognized for our supplemental PSUs, compared to expense of $4.3 million the prior period</w:t>
      </w:r>
    </w:p>
    <w:p>
      <w:pPr>
        <w:spacing w:after="0" w:line="169"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direct mail advertising costs for National Pen of $12.0 million, due the adoption of the new revenue standard during the first quarter of fiscal 2019, which impacts the expense timing. Refer to Note 2 of the accompanying consolidated financial statements for additional details</w:t>
      </w:r>
    </w:p>
    <w:p>
      <w:pPr>
        <w:spacing w:after="0" w:line="174"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 of restructuring charges year-over-year of $10.5 million, as well as operating expense savings that we realized from this restructuring action</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 of the profit of our recently acquired BuildASign business</w:t>
      </w:r>
    </w:p>
    <w:p>
      <w:pPr>
        <w:spacing w:after="0" w:line="198"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These increases were partially offset by a decline in the segment profit of our Vistaprint business, largely driven by lower fixed-cost absorption from weaker consumer revenue during this seasonally important quarter as well as higher average discounts.</w:t>
      </w:r>
    </w:p>
    <w:p>
      <w:pPr>
        <w:spacing w:after="0" w:line="16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Adjusted NOP increased year over year primarily due to the same reasons as operating income mentioned above, although adjusted NOP excludes the year-over-year benefit from lower restructuring charges and acquisition-related charges, and includes realized gains or losses on our currency hedges. The net year over year impact of currency on adjusted NOP was positive for the three months ended December 31,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301"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Our businesses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90" w:right="239" w:bottom="1440" w:gutter="0" w:footer="0" w:header="0"/>
        </w:sectPr>
      </w:pPr>
    </w:p>
    <w:bookmarkStart w:id="35" w:name="page36"/>
    <w:bookmarkEnd w:id="35"/>
    <w:p>
      <w:pPr>
        <w:ind w:right="40" w:firstLine="662"/>
        <w:spacing w:after="0" w:line="262" w:lineRule="auto"/>
        <w:rPr>
          <w:sz w:val="20"/>
          <w:szCs w:val="20"/>
          <w:color w:val="auto"/>
        </w:rPr>
      </w:pPr>
      <w:r>
        <w:rPr>
          <w:rFonts w:ascii="Arial" w:cs="Arial" w:eastAsia="Arial" w:hAnsi="Arial"/>
          <w:sz w:val="18"/>
          <w:szCs w:val="18"/>
          <w:color w:val="auto"/>
        </w:rPr>
        <w:t>Total revenue and revenue growth by reportable segment for the three and six months ended December 31, 2018 and 2017 are shown in the following tables: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vMerge w:val="restart"/>
          </w:tcPr>
          <w:p>
            <w:pPr>
              <w:jc w:val="right"/>
              <w:ind w:right="122"/>
              <w:spacing w:after="0"/>
              <w:rPr>
                <w:sz w:val="20"/>
                <w:szCs w:val="20"/>
                <w:color w:val="auto"/>
              </w:rPr>
            </w:pPr>
            <w:r>
              <w:rPr>
                <w:rFonts w:ascii="Arial" w:cs="Arial" w:eastAsia="Arial" w:hAnsi="Arial"/>
                <w:sz w:val="13"/>
                <w:szCs w:val="13"/>
                <w:b w:val="1"/>
                <w:bCs w:val="1"/>
                <w:color w:val="auto"/>
                <w:w w:val="97"/>
              </w:rPr>
              <w:t>Three Months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4"/>
          </w:tcPr>
          <w:p>
            <w:pPr>
              <w:jc w:val="center"/>
              <w:ind w:left="42"/>
              <w:spacing w:after="0" w:line="135" w:lineRule="exact"/>
              <w:rPr>
                <w:sz w:val="20"/>
                <w:szCs w:val="20"/>
                <w:color w:val="auto"/>
              </w:rPr>
            </w:pPr>
            <w:r>
              <w:rPr>
                <w:rFonts w:ascii="Arial" w:cs="Arial" w:eastAsia="Arial" w:hAnsi="Arial"/>
                <w:sz w:val="13"/>
                <w:szCs w:val="13"/>
                <w:b w:val="1"/>
                <w:bCs w:val="1"/>
                <w:color w:val="auto"/>
                <w:w w:val="86"/>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434,326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428,908</w:t>
            </w:r>
          </w:p>
        </w:tc>
        <w:tc>
          <w:tcPr>
            <w:tcW w:w="900" w:type="dxa"/>
            <w:vAlign w:val="bottom"/>
            <w:gridSpan w:val="4"/>
            <w:shd w:val="clear" w:color="auto" w:fill="CCEEFF"/>
          </w:tcPr>
          <w:p>
            <w:pPr>
              <w:jc w:val="center"/>
              <w:ind w:left="42"/>
              <w:spacing w:after="0"/>
              <w:rPr>
                <w:sz w:val="20"/>
                <w:szCs w:val="20"/>
                <w:color w:val="auto"/>
              </w:rPr>
            </w:pPr>
            <w:r>
              <w:rPr>
                <w:rFonts w:ascii="Arial" w:cs="Arial" w:eastAsia="Arial" w:hAnsi="Arial"/>
                <w:sz w:val="16"/>
                <w:szCs w:val="16"/>
                <w:color w:val="auto"/>
                <w:w w:val="94"/>
              </w:rPr>
              <w:t>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203,799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192,527</w:t>
            </w:r>
          </w:p>
        </w:tc>
        <w:tc>
          <w:tcPr>
            <w:tcW w:w="900" w:type="dxa"/>
            <w:vAlign w:val="bottom"/>
            <w:gridSpan w:val="4"/>
          </w:tcPr>
          <w:p>
            <w:pPr>
              <w:jc w:val="center"/>
              <w:ind w:left="42"/>
              <w:spacing w:after="0"/>
              <w:rPr>
                <w:sz w:val="20"/>
                <w:szCs w:val="20"/>
                <w:color w:val="auto"/>
              </w:rPr>
            </w:pPr>
            <w:r>
              <w:rPr>
                <w:rFonts w:ascii="Arial" w:cs="Arial" w:eastAsia="Arial" w:hAnsi="Arial"/>
                <w:sz w:val="16"/>
                <w:szCs w:val="16"/>
                <w:color w:val="auto"/>
                <w:w w:val="94"/>
              </w:rPr>
              <w:t>6%</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132,951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126,098</w:t>
            </w:r>
          </w:p>
        </w:tc>
        <w:tc>
          <w:tcPr>
            <w:tcW w:w="900" w:type="dxa"/>
            <w:vAlign w:val="bottom"/>
            <w:gridSpan w:val="4"/>
            <w:shd w:val="clear" w:color="auto" w:fill="CCEEFF"/>
          </w:tcPr>
          <w:p>
            <w:pPr>
              <w:jc w:val="center"/>
              <w:ind w:left="42"/>
              <w:spacing w:after="0"/>
              <w:rPr>
                <w:sz w:val="20"/>
                <w:szCs w:val="20"/>
                <w:color w:val="auto"/>
              </w:rPr>
            </w:pPr>
            <w:r>
              <w:rPr>
                <w:rFonts w:ascii="Arial" w:cs="Arial" w:eastAsia="Arial" w:hAnsi="Arial"/>
                <w:sz w:val="16"/>
                <w:szCs w:val="16"/>
                <w:color w:val="auto"/>
                <w:w w:val="94"/>
              </w:rPr>
              <w:t>5%</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61,827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20,994</w:t>
            </w:r>
          </w:p>
        </w:tc>
        <w:tc>
          <w:tcPr>
            <w:tcW w:w="900" w:type="dxa"/>
            <w:vAlign w:val="bottom"/>
            <w:gridSpan w:val="4"/>
          </w:tcPr>
          <w:p>
            <w:pPr>
              <w:jc w:val="center"/>
              <w:ind w:left="42"/>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825,567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762,054</w:t>
            </w:r>
          </w:p>
        </w:tc>
        <w:tc>
          <w:tcPr>
            <w:tcW w:w="900" w:type="dxa"/>
            <w:vAlign w:val="bottom"/>
            <w:gridSpan w:val="4"/>
          </w:tcPr>
          <w:p>
            <w:pPr>
              <w:jc w:val="center"/>
              <w:ind w:left="42"/>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297"/>
        </w:trPr>
        <w:tc>
          <w:tcPr>
            <w:tcW w:w="1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vMerge w:val="restart"/>
          </w:tcPr>
          <w:p>
            <w:pPr>
              <w:jc w:val="right"/>
              <w:ind w:right="202"/>
              <w:spacing w:after="0"/>
              <w:rPr>
                <w:sz w:val="20"/>
                <w:szCs w:val="20"/>
                <w:color w:val="auto"/>
              </w:rPr>
            </w:pPr>
            <w:r>
              <w:rPr>
                <w:rFonts w:ascii="Arial" w:cs="Arial" w:eastAsia="Arial" w:hAnsi="Arial"/>
                <w:sz w:val="13"/>
                <w:szCs w:val="13"/>
                <w:b w:val="1"/>
                <w:bCs w:val="1"/>
                <w:color w:val="auto"/>
              </w:rPr>
              <w:t>Six Months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4"/>
          </w:tcPr>
          <w:p>
            <w:pPr>
              <w:jc w:val="center"/>
              <w:ind w:left="62"/>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771,255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747,951</w:t>
            </w:r>
          </w:p>
        </w:tc>
        <w:tc>
          <w:tcPr>
            <w:tcW w:w="900" w:type="dxa"/>
            <w:vAlign w:val="bottom"/>
            <w:gridSpan w:val="4"/>
            <w:shd w:val="clear" w:color="auto" w:fill="CCEEFF"/>
          </w:tcPr>
          <w:p>
            <w:pPr>
              <w:jc w:val="center"/>
              <w:ind w:left="6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375,964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352,917</w:t>
            </w:r>
          </w:p>
        </w:tc>
        <w:tc>
          <w:tcPr>
            <w:tcW w:w="900" w:type="dxa"/>
            <w:vAlign w:val="bottom"/>
            <w:gridSpan w:val="4"/>
          </w:tcPr>
          <w:p>
            <w:pPr>
              <w:jc w:val="center"/>
              <w:ind w:left="6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198,922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185,815</w:t>
            </w:r>
          </w:p>
        </w:tc>
        <w:tc>
          <w:tcPr>
            <w:tcW w:w="900" w:type="dxa"/>
            <w:vAlign w:val="bottom"/>
            <w:gridSpan w:val="4"/>
            <w:shd w:val="clear" w:color="auto" w:fill="CCEEFF"/>
          </w:tcPr>
          <w:p>
            <w:pPr>
              <w:jc w:val="center"/>
              <w:ind w:left="6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80,715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49,048</w:t>
            </w:r>
          </w:p>
        </w:tc>
        <w:tc>
          <w:tcPr>
            <w:tcW w:w="900" w:type="dxa"/>
            <w:vAlign w:val="bottom"/>
            <w:gridSpan w:val="4"/>
          </w:tcPr>
          <w:p>
            <w:pPr>
              <w:jc w:val="center"/>
              <w:ind w:left="62"/>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1,414,548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1,325,338</w:t>
            </w:r>
          </w:p>
        </w:tc>
        <w:tc>
          <w:tcPr>
            <w:tcW w:w="900" w:type="dxa"/>
            <w:vAlign w:val="bottom"/>
            <w:gridSpan w:val="4"/>
          </w:tcPr>
          <w:p>
            <w:pPr>
              <w:jc w:val="center"/>
              <w:ind w:left="6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20" w:hanging="252"/>
        <w:spacing w:after="0" w:line="250" w:lineRule="auto"/>
        <w:tabs>
          <w:tab w:leader="none" w:pos="233"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right="180" w:hanging="252"/>
        <w:spacing w:after="0" w:line="258" w:lineRule="auto"/>
        <w:tabs>
          <w:tab w:leader="none" w:pos="233"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w:t>
      </w:r>
    </w:p>
    <w:p>
      <w:pPr>
        <w:spacing w:after="0" w:line="59" w:lineRule="exact"/>
        <w:rPr>
          <w:rFonts w:ascii="Arial" w:cs="Arial" w:eastAsia="Arial" w:hAnsi="Arial"/>
          <w:sz w:val="14"/>
          <w:szCs w:val="14"/>
          <w:color w:val="auto"/>
        </w:rPr>
      </w:pPr>
    </w:p>
    <w:p>
      <w:pPr>
        <w:ind w:left="260" w:right="60" w:hanging="252"/>
        <w:spacing w:after="0" w:line="250" w:lineRule="auto"/>
        <w:tabs>
          <w:tab w:leader="none" w:pos="233"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VIDA revenue from its acquisition date of July 2, 2018, and BuildASign revenue from its acquisition date of October 1, 2018. Constant-currency revenue growth excluding acquisitions/divestitures, excludes the revenue results for VIDA and BuildASign since their acquisition dates and Albumprinter through the divestiture date.</w:t>
      </w:r>
    </w:p>
    <w:p>
      <w:pPr>
        <w:spacing w:after="0" w:line="145" w:lineRule="exact"/>
        <w:rPr>
          <w:sz w:val="20"/>
          <w:szCs w:val="20"/>
          <w:color w:val="auto"/>
        </w:rPr>
      </w:pPr>
    </w:p>
    <w:p>
      <w:pPr>
        <w:ind w:left="260" w:hanging="242"/>
        <w:spacing w:after="0" w:line="250"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our businesses sell. Cost of revenue as a percent of revenue increased during the three and six months ended December 31, 2018, compared to the prior year, primarily due to lower gross margins in our Vistaprint business, due to decreased pricing resulting from higher discounting, as well as unfavorable product mix that shifted to lower margin products. Several of our businesses also recognized increasing paper costs during these periods. The increase in cost of revenue as a percent of revenue was partially offset by the addition of BuildASign, which has a positive mix effect on gross margin.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4"/>
        </w:trPr>
        <w:tc>
          <w:tcPr>
            <w:tcW w:w="500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Pr>
          <w:p>
            <w:pPr>
              <w:spacing w:after="0"/>
              <w:rPr>
                <w:sz w:val="19"/>
                <w:szCs w:val="19"/>
                <w:color w:val="auto"/>
              </w:rPr>
            </w:pPr>
          </w:p>
        </w:tc>
        <w:tc>
          <w:tcPr>
            <w:tcW w:w="2800" w:type="dxa"/>
            <w:vAlign w:val="bottom"/>
            <w:gridSpan w:val="4"/>
          </w:tcPr>
          <w:p>
            <w:pPr>
              <w:ind w:left="260"/>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50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2017</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411,496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360,285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713,967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644,040</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48.6%</w:t>
            </w:r>
          </w:p>
        </w:tc>
      </w:tr>
    </w:tbl>
    <w:p>
      <w:pPr>
        <w:spacing w:after="0" w:line="289" w:lineRule="exact"/>
        <w:rPr>
          <w:sz w:val="20"/>
          <w:szCs w:val="20"/>
          <w:color w:val="auto"/>
        </w:rPr>
      </w:pPr>
    </w:p>
    <w:p>
      <w:pPr>
        <w:ind w:right="100" w:firstLine="662"/>
        <w:spacing w:after="0" w:line="252" w:lineRule="auto"/>
        <w:rPr>
          <w:sz w:val="20"/>
          <w:szCs w:val="20"/>
          <w:color w:val="auto"/>
        </w:rPr>
      </w:pPr>
      <w:r>
        <w:rPr>
          <w:rFonts w:ascii="Arial" w:cs="Arial" w:eastAsia="Arial" w:hAnsi="Arial"/>
          <w:sz w:val="18"/>
          <w:szCs w:val="18"/>
          <w:color w:val="auto"/>
        </w:rPr>
        <w:t>Cost of revenue for the three and six months ended December 31, 2018 increased by $51.2 million and $69.9 million, respectively, partially due to the addition of manufacturing costs of $19.7 million from our BuildASign business, which was acquired on October 1, 2018 and is therefore not included in the comparable periods. Vistaprint cost of revenue increased by $17.0 million and $26.6 million, respectively, from the prior comparable periods, primarily due to increased production volume, partially offset by favorable currency impacts. The cost of revenue for our Upload and Print businesses increased by $ 9.3 million and $16.6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primarily driven by revenue growth in our Pixartprinting and WIRmachenDRUCK businesses, partially offset by favorable currency impacts. We also recognized an increase of $2.3 million and $6.8 million respectively, of costs within our National Pen business primarily due to revenue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b w:val="1"/>
                <w:bCs w:val="1"/>
                <w:color w:val="auto"/>
              </w:rPr>
              <w:t>Three Months Ended December 31,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8"/>
              </w:rPr>
              <w:t>Six Months Ended December 31,</w:t>
            </w:r>
          </w:p>
        </w:tc>
        <w:tc>
          <w:tcPr>
            <w:tcW w:w="1020" w:type="dxa"/>
            <w:vAlign w:val="bottom"/>
            <w:tcBorders>
              <w:bottom w:val="single" w:sz="8" w:color="auto"/>
            </w:tcBorders>
          </w:tcPr>
          <w:p>
            <w:pPr>
              <w:spacing w:after="0"/>
              <w:rPr>
                <w:sz w:val="21"/>
                <w:szCs w:val="21"/>
                <w:color w:val="auto"/>
              </w:rPr>
            </w:pPr>
          </w:p>
        </w:tc>
      </w:tr>
      <w:tr>
        <w:trPr>
          <w:trHeight w:val="264"/>
        </w:trPr>
        <w:tc>
          <w:tcPr>
            <w:tcW w:w="2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44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2018 vs. 2017</w:t>
            </w:r>
          </w:p>
        </w:tc>
        <w:tc>
          <w:tcPr>
            <w:tcW w:w="320" w:type="dxa"/>
            <w:vAlign w:val="bottom"/>
          </w:tcPr>
          <w:p>
            <w:pPr>
              <w:spacing w:after="0"/>
              <w:rPr>
                <w:sz w:val="22"/>
                <w:szCs w:val="22"/>
                <w:color w:val="auto"/>
              </w:rPr>
            </w:pPr>
          </w:p>
        </w:tc>
        <w:tc>
          <w:tcPr>
            <w:tcW w:w="1020" w:type="dxa"/>
            <w:vAlign w:val="bottom"/>
          </w:tcPr>
          <w:p>
            <w:pPr>
              <w:jc w:val="right"/>
              <w:ind w:right="442"/>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48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02"/>
              <w:spacing w:after="0"/>
              <w:rPr>
                <w:sz w:val="20"/>
                <w:szCs w:val="20"/>
                <w:color w:val="auto"/>
              </w:rPr>
            </w:pPr>
            <w:r>
              <w:rPr>
                <w:rFonts w:ascii="Arial" w:cs="Arial" w:eastAsia="Arial" w:hAnsi="Arial"/>
                <w:sz w:val="13"/>
                <w:szCs w:val="13"/>
                <w:b w:val="1"/>
                <w:bCs w:val="1"/>
                <w:color w:val="auto"/>
                <w:w w:val="98"/>
              </w:rPr>
              <w:t>2018 vs. 2017</w:t>
            </w:r>
          </w:p>
        </w:tc>
      </w:tr>
      <w:tr>
        <w:trPr>
          <w:trHeight w:val="184"/>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w:t>
            </w:r>
          </w:p>
        </w:tc>
        <w:tc>
          <w:tcPr>
            <w:tcW w:w="3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55,405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59,228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112,468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121,331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7.8%</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211,963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200,785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394,751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366,878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25.7%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26.3%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27.7 %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40,216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44,988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81,392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83,766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5.9%</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14,846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12,558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26,147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25,191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11,501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12,355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51"/>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1"/>
                <w:szCs w:val="21"/>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i w:val="1"/>
                <w:iCs w:val="1"/>
                <w:color w:val="auto"/>
              </w:rPr>
              <w:t>—%</w:t>
            </w:r>
          </w:p>
        </w:tc>
        <w:tc>
          <w:tcPr>
            <w:tcW w:w="3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i w:val="1"/>
                <w:iCs w:val="1"/>
                <w:color w:val="auto"/>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i w:val="1"/>
                <w:iCs w:val="1"/>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30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legal settlements in connection with patent-related claims, and other technology infrastructure-related costs. Depreciation expense for information technology equipment that directly supports the delivery of our digital marketing services products is included in cost of revenue.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and six months ended December 31, 2018, technology and development expenses decreased by $3.8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 million, respectively, as compared to the prior periods. The decrease during both periods was primarily due to a decrease in share-based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of $4.4 million and $4.0 million, respectively, which is due to the cumulative reversal of expenses related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PSUs which contain a performance condition for which we no longer consider the achievement to be probable. We also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recognized lower expense as a result of cost savings realized in the Vistaprint business from our fiscal 2018 restructuring initiatives. For the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December 31, 2018, we also recognized a year-over-year decrease in costs of $1.6 million resulting from the divestiture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Albumprinter business. This was partially offset by the addition of costs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6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from our recent acquisition of BuildASign, which resulted in $0.8 million of costs during the three and six months ended December 31,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Upload and Print businesses.</w:t>
      </w:r>
    </w:p>
    <w:p>
      <w:pPr>
        <w:spacing w:after="0" w:line="2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marketing and selling expenses increased by $11.2 million and $27.9 million during the three and six months ended December 31, 2018, respectively, as compared to the prior periods, primarily due to the addition of costs from our recent acquisition of BuildASign, which resulted in $12.3 million of advertising and customer care costs during the three and six months ended December 31, 2018. We also recognized an increase of costs in our Vistaprint business for the three and six months ended December 31, 2018 of $4.8 million and $2.4 million, respectively, which included increases in advertising and customer care costs. A portion of these increases are attributed to the increasing cost of online paid search advertising, as competition for certain keywords has increased. These increases were partially offset by a decrease in share-based compensation costs of $3.7 million and $3.4 million, respectively, which is due to the cumulative reversal of expenses related to our supplemental PSUs. During the six months ended December 31, 2018, the increase was also partially offset by lower costs of $4.6 million, due to the sale of our Albumprinter business on August 31, 2017.</w:t>
      </w:r>
    </w:p>
    <w:p>
      <w:pPr>
        <w:spacing w:after="0" w:line="2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three months ended December 31, 2018, the increase in marketing and selling expenses was partially offset by lower direct mail advertising costs for National Pen of $12.0 million, due to the impact of the new revenue standard that accelerated the timing of expenses into the first quarter of fiscal 2019 as compared to the prior year period. The impact for the six months ended December 31, 2018 was additional expense of $2.0 million. Refer to Note 2 of the accompanying consolidated financial statements for additional details.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280" w:firstLine="662"/>
        <w:spacing w:after="0" w:line="291"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December 31, 2018, general and administrative expenses decreased by $4.8 million and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as compared to the prior periods, primarily due to a decrease in share-based compensation costs during the three and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December 31, 2018 of $7.5 million and $6.2 million, respectively, which is due to the reversal of cumulative expenses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supplemental PSUs. The decrease is partially offset by the addition of costs from our recent acquisition of BuildASign, which resulted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 million of costs during the three and six months ended December 31, 2018. In addition, for the six months ended December 31, 2018,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recognized increases in professional fees, primarily related to our recent acquisitions of VIDA during July 2018 and BuildASign during October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as well as certain other strategic projects.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Amortization of acquired intangible assets increased by $2.3 million and $1.0 million during the three and six months ended December 31, 2018, respectively, as compared to the prior comparable periods, due to the addition of amortization for our acquisition of BuildASign. This increase is partially offset by a reduction of amortization within our Upload and Print reportable segment due to certain intangible assets becoming fully amortized during the six months ended December 31, 2018.</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571"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and include employee-related termination costs, third party professional fees, facility exit costs and write-off of abandoned assets. During the three and six months ended December 31, 2018, we recognized restructuring expense of $1.0 million and $1.2 million, respectively, related to two actions for which we do not expect any material charges in future periods. During the three and six months ended December 31, 2017, we recognized restructuring charges of $11.5 million and $12.4 million, respectively, primarily related to Vistaprint's November 2017 restructuring action.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During the six months ended December 30, 2017,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as well as currency impacts.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6" w:lineRule="exact"/>
        <w:rPr>
          <w:sz w:val="20"/>
          <w:szCs w:val="20"/>
          <w:color w:val="auto"/>
        </w:rPr>
      </w:pPr>
    </w:p>
    <w:p>
      <w:pPr>
        <w:ind w:right="140" w:firstLine="662"/>
        <w:spacing w:after="0" w:line="252" w:lineRule="auto"/>
        <w:rPr>
          <w:sz w:val="20"/>
          <w:szCs w:val="20"/>
          <w:color w:val="auto"/>
        </w:rPr>
      </w:pPr>
      <w:r>
        <w:rPr>
          <w:rFonts w:ascii="Arial" w:cs="Arial" w:eastAsia="Arial" w:hAnsi="Arial"/>
          <w:sz w:val="18"/>
          <w:szCs w:val="18"/>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1"/>
                <w:szCs w:val="21"/>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40" w:type="dxa"/>
            <w:vAlign w:val="bottom"/>
          </w:tcPr>
          <w:p>
            <w:pPr>
              <w:spacing w:after="0"/>
              <w:rPr>
                <w:sz w:val="21"/>
                <w:szCs w:val="21"/>
                <w:color w:val="auto"/>
              </w:rPr>
            </w:pPr>
          </w:p>
        </w:tc>
        <w:tc>
          <w:tcPr>
            <w:tcW w:w="2720" w:type="dxa"/>
            <w:vAlign w:val="bottom"/>
            <w:gridSpan w:val="4"/>
          </w:tcPr>
          <w:p>
            <w:pPr>
              <w:jc w:val="right"/>
              <w:ind w:right="463"/>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11,171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18,544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(10,001)</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Currency-related (losses) gains, net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(14,652)</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(losses) gains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609</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9,629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19,881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(24,044)</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During the three and six months ended December 31, 2018, we recognized net gains of $9.6 million and $19.9 million as compared to net losses of $7.7 million and $24.0 million during the prior comparable periods, respectively. The increase in other income (expense), net is primarily due to the currency exchange rate volatility impacting our derivatives that are not designated as hedging instruments. We expect volatility to continue in future periods as we do not apply hedge accounting for most of our derivative currency contracts. We also experienced currency-related gains due to currency exchange rate volatility on our non-functional currency intercompany relationships, which we alter from time to time. The impact of certain cross-currency swap contracts designated as cash flow hedges is included in our currency-related gains (losses), net, offsetting the impact of certain non-functional currency intercompany relationships.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400" w:firstLine="662"/>
        <w:spacing w:after="0" w:line="254"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 As part of interest expense, net, we also recognize adjustments to our mandatorily redeemable noncontrolling interests, which reflects changes to the estimated future redemption value.</w:t>
      </w:r>
    </w:p>
    <w:p>
      <w:pPr>
        <w:spacing w:after="0" w:line="177" w:lineRule="exact"/>
        <w:rPr>
          <w:sz w:val="20"/>
          <w:szCs w:val="20"/>
          <w:color w:val="auto"/>
        </w:rPr>
      </w:pPr>
    </w:p>
    <w:p>
      <w:pPr>
        <w:ind w:right="680" w:firstLine="662"/>
        <w:spacing w:after="0" w:line="262" w:lineRule="auto"/>
        <w:rPr>
          <w:sz w:val="20"/>
          <w:szCs w:val="20"/>
          <w:color w:val="auto"/>
        </w:rPr>
      </w:pPr>
      <w:r>
        <w:rPr>
          <w:rFonts w:ascii="Arial" w:cs="Arial" w:eastAsia="Arial" w:hAnsi="Arial"/>
          <w:sz w:val="18"/>
          <w:szCs w:val="18"/>
          <w:color w:val="auto"/>
        </w:rPr>
        <w:t>Interest expense, net was $16.8 million and $30.6 million for the three and six months ended December 31, 2018, respectively, compared to $12.5 million and $25.6 million for the three and six months ended December 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3" w:right="239" w:bottom="1440" w:gutter="0" w:footer="0" w:header="0"/>
        </w:sectPr>
      </w:pPr>
    </w:p>
    <w:bookmarkStart w:id="39" w:name="page40"/>
    <w:bookmarkEnd w:id="39"/>
    <w:p>
      <w:pPr>
        <w:ind w:right="100"/>
        <w:spacing w:after="0" w:line="256" w:lineRule="auto"/>
        <w:rPr>
          <w:sz w:val="20"/>
          <w:szCs w:val="20"/>
          <w:color w:val="auto"/>
        </w:rPr>
      </w:pPr>
      <w:r>
        <w:rPr>
          <w:rFonts w:ascii="Arial" w:cs="Arial" w:eastAsia="Arial" w:hAnsi="Arial"/>
          <w:sz w:val="18"/>
          <w:szCs w:val="18"/>
          <w:color w:val="auto"/>
        </w:rPr>
        <w:t>2017, respectively. Interest expense was higher this year relative to historical trends primarily as a result of higher debt levels, due to the acquisition of BuildASign, as well as higher interest rates, driven both by higher floating interest rates and the change in mix of our outstanding debt, which resulted from the refinancing of our senior unsecured notes during the fourth quarter of fiscal 2018.</w:t>
      </w:r>
    </w:p>
    <w:p>
      <w:pPr>
        <w:sectPr>
          <w:pgSz w:w="11900" w:h="16838" w:orient="portrait"/>
          <w:cols w:equalWidth="0" w:num="1">
            <w:col w:w="11420"/>
          </w:cols>
          <w:pgMar w:left="240" w:top="571"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260" w:type="dxa"/>
            <w:vAlign w:val="bottom"/>
            <w:gridSpan w:val="3"/>
          </w:tcPr>
          <w:p>
            <w:pPr>
              <w:ind w:left="540"/>
              <w:spacing w:after="0"/>
              <w:rPr>
                <w:sz w:val="20"/>
                <w:szCs w:val="20"/>
                <w:color w:val="auto"/>
              </w:rPr>
            </w:pPr>
            <w:r>
              <w:rPr>
                <w:rFonts w:ascii="Arial" w:cs="Arial" w:eastAsia="Arial" w:hAnsi="Arial"/>
                <w:sz w:val="13"/>
                <w:szCs w:val="13"/>
                <w:b w:val="1"/>
                <w:bCs w:val="1"/>
                <w:color w:val="auto"/>
              </w:rPr>
              <w:t>Three Months Ended December 31,</w:t>
            </w:r>
          </w:p>
        </w:tc>
        <w:tc>
          <w:tcPr>
            <w:tcW w:w="3160" w:type="dxa"/>
            <w:vAlign w:val="bottom"/>
            <w:gridSpan w:val="2"/>
          </w:tcPr>
          <w:p>
            <w:pPr>
              <w:ind w:left="620"/>
              <w:spacing w:after="0"/>
              <w:rPr>
                <w:sz w:val="20"/>
                <w:szCs w:val="20"/>
                <w:color w:val="auto"/>
              </w:rPr>
            </w:pPr>
            <w:r>
              <w:rPr>
                <w:rFonts w:ascii="Arial" w:cs="Arial" w:eastAsia="Arial" w:hAnsi="Arial"/>
                <w:sz w:val="13"/>
                <w:szCs w:val="13"/>
                <w:b w:val="1"/>
                <w:bCs w:val="1"/>
                <w:color w:val="auto"/>
              </w:rPr>
              <w:t>Six Months Ended December 31,</w:t>
            </w:r>
          </w:p>
        </w:tc>
      </w:tr>
      <w:tr>
        <w:trPr>
          <w:trHeight w:val="254"/>
        </w:trPr>
        <w:tc>
          <w:tcPr>
            <w:tcW w:w="15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580" w:type="dxa"/>
            <w:vAlign w:val="bottom"/>
            <w:tcBorders>
              <w:top w:val="single" w:sz="8" w:color="auto"/>
            </w:tcBorders>
          </w:tcPr>
          <w:p>
            <w:pPr>
              <w:ind w:left="620"/>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2017</w:t>
            </w:r>
          </w:p>
        </w:tc>
      </w:tr>
    </w:tbl>
    <w:p>
      <w:pPr>
        <w:spacing w:after="0" w:line="1" w:lineRule="exact"/>
        <w:rPr>
          <w:sz w:val="20"/>
          <w:szCs w:val="20"/>
          <w:color w:val="auto"/>
        </w:rPr>
      </w:pPr>
    </w:p>
    <w:p>
      <w:pPr>
        <w:sectPr>
          <w:pgSz w:w="11900" w:h="16838" w:orient="portrait"/>
          <w:cols w:equalWidth="0" w:num="2">
            <w:col w:w="4280" w:space="720"/>
            <w:col w:w="642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14,399</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21,825</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19,880</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15,638</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41.6%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22.4%</w:t>
            </w:r>
          </w:p>
        </w:tc>
      </w:tr>
    </w:tbl>
    <w:p>
      <w:pPr>
        <w:spacing w:after="0" w:line="23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decrease in tax expense for the three months ended December 31, 2018 from the same prior year period is primarily due to "Patent Box" tax benefits of $3.5 million granted to our Pixartprinting business in Italy and recognized as a discrete adjustment to our tax expense for the three months ended December 31, 2018 as well as increased tax expense of $4.7 million related to the impacts of U.S. tax reform recognized in the same prior year period. The increase in tax expense for the six months ended December 31, 2018 from the same prior year period is primarily due to higher profits and a decrease in deferred tax assets of $5.6 million recognized as a discrete adjustment during the three months ended September 30, 2018 related to guidance issued by the Internal Revenue Service regarding limitations on tax deductions for compensation granted to certain executives. Excluding the effect of these discrete tax adjustments, our estimated annual effective tax rate is lower for fiscal 2019 as compared to fiscal 2018 primarily due to an expectation of a more favorable geographical mix of consolidated earnings. Our effective tax rate continues to be negatively impacted by losses in certain jurisdictions where we are unable to recognize a full tax benefit in the current period.</w:t>
      </w:r>
    </w:p>
    <w:p>
      <w:pPr>
        <w:spacing w:after="0" w:line="212"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10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ind w:left="840"/>
              <w:spacing w:after="0"/>
              <w:rPr>
                <w:sz w:val="20"/>
                <w:szCs w:val="20"/>
                <w:color w:val="auto"/>
              </w:rPr>
            </w:pPr>
            <w:r>
              <w:rPr>
                <w:rFonts w:ascii="Arial" w:cs="Arial" w:eastAsia="Arial" w:hAnsi="Arial"/>
                <w:sz w:val="13"/>
                <w:szCs w:val="13"/>
                <w:b w:val="1"/>
                <w:bCs w:val="1"/>
                <w:color w:val="auto"/>
                <w:w w:val="99"/>
              </w:rPr>
              <w:t>Three Months Ended December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w w:val="97"/>
              </w:rPr>
              <w:t>Six Months Ended December 31,</w:t>
            </w:r>
          </w:p>
        </w:tc>
        <w:tc>
          <w:tcPr>
            <w:tcW w:w="1220" w:type="dxa"/>
            <w:vAlign w:val="bottom"/>
            <w:tcBorders>
              <w:bottom w:val="single" w:sz="8" w:color="auto"/>
            </w:tcBorders>
          </w:tcPr>
          <w:p>
            <w:pPr>
              <w:spacing w:after="0"/>
              <w:rPr>
                <w:sz w:val="21"/>
                <w:szCs w:val="21"/>
                <w:color w:val="auto"/>
              </w:rPr>
            </w:pPr>
          </w:p>
        </w:tc>
      </w:tr>
      <w:tr>
        <w:trPr>
          <w:trHeight w:val="264"/>
        </w:trPr>
        <w:tc>
          <w:tcPr>
            <w:tcW w:w="2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2018 vs. 2017</w:t>
            </w:r>
          </w:p>
        </w:tc>
        <w:tc>
          <w:tcPr>
            <w:tcW w:w="380" w:type="dxa"/>
            <w:vAlign w:val="bottom"/>
          </w:tcPr>
          <w:p>
            <w:pPr>
              <w:spacing w:after="0"/>
              <w:rPr>
                <w:sz w:val="22"/>
                <w:szCs w:val="22"/>
                <w:color w:val="auto"/>
              </w:rPr>
            </w:pPr>
          </w:p>
        </w:tc>
        <w:tc>
          <w:tcPr>
            <w:tcW w:w="114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2018 vs. 2017</w:t>
            </w:r>
          </w:p>
        </w:tc>
      </w:tr>
      <w:tr>
        <w:trPr>
          <w:trHeight w:val="257"/>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434,326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428,908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771,255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747,951</w:t>
            </w: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40" w:type="dxa"/>
            <w:vAlign w:val="bottom"/>
          </w:tcPr>
          <w:p>
            <w:pPr>
              <w:jc w:val="right"/>
              <w:ind w:right="106"/>
              <w:spacing w:after="0"/>
              <w:rPr>
                <w:sz w:val="20"/>
                <w:szCs w:val="20"/>
                <w:color w:val="auto"/>
              </w:rPr>
            </w:pPr>
            <w:r>
              <w:rPr>
                <w:rFonts w:ascii="Arial" w:cs="Arial" w:eastAsia="Arial" w:hAnsi="Arial"/>
                <w:sz w:val="16"/>
                <w:szCs w:val="16"/>
                <w:color w:val="auto"/>
              </w:rPr>
              <w:t>83,788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99,049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5"/>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86"/>
              <w:spacing w:after="0"/>
              <w:rPr>
                <w:sz w:val="20"/>
                <w:szCs w:val="20"/>
                <w:color w:val="auto"/>
              </w:rPr>
            </w:pPr>
            <w:r>
              <w:rPr>
                <w:rFonts w:ascii="Arial" w:cs="Arial" w:eastAsia="Arial" w:hAnsi="Arial"/>
                <w:sz w:val="16"/>
                <w:szCs w:val="16"/>
                <w:color w:val="auto"/>
              </w:rPr>
              <w:t>131,052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129,944</w:t>
            </w: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Vistaprint's reported revenue growth for the three and six months ended December 31, 2018 was negatively affected by currency impacts of 2% in both periods, resulting in constant-currency growth of 3% and 5%, respectively. The Vistaprint constant-currency revenue growth was driven by continued growth in repeat customer bookings, as well as continued growth in marketing materials, signage and promotional products. These drivers of revenue growth were partially offset by weakness in consumer products, which typically generate significant revenue during the holiday season. A combination of factors caused the weak consumer performance during the quarter, including increased competition and heavier discounting on holiday products, less efficient advertising spend as competition for paid search keywords drove costs up relative to the prior year, the continued impact of increased mobile sessions that have lower conversion rates, and our deployment of fewer resources to consumer products over recent years given our continued primary customer focus of small business owners.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1" w:right="239" w:bottom="1440" w:gutter="0" w:footer="0" w:header="0"/>
          <w:type w:val="continuous"/>
        </w:sectPr>
      </w:pPr>
    </w:p>
    <w:bookmarkStart w:id="40" w:name="page41"/>
    <w:bookmarkEnd w:id="40"/>
    <w:p>
      <w:pPr>
        <w:ind w:right="100" w:firstLine="648"/>
        <w:spacing w:after="0" w:line="256" w:lineRule="auto"/>
        <w:rPr>
          <w:sz w:val="20"/>
          <w:szCs w:val="20"/>
          <w:color w:val="auto"/>
        </w:rPr>
      </w:pPr>
      <w:r>
        <w:rPr>
          <w:rFonts w:ascii="Arial" w:cs="Arial" w:eastAsia="Arial" w:hAnsi="Arial"/>
          <w:sz w:val="18"/>
          <w:szCs w:val="18"/>
          <w:color w:val="auto"/>
        </w:rPr>
        <w:t>One area of focus for the remainder of the year is evaluating Vistaprint's advertising activities to help us achieve the returns we anticipate. We have already begun reducing our advertising spend which we believe will have a negative near-term impact on revenue, and as a result we expect revenue growth for the remainder of the year to be flat to negative.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Vistaprint's segment profit decreased for the three months ended December 31, 2018 as compared to the prior period, partially due to a decline in gross margin, largely driven by the impact on fixed-cost absorption of lower-than-planned consumer revenue during the seasonally important quarter. Segment profit was also negatively impacted by currency movements. These decreases were partially offset by savings as a result of the reorganization announced in November 2017.</w:t>
      </w:r>
    </w:p>
    <w:p>
      <w:pPr>
        <w:spacing w:after="0" w:line="17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increase for the six month ended December 31, 2018, as compared to the prior period was driven primarily by operating expense savings as a result of the reorganization announced in November 2017. In addition, segment profit increased as a result of the revenue growth described above, as well as positive impacts from lower advertising spend as a percentage of revenue. Our investments in new products and services positively impacted revenue, and we are seeing progress in improving the gross margin of these recently introduced products. In the current period, Vistaprint's segment profit was negatively impacted by currency movements.</w:t>
      </w:r>
    </w:p>
    <w:p>
      <w:pPr>
        <w:sectPr>
          <w:pgSz w:w="11900" w:h="16838" w:orient="portrait"/>
          <w:cols w:equalWidth="0" w:num="1">
            <w:col w:w="11420"/>
          </w:cols>
          <w:pgMar w:left="240" w:top="571" w:right="239" w:bottom="1440" w:gutter="0" w:footer="0" w:header="0"/>
        </w:sectPr>
      </w:pPr>
    </w:p>
    <w:p>
      <w:pPr>
        <w:spacing w:after="0" w:line="157" w:lineRule="exact"/>
        <w:rPr>
          <w:sz w:val="20"/>
          <w:szCs w:val="20"/>
          <w:color w:val="auto"/>
        </w:rPr>
      </w:pPr>
    </w:p>
    <w:p>
      <w:pPr>
        <w:ind w:left="60" w:right="180" w:hanging="61"/>
        <w:spacing w:after="0" w:line="491" w:lineRule="auto"/>
        <w:rPr>
          <w:sz w:val="20"/>
          <w:szCs w:val="20"/>
          <w:color w:val="auto"/>
        </w:rPr>
      </w:pPr>
      <w:r>
        <w:rPr>
          <w:rFonts w:ascii="Arial" w:cs="Arial" w:eastAsia="Arial" w:hAnsi="Arial"/>
          <w:sz w:val="18"/>
          <w:szCs w:val="18"/>
          <w:b w:val="1"/>
          <w:bCs w:val="1"/>
          <w:i w:val="1"/>
          <w:iCs w:val="1"/>
          <w:color w:val="auto"/>
        </w:rPr>
        <w:t xml:space="preserve">Upload and Print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Three Months Ended 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Six Months Ended December 31,</w:t>
            </w:r>
          </w:p>
        </w:tc>
        <w:tc>
          <w:tcPr>
            <w:tcW w:w="1140" w:type="dxa"/>
            <w:vAlign w:val="bottom"/>
            <w:tcBorders>
              <w:bottom w:val="single" w:sz="8" w:color="auto"/>
            </w:tcBorders>
          </w:tcPr>
          <w:p>
            <w:pPr>
              <w:spacing w:after="0"/>
              <w:rPr>
                <w:sz w:val="15"/>
                <w:szCs w:val="15"/>
                <w:color w:val="auto"/>
              </w:rPr>
            </w:pPr>
          </w:p>
        </w:tc>
      </w:tr>
      <w:tr>
        <w:trPr>
          <w:trHeight w:val="254"/>
        </w:trPr>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auto"/>
              </w:rPr>
              <w:t>2018</w:t>
            </w:r>
          </w:p>
        </w:tc>
        <w:tc>
          <w:tcPr>
            <w:tcW w:w="2340" w:type="dxa"/>
            <w:vAlign w:val="bottom"/>
          </w:tcPr>
          <w:p>
            <w:pPr>
              <w:jc w:val="right"/>
              <w:ind w:right="797"/>
              <w:spacing w:after="0"/>
              <w:rPr>
                <w:sz w:val="20"/>
                <w:szCs w:val="20"/>
                <w:color w:val="auto"/>
              </w:rPr>
            </w:pPr>
            <w:r>
              <w:rPr>
                <w:rFonts w:ascii="Arial" w:cs="Arial" w:eastAsia="Arial" w:hAnsi="Arial"/>
                <w:sz w:val="13"/>
                <w:szCs w:val="13"/>
                <w:b w:val="1"/>
                <w:bCs w:val="1"/>
                <w:color w:val="auto"/>
              </w:rPr>
              <w:t>2017</w:t>
            </w: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2018 vs. 2017</w:t>
            </w:r>
          </w:p>
        </w:tc>
        <w:tc>
          <w:tcPr>
            <w:tcW w:w="1100" w:type="dxa"/>
            <w:vAlign w:val="bottom"/>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2260" w:type="dxa"/>
            <w:vAlign w:val="bottom"/>
          </w:tcPr>
          <w:p>
            <w:pPr>
              <w:jc w:val="right"/>
              <w:ind w:right="757"/>
              <w:spacing w:after="0"/>
              <w:rPr>
                <w:sz w:val="20"/>
                <w:szCs w:val="20"/>
                <w:color w:val="auto"/>
              </w:rPr>
            </w:pPr>
            <w:r>
              <w:rPr>
                <w:rFonts w:ascii="Arial" w:cs="Arial" w:eastAsia="Arial" w:hAnsi="Arial"/>
                <w:sz w:val="13"/>
                <w:szCs w:val="13"/>
                <w:b w:val="1"/>
                <w:bCs w:val="1"/>
                <w:color w:val="auto"/>
              </w:rPr>
              <w:t>2017</w:t>
            </w:r>
          </w:p>
        </w:tc>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2018 vs. 2017</w:t>
            </w:r>
          </w:p>
        </w:tc>
      </w:tr>
    </w:tbl>
    <w:p>
      <w:pPr>
        <w:spacing w:after="0" w:line="1" w:lineRule="exact"/>
        <w:rPr>
          <w:sz w:val="20"/>
          <w:szCs w:val="20"/>
          <w:color w:val="auto"/>
        </w:rPr>
      </w:pPr>
    </w:p>
    <w:p>
      <w:pPr>
        <w:sectPr>
          <w:pgSz w:w="11900" w:h="16838" w:orient="portrait"/>
          <w:cols w:equalWidth="0" w:num="2">
            <w:col w:w="1620" w:space="720"/>
            <w:col w:w="908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203,799</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192,527</w:t>
            </w: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375,964</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352,917</w:t>
            </w: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w:t>
            </w: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22,454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22,470</w:t>
            </w:r>
          </w:p>
        </w:tc>
        <w:tc>
          <w:tcPr>
            <w:tcW w:w="100" w:type="dxa"/>
            <w:vAlign w:val="bottom"/>
          </w:tcPr>
          <w:p>
            <w:pPr>
              <w:spacing w:after="0"/>
              <w:rPr>
                <w:sz w:val="22"/>
                <w:szCs w:val="22"/>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38,633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37,238</w:t>
            </w:r>
          </w:p>
        </w:tc>
        <w:tc>
          <w:tcPr>
            <w:tcW w:w="120" w:type="dxa"/>
            <w:vAlign w:val="bottom"/>
          </w:tcPr>
          <w:p>
            <w:pPr>
              <w:spacing w:after="0"/>
              <w:rPr>
                <w:sz w:val="22"/>
                <w:szCs w:val="22"/>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4%</w:t>
            </w: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Upload and Print's reported revenue growth for the three and six months ended December 31, 2018 was negatively affected by currency impacts of 3% and 2%, respectively, resulting in constant-currency growth of 9% in both periods. The Upload and Print constant-currency revenue growth was primarily driven by continued growth from our Easyflyer, Pixartprinting, Printdeal and WIRmachenDRUCK businesses. During the current periods, we continued to experience increased price-focused and advertising competition that we have been experiencing in recent quarters. We continue to believe we can outperform and outlast competitors in the long-term due to our geographic diversity, product selection, customer service, profitability and scale, but it requires a continued focus on innovation and cost reduction in this hyper-competitive space.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Upload and Print's segment profit for the three months ended December 31, 2018 decreased compared to the prior period, due in part to unfavorable currency impacts. Excluding the impacts of currency exchange rate fluctuations, segment profit increased, primarily due to incremental profits generated from the revenue growth described above and operating expense efficiencies in several of our businesses. Segment profit was negatively impacted by increased marketing costs, due to higher paid search costs, as described above, as well as increased paper prices during the period.</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During the six months ended December 31, 2018, segment profit increased due to incremental gross profits driven by the revenue growth described above and operating expense efficiencies in several businesses. These increases were partially offset by increased investments in technology, intended to improve the customer value proposition of each business in increasingly competitive markets, as well as negative impacts from currency movements.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1"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ind w:left="840"/>
              <w:spacing w:after="0"/>
              <w:rPr>
                <w:sz w:val="20"/>
                <w:szCs w:val="20"/>
                <w:color w:val="auto"/>
              </w:rPr>
            </w:pPr>
            <w:r>
              <w:rPr>
                <w:rFonts w:ascii="Arial" w:cs="Arial" w:eastAsia="Arial" w:hAnsi="Arial"/>
                <w:sz w:val="13"/>
                <w:szCs w:val="13"/>
                <w:b w:val="1"/>
                <w:bCs w:val="1"/>
                <w:color w:val="auto"/>
                <w:w w:val="99"/>
              </w:rPr>
              <w:t>Three Months Ended December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w w:val="97"/>
              </w:rPr>
              <w:t>Six Months Ended December 31,</w:t>
            </w:r>
          </w:p>
        </w:tc>
        <w:tc>
          <w:tcPr>
            <w:tcW w:w="1220" w:type="dxa"/>
            <w:vAlign w:val="bottom"/>
            <w:tcBorders>
              <w:bottom w:val="single" w:sz="8" w:color="auto"/>
            </w:tcBorders>
          </w:tcPr>
          <w:p>
            <w:pPr>
              <w:spacing w:after="0"/>
              <w:rPr>
                <w:sz w:val="21"/>
                <w:szCs w:val="21"/>
                <w:color w:val="auto"/>
              </w:rPr>
            </w:pPr>
          </w:p>
        </w:tc>
      </w:tr>
      <w:tr>
        <w:trPr>
          <w:trHeight w:val="183"/>
        </w:trPr>
        <w:tc>
          <w:tcPr>
            <w:tcW w:w="2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6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2018 vs. 2017</w:t>
            </w:r>
          </w:p>
        </w:tc>
        <w:tc>
          <w:tcPr>
            <w:tcW w:w="380" w:type="dxa"/>
            <w:vAlign w:val="bottom"/>
          </w:tcPr>
          <w:p>
            <w:pPr>
              <w:spacing w:after="0"/>
              <w:rPr>
                <w:sz w:val="15"/>
                <w:szCs w:val="15"/>
                <w:color w:val="auto"/>
              </w:rPr>
            </w:pPr>
          </w:p>
        </w:tc>
        <w:tc>
          <w:tcPr>
            <w:tcW w:w="1140" w:type="dxa"/>
            <w:vAlign w:val="bottom"/>
          </w:tcPr>
          <w:p>
            <w:pPr>
              <w:jc w:val="right"/>
              <w:ind w:right="54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220" w:type="dxa"/>
            <w:vAlign w:val="bottom"/>
          </w:tcPr>
          <w:p>
            <w:pPr>
              <w:ind w:left="200"/>
              <w:spacing w:after="0"/>
              <w:rPr>
                <w:sz w:val="20"/>
                <w:szCs w:val="20"/>
                <w:color w:val="auto"/>
              </w:rPr>
            </w:pPr>
            <w:r>
              <w:rPr>
                <w:rFonts w:ascii="Arial" w:cs="Arial" w:eastAsia="Arial" w:hAnsi="Arial"/>
                <w:sz w:val="13"/>
                <w:szCs w:val="13"/>
                <w:b w:val="1"/>
                <w:bCs w:val="1"/>
                <w:color w:val="auto"/>
              </w:rPr>
              <w:t>2018 vs. 2017</w:t>
            </w:r>
          </w:p>
        </w:tc>
      </w:tr>
      <w:tr>
        <w:trPr>
          <w:trHeight w:val="257"/>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132,951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126,098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198,922</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185,815</w:t>
            </w: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7%</w:t>
            </w: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60" w:type="dxa"/>
            <w:vAlign w:val="bottom"/>
          </w:tcPr>
          <w:p>
            <w:pPr>
              <w:jc w:val="right"/>
              <w:ind w:right="106"/>
              <w:spacing w:after="0"/>
              <w:rPr>
                <w:sz w:val="20"/>
                <w:szCs w:val="20"/>
                <w:color w:val="auto"/>
              </w:rPr>
            </w:pPr>
            <w:r>
              <w:rPr>
                <w:rFonts w:ascii="Arial" w:cs="Arial" w:eastAsia="Arial" w:hAnsi="Arial"/>
                <w:sz w:val="16"/>
                <w:szCs w:val="16"/>
                <w:color w:val="auto"/>
              </w:rPr>
              <w:t>24,862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17,645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85"/>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86"/>
              <w:spacing w:after="0"/>
              <w:rPr>
                <w:sz w:val="20"/>
                <w:szCs w:val="20"/>
                <w:color w:val="auto"/>
              </w:rPr>
            </w:pPr>
            <w:r>
              <w:rPr>
                <w:rFonts w:ascii="Arial" w:cs="Arial" w:eastAsia="Arial" w:hAnsi="Arial"/>
                <w:sz w:val="16"/>
                <w:szCs w:val="16"/>
                <w:color w:val="auto"/>
              </w:rPr>
              <w:t>6,826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18,830</w:t>
            </w:r>
          </w:p>
        </w:tc>
        <w:tc>
          <w:tcPr>
            <w:tcW w:w="120" w:type="dxa"/>
            <w:vAlign w:val="bottom"/>
          </w:tcPr>
          <w:p>
            <w:pPr>
              <w:spacing w:after="0"/>
              <w:rPr>
                <w:sz w:val="22"/>
                <w:szCs w:val="22"/>
                <w:color w:val="auto"/>
              </w:rPr>
            </w:pPr>
          </w:p>
        </w:tc>
        <w:tc>
          <w:tcPr>
            <w:tcW w:w="1220" w:type="dxa"/>
            <w:vAlign w:val="bottom"/>
          </w:tcPr>
          <w:p>
            <w:pPr>
              <w:jc w:val="right"/>
              <w:ind w:right="325"/>
              <w:spacing w:after="0"/>
              <w:rPr>
                <w:sz w:val="20"/>
                <w:szCs w:val="20"/>
                <w:color w:val="auto"/>
              </w:rPr>
            </w:pPr>
            <w:r>
              <w:rPr>
                <w:rFonts w:ascii="Arial" w:cs="Arial" w:eastAsia="Arial" w:hAnsi="Arial"/>
                <w:sz w:val="16"/>
                <w:szCs w:val="16"/>
                <w:color w:val="auto"/>
              </w:rPr>
              <w:t>(64)%</w:t>
            </w: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National Pen's reported revenue growth for the three and six months ended December 31, 2018 was negatively affected by currency impacts of 2% in both periods, resulting in constant-currency revenue growth of 7% and 9%, respectively. The constant-currency revenue growth was driven by increases across channels and geographies, but revenue growth slowed during the second quarter of fiscal 2019. Following strong performance in the prior fiscal year, we significantly increased our direct mail prospecting in the current fiscal year, which drove new customer growth. However, the payback did not meet our expectations, so we have reduced our plans for prospecting activities during the remainder of the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Segment profit increased $7.2 million for the three months ended December 31, 2018, compared to the prior period, primarily due to the adoption of the new revenue standard described in Note 2 of the accompanying consolidated financial statements. During the second quarter of fiscal 2019, the impact of the new standard resulted in direct mail advertising costs being $ 12.0 million lower than we would have recognized under the prior standard, primarily due to the earlier recognition of expense that occurred during the first quarter of fiscal 2019. The earlier recognition of costs during the first quarter were significantly higher than the second quarter, due to the seasonality and higher direct mail volume that occurs during that period. The impact of the new standard was partially offset by increased investment in new customer acquisition activities (both direct-mail prospecting and online advertising), which has not provided immediate returns to segment profitability.</w:t>
      </w:r>
    </w:p>
    <w:p>
      <w:pPr>
        <w:spacing w:after="0" w:line="180" w:lineRule="exact"/>
        <w:rPr>
          <w:sz w:val="20"/>
          <w:szCs w:val="20"/>
          <w:color w:val="auto"/>
        </w:rPr>
      </w:pPr>
    </w:p>
    <w:p>
      <w:pPr>
        <w:jc w:val="both"/>
        <w:ind w:right="160" w:firstLine="648"/>
        <w:spacing w:after="0" w:line="254" w:lineRule="auto"/>
        <w:rPr>
          <w:sz w:val="20"/>
          <w:szCs w:val="20"/>
          <w:color w:val="auto"/>
        </w:rPr>
      </w:pPr>
      <w:r>
        <w:rPr>
          <w:rFonts w:ascii="Arial" w:cs="Arial" w:eastAsia="Arial" w:hAnsi="Arial"/>
          <w:sz w:val="18"/>
          <w:szCs w:val="18"/>
          <w:color w:val="auto"/>
        </w:rPr>
        <w:t>Segment profit decreased $12.0 million for the six months ended December 31, 2018, as compared to the prior period, due in part to the adoption of the new revenue standard which resulted in a negative impact of $2.0 million as compared to the prior comparative period. In addition, segment profit was negatively impacted by the increased investment in new customer acquisition activities that are described above, as well as continued investment in e-commerce technology.</w:t>
      </w:r>
    </w:p>
    <w:p>
      <w:pPr>
        <w:sectPr>
          <w:pgSz w:w="11900" w:h="16838" w:orient="portrait"/>
          <w:cols w:equalWidth="0" w:num="1">
            <w:col w:w="11420"/>
          </w:cols>
          <w:pgMar w:left="240" w:top="549" w:right="239" w:bottom="1440" w:gutter="0" w:footer="0" w:header="0"/>
        </w:sectPr>
      </w:pPr>
    </w:p>
    <w:p>
      <w:pPr>
        <w:spacing w:after="0" w:line="155" w:lineRule="exact"/>
        <w:rPr>
          <w:sz w:val="20"/>
          <w:szCs w:val="20"/>
          <w:color w:val="auto"/>
        </w:rPr>
      </w:pPr>
    </w:p>
    <w:p>
      <w:pPr>
        <w:ind w:left="60" w:hanging="61"/>
        <w:spacing w:after="0" w:line="491" w:lineRule="auto"/>
        <w:rPr>
          <w:sz w:val="20"/>
          <w:szCs w:val="20"/>
          <w:color w:val="auto"/>
        </w:rPr>
      </w:pPr>
      <w:r>
        <w:rPr>
          <w:rFonts w:ascii="Arial" w:cs="Arial" w:eastAsia="Arial" w:hAnsi="Arial"/>
          <w:sz w:val="18"/>
          <w:szCs w:val="18"/>
          <w:b w:val="1"/>
          <w:bCs w:val="1"/>
          <w:i w:val="1"/>
          <w:iCs w:val="1"/>
          <w:color w:val="auto"/>
        </w:rPr>
        <w:t xml:space="preserve">All Other Businesses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Three Months Ended 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Six Months Ended December 31,</w:t>
            </w:r>
          </w:p>
        </w:tc>
        <w:tc>
          <w:tcPr>
            <w:tcW w:w="1140" w:type="dxa"/>
            <w:vAlign w:val="bottom"/>
            <w:tcBorders>
              <w:bottom w:val="single" w:sz="8" w:color="auto"/>
            </w:tcBorders>
          </w:tcPr>
          <w:p>
            <w:pPr>
              <w:spacing w:after="0"/>
              <w:rPr>
                <w:sz w:val="15"/>
                <w:szCs w:val="15"/>
                <w:color w:val="auto"/>
              </w:rPr>
            </w:pPr>
          </w:p>
        </w:tc>
      </w:tr>
      <w:tr>
        <w:trPr>
          <w:trHeight w:val="254"/>
        </w:trPr>
        <w:tc>
          <w:tcPr>
            <w:tcW w:w="1060" w:type="dxa"/>
            <w:vAlign w:val="bottom"/>
          </w:tcPr>
          <w:p>
            <w:pPr>
              <w:jc w:val="right"/>
              <w:ind w:right="97"/>
              <w:spacing w:after="0"/>
              <w:rPr>
                <w:sz w:val="20"/>
                <w:szCs w:val="20"/>
                <w:color w:val="auto"/>
              </w:rPr>
            </w:pPr>
            <w:r>
              <w:rPr>
                <w:rFonts w:ascii="Arial" w:cs="Arial" w:eastAsia="Arial" w:hAnsi="Arial"/>
                <w:sz w:val="13"/>
                <w:szCs w:val="13"/>
                <w:b w:val="1"/>
                <w:bCs w:val="1"/>
                <w:color w:val="auto"/>
              </w:rPr>
              <w:t>2018</w:t>
            </w:r>
          </w:p>
        </w:tc>
        <w:tc>
          <w:tcPr>
            <w:tcW w:w="2340" w:type="dxa"/>
            <w:vAlign w:val="bottom"/>
          </w:tcPr>
          <w:p>
            <w:pPr>
              <w:jc w:val="right"/>
              <w:ind w:right="777"/>
              <w:spacing w:after="0"/>
              <w:rPr>
                <w:sz w:val="20"/>
                <w:szCs w:val="20"/>
                <w:color w:val="auto"/>
              </w:rPr>
            </w:pPr>
            <w:r>
              <w:rPr>
                <w:rFonts w:ascii="Arial" w:cs="Arial" w:eastAsia="Arial" w:hAnsi="Arial"/>
                <w:sz w:val="13"/>
                <w:szCs w:val="13"/>
                <w:b w:val="1"/>
                <w:bCs w:val="1"/>
                <w:color w:val="auto"/>
              </w:rPr>
              <w:t>2017</w:t>
            </w: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2018 vs. 2017</w:t>
            </w:r>
          </w:p>
        </w:tc>
        <w:tc>
          <w:tcPr>
            <w:tcW w:w="1100" w:type="dxa"/>
            <w:vAlign w:val="bottom"/>
          </w:tcPr>
          <w:p>
            <w:pPr>
              <w:jc w:val="right"/>
              <w:ind w:right="117"/>
              <w:spacing w:after="0"/>
              <w:rPr>
                <w:sz w:val="20"/>
                <w:szCs w:val="20"/>
                <w:color w:val="auto"/>
              </w:rPr>
            </w:pPr>
            <w:r>
              <w:rPr>
                <w:rFonts w:ascii="Arial" w:cs="Arial" w:eastAsia="Arial" w:hAnsi="Arial"/>
                <w:sz w:val="13"/>
                <w:szCs w:val="13"/>
                <w:b w:val="1"/>
                <w:bCs w:val="1"/>
                <w:color w:val="auto"/>
              </w:rPr>
              <w:t>2018</w:t>
            </w:r>
          </w:p>
        </w:tc>
        <w:tc>
          <w:tcPr>
            <w:tcW w:w="2280" w:type="dxa"/>
            <w:vAlign w:val="bottom"/>
          </w:tcPr>
          <w:p>
            <w:pPr>
              <w:jc w:val="right"/>
              <w:ind w:right="737"/>
              <w:spacing w:after="0"/>
              <w:rPr>
                <w:sz w:val="20"/>
                <w:szCs w:val="20"/>
                <w:color w:val="auto"/>
              </w:rPr>
            </w:pPr>
            <w:r>
              <w:rPr>
                <w:rFonts w:ascii="Arial" w:cs="Arial" w:eastAsia="Arial" w:hAnsi="Arial"/>
                <w:sz w:val="13"/>
                <w:szCs w:val="13"/>
                <w:b w:val="1"/>
                <w:bCs w:val="1"/>
                <w:color w:val="auto"/>
              </w:rPr>
              <w:t>2017</w:t>
            </w:r>
          </w:p>
        </w:tc>
        <w:tc>
          <w:tcPr>
            <w:tcW w:w="1140" w:type="dxa"/>
            <w:vAlign w:val="bottom"/>
          </w:tcPr>
          <w:p>
            <w:pPr>
              <w:ind w:left="140"/>
              <w:spacing w:after="0"/>
              <w:rPr>
                <w:sz w:val="20"/>
                <w:szCs w:val="20"/>
                <w:color w:val="auto"/>
              </w:rPr>
            </w:pPr>
            <w:r>
              <w:rPr>
                <w:rFonts w:ascii="Arial" w:cs="Arial" w:eastAsia="Arial" w:hAnsi="Arial"/>
                <w:sz w:val="13"/>
                <w:szCs w:val="13"/>
                <w:b w:val="1"/>
                <w:bCs w:val="1"/>
                <w:color w:val="auto"/>
              </w:rPr>
              <w:t>2018 vs. 2017</w:t>
            </w:r>
          </w:p>
        </w:tc>
      </w:tr>
    </w:tbl>
    <w:p>
      <w:pPr>
        <w:spacing w:after="0" w:line="1" w:lineRule="exact"/>
        <w:rPr>
          <w:sz w:val="20"/>
          <w:szCs w:val="20"/>
          <w:color w:val="auto"/>
        </w:rPr>
      </w:pPr>
    </w:p>
    <w:p>
      <w:pPr>
        <w:sectPr>
          <w:pgSz w:w="11900" w:h="16838" w:orient="portrait"/>
          <w:cols w:equalWidth="0" w:num="2">
            <w:col w:w="1820" w:space="460"/>
            <w:col w:w="914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61,827</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20,994</w:t>
            </w: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194%</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80,715</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49,048</w:t>
            </w: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65%</w:t>
            </w:r>
          </w:p>
        </w:tc>
      </w:tr>
      <w:tr>
        <w:trPr>
          <w:trHeight w:val="260"/>
        </w:trPr>
        <w:tc>
          <w:tcPr>
            <w:tcW w:w="2280" w:type="dxa"/>
            <w:vAlign w:val="bottom"/>
          </w:tcPr>
          <w:p>
            <w:pPr>
              <w:ind w:left="40"/>
              <w:spacing w:after="0"/>
              <w:rPr>
                <w:sz w:val="20"/>
                <w:szCs w:val="20"/>
                <w:color w:val="auto"/>
              </w:rPr>
            </w:pPr>
            <w:r>
              <w:rPr>
                <w:rFonts w:ascii="Arial" w:cs="Arial" w:eastAsia="Arial" w:hAnsi="Arial"/>
                <w:sz w:val="16"/>
                <w:szCs w:val="16"/>
                <w:color w:val="auto"/>
              </w:rPr>
              <w:t>Segment Loss</w:t>
            </w:r>
          </w:p>
        </w:tc>
        <w:tc>
          <w:tcPr>
            <w:tcW w:w="46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(7,582)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(8,566)</w:t>
            </w:r>
          </w:p>
        </w:tc>
        <w:tc>
          <w:tcPr>
            <w:tcW w:w="100" w:type="dxa"/>
            <w:vAlign w:val="bottom"/>
          </w:tcPr>
          <w:p>
            <w:pPr>
              <w:spacing w:after="0"/>
              <w:rPr>
                <w:sz w:val="22"/>
                <w:szCs w:val="22"/>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(17,153)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(16,117)</w:t>
            </w:r>
          </w:p>
        </w:tc>
        <w:tc>
          <w:tcPr>
            <w:tcW w:w="120" w:type="dxa"/>
            <w:vAlign w:val="bottom"/>
          </w:tcPr>
          <w:p>
            <w:pPr>
              <w:spacing w:after="0"/>
              <w:rPr>
                <w:sz w:val="22"/>
                <w:szCs w:val="22"/>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(6)%</w:t>
            </w: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(33)%</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All Other Businesses segment includes VIDA results since the acquisition date of July 2, 2018, BuildASign since the acquisition date of October 1, 2018, and Albumprinter results through the divestiture date of August 31, 2017. With the exception of BuildASign which is a larger and profitable business, this segment consists of multiple small, rapidly evolving early-stage businesses by which Cimpress is expanding to new markets. These businesses are subject to high degrees of risk and we expect that each of their business models will rapidly evolve in function of future trials and entrepreneurial pivoting. Therefore, in all of these businesses we continue to operate at an operating loss as previously described and as planned, and we expect to continue to do so in the next several years.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49"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The All Other Businesses segment revenue increase was the result of including the results of BuildASign since the acquisition date of October 1, 2018. Organic constant-currency growth, excluding the impacts of the Albumprinter, Digipri (a former part of our Japan business), VIDA, and BuildASign businesses, was 17% and 22% for the three and six months ended December 31, 2018, respectively, driven by continued growth in the remaining businesses in the segment. A few of the early stage businesses in this segment delivered lower revenue growth during the current quarter, albeit off of small bases. We are continuing to pivot and evolve these business models as we learn more about the markets they serve, and expect fluctuations in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All Other Businesses segment loss improved by $1.0 million during the three months ended December 31, 2018, but worsened by $1.0 million for six months ended December 31, 2018, respectively, as compared to the prior periods. This was primarily due to the addition of BuildASign, which we acquired on October 1, 2018 and contributed $4.6 million of segment profit, as well as currency-related benefits, partially offset by the inclusion of VIDA operating losses. For the six months ended December 31, 2018, the segment loss was negatively impacted by the divestiture of our Albumprinter business, which contributed $1.7 million of segment profit in the first quarter of fiscal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and Corporate Costs</w:t>
      </w:r>
    </w:p>
    <w:p>
      <w:pPr>
        <w:spacing w:after="0" w:line="220"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Central and corporate costs consists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Central and corporate costs decreased by $17.5 million and $13.6 million during the three and six months ended December 31, 2018, respectively, driven primarily by the reversal of cumulative expense recognized through the first quarter of fiscal 2019 for our supplemental PSUs and related supplemental performance cash awards. This decrease was partially offset by an increase in central technology investments and central operating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3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205,490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176,742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(349,508)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35,934</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149,861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(213,741)</w:t>
            </w:r>
          </w:p>
        </w:tc>
      </w:tr>
    </w:tbl>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At December 31, 2018, we had $ 48.3 million of cash and cash equivalents and $1,060.3 million of debt, excluding debt issuance costs and debt discounts. We expect cash and cash equivalents and debt levels to fluctuate over time depending on our working capital needs, our organic investment levels, share repurchases and acquisition activity. We increased our debt in October 2018 when we completed the acquisition of BuildASign for $275.1 million, which was funded via proceeds from our senior secured credit facility.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six months ended December 31, 2018 related primarily to the following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of $54.0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3" w:right="239" w:bottom="1440" w:gutter="0" w:footer="0" w:header="0"/>
        </w:sectPr>
      </w:pPr>
    </w:p>
    <w:bookmarkStart w:id="43" w:name="page44"/>
    <w:bookmarkEnd w:id="43"/>
    <w:p>
      <w:pPr>
        <w:jc w:val="both"/>
        <w:ind w:left="660" w:right="360" w:hanging="328"/>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Adjustments for non-cash items of $89.8 million primarily related to positive adjustments for depreciation and amortization of $85.2 million, share-based compensation costs of $6.2 million and non-cash tax related items of $8.2 million, partially offset by unrealized currency-related gains of $12.2 million</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of debt of $216.5 million, net of payments and debt issuance costs</w:t>
      </w:r>
    </w:p>
    <w:p>
      <w:pPr>
        <w:spacing w:after="0" w:line="19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changes in operating assets and liabilities were a source of cash during the period, driven by increases in accounts payable and accrued expenses, as well as decreases in inventory after our seasonally strong second quarter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right="14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of $38.8 million of which the majority related to the purchase of manufacturing and automation equipment for our production facilities, and computer and office equipment</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for acquisitions of $289.3 million, net of cash acquired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for the purchase of a non-controlling interest of $41.2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$21.9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Purchases of our ordinary shares for $14.0 million</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for capital lease arrangements of $8.8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of $3.4 million paid to non-controlling interest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$2.1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related to our recent restructuring actions of $1.7 million</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six months ended December 31, 2018, we financed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strategic investments through internally generated cash flows from operations and debt financing. As of December 31, 2018, a significant portion of our cash and cash equivalents were held by our subsidiaries, and undistributed earnings of our subsidiaries that are considered to be indefinitely reinvested were $31.0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2"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As of December 31, 2018, we had aggregate loan commitments from our senior secured credit facility totaling $1,113.2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commitments consisted of revolving loans of $839.4 million and term loans of $ 273.8 million. We have other financial obligations that constitute additional indebtedness based on the definitions within the credit facility. As of December 31, 2018, the amount available for borrowing under our senior secured credit facility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aggregate available for borrowing</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1,113,172</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borrowings of senior secured credit facility</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(650,107)</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amount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463,065</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Limitations to borrowing due to debt covenants and other obligations (1)</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(39,144)</w:t>
            </w:r>
          </w:p>
        </w:tc>
        <w:tc>
          <w:tcPr>
            <w:tcW w:w="0" w:type="dxa"/>
            <w:vAlign w:val="bottom"/>
          </w:tcPr>
          <w:p>
            <w:pPr>
              <w:spacing w:after="0"/>
              <w:rPr>
                <w:sz w:val="1"/>
                <w:szCs w:val="1"/>
                <w:color w:val="auto"/>
              </w:rPr>
            </w:pP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available for borrowing as of December 31, 2018 (2)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423,921</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9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1" w:right="239" w:bottom="1440" w:gutter="0" w:footer="0" w:header="0"/>
        </w:sectPr>
      </w:pPr>
    </w:p>
    <w:bookmarkStart w:id="44" w:name="page45"/>
    <w:bookmarkEnd w:id="44"/>
    <w:p>
      <w:pPr>
        <w:ind w:right="380" w:firstLine="648"/>
        <w:spacing w:after="0" w:line="254" w:lineRule="auto"/>
        <w:rPr>
          <w:sz w:val="20"/>
          <w:szCs w:val="20"/>
          <w:color w:val="auto"/>
        </w:rPr>
      </w:pPr>
      <w:r>
        <w:rPr>
          <w:rFonts w:ascii="Arial" w:cs="Arial" w:eastAsia="Arial" w:hAnsi="Arial"/>
          <w:sz w:val="18"/>
          <w:szCs w:val="18"/>
          <w:color w:val="auto"/>
        </w:rPr>
        <w:t>On January 7, 2019, we executed an amendment to our senior secured credit facility that expanded the total capacity to $ 1,613.2 million, which includes $1,087.3 million of revolving loans and $525.9 million of term loans. We expect to use our expanded credit facility to fund investments intended to support our long-term growth strategy. The incremental term loan proceeds are approximately half of the total capacity increase, were used to repay a portion of our outstanding revolving loans. Refer to Note 9 for additional details.</w:t>
      </w:r>
    </w:p>
    <w:p>
      <w:pPr>
        <w:spacing w:after="0" w:line="159"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and senior unsecured notes indenture contain financial and other covenants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warranties and events of default, which are detailed in Note 9 of the accompanying consolidated financial statements. As of December 31, 2018, we were in compliance with all financial and other covenants under the credit agreement and senior unsecured notes indenture.</w:t>
      </w:r>
    </w:p>
    <w:p>
      <w:pPr>
        <w:spacing w:after="0" w:line="153"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i w:val="1"/>
          <w:iCs w:val="1"/>
          <w:color w:val="auto"/>
        </w:rPr>
        <w:t>Other debt</w:t>
      </w:r>
      <w:r>
        <w:rPr>
          <w:rFonts w:ascii="Arial" w:cs="Arial" w:eastAsia="Arial" w:hAnsi="Arial"/>
          <w:sz w:val="18"/>
          <w:szCs w:val="18"/>
          <w:color w:val="auto"/>
        </w:rPr>
        <w:t>. Other debt primarily consists of term loans acquired through our various acquisitions. As of December 31, 2018 we had</w:t>
      </w:r>
      <w:r>
        <w:rPr>
          <w:rFonts w:ascii="Arial" w:cs="Arial" w:eastAsia="Arial" w:hAnsi="Arial"/>
          <w:sz w:val="18"/>
          <w:szCs w:val="18"/>
          <w:i w:val="1"/>
          <w:iCs w:val="1"/>
          <w:color w:val="auto"/>
        </w:rPr>
        <w:t xml:space="preserve"> </w:t>
      </w:r>
      <w:r>
        <w:rPr>
          <w:rFonts w:ascii="Arial" w:cs="Arial" w:eastAsia="Arial" w:hAnsi="Arial"/>
          <w:sz w:val="18"/>
          <w:szCs w:val="18"/>
          <w:color w:val="auto"/>
        </w:rPr>
        <w:t>$10.2 million outstanding for other debt payable through September 2024.</w:t>
      </w:r>
    </w:p>
    <w:p>
      <w:pPr>
        <w:spacing w:after="0" w:line="2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Our expectations for fiscal year 2019. </w:t>
      </w:r>
      <w:r>
        <w:rPr>
          <w:rFonts w:ascii="Arial" w:cs="Arial" w:eastAsia="Arial" w:hAnsi="Arial"/>
          <w:sz w:val="18"/>
          <w:szCs w:val="18"/>
          <w:color w:val="auto"/>
        </w:rPr>
        <w:t>We believe that our available cash, cash flows generated from operations, and cash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committed debt financing will be sufficient to satisfy our liabilities and planned investments to support our long-term growth strategy. Over time we endeavor to invest large amounts of capital that we believe will generate returns that are above, or well above, our weighted average cost of capital. We consider any use of cash that we expect to require more than twelve months to return our invested capital to be an allocation of capital. For fiscal 2019, we expect to continue to evaluate opportunities to allocate capital across a spectrum of organic investments, purchases of our ordinary shares, corporate acquisitions and similar investments, and reductions of debt. We have targeted a capital structure that we believe balances both efficiency and flexibility. We do not have a specific financial leverage target, but rather will be guided by the availability of attractive opportunities while not putting at risk our ability to comfortably meet our quarterly maintenance covenants on our debt.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December 31, 2018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40"/>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44"/>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43"/>
              <w:spacing w:after="0" w:line="135" w:lineRule="exact"/>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5</w:t>
            </w:r>
          </w:p>
        </w:tc>
      </w:tr>
      <w:tr>
        <w:trPr>
          <w:trHeight w:val="178"/>
        </w:trPr>
        <w:tc>
          <w:tcPr>
            <w:tcW w:w="4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w w:val="99"/>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4"/>
              </w:rPr>
              <w:t>years</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net of subleases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87,791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25,739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34,536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17,903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9,613</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Build-to-suit lease</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90,396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25,139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22,466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30,222</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65,505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56,273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Senior unsecured notes and interest payments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608,833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28,000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468,833</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debt and interest payments (1)</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776,538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78,526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133,608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564,258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146</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29,030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12,322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11,837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2,933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1,938</w:t>
            </w: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6,780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5,666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color w:val="auto"/>
              </w:rPr>
              <w:t>Total (2)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1,664,873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219,095</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271,280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663,746</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510,752</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320" w:hanging="252"/>
        <w:spacing w:after="0" w:line="250"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debt and interest payments include the effects of interest rate swaps, whether they are expected to be payments or receipts of cash. We have excluded the effect of interest rate swaps of $1.1 million within the more than five years category above as that period extends beyond the term of our debt and the interest rate swaps do not yet offset contractual interest payments.</w:t>
      </w:r>
    </w:p>
    <w:p>
      <w:pPr>
        <w:spacing w:after="0" w:line="64" w:lineRule="exact"/>
        <w:rPr>
          <w:rFonts w:ascii="Arial" w:cs="Arial" w:eastAsia="Arial" w:hAnsi="Arial"/>
          <w:sz w:val="14"/>
          <w:szCs w:val="14"/>
          <w:color w:val="auto"/>
        </w:rPr>
      </w:pPr>
    </w:p>
    <w:p>
      <w:pPr>
        <w:ind w:left="260" w:right="40" w:hanging="252"/>
        <w:spacing w:after="0" w:line="247"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$5.6 million as of December 31, 2018 have been excluded from the contractual obligations table above. For further information on uncertain tax positions, see Note 10 to the accompanying consolidated financial statements.</w:t>
      </w:r>
    </w:p>
    <w:p>
      <w:pPr>
        <w:spacing w:after="0" w:line="151" w:lineRule="exact"/>
        <w:rPr>
          <w:sz w:val="20"/>
          <w:szCs w:val="20"/>
          <w:color w:val="auto"/>
        </w:rPr>
      </w:pPr>
    </w:p>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2026.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$87.8 million. The terms of certain lease agreements require security deposits in the form of bank guarantees and letters of credit in the amount of $2.5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Build-to-suit lease. </w:t>
      </w:r>
      <w:r>
        <w:rPr>
          <w:rFonts w:ascii="Arial" w:cs="Arial" w:eastAsia="Arial" w:hAnsi="Arial"/>
          <w:sz w:val="18"/>
          <w:szCs w:val="18"/>
          <w:color w:val="auto"/>
        </w:rPr>
        <w:t>Represents the cash payments for our leased facility in Waltham, Massachusetts, USA.</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1" w:right="239" w:bottom="1440" w:gutter="0" w:footer="0" w:header="0"/>
        </w:sectPr>
      </w:pPr>
    </w:p>
    <w:bookmarkStart w:id="45" w:name="page46"/>
    <w:bookmarkEnd w:id="45"/>
    <w:p>
      <w:pPr>
        <w:ind w:right="20" w:firstLine="662"/>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December 31, 2018, we had unrecorded commitments under contract of $65.5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web services of $13.2 million, inventory purchase commitments of $22.8 million, production and computer equipment purchases of approximately $7.1 million, commitments for professional and consulting fees of $2.4 million, commitments for advertising campaigns of $3.1 million, and other unrecorded purchase commitments of $16.9 million.</w:t>
      </w:r>
    </w:p>
    <w:p>
      <w:pPr>
        <w:spacing w:after="0" w:line="153" w:lineRule="exact"/>
        <w:rPr>
          <w:sz w:val="20"/>
          <w:szCs w:val="20"/>
          <w:color w:val="auto"/>
        </w:rPr>
      </w:pPr>
    </w:p>
    <w:p>
      <w:pPr>
        <w:ind w:right="12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2026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June 15, 2026. Interest on the notes is payable semi-annually on June 15 and December 15 of each year and has been included in the table above.</w:t>
      </w:r>
    </w:p>
    <w:p>
      <w:pPr>
        <w:spacing w:after="0" w:line="149" w:lineRule="exact"/>
        <w:rPr>
          <w:sz w:val="20"/>
          <w:szCs w:val="20"/>
          <w:color w:val="auto"/>
        </w:rPr>
      </w:pPr>
    </w:p>
    <w:p>
      <w:pPr>
        <w:ind w:right="260" w:firstLine="662"/>
        <w:spacing w:after="0" w:line="257"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December 31, 2018, the term loans of $273.8 million outstanding under our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repayments due on various dates through June 14, 2023, with the revolving loans outstanding under our $839.4 million revolving credit facility due on June 14, 2023. Interest payable included in this table is based on the interest rate as of December 31, 2018 and assumes all LIBOR based revolving loan amounts outstanding will not be paid until maturity, but that the term loan amortization payments will be made according to our defined schedule and all Prime rate based revolving loan amounts will be paid within a year. Interest payable includes the estimated impact of our interest rate swap agreements.</w:t>
      </w:r>
    </w:p>
    <w:p>
      <w:pPr>
        <w:spacing w:after="0" w:line="174" w:lineRule="exact"/>
        <w:rPr>
          <w:sz w:val="20"/>
          <w:szCs w:val="20"/>
          <w:color w:val="auto"/>
        </w:rPr>
      </w:pPr>
    </w:p>
    <w:p>
      <w:pPr>
        <w:ind w:right="400" w:firstLine="662"/>
        <w:spacing w:after="0" w:line="256" w:lineRule="auto"/>
        <w:rPr>
          <w:sz w:val="20"/>
          <w:szCs w:val="20"/>
          <w:color w:val="auto"/>
        </w:rPr>
      </w:pPr>
      <w:r>
        <w:rPr>
          <w:rFonts w:ascii="Arial" w:cs="Arial" w:eastAsia="Arial" w:hAnsi="Arial"/>
          <w:sz w:val="18"/>
          <w:szCs w:val="18"/>
          <w:color w:val="auto"/>
        </w:rPr>
        <w:t>In addition, we have other debt which consists primarily of debt assumed as part of certain of our past acquisitions, and as of December 31, 2018 we had $10.2 million outstanding for those obligations that have repayments due on various dates through September 2024.</w:t>
      </w:r>
    </w:p>
    <w:p>
      <w:pPr>
        <w:spacing w:after="0" w:line="157" w:lineRule="exact"/>
        <w:rPr>
          <w:sz w:val="20"/>
          <w:szCs w:val="20"/>
          <w:color w:val="auto"/>
        </w:rPr>
      </w:pPr>
    </w:p>
    <w:p>
      <w:pPr>
        <w:ind w:right="180" w:firstLine="662"/>
        <w:spacing w:after="0" w:line="258"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December 31, 2018, is $ 33.1 million, net of accumulated depreciation of $38.0 million. The present value of lease installments not yet due included in other current liabilities and other liabilities in our consolidated balance sheet at December 31, 2018 amounts to $28.3 million.</w:t>
      </w:r>
    </w:p>
    <w:p>
      <w:pPr>
        <w:spacing w:after="0" w:line="157" w:lineRule="exact"/>
        <w:rPr>
          <w:sz w:val="20"/>
          <w:szCs w:val="20"/>
          <w:color w:val="auto"/>
        </w:rPr>
      </w:pPr>
    </w:p>
    <w:p>
      <w:pPr>
        <w:ind w:right="120" w:firstLine="662"/>
        <w:spacing w:after="0" w:line="261" w:lineRule="auto"/>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deferred payments related to previous acquisitions of $5.7 million in the aggregate.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an installment obligation of $ 1.1 million related to the fiscal 2012 intra-entity transfer of the intellectual property of our subsidiary Webs, Inc., which resulted in tax being paid over a 7.5 year term and has been classified as a deferred tax liability in our consolidated balance sheet as of December 31,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Adjusted net operating profit (NOP) and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 expense, restructuring charges, and the gain on purchase or sale of subsidiaries. The interest expense associated with our Waltham, Massachusetts lease, as well as realized gains (losses) on currency derivative contracts that do not qualify for hedge accounting, are included in Adjusted NOP.</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Adjusted NOP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3" w:right="239" w:bottom="1440" w:gutter="0" w:footer="0" w:header="0"/>
        </w:sectPr>
      </w:pPr>
    </w:p>
    <w:bookmarkStart w:id="46" w:name="page47"/>
    <w:bookmarkEnd w:id="46"/>
    <w:p>
      <w:pPr>
        <w:ind w:right="40" w:firstLine="648"/>
        <w:spacing w:after="0" w:line="253" w:lineRule="auto"/>
        <w:rPr>
          <w:sz w:val="20"/>
          <w:szCs w:val="20"/>
          <w:color w:val="auto"/>
        </w:rPr>
      </w:pPr>
      <w:r>
        <w:rPr>
          <w:rFonts w:ascii="Arial" w:cs="Arial" w:eastAsia="Arial" w:hAnsi="Arial"/>
          <w:sz w:val="18"/>
          <w:szCs w:val="18"/>
          <w:color w:val="auto"/>
        </w:rPr>
        <w:t>Free cash flow is used by management to assess the cash flow generation of the company. Free cash flow is defined as net cash provided by operating activities less purchases of property, plant and equipment, purchases of intangible assets not related to acquisitions, and capitalization of software and website development costs, plus payment of contingent consideration in excess of acquisition-date fair value and gains on proceeds from insurance, if any. The primary financial metric by which we set quarterly and annual budgets both for individual businesses and Cimpress-wide is our free cash flow prior to cash interest costs.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operating income and adjusted net operating profit for the three and six months ended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1"/>
                <w:szCs w:val="21"/>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40" w:type="dxa"/>
            <w:vAlign w:val="bottom"/>
          </w:tcPr>
          <w:p>
            <w:pPr>
              <w:spacing w:after="0"/>
              <w:rPr>
                <w:sz w:val="21"/>
                <w:szCs w:val="21"/>
                <w:color w:val="auto"/>
              </w:rPr>
            </w:pPr>
          </w:p>
        </w:tc>
        <w:tc>
          <w:tcPr>
            <w:tcW w:w="2720" w:type="dxa"/>
            <w:vAlign w:val="bottom"/>
            <w:gridSpan w:val="4"/>
          </w:tcPr>
          <w:p>
            <w:pPr>
              <w:jc w:val="right"/>
              <w:ind w:right="461"/>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 (1)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90,615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72,709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84,627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119,322</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14,913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25,300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Earn-out related charges (2)</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related charges</w:t>
            </w:r>
          </w:p>
        </w:tc>
        <w:tc>
          <w:tcPr>
            <w:tcW w:w="3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12,355</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Less: Gains on the purchase or sale of subsidiaries (3)</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(48,380)</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 Realized gains (losses) on certain currency derivatives not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included in operating (loss) income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Adjusted NOP (1)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115,060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93,675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120,370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104,081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60" w:right="180" w:hanging="252"/>
        <w:spacing w:after="0" w:line="247" w:lineRule="auto"/>
        <w:tabs>
          <w:tab w:leader="none" w:pos="2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During the first quarter of fiscal 2019, we adopted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is the new revenue standard described in Note 2 of the accompanying consolidated financial statements. We applied the new standard under the modified retrospective method, in which we did not apply the new standard to the prior comparable period. The adoption of the new standard resulted in lower direct mail advertising costs within our National Pen business during the three months ended December 31, 2018 of $12.0 million, as compared to the prior comparative period, due to the earlier recognition of costs during the first quarter of fiscal 2019. During the six months ended December 31, 2018, the new standard had a negative impact on operating income and adjusted NOP of $2.0 million</w:t>
      </w:r>
      <w:r>
        <w:rPr>
          <w:rFonts w:ascii="Arial" w:cs="Arial" w:eastAsia="Arial" w:hAnsi="Arial"/>
          <w:sz w:val="14"/>
          <w:szCs w:val="14"/>
          <w:i w:val="1"/>
          <w:iCs w:val="1"/>
          <w:color w:val="auto"/>
        </w:rPr>
        <w:t>,</w:t>
      </w:r>
      <w:r>
        <w:rPr>
          <w:rFonts w:ascii="Arial" w:cs="Arial" w:eastAsia="Arial" w:hAnsi="Arial"/>
          <w:sz w:val="14"/>
          <w:szCs w:val="14"/>
          <w:color w:val="auto"/>
        </w:rPr>
        <w:t xml:space="preserve">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42" w:lineRule="exact"/>
        <w:rPr>
          <w:rFonts w:ascii="Arial" w:cs="Arial" w:eastAsia="Arial" w:hAnsi="Arial"/>
          <w:sz w:val="14"/>
          <w:szCs w:val="14"/>
          <w:color w:val="auto"/>
        </w:rPr>
      </w:pPr>
    </w:p>
    <w:p>
      <w:pPr>
        <w:ind w:left="260" w:right="100" w:hanging="252"/>
        <w:spacing w:after="0" w:line="258" w:lineRule="auto"/>
        <w:tabs>
          <w:tab w:leader="none" w:pos="2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32" w:lineRule="exact"/>
        <w:rPr>
          <w:rFonts w:ascii="Arial" w:cs="Arial" w:eastAsia="Arial" w:hAnsi="Arial"/>
          <w:sz w:val="14"/>
          <w:szCs w:val="14"/>
          <w:color w:val="auto"/>
        </w:rPr>
      </w:pPr>
    </w:p>
    <w:p>
      <w:pPr>
        <w:jc w:val="both"/>
        <w:ind w:left="260" w:right="240" w:hanging="252"/>
        <w:spacing w:after="0" w:line="250" w:lineRule="auto"/>
        <w:tabs>
          <w:tab w:leader="none" w:pos="2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 "Goodwill or Gain from Bargain Purchase" for an acquisition in which the identifiable assets acquired and liabilities assumed are greater than the consideration transferred, that was recognized in general and administrative expense in our consolidated statement of operations during the six months ended December 31, 2018.</w:t>
      </w:r>
    </w:p>
    <w:p>
      <w:pPr>
        <w:spacing w:after="0" w:line="248"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table below sets forth net cash provided by operating activities and free cash flow for the six months ended December 31, 2018 and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205,490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176,742</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(38,674)</w:t>
            </w:r>
          </w:p>
        </w:tc>
      </w:tr>
      <w:tr>
        <w:trPr>
          <w:trHeight w:val="47"/>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(18,114)</w:t>
            </w:r>
          </w:p>
        </w:tc>
      </w:tr>
      <w:tr>
        <w:trPr>
          <w:trHeight w:val="47"/>
        </w:trPr>
        <w:tc>
          <w:tcPr>
            <w:tcW w:w="8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3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144,780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119,676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40" w:firstLine="662"/>
        <w:spacing w:after="0" w:line="262" w:lineRule="auto"/>
        <w:rPr>
          <w:sz w:val="20"/>
          <w:szCs w:val="20"/>
          <w:color w:val="auto"/>
        </w:rPr>
      </w:pPr>
      <w:r>
        <w:rPr>
          <w:rFonts w:ascii="Arial" w:cs="Arial" w:eastAsia="Arial" w:hAnsi="Arial"/>
          <w:sz w:val="18"/>
          <w:szCs w:val="18"/>
          <w:color w:val="auto"/>
        </w:rPr>
        <w:t>As of December 31, 2018,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40" w:firstLine="662"/>
        <w:spacing w:after="0" w:line="252" w:lineRule="auto"/>
        <w:rPr>
          <w:sz w:val="20"/>
          <w:szCs w:val="20"/>
          <w:color w:val="auto"/>
        </w:rPr>
      </w:pPr>
      <w:r>
        <w:rPr>
          <w:rFonts w:ascii="Arial" w:cs="Arial" w:eastAsia="Arial" w:hAnsi="Arial"/>
          <w:sz w:val="18"/>
          <w:szCs w:val="18"/>
          <w:color w:val="auto"/>
        </w:rPr>
        <w:t>As of December 31, 2018, we had $650.1 million of variable-rate debt and $1.1 million of variable rate installment obligation related to the fiscal 2012 intra-entity transfer of Webs' intellectual property.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December 31, 2018, a hypothetical 100 basis point increase in rates, inclusive of our outstanding interest rate swaps, would result in an increase to interest expense of approximately $3.5 million over the next 12 months.</w:t>
      </w:r>
    </w:p>
    <w:p>
      <w:pPr>
        <w:spacing w:after="0" w:line="164"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2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1"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20"/>
        <w:spacing w:after="0" w:line="254" w:lineRule="auto"/>
        <w:rPr>
          <w:rFonts w:ascii="Arial" w:cs="Arial" w:eastAsia="Arial" w:hAnsi="Arial"/>
          <w:sz w:val="18"/>
          <w:szCs w:val="18"/>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5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2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35" w:right="259" w:bottom="1440" w:gutter="0" w:footer="0" w:header="0"/>
        </w:sectPr>
      </w:pPr>
    </w:p>
    <w:bookmarkStart w:id="48" w:name="page49"/>
    <w:bookmarkEnd w:id="48"/>
    <w:p>
      <w:pPr>
        <w:ind w:left="660"/>
        <w:spacing w:after="0" w:line="299" w:lineRule="auto"/>
        <w:rPr>
          <w:sz w:val="20"/>
          <w:szCs w:val="20"/>
          <w:color w:val="auto"/>
        </w:rPr>
      </w:pPr>
      <w:r>
        <w:rPr>
          <w:rFonts w:ascii="Arial" w:cs="Arial" w:eastAsia="Arial" w:hAnsi="Arial"/>
          <w:sz w:val="18"/>
          <w:szCs w:val="18"/>
          <w:color w:val="auto"/>
        </w:rPr>
        <w:t>group because they are either 1) U.S. dollar loans or 2) we elect to hedge certain non-U.S. dollar loans with cross 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 currency swaps designated as cash flow hedges. A hypothetical decrease in exchange rates of 10% against the functional currency of our subsidiaries would have resulted in an increase of $29.6 million and $34.6 million on our income before income taxes for the three months ended December 31,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2018.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December 31, 2018 that materially affected, or are reasonably likely to materially affect, our internal control over financial reporting.</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598" w:right="29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22"/>
          <w:szCs w:val="22"/>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the following, among others:</w:t>
      </w:r>
    </w:p>
    <w:p>
      <w:pPr>
        <w:spacing w:after="0" w:line="19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develop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address inefficiencies and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72" w:right="319" w:bottom="1440" w:gutter="0" w:footer="0" w:header="0"/>
        </w:sectPr>
      </w:pPr>
    </w:p>
    <w:bookmarkStart w:id="50" w:name="page51"/>
    <w:bookmarkEnd w:id="50"/>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cash flow, and value may not grow as anticipated, be negatively impacted, or decline,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sell most of our products and services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online include the following:</w:t>
      </w:r>
    </w:p>
    <w:p>
      <w:pPr>
        <w:spacing w:after="0" w:line="20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desire to support and buy from local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limited access to the Internet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decline. Designing and purchasing custom designed products on a smart phone, tablet, or other mobile device is more difficult than doing so with a traditional computer due to limited screen sizes and bandwidth constraints, and we are seeing that customers' increased use of mobile devices to access and use our websites and technologies is having a negative impact on conversion rates, especially in our Vistaprint business, which can lead to a decline in revenue.</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98" w:right="279" w:bottom="1440" w:gutter="0" w:footer="0" w:header="0"/>
        </w:sectPr>
      </w:pPr>
    </w:p>
    <w:bookmarkStart w:id="51" w:name="page52"/>
    <w:bookmarkEnd w:id="51"/>
    <w:p>
      <w:pPr>
        <w:ind w:right="60"/>
        <w:spacing w:after="0" w:line="254" w:lineRule="auto"/>
        <w:rPr>
          <w:sz w:val="20"/>
          <w:szCs w:val="20"/>
          <w:color w:val="auto"/>
        </w:rPr>
      </w:pPr>
      <w:r>
        <w:rPr>
          <w:rFonts w:ascii="Arial" w:cs="Arial" w:eastAsia="Arial" w:hAnsi="Arial"/>
          <w:sz w:val="18"/>
          <w:szCs w:val="18"/>
          <w:color w:val="auto"/>
        </w:rPr>
        <w:t>and do not manage our business to maximize current period reported financial results, including our GAAP net income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4" w:lineRule="exact"/>
        <w:rPr>
          <w:sz w:val="20"/>
          <w:szCs w:val="20"/>
          <w:color w:val="auto"/>
        </w:rPr>
      </w:pPr>
    </w:p>
    <w:p>
      <w:pPr>
        <w:ind w:left="660" w:right="8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96" w:lineRule="exact"/>
        <w:rPr>
          <w:rFonts w:ascii="Arial" w:cs="Arial" w:eastAsia="Arial" w:hAnsi="Arial"/>
          <w:sz w:val="18"/>
          <w:szCs w:val="18"/>
          <w:color w:val="auto"/>
        </w:rPr>
      </w:pPr>
    </w:p>
    <w:p>
      <w:pPr>
        <w:ind w:left="660" w:right="8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 in particular during our second fiscal quarter, which may be driven by seasonality, performance issues in some of our businesses and markets, or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 or delivery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We may not be successful in developing and deploying our mass customization platform or in realizing the anticipated benefits of the platform.</w:t>
      </w:r>
    </w:p>
    <w:p>
      <w:pPr>
        <w:spacing w:after="0" w:line="13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82" w:right="2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8"/>
          <w:szCs w:val="18"/>
          <w:color w:val="auto"/>
        </w:rPr>
        <w:t>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6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create a more attractive or easier to adopt platform that has the potential to drive more scale advantage than ours does, our competitive position could be harmed.</w:t>
      </w:r>
    </w:p>
    <w:p>
      <w:pPr>
        <w:spacing w:after="0" w:line="15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manage our businesses and operations in a decentralized, autonomous manner. We expect to establish operations, acquire or invest in businesses, and sell our products and services in additional markets and geographic regions, including emerging markets, where we may have limited or no experience. We may not be successful in all markets and regions in which we invest or where we establish operations, which may be costly to us. We are subject to a number of risks and challenges that relate to our global operations, decentralization, and expansion, including, among others:</w:t>
      </w:r>
    </w:p>
    <w:p>
      <w:pPr>
        <w:spacing w:after="0" w:line="20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and systems to manage our decentralized businesses and comply with our obligations as a public company</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markets,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57" w:right="259" w:bottom="1440" w:gutter="0" w:footer="0" w:header="0"/>
        </w:sectPr>
      </w:pPr>
    </w:p>
    <w:bookmarkStart w:id="53" w:name="page54"/>
    <w:bookmarkEnd w:id="53"/>
    <w:p>
      <w:pPr>
        <w:spacing w:after="0" w:line="262" w:lineRule="auto"/>
        <w:rPr>
          <w:sz w:val="20"/>
          <w:szCs w:val="20"/>
          <w:color w:val="auto"/>
        </w:rPr>
      </w:pPr>
      <w:r>
        <w:rPr>
          <w:rFonts w:ascii="Arial" w:cs="Arial" w:eastAsia="Arial" w:hAnsi="Arial"/>
          <w:sz w:val="18"/>
          <w:szCs w:val="18"/>
          <w:color w:val="auto"/>
        </w:rPr>
        <w:t>we currently ship many products to UK customers from EU countries. If Brexit results in greater restrictions on imports and exports between the UK and the EU or increased regulatory complexity, then our operations and financial results could be negatively impacted.</w:t>
      </w:r>
    </w:p>
    <w:p>
      <w:pPr>
        <w:spacing w:after="0" w:line="19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lead to the misuse of our and our customers' and employees'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interruptions in our operations</w:t>
      </w:r>
    </w:p>
    <w:p>
      <w:pPr>
        <w:spacing w:after="0" w:line="225"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robust operational and compliance requirements and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82" w:right="259" w:bottom="1440" w:gutter="0" w:footer="0" w:header="0"/>
        </w:sectPr>
      </w:pPr>
    </w:p>
    <w:bookmarkStart w:id="54" w:name="page55"/>
    <w:bookmarkEnd w:id="54"/>
    <w:p>
      <w:pPr>
        <w:spacing w:after="0" w:line="262" w:lineRule="auto"/>
        <w:rPr>
          <w:sz w:val="20"/>
          <w:szCs w:val="20"/>
          <w:color w:val="auto"/>
        </w:rPr>
      </w:pPr>
      <w:r>
        <w:rPr>
          <w:rFonts w:ascii="Arial" w:cs="Arial" w:eastAsia="Arial" w:hAnsi="Arial"/>
          <w:sz w:val="18"/>
          <w:szCs w:val="18"/>
          <w:color w:val="auto"/>
        </w:rPr>
        <w:t>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encounter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benefiting the business. In addition, strong performance of the underlying business could result in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82" w:right="259" w:bottom="1440" w:gutter="0" w:footer="0" w:header="0"/>
        </w:sectPr>
      </w:pPr>
    </w:p>
    <w:bookmarkStart w:id="55" w:name="page56"/>
    <w:bookmarkEnd w:id="55"/>
    <w:p>
      <w:pPr>
        <w:ind w:right="120"/>
        <w:spacing w:after="0" w:line="262" w:lineRule="auto"/>
        <w:rPr>
          <w:sz w:val="20"/>
          <w:szCs w:val="20"/>
          <w:color w:val="auto"/>
        </w:rPr>
      </w:pPr>
      <w:r>
        <w:rPr>
          <w:rFonts w:ascii="Arial" w:cs="Arial" w:eastAsia="Arial" w:hAnsi="Arial"/>
          <w:sz w:val="18"/>
          <w:szCs w:val="18"/>
          <w:color w:val="auto"/>
        </w:rPr>
        <w:t>material payments pursuant to earn-out provisions or future purchase obligations that may or may not reflect the fair market value of the asset at that time.</w:t>
      </w:r>
    </w:p>
    <w:p>
      <w:pPr>
        <w:spacing w:after="0" w:line="14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4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Our success depends on our ability to attract new and repeat customers in a cost-effective manner. Our various businesses rely on a variety of methods to do this including drawing visitors to our websites, promoting our products and services through search engines such as Google, Bing, and Yahoo!, email, direct mail, advertising banners and other online links, broadcast media, telesales and word-of-mouth customer referrals. If the search engines on which we rely modify their algorithms or terminate their relationships with us, or if the prices at which we may purchase listings increase, then our costs could increase, and fewer customers may click through to our websites. If links to our websites are not displayed prominently in online search results,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December quarter. Our operating income during the second fiscal quarter represented 46% and 86% of annual operating income in the years ended June 30, 2018 and 2016, respectively, and during the year ended June 30, 2017, in a period we recognized a loss from operations, the second quarter was the only profitable quarter.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would likely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lack of redundancy.</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our businesses do not have redundancies or alternatives in all cases to carry on these operations in the event of an interruption. In addition, because our businesses are dependent in part on third parties for the implementation and maintenance of certain aspects of their communications and production systems, they may not be able to remedy interruptions to these systems in a timely manner or at all due to factors outside of their control. Some of the events that could cause interruptions in our businesses' operations or systems are the following, among others: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82" w:right="259" w:bottom="1440" w:gutter="0" w:footer="0" w:header="0"/>
        </w:sectPr>
      </w:pPr>
    </w:p>
    <w:bookmarkStart w:id="56" w:name="page57"/>
    <w:bookmarkEnd w:id="56"/>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Any interruptions to our businesses' systems or operations could result in lost revenue, increased costs, negative publicity, damage to our businesses' reputations and brands, and an adverse effect on our business and results of operations. Building redundancies into our businesses' infrastructure, systems, and supply chain to mitigate these risks may require us to commit substantial financial, operational, and technical resources, in some cases before the volume of their business increases with no assurance that their revenue will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like Amazon enter the mass customization market, and traditional “bricks and mortar” businesses establish an online presence. Competition may result in price pressure, increased advertising expense, reduced profit margins, and loss of market share and brand recognition, any of which could substantially harm our business and financial results. Current and potential competitors include the following (in no particular order):</w:t>
      </w:r>
    </w:p>
    <w:p>
      <w:pPr>
        <w:spacing w:after="0" w:line="20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98" w:right="259" w:bottom="1440" w:gutter="0" w:footer="0" w:header="0"/>
        </w:sectPr>
      </w:pPr>
    </w:p>
    <w:bookmarkStart w:id="57" w:name="page58"/>
    <w:bookmarkEnd w:id="57"/>
    <w:p>
      <w:pPr>
        <w:ind w:right="80" w:firstLine="648"/>
        <w:spacing w:after="0" w:line="252"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 profitability, and results of operations. Many factors can significantly impact our pricing and marketing strategies, including the costs of running our business, the costs of raw materials,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82" w:right="239" w:bottom="1440" w:gutter="0" w:footer="0" w:header="0"/>
        </w:sectPr>
      </w:pPr>
    </w:p>
    <w:bookmarkStart w:id="58" w:name="page59"/>
    <w:bookmarkEnd w:id="58"/>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one or more of our key employees may significantly delay or prevent the achievement of our business objectives, and our failure to attract and retain suitably qualified individuals or to adequately plan for succession could have an adverse effect on our ability to implement our business plan.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2026,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80" w:hanging="247"/>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0" w:right="239" w:bottom="1440" w:gutter="0" w:footer="0" w:header="0"/>
        </w:sectPr>
      </w:pPr>
    </w:p>
    <w:bookmarkStart w:id="59" w:name="page60"/>
    <w:bookmarkEnd w:id="59"/>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right="640" w:firstLine="648"/>
        <w:spacing w:after="0" w:line="262" w:lineRule="auto"/>
        <w:rPr>
          <w:sz w:val="20"/>
          <w:szCs w:val="20"/>
          <w:color w:val="auto"/>
        </w:rPr>
      </w:pPr>
      <w:r>
        <w:rPr>
          <w:rFonts w:ascii="Arial" w:cs="Arial" w:eastAsia="Arial" w:hAnsi="Arial"/>
          <w:sz w:val="18"/>
          <w:szCs w:val="18"/>
          <w:color w:val="auto"/>
        </w:rPr>
        <w:t>As of December 31, 2018, our total debt was $ 1,060.3 million, made up of $400.0 million of senior notes, $650.1 million of loan obligations under our credit facility and $10.2 million of other debt.</w:t>
      </w:r>
    </w:p>
    <w:p>
      <w:pPr>
        <w:spacing w:after="0" w:line="19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4" w:lineRule="exact"/>
        <w:rPr>
          <w:sz w:val="20"/>
          <w:szCs w:val="20"/>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480" w:hanging="247"/>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598" w:right="299" w:bottom="1440" w:gutter="0" w:footer="0" w:header="0"/>
        </w:sectPr>
      </w:pPr>
    </w:p>
    <w:bookmarkStart w:id="60" w:name="page61"/>
    <w:bookmarkEnd w:id="60"/>
    <w:p>
      <w:pPr>
        <w:ind w:right="88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December 31, 2018, a hypothetical 100 basis point increase in rates, inclusive of our outstanding interest rate swaps, would result in an increase of interest expense of approximately $3.5 million over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made, and may continue to make, major changes in trade policy between the United States and other countries, such as the imposition of additional tariffs and duties on imported products. Because we produce most physical products for our United States customers at our facilities in Canada and Mexico and we source most materials for our products outside the United States, including material amounts of sourcing from China, future changes in tax policy or trade relations could adversely affect our business and results of operations.</w:t>
      </w:r>
    </w:p>
    <w:p>
      <w:pPr>
        <w:spacing w:after="0" w:line="16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Due to our dependence on the Internet for most of our sales, laws specifically governing the Internet, e-commerce, and email marketing may have a greater impact on our operations than other more traditional businesses. Existing and future laws, such as laws covering pricing, customs, privacy, consumer protection, or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0" w:right="259" w:bottom="1440" w:gutter="0" w:footer="0" w:header="0"/>
        </w:sectPr>
      </w:pPr>
    </w:p>
    <w:bookmarkStart w:id="61" w:name="page62"/>
    <w:bookmarkEnd w:id="61"/>
    <w:p>
      <w:pPr>
        <w:ind w:right="120"/>
        <w:spacing w:after="0" w:line="262" w:lineRule="auto"/>
        <w:rPr>
          <w:sz w:val="20"/>
          <w:szCs w:val="20"/>
          <w:color w:val="auto"/>
        </w:rPr>
      </w:pPr>
      <w:r>
        <w:rPr>
          <w:rFonts w:ascii="Arial" w:cs="Arial" w:eastAsia="Arial" w:hAnsi="Arial"/>
          <w:sz w:val="18"/>
          <w:szCs w:val="18"/>
          <w:color w:val="auto"/>
        </w:rPr>
        <w:t>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1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third-party companies to provide payment processing services. If any of the payment processing or other companies with which we have contractual arrangements became unwilling or unable to provide these services to us or they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some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 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20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addition, 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Some of the products we sell, including products manufactured or supplied by third-party business partners,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If a government entity claims that we should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82" w:right="259" w:bottom="1440" w:gutter="0" w:footer="0" w:header="0"/>
        </w:sectPr>
      </w:pPr>
    </w:p>
    <w:bookmarkStart w:id="62" w:name="page63"/>
    <w:bookmarkEnd w:id="62"/>
    <w:p>
      <w:pPr>
        <w:ind w:right="820"/>
        <w:spacing w:after="0" w:line="262" w:lineRule="auto"/>
        <w:rPr>
          <w:sz w:val="20"/>
          <w:szCs w:val="20"/>
          <w:color w:val="auto"/>
        </w:rPr>
      </w:pPr>
      <w:r>
        <w:rPr>
          <w:rFonts w:ascii="Arial" w:cs="Arial" w:eastAsia="Arial" w:hAnsi="Arial"/>
          <w:sz w:val="18"/>
          <w:szCs w:val="18"/>
          <w:color w:val="auto"/>
        </w:rPr>
        <w:t>have been collecting indirect taxes on the sale of our products in a jurisdiction where we have not been doing so, then we could incur substantial tax liabilities for past sales.</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example, certain of our businesses do not currently collect sales tax in all U.S. states where they sell products. Many state governments in the United States have imposed or are seeking to impose sales tax collection responsibility on out-of-state, online retailers, and the recent U.S. Supreme Court ruling in South Dakota v. Wayfair, Inc. et al. enables states to consider adopting laws requiring remote sellers to collect and remit sales tax, even in states in which the seller has no physical presence. To the extent that individual states decide to adopt similar legislation, this could significantly increase the collection and compliance burden on Cimpress businesses operating in the U.S. In addition, there is risk that a state government in which a Cimpress business currently is not registered to collect and remit sales tax may attempt to assess tax, interest and penalties relating to prior periods.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There are currently multiple initiatives for comprehensive tax reform underway in key jurisdictions where we have operations, and we cannot predict whether any other specific legislation will be enacted or the terms of any such legislation. However, if such legislation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17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Board of Directors or to overrule our Board's nominees by requiring a supermajority vote to do so under most circumstances. As a result, there may be circumstances in which shareholders may not be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82"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able to remove members of our Board of Directors even if holders of a majority of our ordinary shares favor doing so.</w:t>
      </w:r>
    </w:p>
    <w:p>
      <w:pPr>
        <w:spacing w:after="0" w:line="20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50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Board of Directors.</w:t>
      </w:r>
    </w:p>
    <w:p>
      <w:pPr>
        <w:spacing w:after="0" w:line="17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Board of Directors are different from those established under United States laws. For example, under Dutch law derivative lawsuits are generally not available, and our Board is responsible for acting in the best interests of the company, its business and all of its stakeholders generally (including employees, customers and creditors), not just shareholders. As a result, our shareholders may find it more difficult to protect their interests against actions by members of our Board than they would if we were a U.S. corporation.</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82"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 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2018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0" w:right="239" w:bottom="1440" w:gutter="0" w:footer="0" w:header="0"/>
        </w:sectPr>
      </w:pPr>
    </w:p>
    <w:bookmarkStart w:id="65" w:name="page66"/>
    <w:bookmarkEnd w:id="65"/>
    <w:p>
      <w:pPr>
        <w:ind w:right="4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More than 70%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November 14, 2017, our Supervisory Board authorized the repurchase of up to 6,300,000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authorization expires on May 14, 2019, and we may suspend or discontinue our share repurchases at any time. The following table outlines the purchase of our ordinary shares during the three months ended December 31, 2018:</w:t>
      </w:r>
    </w:p>
    <w:p>
      <w:pPr>
        <w:sectPr>
          <w:pgSz w:w="11900" w:h="16838" w:orient="portrait"/>
          <w:cols w:equalWidth="0" w:num="1">
            <w:col w:w="11340"/>
          </w:cols>
          <w:pgMar w:left="240" w:top="382" w:right="31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 Number of</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Price</w:t>
            </w:r>
          </w:p>
        </w:tc>
        <w:tc>
          <w:tcPr>
            <w:tcW w:w="2480" w:type="dxa"/>
            <w:vAlign w:val="bottom"/>
          </w:tcPr>
          <w:p>
            <w:pPr>
              <w:jc w:val="right"/>
              <w:ind w:right="25"/>
              <w:spacing w:after="0"/>
              <w:rPr>
                <w:sz w:val="20"/>
                <w:szCs w:val="20"/>
                <w:color w:val="auto"/>
              </w:rPr>
            </w:pPr>
            <w:r>
              <w:rPr>
                <w:rFonts w:ascii="Arial" w:cs="Arial" w:eastAsia="Arial" w:hAnsi="Arial"/>
                <w:sz w:val="13"/>
                <w:szCs w:val="13"/>
                <w:b w:val="1"/>
                <w:bCs w:val="1"/>
                <w:color w:val="auto"/>
              </w:rPr>
              <w:t>Total Number of Shares Purchased as</w:t>
            </w: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Shares Purchased</w:t>
            </w: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 Per Share (1)</w:t>
            </w:r>
          </w:p>
        </w:tc>
        <w:tc>
          <w:tcPr>
            <w:tcW w:w="2480" w:type="dxa"/>
            <w:vAlign w:val="bottom"/>
          </w:tcPr>
          <w:p>
            <w:pPr>
              <w:jc w:val="right"/>
              <w:ind w:right="25"/>
              <w:spacing w:after="0"/>
              <w:rPr>
                <w:sz w:val="20"/>
                <w:szCs w:val="20"/>
                <w:color w:val="auto"/>
              </w:rPr>
            </w:pPr>
            <w:r>
              <w:rPr>
                <w:rFonts w:ascii="Arial" w:cs="Arial" w:eastAsia="Arial" w:hAnsi="Arial"/>
                <w:sz w:val="13"/>
                <w:szCs w:val="13"/>
                <w:b w:val="1"/>
                <w:bCs w:val="1"/>
                <w:color w:val="auto"/>
                <w:w w:val="99"/>
              </w:rPr>
              <w:t>Part of a Publicly Announced Program</w:t>
            </w:r>
          </w:p>
        </w:tc>
        <w:tc>
          <w:tcPr>
            <w:tcW w:w="0" w:type="dxa"/>
            <w:vAlign w:val="bottom"/>
          </w:tcPr>
          <w:p>
            <w:pPr>
              <w:spacing w:after="0"/>
              <w:rPr>
                <w:sz w:val="1"/>
                <w:szCs w:val="1"/>
                <w:color w:val="auto"/>
              </w:rPr>
            </w:pPr>
          </w:p>
        </w:tc>
      </w:tr>
      <w:tr>
        <w:trPr>
          <w:trHeight w:val="84"/>
        </w:trPr>
        <w:tc>
          <w:tcPr>
            <w:tcW w:w="368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680" w:type="dxa"/>
            <w:vAlign w:val="bottom"/>
          </w:tcPr>
          <w:p>
            <w:pPr>
              <w:ind w:left="60"/>
              <w:spacing w:after="0"/>
              <w:rPr>
                <w:sz w:val="20"/>
                <w:szCs w:val="20"/>
                <w:color w:val="auto"/>
              </w:rPr>
            </w:pPr>
            <w:r>
              <w:rPr>
                <w:rFonts w:ascii="Arial" w:cs="Arial" w:eastAsia="Arial" w:hAnsi="Arial"/>
                <w:sz w:val="16"/>
                <w:szCs w:val="16"/>
                <w:color w:val="auto"/>
              </w:rPr>
              <w:t>October 1, 2018 through October 31, 2018</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8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80" w:type="dxa"/>
            <w:vAlign w:val="bottom"/>
          </w:tcPr>
          <w:p>
            <w:pPr>
              <w:ind w:left="60"/>
              <w:spacing w:after="0"/>
              <w:rPr>
                <w:sz w:val="20"/>
                <w:szCs w:val="20"/>
                <w:color w:val="auto"/>
              </w:rPr>
            </w:pPr>
            <w:r>
              <w:rPr>
                <w:rFonts w:ascii="Arial" w:cs="Arial" w:eastAsia="Arial" w:hAnsi="Arial"/>
                <w:sz w:val="16"/>
                <w:szCs w:val="16"/>
                <w:color w:val="auto"/>
              </w:rPr>
              <w:t>November 1, 2018 through November 30, 2018</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117,552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119.46</w:t>
            </w:r>
          </w:p>
        </w:tc>
        <w:tc>
          <w:tcPr>
            <w:tcW w:w="120" w:type="dxa"/>
            <w:vAlign w:val="bottom"/>
          </w:tcPr>
          <w:p>
            <w:pPr>
              <w:spacing w:after="0"/>
              <w:rPr>
                <w:sz w:val="23"/>
                <w:szCs w:val="23"/>
                <w:color w:val="auto"/>
              </w:rPr>
            </w:pPr>
          </w:p>
        </w:tc>
        <w:tc>
          <w:tcPr>
            <w:tcW w:w="2480" w:type="dxa"/>
            <w:vAlign w:val="bottom"/>
          </w:tcPr>
          <w:p>
            <w:pPr>
              <w:jc w:val="right"/>
              <w:ind w:right="25"/>
              <w:spacing w:after="0"/>
              <w:rPr>
                <w:sz w:val="20"/>
                <w:szCs w:val="20"/>
                <w:color w:val="auto"/>
              </w:rPr>
            </w:pPr>
            <w:r>
              <w:rPr>
                <w:rFonts w:ascii="Arial" w:cs="Arial" w:eastAsia="Arial" w:hAnsi="Arial"/>
                <w:sz w:val="16"/>
                <w:szCs w:val="16"/>
                <w:color w:val="auto"/>
              </w:rPr>
              <w:t>117,552</w:t>
            </w:r>
          </w:p>
        </w:tc>
        <w:tc>
          <w:tcPr>
            <w:tcW w:w="0" w:type="dxa"/>
            <w:vAlign w:val="bottom"/>
          </w:tcPr>
          <w:p>
            <w:pPr>
              <w:spacing w:after="0"/>
              <w:rPr>
                <w:sz w:val="1"/>
                <w:szCs w:val="1"/>
                <w:color w:val="auto"/>
              </w:rPr>
            </w:pPr>
          </w:p>
        </w:tc>
      </w:tr>
      <w:tr>
        <w:trPr>
          <w:trHeight w:val="283"/>
        </w:trPr>
        <w:tc>
          <w:tcPr>
            <w:tcW w:w="3680" w:type="dxa"/>
            <w:vAlign w:val="bottom"/>
          </w:tcPr>
          <w:p>
            <w:pPr>
              <w:ind w:left="60"/>
              <w:spacing w:after="0"/>
              <w:rPr>
                <w:sz w:val="20"/>
                <w:szCs w:val="20"/>
                <w:color w:val="auto"/>
              </w:rPr>
            </w:pPr>
            <w:r>
              <w:rPr>
                <w:rFonts w:ascii="Arial" w:cs="Arial" w:eastAsia="Arial" w:hAnsi="Arial"/>
                <w:sz w:val="16"/>
                <w:szCs w:val="16"/>
                <w:color w:val="auto"/>
              </w:rPr>
              <w:t>December 1, 2018 through December 31, 2018</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8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60"/>
              <w:spacing w:after="0"/>
              <w:rPr>
                <w:sz w:val="20"/>
                <w:szCs w:val="20"/>
                <w:color w:val="auto"/>
              </w:rPr>
            </w:pPr>
            <w:r>
              <w:rPr>
                <w:rFonts w:ascii="Arial" w:cs="Arial" w:eastAsia="Arial" w:hAnsi="Arial"/>
                <w:sz w:val="16"/>
                <w:szCs w:val="16"/>
                <w:color w:val="auto"/>
              </w:rPr>
              <w:t>Total</w:t>
            </w:r>
          </w:p>
        </w:tc>
        <w:tc>
          <w:tcPr>
            <w:tcW w:w="12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rPr>
              <w:t>117,552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119.46</w:t>
            </w:r>
          </w:p>
        </w:tc>
        <w:tc>
          <w:tcPr>
            <w:tcW w:w="120" w:type="dxa"/>
            <w:vAlign w:val="bottom"/>
          </w:tcPr>
          <w:p>
            <w:pPr>
              <w:spacing w:after="0"/>
              <w:rPr>
                <w:sz w:val="20"/>
                <w:szCs w:val="20"/>
                <w:color w:val="auto"/>
              </w:rPr>
            </w:pPr>
          </w:p>
        </w:tc>
        <w:tc>
          <w:tcPr>
            <w:tcW w:w="24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117,552</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color w:val="auto"/>
              </w:rPr>
              <w:t>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-471805</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-814705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 Average price paid per share includes commissions paid.</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120"/>
        <w:spacing w:after="0" w:line="234" w:lineRule="auto"/>
        <w:rPr>
          <w:sz w:val="20"/>
          <w:szCs w:val="20"/>
          <w:color w:val="auto"/>
        </w:rPr>
      </w:pPr>
      <w:r>
        <w:rPr>
          <w:rFonts w:ascii="Arial" w:cs="Arial" w:eastAsia="Arial" w:hAnsi="Arial"/>
          <w:sz w:val="13"/>
          <w:szCs w:val="13"/>
          <w:b w:val="1"/>
          <w:bCs w:val="1"/>
          <w:color w:val="auto"/>
        </w:rPr>
        <w:t>Approximate Number of Shares that May Yet be Purchased Under the Program</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5,857,443</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5,739,891</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5,739,891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19050</wp:posOffset>
            </wp:positionV>
            <wp:extent cx="1577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5,739,891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19050</wp:posOffset>
            </wp:positionV>
            <wp:extent cx="1577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36195</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652" w:lineRule="exact"/>
        <w:rPr>
          <w:sz w:val="20"/>
          <w:szCs w:val="20"/>
          <w:color w:val="auto"/>
        </w:rPr>
      </w:pPr>
    </w:p>
    <w:p>
      <w:pPr>
        <w:sectPr>
          <w:pgSz w:w="11900" w:h="16838" w:orient="portrait"/>
          <w:cols w:equalWidth="0" w:num="2">
            <w:col w:w="8800" w:space="280"/>
            <w:col w:w="2260"/>
          </w:cols>
          <w:pgMar w:left="240" w:top="382" w:right="319" w:bottom="1440" w:gutter="0" w:footer="0" w:header="0"/>
          <w:type w:val="continuous"/>
        </w:sectPr>
      </w:pP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40"/>
          </w:cols>
          <w:pgMar w:left="240" w:top="382" w:right="31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10600" w:type="dxa"/>
            <w:vAlign w:val="bottom"/>
          </w:tcPr>
          <w:p>
            <w:pPr>
              <w:spacing w:after="0"/>
              <w:rPr>
                <w:sz w:val="16"/>
                <w:szCs w:val="16"/>
                <w:color w:val="auto"/>
              </w:rPr>
            </w:pPr>
          </w:p>
        </w:tc>
      </w:tr>
      <w:tr>
        <w:trPr>
          <w:trHeight w:val="243"/>
        </w:trPr>
        <w:tc>
          <w:tcPr>
            <w:tcW w:w="22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10600" w:type="dxa"/>
            <w:vAlign w:val="bottom"/>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320" w:type="dxa"/>
            <w:vAlign w:val="bottom"/>
            <w:gridSpan w:val="2"/>
          </w:tcPr>
          <w:p>
            <w:pPr>
              <w:spacing w:after="0"/>
              <w:rPr>
                <w:rFonts w:ascii="Arial" w:cs="Arial" w:eastAsia="Arial" w:hAnsi="Arial"/>
                <w:sz w:val="16"/>
                <w:szCs w:val="16"/>
                <w:color w:val="0000FF"/>
              </w:rPr>
            </w:pPr>
            <w:hyperlink r:id="rId18">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Articles of Association of Cimpress. N.V., as amended, are incorporated by reference to Cimpress' Current Report on Form 8-K filed with the SEC</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on November 19, 2018</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1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2016 Performance Equity Plan, as amended, is incorporated by reference to Cimpress' Current Report on Form 8-K filed with the SEC on</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November 19, 2018</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2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of share award agreement with certain Cimpress directors is incorporated by reference to Cimpress' Current Report on Form 8-K filed with</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the SEC on November 19, 2018</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2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Remuneration Policy for the Board of Directors is incorporated by reference to Cimpress' Current Report on Form 8-K filed with the SEC on</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November 19, 2018</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2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Employment Agreement dated December 20, 2018 among Cornelis David Arends, Cimpress Investments B.V., and Cimpress N.V. is incorporated</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by reference to Cimpress' Current Report on Form 8-K filed with the SEC on December 27, 2018</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2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Amendment No. 2, dated as of January 7, 2019, among Cimpress N.V., Vistaprint Limited, Cimpress Schweiz GmbH, Vistaprint B.V., and</w:t>
            </w:r>
          </w:p>
        </w:tc>
      </w:tr>
      <w:tr>
        <w:trPr>
          <w:trHeight w:val="198"/>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Cimpress USA Incorporated, as borrowers (the “Borrowers”); the lenders named therein as lenders; and JPMorgan Chase Bank N.A., as</w:t>
            </w: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administrative agent for the lenders (the “Administrative Agent”), to the senior Credit Agreement dated as of October 21, 2011, as amended and</w:t>
            </w: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restated as of February 8, 2013, and as further amended and restated as of July 13, 2017, among the Borrowers, the lenders named therein, and</w:t>
            </w:r>
          </w:p>
        </w:tc>
      </w:tr>
      <w:tr>
        <w:trPr>
          <w:trHeight w:val="19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the Administrative Agent incorporated by reference to Cimpress' Current Report on Form 8-K filed with the SEC on January 8, 2019</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2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Separation Agreement dated January 30, 2019 between Cimpress USA Incorporated and Katryn Blake is incorporated by reference to Cimpress'</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Current Report on Form 8-K filed with the SEC on January 30, 2019</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69">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42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50"/>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70">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420" w:type="dxa"/>
            <w:vAlign w:val="bottom"/>
          </w:tcPr>
          <w:p>
            <w:pPr>
              <w:spacing w:after="0"/>
              <w:rPr>
                <w:sz w:val="21"/>
                <w:szCs w:val="21"/>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50"/>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71">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420" w:type="dxa"/>
            <w:vAlign w:val="bottom"/>
          </w:tcPr>
          <w:p>
            <w:pPr>
              <w:spacing w:after="0"/>
              <w:rPr>
                <w:sz w:val="21"/>
                <w:szCs w:val="21"/>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Officer and Chief Financial Officer</w:t>
            </w:r>
          </w:p>
        </w:tc>
      </w:tr>
    </w:tbl>
    <w:p>
      <w:pPr>
        <w:spacing w:after="0" w:line="48" w:lineRule="exact"/>
        <w:rPr>
          <w:sz w:val="20"/>
          <w:szCs w:val="20"/>
          <w:color w:val="auto"/>
        </w:rPr>
      </w:pPr>
    </w:p>
    <w:p>
      <w:pPr>
        <w:jc w:val="both"/>
        <w:ind w:left="960" w:right="160" w:hanging="925"/>
        <w:spacing w:after="0" w:line="253"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following materials from this Quarterly Report on Form 10-Q,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549" w:right="279" w:bottom="1440" w:gutter="0" w:footer="0" w:header="0"/>
        </w:sectPr>
      </w:pPr>
    </w:p>
    <w:bookmarkStart w:id="67" w:name="page68"/>
    <w:bookmarkEnd w:id="67"/>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January 31, 2019</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Chief Financial Officer</w:t>
      </w:r>
    </w:p>
    <w:p>
      <w:pPr>
        <w:spacing w:after="0" w:line="1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240" w:top="576" w:right="6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2019</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2019</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connection with the Quarterly Report on Form 10-Q of Cimpress N.V. (the “Company”) for the fiscal quarter ended December 31, 2018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January 31, 2019</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January 31, 2019</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lvl w:ilvl="1">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4"/>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0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decimal"/>
      <w:start w:val="5"/>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18" Type="http://schemas.openxmlformats.org/officeDocument/2006/relationships/hyperlink" Target="http://www.sec.gov/Archives/edgar/data/1262976/000126297618000103/cimpressnvarticlesofassoci.htm" TargetMode="External"/><Relationship Id="rId19" Type="http://schemas.openxmlformats.org/officeDocument/2006/relationships/hyperlink" Target="http://www.sec.gov/Archives/edgar/data/1262976/000126297618000103/a2016performanceequityplan.htm" TargetMode="External"/><Relationship Id="rId20" Type="http://schemas.openxmlformats.org/officeDocument/2006/relationships/hyperlink" Target="http://www.sec.gov/Archives/edgar/data/1262976/000126297618000103/shareawardagreement.htm" TargetMode="External"/><Relationship Id="rId21" Type="http://schemas.openxmlformats.org/officeDocument/2006/relationships/hyperlink" Target="http://www.sec.gov/Archives/edgar/data/1262976/000126297618000103/boardofdirectorsremunerati.htm" TargetMode="External"/><Relationship Id="rId22" Type="http://schemas.openxmlformats.org/officeDocument/2006/relationships/hyperlink" Target="http://www.sec.gov/Archives/edgar/data/1262976/000126297618000127/exhibit101arendsagmt.htm" TargetMode="External"/><Relationship Id="rId23" Type="http://schemas.openxmlformats.org/officeDocument/2006/relationships/hyperlink" Target="http://www.sec.gov/Archives/edgar/data/1262976/000126297619000002/amendmentno2creditagreement.htm" TargetMode="External"/><Relationship Id="rId24" Type="http://schemas.openxmlformats.org/officeDocument/2006/relationships/hyperlink" Target="http://www.sec.gov/Archives/edgar/data/1262976/000126297619000010/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2019-12-28T16:57:52Z</dcterms:created>
  <dcterms:modified xsi:type="dcterms:W3CDTF">2019-12-28T16:57:52Z</dcterms:modified>
</cp:coreProperties>
</file>