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928370</wp:posOffset>
            </wp:positionH>
            <wp:positionV relativeFrom="page">
              <wp:posOffset>757555</wp:posOffset>
            </wp:positionV>
            <wp:extent cx="57003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page">
              <wp:posOffset>928370</wp:posOffset>
            </wp:positionH>
            <wp:positionV relativeFrom="page">
              <wp:posOffset>723265</wp:posOffset>
            </wp:positionV>
            <wp:extent cx="57003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00395" cy="825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 w:lineRule="exact"/>
        <w:rPr>
          <w:sz w:val="24"/>
          <w:szCs w:val="24"/>
          <w:color w:val="auto"/>
        </w:rPr>
      </w:pPr>
    </w:p>
    <w:p>
      <w:pPr>
        <w:ind w:left="4160"/>
        <w:spacing w:after="0"/>
        <w:rPr>
          <w:sz w:val="20"/>
          <w:szCs w:val="20"/>
          <w:color w:val="auto"/>
        </w:rPr>
      </w:pPr>
      <w:r>
        <w:rPr>
          <w:rFonts w:ascii="Arial" w:cs="Arial" w:eastAsia="Arial" w:hAnsi="Arial"/>
          <w:sz w:val="13"/>
          <w:szCs w:val="13"/>
          <w:color w:val="auto"/>
        </w:rPr>
        <w:t>__________________________________________</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322"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Date of Report (Date of earliest event reported): July 2, 2026</w:t>
      </w:r>
    </w:p>
    <w:p>
      <w:pPr>
        <w:spacing w:after="0" w:line="150" w:lineRule="exact"/>
        <w:rPr>
          <w:sz w:val="24"/>
          <w:szCs w:val="24"/>
          <w:color w:val="auto"/>
        </w:rPr>
      </w:pPr>
    </w:p>
    <w:p>
      <w:pPr>
        <w:ind w:left="4160"/>
        <w:spacing w:after="0"/>
        <w:rPr>
          <w:sz w:val="20"/>
          <w:szCs w:val="20"/>
          <w:color w:val="auto"/>
        </w:rPr>
      </w:pPr>
      <w:r>
        <w:rPr>
          <w:rFonts w:ascii="Arial" w:cs="Arial" w:eastAsia="Arial" w:hAnsi="Arial"/>
          <w:sz w:val="13"/>
          <w:szCs w:val="13"/>
          <w:color w:val="auto"/>
        </w:rPr>
        <w:t>__________________________________________</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Cimpress plc</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1" w:lineRule="exact"/>
        <w:rPr>
          <w:sz w:val="24"/>
          <w:szCs w:val="24"/>
          <w:color w:val="auto"/>
        </w:rPr>
      </w:pPr>
    </w:p>
    <w:p>
      <w:pPr>
        <w:ind w:left="4160"/>
        <w:spacing w:after="0"/>
        <w:rPr>
          <w:sz w:val="20"/>
          <w:szCs w:val="20"/>
          <w:color w:val="auto"/>
        </w:rPr>
      </w:pPr>
      <w:r>
        <w:rPr>
          <w:rFonts w:ascii="Arial" w:cs="Arial" w:eastAsia="Arial" w:hAnsi="Arial"/>
          <w:sz w:val="13"/>
          <w:szCs w:val="13"/>
          <w:color w:val="auto"/>
        </w:rPr>
        <w:t>__________________________________________</w:t>
      </w:r>
    </w:p>
    <w:p>
      <w:pPr>
        <w:spacing w:after="0" w:line="135" w:lineRule="exact"/>
        <w:rPr>
          <w:sz w:val="24"/>
          <w:szCs w:val="24"/>
          <w:color w:val="auto"/>
        </w:rPr>
      </w:pPr>
    </w:p>
    <w:tbl>
      <w:tblPr>
        <w:tblLayout w:type="fixed"/>
        <w:tblInd w:w="2260" w:type="dxa"/>
        <w:tblCellMar>
          <w:top w:w="0" w:type="dxa"/>
          <w:left w:w="0" w:type="dxa"/>
          <w:bottom w:w="0" w:type="dxa"/>
          <w:right w:w="0" w:type="dxa"/>
        </w:tblCellMar>
      </w:tblPr>
      <w:tr>
        <w:trPr>
          <w:trHeight w:val="247"/>
        </w:trPr>
        <w:tc>
          <w:tcPr>
            <w:tcW w:w="2420" w:type="dxa"/>
            <w:vAlign w:val="bottom"/>
          </w:tcPr>
          <w:p>
            <w:pPr>
              <w:ind w:left="700"/>
              <w:spacing w:after="0"/>
              <w:rPr>
                <w:sz w:val="20"/>
                <w:szCs w:val="20"/>
                <w:color w:val="auto"/>
              </w:rPr>
            </w:pPr>
            <w:r>
              <w:rPr>
                <w:rFonts w:ascii="Arial" w:cs="Arial" w:eastAsia="Arial" w:hAnsi="Arial"/>
                <w:sz w:val="18"/>
                <w:szCs w:val="18"/>
                <w:b w:val="1"/>
                <w:bCs w:val="1"/>
                <w:color w:val="auto"/>
              </w:rPr>
              <w:t>Ireland</w:t>
            </w:r>
          </w:p>
        </w:tc>
        <w:tc>
          <w:tcPr>
            <w:tcW w:w="2100" w:type="dxa"/>
            <w:vAlign w:val="bottom"/>
          </w:tcPr>
          <w:p>
            <w:pPr>
              <w:jc w:val="center"/>
              <w:ind w:right="76"/>
              <w:spacing w:after="0"/>
              <w:rPr>
                <w:sz w:val="20"/>
                <w:szCs w:val="20"/>
                <w:color w:val="auto"/>
              </w:rPr>
            </w:pPr>
            <w:r>
              <w:rPr>
                <w:rFonts w:ascii="Arial" w:cs="Arial" w:eastAsia="Arial" w:hAnsi="Arial"/>
                <w:sz w:val="18"/>
                <w:szCs w:val="18"/>
                <w:b w:val="1"/>
                <w:bCs w:val="1"/>
                <w:color w:val="auto"/>
                <w:w w:val="99"/>
              </w:rPr>
              <w:t>000-51539</w:t>
            </w:r>
          </w:p>
        </w:tc>
        <w:tc>
          <w:tcPr>
            <w:tcW w:w="1920" w:type="dxa"/>
            <w:vAlign w:val="bottom"/>
          </w:tcPr>
          <w:p>
            <w:pPr>
              <w:jc w:val="center"/>
              <w:ind w:left="556"/>
              <w:spacing w:after="0"/>
              <w:rPr>
                <w:sz w:val="20"/>
                <w:szCs w:val="20"/>
                <w:color w:val="auto"/>
              </w:rPr>
            </w:pPr>
            <w:r>
              <w:rPr>
                <w:rFonts w:ascii="Arial" w:cs="Arial" w:eastAsia="Arial" w:hAnsi="Arial"/>
                <w:sz w:val="18"/>
                <w:szCs w:val="18"/>
                <w:b w:val="1"/>
                <w:bCs w:val="1"/>
                <w:color w:val="auto"/>
                <w:w w:val="99"/>
              </w:rPr>
              <w:t>98-0417483</w:t>
            </w:r>
          </w:p>
        </w:tc>
      </w:tr>
      <w:tr>
        <w:trPr>
          <w:trHeight w:val="258"/>
        </w:trPr>
        <w:tc>
          <w:tcPr>
            <w:tcW w:w="2420" w:type="dxa"/>
            <w:vAlign w:val="bottom"/>
          </w:tcPr>
          <w:p>
            <w:pPr>
              <w:jc w:val="center"/>
              <w:ind w:right="416"/>
              <w:spacing w:after="0"/>
              <w:rPr>
                <w:sz w:val="20"/>
                <w:szCs w:val="20"/>
                <w:color w:val="auto"/>
              </w:rPr>
            </w:pPr>
            <w:r>
              <w:rPr>
                <w:rFonts w:ascii="Arial" w:cs="Arial" w:eastAsia="Arial" w:hAnsi="Arial"/>
                <w:sz w:val="16"/>
                <w:szCs w:val="16"/>
                <w:color w:val="auto"/>
              </w:rPr>
              <w:t>(State or Other Jurisdiction</w:t>
            </w:r>
          </w:p>
        </w:tc>
        <w:tc>
          <w:tcPr>
            <w:tcW w:w="2100" w:type="dxa"/>
            <w:vAlign w:val="bottom"/>
          </w:tcPr>
          <w:p>
            <w:pPr>
              <w:jc w:val="center"/>
              <w:ind w:right="56"/>
              <w:spacing w:after="0"/>
              <w:rPr>
                <w:sz w:val="20"/>
                <w:szCs w:val="20"/>
                <w:color w:val="auto"/>
              </w:rPr>
            </w:pPr>
            <w:r>
              <w:rPr>
                <w:rFonts w:ascii="Arial" w:cs="Arial" w:eastAsia="Arial" w:hAnsi="Arial"/>
                <w:sz w:val="16"/>
                <w:szCs w:val="16"/>
                <w:color w:val="auto"/>
              </w:rPr>
              <w:t>(Commission</w:t>
            </w:r>
          </w:p>
        </w:tc>
        <w:tc>
          <w:tcPr>
            <w:tcW w:w="1920" w:type="dxa"/>
            <w:vAlign w:val="bottom"/>
          </w:tcPr>
          <w:p>
            <w:pPr>
              <w:jc w:val="center"/>
              <w:ind w:left="556"/>
              <w:spacing w:after="0"/>
              <w:rPr>
                <w:sz w:val="20"/>
                <w:szCs w:val="20"/>
                <w:color w:val="auto"/>
              </w:rPr>
            </w:pPr>
            <w:r>
              <w:rPr>
                <w:rFonts w:ascii="Arial" w:cs="Arial" w:eastAsia="Arial" w:hAnsi="Arial"/>
                <w:sz w:val="16"/>
                <w:szCs w:val="16"/>
                <w:color w:val="auto"/>
                <w:w w:val="99"/>
              </w:rPr>
              <w:t>(IRS Employer</w:t>
            </w:r>
          </w:p>
        </w:tc>
      </w:tr>
      <w:tr>
        <w:trPr>
          <w:trHeight w:val="215"/>
        </w:trPr>
        <w:tc>
          <w:tcPr>
            <w:tcW w:w="2420" w:type="dxa"/>
            <w:vAlign w:val="bottom"/>
          </w:tcPr>
          <w:p>
            <w:pPr>
              <w:jc w:val="center"/>
              <w:ind w:right="396"/>
              <w:spacing w:after="0"/>
              <w:rPr>
                <w:sz w:val="20"/>
                <w:szCs w:val="20"/>
                <w:color w:val="auto"/>
              </w:rPr>
            </w:pPr>
            <w:r>
              <w:rPr>
                <w:rFonts w:ascii="Arial" w:cs="Arial" w:eastAsia="Arial" w:hAnsi="Arial"/>
                <w:sz w:val="16"/>
                <w:szCs w:val="16"/>
                <w:color w:val="auto"/>
              </w:rPr>
              <w:t>of Incorporation)</w:t>
            </w:r>
          </w:p>
        </w:tc>
        <w:tc>
          <w:tcPr>
            <w:tcW w:w="2100" w:type="dxa"/>
            <w:vAlign w:val="bottom"/>
          </w:tcPr>
          <w:p>
            <w:pPr>
              <w:jc w:val="center"/>
              <w:ind w:right="76"/>
              <w:spacing w:after="0"/>
              <w:rPr>
                <w:sz w:val="20"/>
                <w:szCs w:val="20"/>
                <w:color w:val="auto"/>
              </w:rPr>
            </w:pPr>
            <w:r>
              <w:rPr>
                <w:rFonts w:ascii="Arial" w:cs="Arial" w:eastAsia="Arial" w:hAnsi="Arial"/>
                <w:sz w:val="16"/>
                <w:szCs w:val="16"/>
                <w:color w:val="auto"/>
              </w:rPr>
              <w:t>File Number)</w:t>
            </w:r>
          </w:p>
        </w:tc>
        <w:tc>
          <w:tcPr>
            <w:tcW w:w="1920" w:type="dxa"/>
            <w:vAlign w:val="bottom"/>
          </w:tcPr>
          <w:p>
            <w:pPr>
              <w:jc w:val="center"/>
              <w:ind w:left="576"/>
              <w:spacing w:after="0"/>
              <w:rPr>
                <w:sz w:val="20"/>
                <w:szCs w:val="20"/>
                <w:color w:val="auto"/>
              </w:rPr>
            </w:pPr>
            <w:r>
              <w:rPr>
                <w:rFonts w:ascii="Arial" w:cs="Arial" w:eastAsia="Arial" w:hAnsi="Arial"/>
                <w:sz w:val="16"/>
                <w:szCs w:val="16"/>
                <w:color w:val="auto"/>
              </w:rPr>
              <w:t>Identification No.)</w:t>
            </w:r>
          </w:p>
        </w:tc>
      </w:tr>
    </w:tbl>
    <w:p>
      <w:pPr>
        <w:spacing w:after="0" w:line="118"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First Floor Building 3, Finnabair Business and Technology Park A91 XR61</w:t>
      </w:r>
    </w:p>
    <w:p>
      <w:pPr>
        <w:spacing w:after="0" w:line="50"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Dundalk, Co. Louth</w:t>
      </w:r>
    </w:p>
    <w:p>
      <w:pPr>
        <w:spacing w:after="0" w:line="50"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Ireland</w:t>
      </w:r>
    </w:p>
    <w:p>
      <w:pPr>
        <w:spacing w:after="0" w:line="95" w:lineRule="exact"/>
        <w:rPr>
          <w:sz w:val="24"/>
          <w:szCs w:val="24"/>
          <w:color w:val="auto"/>
        </w:rPr>
      </w:pPr>
    </w:p>
    <w:p>
      <w:pPr>
        <w:ind w:left="3700"/>
        <w:spacing w:after="0"/>
        <w:rPr>
          <w:sz w:val="20"/>
          <w:szCs w:val="20"/>
          <w:color w:val="auto"/>
        </w:rPr>
      </w:pPr>
      <w:r>
        <w:rPr>
          <w:rFonts w:ascii="Arial" w:cs="Arial" w:eastAsia="Arial" w:hAnsi="Arial"/>
          <w:sz w:val="16"/>
          <w:szCs w:val="16"/>
          <w:color w:val="auto"/>
        </w:rPr>
        <w:t>(Address of Principal Executive Offices)</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+353 42 938 8500</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ind w:left="4160"/>
        <w:spacing w:after="0"/>
        <w:rPr>
          <w:sz w:val="20"/>
          <w:szCs w:val="20"/>
          <w:color w:val="auto"/>
        </w:rPr>
      </w:pPr>
      <w:r>
        <w:rPr>
          <w:rFonts w:ascii="Arial" w:cs="Arial" w:eastAsia="Arial" w:hAnsi="Arial"/>
          <w:sz w:val="13"/>
          <w:szCs w:val="13"/>
          <w:color w:val="auto"/>
        </w:rPr>
        <w:t>__________________________________________</w:t>
      </w:r>
    </w:p>
    <w:p>
      <w:pPr>
        <w:spacing w:after="0" w:line="247" w:lineRule="exact"/>
        <w:rPr>
          <w:sz w:val="24"/>
          <w:szCs w:val="24"/>
          <w:color w:val="auto"/>
        </w:rPr>
      </w:pPr>
    </w:p>
    <w:p>
      <w:pPr>
        <w:ind w:left="1320" w:right="1600"/>
        <w:spacing w:after="0" w:line="251"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1820" w:hanging="505"/>
        <w:spacing w:after="0"/>
        <w:tabs>
          <w:tab w:leader="none" w:pos="182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248" w:lineRule="exact"/>
        <w:rPr>
          <w:rFonts w:ascii="MS PGothic" w:cs="MS PGothic" w:eastAsia="MS PGothic" w:hAnsi="MS PGothic"/>
          <w:sz w:val="14"/>
          <w:szCs w:val="14"/>
          <w:color w:val="auto"/>
          <w:highlight w:val="black"/>
        </w:rPr>
      </w:pPr>
    </w:p>
    <w:p>
      <w:pPr>
        <w:ind w:left="1820" w:hanging="505"/>
        <w:spacing w:after="0"/>
        <w:tabs>
          <w:tab w:leader="none" w:pos="182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6"/>
          <w:szCs w:val="16"/>
          <w:color w:val="auto"/>
        </w:rPr>
        <w:t>Soliciting material pursuant to Rule 14a-12 under the Exchange Act (17 CFR 240.14a-12)</w:t>
      </w:r>
    </w:p>
    <w:p>
      <w:pPr>
        <w:spacing w:after="0" w:line="248" w:lineRule="exact"/>
        <w:rPr>
          <w:rFonts w:ascii="MS PGothic" w:cs="MS PGothic" w:eastAsia="MS PGothic" w:hAnsi="MS PGothic"/>
          <w:sz w:val="14"/>
          <w:szCs w:val="14"/>
          <w:color w:val="auto"/>
          <w:highlight w:val="black"/>
        </w:rPr>
      </w:pPr>
    </w:p>
    <w:p>
      <w:pPr>
        <w:ind w:left="1820" w:hanging="505"/>
        <w:spacing w:after="0"/>
        <w:tabs>
          <w:tab w:leader="none" w:pos="182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248" w:lineRule="exact"/>
        <w:rPr>
          <w:rFonts w:ascii="MS PGothic" w:cs="MS PGothic" w:eastAsia="MS PGothic" w:hAnsi="MS PGothic"/>
          <w:sz w:val="14"/>
          <w:szCs w:val="14"/>
          <w:color w:val="auto"/>
          <w:highlight w:val="black"/>
        </w:rPr>
      </w:pPr>
    </w:p>
    <w:p>
      <w:pPr>
        <w:ind w:left="1820" w:hanging="505"/>
        <w:spacing w:after="0"/>
        <w:tabs>
          <w:tab w:leader="none" w:pos="182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6"/>
          <w:szCs w:val="16"/>
          <w:color w:val="auto"/>
        </w:rPr>
        <w:t>Pre-commencement communications pursuant to Rule 13e-4(c) under the Exchange Act (17 CFR 240.13e-4(c))</w:t>
      </w:r>
    </w:p>
    <w:p>
      <w:pPr>
        <w:spacing w:after="0" w:line="235" w:lineRule="exact"/>
        <w:rPr>
          <w:sz w:val="24"/>
          <w:szCs w:val="24"/>
          <w:color w:val="auto"/>
        </w:rPr>
      </w:pPr>
    </w:p>
    <w:p>
      <w:pPr>
        <w:ind w:right="600"/>
        <w:spacing w:after="0" w:line="30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1" w:lineRule="exact"/>
        <w:rPr>
          <w:sz w:val="24"/>
          <w:szCs w:val="24"/>
          <w:color w:val="auto"/>
        </w:rPr>
      </w:pPr>
    </w:p>
    <w:p>
      <w:pPr>
        <w:ind w:left="6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4"/>
          <w:szCs w:val="14"/>
          <w:color w:val="auto"/>
          <w:highlight w:val="black"/>
        </w:rPr>
        <w:t>☐</w:t>
      </w:r>
    </w:p>
    <w:p>
      <w:pPr>
        <w:spacing w:after="0" w:line="247" w:lineRule="exact"/>
        <w:rPr>
          <w:sz w:val="24"/>
          <w:szCs w:val="24"/>
          <w:color w:val="auto"/>
        </w:rPr>
      </w:pPr>
    </w:p>
    <w:p>
      <w:pPr>
        <w:ind w:right="14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88"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1140" w:type="dxa"/>
            <w:vAlign w:val="bottom"/>
          </w:tcPr>
          <w:p>
            <w:pPr>
              <w:spacing w:after="0"/>
              <w:rPr>
                <w:sz w:val="14"/>
                <w:szCs w:val="14"/>
                <w:color w:val="auto"/>
              </w:rPr>
            </w:pPr>
          </w:p>
        </w:tc>
        <w:tc>
          <w:tcPr>
            <w:tcW w:w="3160" w:type="dxa"/>
            <w:vAlign w:val="bottom"/>
          </w:tcPr>
          <w:p>
            <w:pPr>
              <w:jc w:val="center"/>
              <w:ind w:right="1537"/>
              <w:spacing w:after="0"/>
              <w:rPr>
                <w:sz w:val="20"/>
                <w:szCs w:val="20"/>
                <w:color w:val="auto"/>
              </w:rPr>
            </w:pPr>
            <w:r>
              <w:rPr>
                <w:rFonts w:ascii="Arial" w:cs="Arial" w:eastAsia="Arial" w:hAnsi="Arial"/>
                <w:sz w:val="13"/>
                <w:szCs w:val="13"/>
                <w:b w:val="1"/>
                <w:bCs w:val="1"/>
                <w:color w:val="auto"/>
                <w:w w:val="96"/>
              </w:rPr>
              <w:t>Title of Each Class</w:t>
            </w:r>
          </w:p>
        </w:tc>
        <w:tc>
          <w:tcPr>
            <w:tcW w:w="2620" w:type="dxa"/>
            <w:vAlign w:val="bottom"/>
          </w:tcPr>
          <w:p>
            <w:pPr>
              <w:jc w:val="center"/>
              <w:ind w:right="328"/>
              <w:spacing w:after="0"/>
              <w:rPr>
                <w:sz w:val="20"/>
                <w:szCs w:val="20"/>
                <w:color w:val="auto"/>
              </w:rPr>
            </w:pPr>
            <w:r>
              <w:rPr>
                <w:rFonts w:ascii="Arial" w:cs="Arial" w:eastAsia="Arial" w:hAnsi="Arial"/>
                <w:sz w:val="13"/>
                <w:szCs w:val="13"/>
                <w:b w:val="1"/>
                <w:bCs w:val="1"/>
                <w:color w:val="auto"/>
                <w:w w:val="96"/>
              </w:rPr>
              <w:t>Trading Symbol(s)</w:t>
            </w:r>
          </w:p>
        </w:tc>
        <w:tc>
          <w:tcPr>
            <w:tcW w:w="4320" w:type="dxa"/>
            <w:vAlign w:val="bottom"/>
            <w:gridSpan w:val="2"/>
          </w:tcPr>
          <w:p>
            <w:pPr>
              <w:ind w:left="960"/>
              <w:spacing w:after="0"/>
              <w:rPr>
                <w:sz w:val="20"/>
                <w:szCs w:val="20"/>
                <w:color w:val="auto"/>
              </w:rPr>
            </w:pPr>
            <w:r>
              <w:rPr>
                <w:rFonts w:ascii="Arial" w:cs="Arial" w:eastAsia="Arial" w:hAnsi="Arial"/>
                <w:sz w:val="13"/>
                <w:szCs w:val="13"/>
                <w:b w:val="1"/>
                <w:bCs w:val="1"/>
                <w:color w:val="auto"/>
              </w:rPr>
              <w:t>Name of Exchange on Which Registered</w:t>
            </w:r>
          </w:p>
        </w:tc>
      </w:tr>
      <w:tr>
        <w:trPr>
          <w:trHeight w:val="222"/>
        </w:trPr>
        <w:tc>
          <w:tcPr>
            <w:tcW w:w="4300" w:type="dxa"/>
            <w:vAlign w:val="bottom"/>
            <w:gridSpan w:val="2"/>
          </w:tcPr>
          <w:p>
            <w:pPr>
              <w:jc w:val="center"/>
              <w:ind w:right="377"/>
              <w:spacing w:after="0"/>
              <w:rPr>
                <w:sz w:val="20"/>
                <w:szCs w:val="20"/>
                <w:color w:val="auto"/>
              </w:rPr>
            </w:pPr>
            <w:r>
              <w:rPr>
                <w:rFonts w:ascii="Arial" w:cs="Arial" w:eastAsia="Arial" w:hAnsi="Arial"/>
                <w:sz w:val="16"/>
                <w:szCs w:val="16"/>
                <w:color w:val="auto"/>
              </w:rPr>
              <w:t>Ordinary Shares, nominal value per share of €0.01</w:t>
            </w:r>
          </w:p>
        </w:tc>
        <w:tc>
          <w:tcPr>
            <w:tcW w:w="2620" w:type="dxa"/>
            <w:vAlign w:val="bottom"/>
          </w:tcPr>
          <w:p>
            <w:pPr>
              <w:jc w:val="center"/>
              <w:ind w:right="308"/>
              <w:spacing w:after="0"/>
              <w:rPr>
                <w:sz w:val="20"/>
                <w:szCs w:val="20"/>
                <w:color w:val="auto"/>
              </w:rPr>
            </w:pPr>
            <w:r>
              <w:rPr>
                <w:rFonts w:ascii="Arial" w:cs="Arial" w:eastAsia="Arial" w:hAnsi="Arial"/>
                <w:sz w:val="16"/>
                <w:szCs w:val="16"/>
                <w:color w:val="auto"/>
              </w:rPr>
              <w:t>CMPR</w:t>
            </w:r>
          </w:p>
        </w:tc>
        <w:tc>
          <w:tcPr>
            <w:tcW w:w="4320" w:type="dxa"/>
            <w:vAlign w:val="bottom"/>
            <w:gridSpan w:val="2"/>
          </w:tcPr>
          <w:p>
            <w:pPr>
              <w:ind w:left="1300"/>
              <w:spacing w:after="0"/>
              <w:rPr>
                <w:sz w:val="20"/>
                <w:szCs w:val="20"/>
                <w:color w:val="auto"/>
              </w:rPr>
            </w:pPr>
            <w:r>
              <w:rPr>
                <w:rFonts w:ascii="Arial" w:cs="Arial" w:eastAsia="Arial" w:hAnsi="Arial"/>
                <w:sz w:val="16"/>
                <w:szCs w:val="16"/>
                <w:color w:val="auto"/>
              </w:rPr>
              <w:t>NASDAQ Global Select Market</w:t>
            </w:r>
          </w:p>
        </w:tc>
      </w:tr>
      <w:tr>
        <w:trPr>
          <w:trHeight w:val="124"/>
        </w:trPr>
        <w:tc>
          <w:tcPr>
            <w:tcW w:w="1140" w:type="dxa"/>
            <w:vAlign w:val="bottom"/>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c>
          <w:tcPr>
            <w:tcW w:w="1120" w:type="dxa"/>
            <w:vAlign w:val="bottom"/>
          </w:tcPr>
          <w:p>
            <w:pPr>
              <w:spacing w:after="0"/>
              <w:rPr>
                <w:sz w:val="10"/>
                <w:szCs w:val="10"/>
                <w:color w:val="auto"/>
              </w:rPr>
            </w:pPr>
          </w:p>
        </w:tc>
      </w:tr>
      <w:tr>
        <w:trPr>
          <w:trHeight w:val="34"/>
        </w:trPr>
        <w:tc>
          <w:tcPr>
            <w:tcW w:w="114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973"/>
        </w:trPr>
        <w:tc>
          <w:tcPr>
            <w:tcW w:w="114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225" w:lineRule="exact"/>
        <w:rPr>
          <w:sz w:val="20"/>
          <w:szCs w:val="20"/>
          <w:color w:val="auto"/>
        </w:rPr>
      </w:pPr>
    </w:p>
    <w:p>
      <w:pPr>
        <w:ind w:firstLine="445"/>
        <w:spacing w:after="0" w:line="291" w:lineRule="auto"/>
        <w:rPr>
          <w:sz w:val="20"/>
          <w:szCs w:val="20"/>
          <w:color w:val="auto"/>
        </w:rPr>
      </w:pPr>
      <w:r>
        <w:rPr>
          <w:rFonts w:ascii="Arial" w:cs="Arial" w:eastAsia="Arial" w:hAnsi="Arial"/>
          <w:sz w:val="17"/>
          <w:szCs w:val="17"/>
          <w:color w:val="auto"/>
        </w:rPr>
        <w:t>On July 2, 2026, Cimpress plc (the “Company”) completed its previously announced acquisition of the SAXOPRINT and viaprinto businesses of CEWE Stiftung &amp; Co. KGaA. The SAXOPRINT and viaprinto businesses will be part of the Company’s PrintBrothers segment. The transaction was previously announced in the Company’s Current Report on Form 8-K furnished under Item 7.01 on May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824865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0" w:right="41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1" w:lineRule="exact"/>
        <w:rPr>
          <w:sz w:val="20"/>
          <w:szCs w:val="20"/>
          <w:color w:val="auto"/>
        </w:rPr>
      </w:pPr>
    </w:p>
    <w:p>
      <w:pPr>
        <w:ind w:left="100"/>
        <w:spacing w:after="0"/>
        <w:tabs>
          <w:tab w:leader="none" w:pos="5600" w:val="left"/>
        </w:tabs>
        <w:rPr>
          <w:sz w:val="20"/>
          <w:szCs w:val="20"/>
          <w:color w:val="auto"/>
        </w:rPr>
      </w:pPr>
      <w:r>
        <w:rPr>
          <w:rFonts w:ascii="Arial" w:cs="Arial" w:eastAsia="Arial" w:hAnsi="Arial"/>
          <w:sz w:val="18"/>
          <w:szCs w:val="18"/>
          <w:color w:val="auto"/>
        </w:rPr>
        <w:t>July 2, 2026</w:t>
      </w:r>
      <w:r>
        <w:rPr>
          <w:sz w:val="20"/>
          <w:szCs w:val="20"/>
          <w:color w:val="auto"/>
        </w:rPr>
        <w:tab/>
      </w:r>
      <w:r>
        <w:rPr>
          <w:rFonts w:ascii="Arial" w:cs="Arial" w:eastAsia="Arial" w:hAnsi="Arial"/>
          <w:sz w:val="17"/>
          <w:szCs w:val="17"/>
          <w:color w:val="auto"/>
        </w:rPr>
        <w:t>Cimpress plc</w:t>
      </w:r>
    </w:p>
    <w:p>
      <w:pPr>
        <w:spacing w:after="0" w:line="144" w:lineRule="exact"/>
        <w:rPr>
          <w:sz w:val="20"/>
          <w:szCs w:val="20"/>
          <w:color w:val="auto"/>
        </w:rPr>
      </w:pPr>
    </w:p>
    <w:p>
      <w:pPr>
        <w:ind w:left="5580"/>
        <w:spacing w:after="0"/>
        <w:tabs>
          <w:tab w:leader="none" w:pos="7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17780</wp:posOffset>
            </wp:positionV>
            <wp:extent cx="32918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1"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Sean E. Quinn</w:t>
      </w:r>
    </w:p>
    <w:p>
      <w:pPr>
        <w:spacing w:after="0" w:line="39"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Executive Vice President and Chief Financial Officer</w:t>
      </w:r>
    </w:p>
    <w:sectPr>
      <w:pgSz w:w="11900" w:h="16838" w:orient="portrait"/>
      <w:cols w:equalWidth="0" w:num="1">
        <w:col w:w="11120"/>
      </w:cols>
      <w:pgMar w:left="320" w:top="89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2026-07-02T15:40:12Z</dcterms:created>
  <dcterms:modified xsi:type="dcterms:W3CDTF">2026-07-02T15:40:12Z</dcterms:modified>
</cp:coreProperties>
</file>