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109855</wp:posOffset>
            </wp:positionH>
            <wp:positionV relativeFrom="paragraph">
              <wp:posOffset>68580</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36195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147"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29" w:lineRule="exact"/>
        <w:rPr>
          <w:sz w:val="24"/>
          <w:szCs w:val="24"/>
          <w:color w:val="auto"/>
        </w:rPr>
      </w:pPr>
    </w:p>
    <w:p>
      <w:pPr>
        <w:ind w:left="380" w:hanging="259"/>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8" w:lineRule="exact"/>
        <w:rPr>
          <w:sz w:val="24"/>
          <w:szCs w:val="24"/>
          <w:color w:val="auto"/>
        </w:rPr>
      </w:pPr>
    </w:p>
    <w:p>
      <w:pPr>
        <w:ind w:left="380"/>
        <w:spacing w:after="0"/>
        <w:tabs>
          <w:tab w:leader="none" w:pos="2980" w:val="left"/>
        </w:tabs>
        <w:rPr>
          <w:sz w:val="20"/>
          <w:szCs w:val="20"/>
          <w:color w:val="auto"/>
        </w:rPr>
      </w:pPr>
      <w:r>
        <w:rPr>
          <w:rFonts w:ascii="Arial" w:cs="Arial" w:eastAsia="Arial" w:hAnsi="Arial"/>
          <w:sz w:val="15"/>
          <w:szCs w:val="15"/>
          <w:b w:val="1"/>
          <w:bCs w:val="1"/>
          <w:color w:val="auto"/>
        </w:rPr>
        <w:t>For the quarterly period ended</w:t>
      </w:r>
      <w:r>
        <w:rPr>
          <w:sz w:val="20"/>
          <w:szCs w:val="20"/>
          <w:color w:val="auto"/>
        </w:rPr>
        <w:tab/>
      </w:r>
      <w:r>
        <w:rPr>
          <w:rFonts w:ascii="Arial" w:cs="Arial" w:eastAsia="Arial" w:hAnsi="Arial"/>
          <w:sz w:val="14"/>
          <w:szCs w:val="14"/>
          <w:b w:val="1"/>
          <w:bCs w:val="1"/>
          <w:color w:val="auto"/>
        </w:rPr>
        <w:t>December 31, 2022</w:t>
      </w:r>
    </w:p>
    <w:p>
      <w:pPr>
        <w:spacing w:after="0" w:line="16"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or</w:t>
      </w:r>
    </w:p>
    <w:p>
      <w:pPr>
        <w:ind w:left="380" w:hanging="259"/>
        <w:spacing w:after="0" w:line="207" w:lineRule="auto"/>
        <w:tabs>
          <w:tab w:leader="none" w:pos="38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181" w:lineRule="exact"/>
        <w:rPr>
          <w:sz w:val="24"/>
          <w:szCs w:val="24"/>
          <w:color w:val="auto"/>
        </w:rPr>
      </w:pPr>
    </w:p>
    <w:p>
      <w:pPr>
        <w:ind w:left="380"/>
        <w:spacing w:after="0"/>
        <w:tabs>
          <w:tab w:leader="none" w:pos="30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000-51539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Cimpress plc</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ectPr>
          <w:pgSz w:w="11900" w:h="16838" w:orient="portrait"/>
          <w:cols w:equalWidth="0" w:num="1">
            <w:col w:w="11260"/>
          </w:cols>
          <w:pgMar w:left="320" w:top="1198" w:right="319" w:bottom="1440" w:gutter="0" w:footer="0" w:header="0"/>
        </w:sectPr>
      </w:pPr>
    </w:p>
    <w:p>
      <w:pPr>
        <w:spacing w:after="0" w:line="121"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37" w:lineRule="exact"/>
        <w:rPr>
          <w:sz w:val="24"/>
          <w:szCs w:val="24"/>
          <w:color w:val="auto"/>
        </w:rPr>
      </w:pPr>
    </w:p>
    <w:p>
      <w:pPr>
        <w:sectPr>
          <w:pgSz w:w="11900" w:h="16838" w:orient="portrait"/>
          <w:cols w:equalWidth="0" w:num="2">
            <w:col w:w="7340" w:space="720"/>
            <w:col w:w="3200"/>
          </w:cols>
          <w:pgMar w:left="320" w:top="1198" w:right="319" w:bottom="1440" w:gutter="0" w:footer="0" w:header="0"/>
          <w:type w:val="continuous"/>
        </w:sectPr>
      </w:pPr>
    </w:p>
    <w:p>
      <w:pPr>
        <w:spacing w:after="0" w:line="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No.)</w:t>
      </w:r>
    </w:p>
    <w:p>
      <w:pPr>
        <w:spacing w:after="0" w:line="96" w:lineRule="exact"/>
        <w:rPr>
          <w:sz w:val="24"/>
          <w:szCs w:val="24"/>
          <w:color w:val="auto"/>
        </w:rPr>
      </w:pPr>
    </w:p>
    <w:p>
      <w:pPr>
        <w:sectPr>
          <w:pgSz w:w="11900" w:h="16838" w:orient="portrait"/>
          <w:cols w:equalWidth="0" w:num="2">
            <w:col w:w="7140" w:space="720"/>
            <w:col w:w="3400"/>
          </w:cols>
          <w:pgMar w:left="320" w:top="1198" w:right="319" w:bottom="1440" w:gutter="0" w:footer="0" w:header="0"/>
          <w:type w:val="continuous"/>
        </w:sectPr>
      </w:pPr>
    </w:p>
    <w:p>
      <w:pPr>
        <w:jc w:val="center"/>
        <w:ind w:right="20"/>
        <w:spacing w:after="0"/>
        <w:rPr>
          <w:sz w:val="20"/>
          <w:szCs w:val="20"/>
          <w:color w:val="auto"/>
        </w:rPr>
      </w:pPr>
      <w:r>
        <w:rPr>
          <w:rFonts w:ascii="Arial" w:cs="Arial" w:eastAsia="Arial" w:hAnsi="Arial"/>
          <w:sz w:val="14"/>
          <w:szCs w:val="14"/>
          <w:b w:val="1"/>
          <w:bCs w:val="1"/>
          <w:color w:val="auto"/>
        </w:rPr>
        <w:t>Building D, Xerox Technology Park A91 H9N9,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Dundalk, Co. Louth</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Ireland</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 353 42 938 8500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60"/>
          </w:cols>
          <w:pgMar w:left="320" w:top="1198" w:right="319" w:bottom="1440" w:gutter="0" w:footer="0" w:header="0"/>
          <w:type w:val="continuous"/>
        </w:sectPr>
      </w:pPr>
    </w:p>
    <w:p>
      <w:pPr>
        <w:spacing w:after="0" w:line="154" w:lineRule="exact"/>
        <w:rPr>
          <w:sz w:val="24"/>
          <w:szCs w:val="24"/>
          <w:color w:val="auto"/>
        </w:rPr>
      </w:pPr>
    </w:p>
    <w:p>
      <w:pPr>
        <w:ind w:left="13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49" w:lineRule="exact"/>
        <w:rPr>
          <w:sz w:val="24"/>
          <w:szCs w:val="24"/>
          <w:color w:val="auto"/>
        </w:rPr>
      </w:pPr>
    </w:p>
    <w:p>
      <w:pPr>
        <w:sectPr>
          <w:pgSz w:w="11900" w:h="16838" w:orient="portrait"/>
          <w:cols w:equalWidth="0" w:num="3">
            <w:col w:w="4360" w:space="720"/>
            <w:col w:w="2440" w:space="720"/>
            <w:col w:w="3020"/>
          </w:cols>
          <w:pgMar w:left="320" w:top="1198" w:right="31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19" w:lineRule="exact"/>
        <w:rPr>
          <w:sz w:val="24"/>
          <w:szCs w:val="24"/>
          <w:color w:val="auto"/>
        </w:rPr>
      </w:pPr>
    </w:p>
    <w:p>
      <w:pPr>
        <w:sectPr>
          <w:pgSz w:w="11900" w:h="16838" w:orient="portrait"/>
          <w:cols w:equalWidth="0" w:num="3">
            <w:col w:w="4660" w:space="720"/>
            <w:col w:w="2220" w:space="720"/>
            <w:col w:w="2940"/>
          </w:cols>
          <w:pgMar w:left="320" w:top="1198" w:right="31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252" w:lineRule="exact"/>
        <w:rPr>
          <w:sz w:val="24"/>
          <w:szCs w:val="24"/>
          <w:color w:val="auto"/>
        </w:rPr>
      </w:pPr>
    </w:p>
    <w:p>
      <w:pPr>
        <w:ind w:left="16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74" w:lineRule="exact"/>
        <w:rPr>
          <w:sz w:val="24"/>
          <w:szCs w:val="24"/>
          <w:color w:val="auto"/>
        </w:rPr>
      </w:pPr>
    </w:p>
    <w:p>
      <w:pPr>
        <w:ind w:right="120" w:firstLine="623"/>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1240" w:val="left"/>
        </w:tabs>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64" w:lineRule="exact"/>
        <w:rPr>
          <w:sz w:val="24"/>
          <w:szCs w:val="24"/>
          <w:color w:val="auto"/>
        </w:rPr>
      </w:pPr>
    </w:p>
    <w:p>
      <w:pPr>
        <w:ind w:right="180" w:firstLine="623"/>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80" w:firstLine="623"/>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1198" w:right="319" w:bottom="1440" w:gutter="0" w:footer="0" w:header="0"/>
          <w:type w:val="continuous"/>
        </w:sectPr>
      </w:pPr>
    </w:p>
    <w:p>
      <w:pPr>
        <w:spacing w:after="0" w:line="180" w:lineRule="exact"/>
        <w:rPr>
          <w:sz w:val="24"/>
          <w:szCs w:val="24"/>
          <w:color w:val="auto"/>
        </w:rPr>
      </w:pPr>
    </w:p>
    <w:p>
      <w:pPr>
        <w:ind w:left="24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Accelerated filer</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515" w:lineRule="exact"/>
        <w:rPr>
          <w:sz w:val="24"/>
          <w:szCs w:val="24"/>
          <w:color w:val="auto"/>
        </w:rPr>
      </w:pPr>
    </w:p>
    <w:p>
      <w:pPr>
        <w:sectPr>
          <w:pgSz w:w="11900" w:h="16838" w:orient="portrait"/>
          <w:cols w:equalWidth="0" w:num="5">
            <w:col w:w="3820" w:space="180"/>
            <w:col w:w="1120" w:space="720"/>
            <w:col w:w="1640" w:space="200"/>
            <w:col w:w="1580" w:space="720"/>
            <w:col w:w="1280"/>
          </w:cols>
          <w:pgMar w:left="320" w:top="1198" w:right="319" w:bottom="1440" w:gutter="0" w:footer="0" w:header="0"/>
          <w:type w:val="continuous"/>
        </w:sectPr>
      </w:pPr>
    </w:p>
    <w:p>
      <w:pPr>
        <w:ind w:right="40" w:firstLine="623"/>
        <w:spacing w:after="0" w:line="260"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20" w:right="262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January 23, 2023, there were 26,242,142 Cimpress plc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848360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259715</wp:posOffset>
            </wp:positionV>
            <wp:extent cx="693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226695</wp:posOffset>
            </wp:positionV>
            <wp:extent cx="693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ectPr>
          <w:pgSz w:w="11900" w:h="16838" w:orient="portrait"/>
          <w:cols w:equalWidth="0" w:num="1">
            <w:col w:w="11260"/>
          </w:cols>
          <w:pgMar w:left="320" w:top="1198"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Six Months Ended December 31, 2022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7740" w:type="dxa"/>
            <w:vAlign w:val="bottom"/>
            <w:vMerge w:val="restart"/>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Borders>
              <w:bottom w:val="single" w:sz="8" w:color="auto"/>
            </w:tcBorders>
            <w:gridSpan w:val="3"/>
            <w:vMerge w:val="continue"/>
          </w:tcPr>
          <w:p>
            <w:pPr>
              <w:spacing w:after="0"/>
              <w:rPr>
                <w:sz w:val="14"/>
                <w:szCs w:val="14"/>
                <w:color w:val="auto"/>
              </w:rPr>
            </w:pPr>
          </w:p>
        </w:tc>
        <w:tc>
          <w:tcPr>
            <w:tcW w:w="77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1. Financial Statements (unaudited)</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Balance Sheets as of December 31, 2022 and June 30, 2022</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Operations for the three and six months ended December 31, 2022 and 2021</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Comprehensive (Loss) Income for the three and six months ended December 31, 2022 and 2021</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Shareholders' Deficit for the three and six months ended December 31, 2022 and 2021</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Cash Flows for the six months ended December 31, 2022 and 2021</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2.</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3.</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4.</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Item 6.</w:t>
            </w:r>
          </w:p>
        </w:tc>
        <w:tc>
          <w:tcPr>
            <w:tcW w:w="1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Exhibits</w:t>
            </w:r>
          </w:p>
        </w:tc>
        <w:tc>
          <w:tcPr>
            <w:tcW w:w="8160" w:type="dxa"/>
            <w:vAlign w:val="bottom"/>
            <w:gridSpan w:val="2"/>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Signatures</w:t>
            </w: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95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PART I. FINANCIAL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111,279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277,053</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85,070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49,952</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$6,473 and $6,140, respectively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70,433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63,885</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140,517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126,728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118,015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108,697</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525,314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626,315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278,347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286,826</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70,142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80,694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93,686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90,474</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9,519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113,088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776,788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766,600</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131,274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154,730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 non-current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49,929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48,945</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1,952,106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2,167,672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318,554</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313,710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264,510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253,841</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48,911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58,861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debt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10,386</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22,857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27,706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31,685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28,035</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696,735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692,539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41,142</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1,679,059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1,675,562</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57,474</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79,662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64,394</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2,552,852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2,531,111</w:t>
            </w:r>
          </w:p>
        </w:tc>
        <w:tc>
          <w:tcPr>
            <w:tcW w:w="0" w:type="dxa"/>
            <w:vAlign w:val="bottom"/>
          </w:tcPr>
          <w:p>
            <w:pPr>
              <w:spacing w:after="0"/>
              <w:rPr>
                <w:sz w:val="1"/>
                <w:szCs w:val="1"/>
                <w:color w:val="auto"/>
              </w:rPr>
            </w:pPr>
          </w:p>
        </w:tc>
      </w:tr>
      <w:tr>
        <w:trPr>
          <w:trHeight w:val="187"/>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12,565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131,483</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Shareholders’ deficit:</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shares, nominal value €0.01 per share, 100,000,000 shares authorized; none issued and outstanding</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8240" w:type="dxa"/>
            <w:vAlign w:val="bottom"/>
          </w:tcPr>
          <w:p>
            <w:pPr>
              <w:ind w:left="220"/>
              <w:spacing w:after="0" w:line="157" w:lineRule="exact"/>
              <w:rPr>
                <w:sz w:val="20"/>
                <w:szCs w:val="20"/>
                <w:color w:val="auto"/>
              </w:rPr>
            </w:pPr>
            <w:r>
              <w:rPr>
                <w:rFonts w:ascii="Arial" w:cs="Arial" w:eastAsia="Arial" w:hAnsi="Arial"/>
                <w:sz w:val="16"/>
                <w:szCs w:val="16"/>
                <w:color w:val="auto"/>
              </w:rPr>
              <w:t>Ordinary shares, nominal value €0.01 per share, 100,000,000 shares authorized; 44,211,416 and 44,083,569</w:t>
            </w:r>
          </w:p>
        </w:tc>
        <w:tc>
          <w:tcPr>
            <w:tcW w:w="180" w:type="dxa"/>
            <w:vAlign w:val="bottom"/>
          </w:tcPr>
          <w:p>
            <w:pPr>
              <w:spacing w:after="0"/>
              <w:rPr>
                <w:sz w:val="13"/>
                <w:szCs w:val="13"/>
                <w:color w:val="auto"/>
              </w:rPr>
            </w:pPr>
          </w:p>
        </w:tc>
        <w:tc>
          <w:tcPr>
            <w:tcW w:w="1260" w:type="dxa"/>
            <w:vAlign w:val="bottom"/>
            <w:vMerge w:val="restart"/>
          </w:tcPr>
          <w:p>
            <w:pPr>
              <w:jc w:val="right"/>
              <w:ind w:right="3"/>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shares issued, respectively; 26,240,169 and 26,112,322 shares outstanding, respectively</w:t>
            </w: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521,531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501,003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256,152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414,138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(47,128)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(613,311)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(494,922)</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1,952,106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2,167,672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4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845,202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1,548,617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1,507,315</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Cost of revenue (1)</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455,393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423,937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833,128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762,926</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development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77,723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152,198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137,544</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Marketing and selling expense (1)</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205,148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208,616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406,078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383,313</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49,791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103,863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93,274</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Amortization of acquired intangible assets</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12,362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13,882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24,712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27,340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expense (1)</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11,207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13,027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33,578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85,981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15,611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102,920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26,009</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(51,057)</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(Loss) income before income taxes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73,451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77,872</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126,129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135,494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26,679</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56,153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51,193</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Add: Net (income) attributable to noncontrolling interests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 attributable to Cimpress plc</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54,789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(165,441)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48,091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 w:type="dxa"/>
            <w:vAlign w:val="bottom"/>
          </w:tcPr>
          <w:p>
            <w:pPr>
              <w:spacing w:after="0"/>
              <w:rPr>
                <w:sz w:val="15"/>
                <w:szCs w:val="15"/>
                <w:color w:val="auto"/>
              </w:rPr>
            </w:pPr>
          </w:p>
        </w:tc>
        <w:tc>
          <w:tcPr>
            <w:tcW w:w="4720" w:type="dxa"/>
            <w:vAlign w:val="bottom"/>
          </w:tcPr>
          <w:p>
            <w:pPr>
              <w:spacing w:after="0" w:line="180" w:lineRule="exact"/>
              <w:rPr>
                <w:sz w:val="20"/>
                <w:szCs w:val="20"/>
                <w:color w:val="auto"/>
              </w:rPr>
            </w:pPr>
            <w:r>
              <w:rPr>
                <w:rFonts w:ascii="Arial" w:cs="Arial" w:eastAsia="Arial" w:hAnsi="Arial"/>
                <w:sz w:val="16"/>
                <w:szCs w:val="16"/>
                <w:color w:val="auto"/>
              </w:rPr>
              <w:t>Basic net (loss) income per share attributable to Cimpress plc</w:t>
            </w: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(5.34)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2.10</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(6.31)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net (loss) income per share attributable to Cimpress plc</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 w:type="dxa"/>
            <w:vAlign w:val="bottom"/>
          </w:tcPr>
          <w:p>
            <w:pPr>
              <w:spacing w:after="0"/>
              <w:rPr>
                <w:sz w:val="15"/>
                <w:szCs w:val="15"/>
                <w:color w:val="auto"/>
              </w:rPr>
            </w:pPr>
          </w:p>
        </w:tc>
        <w:tc>
          <w:tcPr>
            <w:tcW w:w="4720" w:type="dxa"/>
            <w:vAlign w:val="bottom"/>
          </w:tcPr>
          <w:p>
            <w:pPr>
              <w:spacing w:after="0" w:line="180" w:lineRule="exact"/>
              <w:rPr>
                <w:sz w:val="20"/>
                <w:szCs w:val="20"/>
                <w:color w:val="auto"/>
              </w:rPr>
            </w:pPr>
            <w:r>
              <w:rPr>
                <w:rFonts w:ascii="Arial" w:cs="Arial" w:eastAsia="Arial" w:hAnsi="Arial"/>
                <w:sz w:val="16"/>
                <w:szCs w:val="16"/>
                <w:color w:val="auto"/>
              </w:rPr>
              <w:t>Weighted average shares outstanding — basic</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26,234,747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26,096,786</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26,206,782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26,084,518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0" w:type="dxa"/>
            <w:vAlign w:val="bottom"/>
          </w:tcPr>
          <w:p>
            <w:pPr>
              <w:spacing w:after="0"/>
              <w:rPr>
                <w:sz w:val="17"/>
                <w:szCs w:val="17"/>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shares outstanding — diluted</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26,234,747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26,402,703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26,206,782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26,493,258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780" w:type="dxa"/>
            <w:vAlign w:val="bottom"/>
            <w:gridSpan w:val="2"/>
          </w:tcPr>
          <w:p>
            <w:pPr>
              <w:spacing w:after="0"/>
              <w:rPr>
                <w:sz w:val="20"/>
                <w:szCs w:val="20"/>
                <w:color w:val="auto"/>
              </w:rPr>
            </w:pPr>
            <w:r>
              <w:rPr>
                <w:rFonts w:ascii="Arial" w:cs="Arial" w:eastAsia="Arial" w:hAnsi="Arial"/>
                <w:sz w:val="14"/>
                <w:szCs w:val="14"/>
                <w:color w:val="auto"/>
              </w:rPr>
              <w:t>(1) Share-based compensation is allocated as follows: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24"/>
                <w:szCs w:val="24"/>
                <w:color w:val="auto"/>
              </w:rPr>
            </w:pPr>
          </w:p>
        </w:tc>
        <w:tc>
          <w:tcPr>
            <w:tcW w:w="284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Technology and development expense</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4,267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3,355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7,308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6,258</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Marketing and selling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5,475</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5,352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10,134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11,535</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4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56,153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51,193</w:t>
            </w:r>
          </w:p>
        </w:tc>
        <w:tc>
          <w:tcPr>
            <w:tcW w:w="0" w:type="dxa"/>
            <w:vAlign w:val="bottom"/>
          </w:tcPr>
          <w:p>
            <w:pPr>
              <w:spacing w:after="0"/>
              <w:rPr>
                <w:sz w:val="1"/>
                <w:szCs w:val="1"/>
                <w:color w:val="auto"/>
              </w:rPr>
            </w:pPr>
          </w:p>
        </w:tc>
      </w:tr>
      <w:tr>
        <w:trPr>
          <w:trHeight w:val="207"/>
        </w:trPr>
        <w:tc>
          <w:tcPr>
            <w:tcW w:w="472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gains, net of hedges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11,120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2,938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157"/>
        </w:trPr>
        <w:tc>
          <w:tcPr>
            <w:tcW w:w="4720" w:type="dxa"/>
            <w:vAlign w:val="bottom"/>
          </w:tcPr>
          <w:p>
            <w:pPr>
              <w:ind w:left="200"/>
              <w:spacing w:after="0" w:line="157" w:lineRule="exact"/>
              <w:rPr>
                <w:sz w:val="20"/>
                <w:szCs w:val="20"/>
                <w:color w:val="auto"/>
              </w:rPr>
            </w:pPr>
            <w:r>
              <w:rPr>
                <w:rFonts w:ascii="Arial" w:cs="Arial" w:eastAsia="Arial" w:hAnsi="Arial"/>
                <w:sz w:val="16"/>
                <w:szCs w:val="16"/>
                <w:color w:val="auto"/>
              </w:rPr>
              <w:t>Net unrealized (losses) gains on derivative instruments</w:t>
            </w:r>
          </w:p>
        </w:tc>
        <w:tc>
          <w:tcPr>
            <w:tcW w:w="26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(5,649)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restart"/>
          </w:tcPr>
          <w:p>
            <w:pPr>
              <w:jc w:val="right"/>
              <w:ind w:right="4"/>
              <w:spacing w:after="0"/>
              <w:rPr>
                <w:sz w:val="20"/>
                <w:szCs w:val="20"/>
                <w:color w:val="auto"/>
              </w:rPr>
            </w:pPr>
            <w:r>
              <w:rPr>
                <w:rFonts w:ascii="Arial" w:cs="Arial" w:eastAsia="Arial" w:hAnsi="Arial"/>
                <w:sz w:val="16"/>
                <w:szCs w:val="16"/>
                <w:color w:val="auto"/>
              </w:rPr>
              <w:t>11,111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06"/>
        </w:trPr>
        <w:tc>
          <w:tcPr>
            <w:tcW w:w="4720" w:type="dxa"/>
            <w:vAlign w:val="bottom"/>
          </w:tcPr>
          <w:p>
            <w:pPr>
              <w:ind w:left="200"/>
              <w:spacing w:after="0"/>
              <w:rPr>
                <w:sz w:val="20"/>
                <w:szCs w:val="20"/>
                <w:color w:val="auto"/>
              </w:rPr>
            </w:pPr>
            <w:r>
              <w:rPr>
                <w:rFonts w:ascii="Arial" w:cs="Arial" w:eastAsia="Arial" w:hAnsi="Arial"/>
                <w:sz w:val="16"/>
                <w:szCs w:val="16"/>
                <w:color w:val="auto"/>
              </w:rPr>
              <w:t>designated and qualifying as cash flow hedges</w:t>
            </w:r>
          </w:p>
        </w:tc>
        <w:tc>
          <w:tcPr>
            <w:tcW w:w="2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720" w:type="dxa"/>
            <w:vAlign w:val="bottom"/>
            <w:shd w:val="clear" w:color="auto" w:fill="CCEEFF"/>
          </w:tcPr>
          <w:p>
            <w:pPr>
              <w:ind w:left="200"/>
              <w:spacing w:after="0" w:line="158" w:lineRule="exact"/>
              <w:rPr>
                <w:sz w:val="20"/>
                <w:szCs w:val="20"/>
                <w:color w:val="auto"/>
              </w:rPr>
            </w:pPr>
            <w:r>
              <w:rPr>
                <w:rFonts w:ascii="Arial" w:cs="Arial" w:eastAsia="Arial" w:hAnsi="Arial"/>
                <w:sz w:val="16"/>
                <w:szCs w:val="16"/>
                <w:color w:val="auto"/>
              </w:rPr>
              <w:t>Amounts reclassified from accumulated other comprehensive</w:t>
            </w:r>
          </w:p>
        </w:tc>
        <w:tc>
          <w:tcPr>
            <w:tcW w:w="2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3,136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7,768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13,314</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to net (loss) income on derivative instruments</w:t>
            </w:r>
          </w:p>
        </w:tc>
        <w:tc>
          <w:tcPr>
            <w:tcW w:w="26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tcPr>
          <w:p>
            <w:pPr>
              <w:ind w:left="200"/>
              <w:spacing w:after="0"/>
              <w:rPr>
                <w:sz w:val="20"/>
                <w:szCs w:val="20"/>
                <w:color w:val="auto"/>
              </w:rPr>
            </w:pPr>
            <w:r>
              <w:rPr>
                <w:rFonts w:ascii="Arial" w:cs="Arial" w:eastAsia="Arial" w:hAnsi="Arial"/>
                <w:sz w:val="16"/>
                <w:szCs w:val="16"/>
                <w:color w:val="auto"/>
              </w:rPr>
              <w:t>Gain on pension benefit obligation, net</w:t>
            </w:r>
          </w:p>
        </w:tc>
        <w:tc>
          <w:tcPr>
            <w:tcW w:w="2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02"/>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(loss) income</w:t>
            </w:r>
          </w:p>
        </w:tc>
        <w:tc>
          <w:tcPr>
            <w:tcW w:w="2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(129,933)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65,409</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(149,034)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63,887</w:t>
            </w:r>
          </w:p>
        </w:tc>
        <w:tc>
          <w:tcPr>
            <w:tcW w:w="0" w:type="dxa"/>
            <w:vAlign w:val="bottom"/>
          </w:tcPr>
          <w:p>
            <w:pPr>
              <w:spacing w:after="0"/>
              <w:rPr>
                <w:sz w:val="1"/>
                <w:szCs w:val="1"/>
                <w:color w:val="auto"/>
              </w:rPr>
            </w:pPr>
          </w:p>
        </w:tc>
      </w:tr>
      <w:tr>
        <w:trPr>
          <w:trHeight w:val="157"/>
        </w:trPr>
        <w:tc>
          <w:tcPr>
            <w:tcW w:w="4720" w:type="dxa"/>
            <w:vAlign w:val="bottom"/>
          </w:tcPr>
          <w:p>
            <w:pPr>
              <w:ind w:left="200"/>
              <w:spacing w:after="0" w:line="157" w:lineRule="exact"/>
              <w:rPr>
                <w:sz w:val="20"/>
                <w:szCs w:val="20"/>
                <w:color w:val="auto"/>
              </w:rPr>
            </w:pPr>
            <w:r>
              <w:rPr>
                <w:rFonts w:ascii="Arial" w:cs="Arial" w:eastAsia="Arial" w:hAnsi="Arial"/>
                <w:sz w:val="16"/>
                <w:szCs w:val="16"/>
                <w:color w:val="auto"/>
                <w:w w:val="99"/>
              </w:rPr>
              <w:t>Add: Comprehensive loss (income) attributable to noncontrolling</w:t>
            </w:r>
          </w:p>
        </w:tc>
        <w:tc>
          <w:tcPr>
            <w:tcW w:w="260" w:type="dxa"/>
            <w:vAlign w:val="bottom"/>
          </w:tcPr>
          <w:p>
            <w:pPr>
              <w:spacing w:after="0"/>
              <w:rPr>
                <w:sz w:val="13"/>
                <w:szCs w:val="13"/>
                <w:color w:val="auto"/>
              </w:rPr>
            </w:pPr>
          </w:p>
        </w:tc>
        <w:tc>
          <w:tcPr>
            <w:tcW w:w="1280" w:type="dxa"/>
            <w:vAlign w:val="bottom"/>
            <w:vMerge w:val="restart"/>
          </w:tcPr>
          <w:p>
            <w:pPr>
              <w:jc w:val="right"/>
              <w:ind w:right="4"/>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restart"/>
          </w:tcPr>
          <w:p>
            <w:pPr>
              <w:jc w:val="right"/>
              <w:ind w:right="4"/>
              <w:spacing w:after="0"/>
              <w:rPr>
                <w:sz w:val="20"/>
                <w:szCs w:val="20"/>
                <w:color w:val="auto"/>
              </w:rPr>
            </w:pPr>
            <w:r>
              <w:rPr>
                <w:rFonts w:ascii="Arial" w:cs="Arial" w:eastAsia="Arial" w:hAnsi="Arial"/>
                <w:sz w:val="16"/>
                <w:szCs w:val="16"/>
                <w:color w:val="auto"/>
              </w:rPr>
              <w:t>2,662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06"/>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interests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comprehensive (loss) income attributable to Cimpress plc</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64,649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62,246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71755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80" w:top="861" w:right="379" w:bottom="1440" w:gutter="0" w:footer="0" w:header="0"/>
        </w:sectPr>
      </w:pPr>
    </w:p>
    <w:bookmarkStart w:id="5" w:name="page6"/>
    <w:bookmarkEnd w:id="5"/>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00" w:type="dxa"/>
            <w:vAlign w:val="bottom"/>
          </w:tcPr>
          <w:p>
            <w:pPr>
              <w:spacing w:after="0"/>
              <w:rPr>
                <w:sz w:val="12"/>
                <w:szCs w:val="12"/>
                <w:color w:val="auto"/>
              </w:rPr>
            </w:pPr>
          </w:p>
        </w:tc>
        <w:tc>
          <w:tcPr>
            <w:tcW w:w="1540" w:type="dxa"/>
            <w:vAlign w:val="bottom"/>
            <w:gridSpan w:val="5"/>
            <w:vMerge w:val="restart"/>
          </w:tcPr>
          <w:p>
            <w:pPr>
              <w:ind w:left="240"/>
              <w:spacing w:after="0"/>
              <w:rPr>
                <w:sz w:val="20"/>
                <w:szCs w:val="20"/>
                <w:color w:val="auto"/>
              </w:rPr>
            </w:pPr>
            <w:r>
              <w:rPr>
                <w:rFonts w:ascii="Arial" w:cs="Arial" w:eastAsia="Arial" w:hAnsi="Arial"/>
                <w:sz w:val="12"/>
                <w:szCs w:val="12"/>
                <w:b w:val="1"/>
                <w:bCs w:val="1"/>
                <w:color w:val="auto"/>
              </w:rPr>
              <w:t>Ordinary Shares</w:t>
            </w:r>
          </w:p>
        </w:tc>
        <w:tc>
          <w:tcPr>
            <w:tcW w:w="15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9"/>
              </w:rPr>
              <w:t>Deferred Ordinary</w:t>
            </w:r>
          </w:p>
        </w:tc>
        <w:tc>
          <w:tcPr>
            <w:tcW w:w="2060" w:type="dxa"/>
            <w:vAlign w:val="bottom"/>
            <w:gridSpan w:val="5"/>
            <w:vMerge w:val="restart"/>
          </w:tcPr>
          <w:p>
            <w:pPr>
              <w:ind w:left="500"/>
              <w:spacing w:after="0"/>
              <w:rPr>
                <w:sz w:val="20"/>
                <w:szCs w:val="20"/>
                <w:color w:val="auto"/>
              </w:rPr>
            </w:pPr>
            <w:r>
              <w:rPr>
                <w:rFonts w:ascii="Arial" w:cs="Arial" w:eastAsia="Arial" w:hAnsi="Arial"/>
                <w:sz w:val="12"/>
                <w:szCs w:val="12"/>
                <w:b w:val="1"/>
                <w:bCs w:val="1"/>
                <w:color w:val="auto"/>
              </w:rPr>
              <w:t>Treasury Shares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1540" w:type="dxa"/>
            <w:vAlign w:val="bottom"/>
            <w:gridSpan w:val="5"/>
            <w:vMerge w:val="continue"/>
          </w:tcPr>
          <w:p>
            <w:pPr>
              <w:spacing w:after="0"/>
              <w:rPr>
                <w:sz w:val="15"/>
                <w:szCs w:val="15"/>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rPr>
              <w:t>Shares</w:t>
            </w:r>
          </w:p>
        </w:tc>
        <w:tc>
          <w:tcPr>
            <w:tcW w:w="20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340" w:type="dxa"/>
            <w:vAlign w:val="bottom"/>
            <w:gridSpan w:val="3"/>
          </w:tcPr>
          <w:p>
            <w:pPr>
              <w:jc w:val="center"/>
              <w:ind w:right="100"/>
              <w:spacing w:after="0" w:line="117"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10"/>
                <w:szCs w:val="10"/>
                <w:color w:val="auto"/>
              </w:rPr>
            </w:pPr>
          </w:p>
        </w:tc>
        <w:tc>
          <w:tcPr>
            <w:tcW w:w="980" w:type="dxa"/>
            <w:vAlign w:val="bottom"/>
          </w:tcPr>
          <w:p>
            <w:pPr>
              <w:jc w:val="center"/>
              <w:ind w:right="7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700" w:type="dxa"/>
            <w:vAlign w:val="bottom"/>
          </w:tcPr>
          <w:p>
            <w:pPr>
              <w:spacing w:after="0"/>
              <w:rPr>
                <w:sz w:val="4"/>
                <w:szCs w:val="4"/>
                <w:color w:val="auto"/>
              </w:rPr>
            </w:pPr>
          </w:p>
        </w:tc>
        <w:tc>
          <w:tcPr>
            <w:tcW w:w="7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4"/>
                <w:szCs w:val="4"/>
                <w:color w:val="auto"/>
              </w:rPr>
            </w:pPr>
          </w:p>
        </w:tc>
        <w:tc>
          <w:tcPr>
            <w:tcW w:w="680" w:type="dxa"/>
            <w:vAlign w:val="bottom"/>
            <w:gridSpan w:val="2"/>
            <w:vMerge w:val="restart"/>
          </w:tcPr>
          <w:p>
            <w:pPr>
              <w:ind w:left="20"/>
              <w:spacing w:after="0" w:line="117" w:lineRule="exact"/>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4"/>
                <w:szCs w:val="4"/>
                <w:color w:val="auto"/>
              </w:rPr>
            </w:pPr>
          </w:p>
        </w:tc>
        <w:tc>
          <w:tcPr>
            <w:tcW w:w="700" w:type="dxa"/>
            <w:vAlign w:val="bottom"/>
            <w:gridSpan w:val="2"/>
            <w:vMerge w:val="restart"/>
          </w:tcPr>
          <w:p>
            <w:pPr>
              <w:ind w:left="20"/>
              <w:spacing w:after="0" w:line="117" w:lineRule="exact"/>
              <w:rPr>
                <w:sz w:val="20"/>
                <w:szCs w:val="20"/>
                <w:color w:val="auto"/>
              </w:rPr>
            </w:pPr>
            <w:r>
              <w:rPr>
                <w:rFonts w:ascii="Arial" w:cs="Arial" w:eastAsia="Arial" w:hAnsi="Arial"/>
                <w:sz w:val="12"/>
                <w:szCs w:val="12"/>
                <w:b w:val="1"/>
                <w:bCs w:val="1"/>
                <w:color w:val="auto"/>
              </w:rPr>
              <w:t>Amount</w:t>
            </w:r>
          </w:p>
        </w:tc>
        <w:tc>
          <w:tcPr>
            <w:tcW w:w="88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980" w:type="dxa"/>
            <w:vAlign w:val="bottom"/>
            <w:gridSpan w:val="2"/>
            <w:vMerge w:val="restart"/>
          </w:tcPr>
          <w:p>
            <w:pPr>
              <w:ind w:left="100"/>
              <w:spacing w:after="0" w:line="117"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4"/>
                <w:szCs w:val="4"/>
                <w:color w:val="auto"/>
              </w:rPr>
            </w:pPr>
          </w:p>
        </w:tc>
        <w:tc>
          <w:tcPr>
            <w:tcW w:w="860" w:type="dxa"/>
            <w:vAlign w:val="bottom"/>
            <w:gridSpan w:val="2"/>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72"/>
              <w:spacing w:after="0" w:line="117"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5"/>
        </w:trPr>
        <w:tc>
          <w:tcPr>
            <w:tcW w:w="17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700" w:type="dxa"/>
            <w:vAlign w:val="bottom"/>
          </w:tcPr>
          <w:p>
            <w:pPr>
              <w:spacing w:after="0"/>
              <w:rPr>
                <w:sz w:val="8"/>
                <w:szCs w:val="8"/>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9"/>
              </w:rPr>
              <w:t>Issued</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Issued</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9"/>
              </w:rPr>
              <w:t>Shares</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8"/>
                <w:szCs w:val="8"/>
                <w:color w:val="auto"/>
              </w:rPr>
            </w:pPr>
          </w:p>
        </w:tc>
        <w:tc>
          <w:tcPr>
            <w:tcW w:w="98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77"/>
        </w:trPr>
        <w:tc>
          <w:tcPr>
            <w:tcW w:w="17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44,080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(18,045)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(1,368,595)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459,904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530,159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(449,371)</w:t>
            </w: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Restricted share units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vested, net of shares</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withheld for taxes</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11,129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11,129</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(6,698)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(6,698)</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noncontrolling interest</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accretion to redemption</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(7,592)</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Net unrealized gain 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4"/>
                <w:szCs w:val="14"/>
                <w:color w:val="auto"/>
              </w:rPr>
              <w:t>3,621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3,621</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as cash flow hedges</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translation, net of hedges</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44,080</w:t>
            </w:r>
          </w:p>
        </w:tc>
        <w:tc>
          <w:tcPr>
            <w:tcW w:w="100" w:type="dxa"/>
            <w:vAlign w:val="bottom"/>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1"/>
                <w:szCs w:val="1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(17,991)</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(1,365,079)</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464,938</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515,869</w:t>
            </w: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(67,187)</w:t>
            </w: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(450,816)</w:t>
            </w:r>
          </w:p>
        </w:tc>
        <w:tc>
          <w:tcPr>
            <w:tcW w:w="0" w:type="dxa"/>
            <w:vAlign w:val="bottom"/>
          </w:tcPr>
          <w:p>
            <w:pPr>
              <w:spacing w:after="0"/>
              <w:rPr>
                <w:sz w:val="1"/>
                <w:szCs w:val="1"/>
                <w:color w:val="auto"/>
              </w:rPr>
            </w:pPr>
          </w:p>
        </w:tc>
      </w:tr>
      <w:tr>
        <w:trPr>
          <w:trHeight w:val="154"/>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2021</w:t>
            </w: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Restricted share units</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vested, net of shares</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2"/>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Share-based</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12,398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12,398</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54,789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54,789</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Redeemable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tcPr>
          <w:p>
            <w:pPr>
              <w:ind w:left="20"/>
              <w:spacing w:after="0" w:line="137" w:lineRule="exact"/>
              <w:rPr>
                <w:sz w:val="20"/>
                <w:szCs w:val="20"/>
                <w:color w:val="auto"/>
              </w:rPr>
            </w:pPr>
            <w:r>
              <w:rPr>
                <w:rFonts w:ascii="Arial" w:cs="Arial" w:eastAsia="Arial" w:hAnsi="Arial"/>
                <w:sz w:val="14"/>
                <w:szCs w:val="14"/>
                <w:color w:val="auto"/>
              </w:rPr>
              <w:t>accretion to redemption</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(8,444)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(8,444)</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value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Decrease in noncontrolling</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interest due to share</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2"/>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Net unrealized gain 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4"/>
                <w:szCs w:val="14"/>
                <w:color w:val="auto"/>
              </w:rPr>
              <w:t>5,270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5,270</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as cash flow hedges</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4,146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4,146</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translation, net of hedges</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Unrealized gain 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pension benefit obligation,</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net of tax</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70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4"/>
                <w:szCs w:val="14"/>
                <w:color w:val="auto"/>
              </w:rPr>
              <w:t>Balance at December 31,</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44,080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(17,980)</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(1,364,336)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476,002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562,214</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(57,327)</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(382,804)</w:t>
            </w:r>
          </w:p>
        </w:tc>
        <w:tc>
          <w:tcPr>
            <w:tcW w:w="0" w:type="dxa"/>
            <w:vAlign w:val="bottom"/>
          </w:tcPr>
          <w:p>
            <w:pPr>
              <w:spacing w:after="0"/>
              <w:rPr>
                <w:sz w:val="1"/>
                <w:szCs w:val="1"/>
                <w:color w:val="auto"/>
              </w:rPr>
            </w:pPr>
          </w:p>
        </w:tc>
      </w:tr>
      <w:tr>
        <w:trPr>
          <w:trHeight w:val="169"/>
        </w:trPr>
        <w:tc>
          <w:tcPr>
            <w:tcW w:w="17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2021</w:t>
            </w: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00" w:type="dxa"/>
            <w:vAlign w:val="bottom"/>
          </w:tcPr>
          <w:p>
            <w:pPr>
              <w:spacing w:after="0"/>
              <w:rPr>
                <w:sz w:val="12"/>
                <w:szCs w:val="12"/>
                <w:color w:val="auto"/>
              </w:rPr>
            </w:pPr>
          </w:p>
        </w:tc>
        <w:tc>
          <w:tcPr>
            <w:tcW w:w="1540" w:type="dxa"/>
            <w:vAlign w:val="bottom"/>
            <w:gridSpan w:val="5"/>
            <w:vMerge w:val="restart"/>
          </w:tcPr>
          <w:p>
            <w:pPr>
              <w:ind w:left="240"/>
              <w:spacing w:after="0"/>
              <w:rPr>
                <w:sz w:val="20"/>
                <w:szCs w:val="20"/>
                <w:color w:val="auto"/>
              </w:rPr>
            </w:pPr>
            <w:r>
              <w:rPr>
                <w:rFonts w:ascii="Arial" w:cs="Arial" w:eastAsia="Arial" w:hAnsi="Arial"/>
                <w:sz w:val="12"/>
                <w:szCs w:val="12"/>
                <w:b w:val="1"/>
                <w:bCs w:val="1"/>
                <w:color w:val="auto"/>
              </w:rPr>
              <w:t>Ordinary Shares</w:t>
            </w:r>
          </w:p>
        </w:tc>
        <w:tc>
          <w:tcPr>
            <w:tcW w:w="1580" w:type="dxa"/>
            <w:vAlign w:val="bottom"/>
            <w:gridSpan w:val="5"/>
          </w:tcPr>
          <w:p>
            <w:pPr>
              <w:ind w:left="220"/>
              <w:spacing w:after="0"/>
              <w:rPr>
                <w:sz w:val="20"/>
                <w:szCs w:val="20"/>
                <w:color w:val="auto"/>
              </w:rPr>
            </w:pPr>
            <w:r>
              <w:rPr>
                <w:rFonts w:ascii="Arial" w:cs="Arial" w:eastAsia="Arial" w:hAnsi="Arial"/>
                <w:sz w:val="12"/>
                <w:szCs w:val="12"/>
                <w:b w:val="1"/>
                <w:bCs w:val="1"/>
                <w:color w:val="auto"/>
              </w:rPr>
              <w:t>Deferred Ordinary</w:t>
            </w:r>
          </w:p>
        </w:tc>
        <w:tc>
          <w:tcPr>
            <w:tcW w:w="2060" w:type="dxa"/>
            <w:vAlign w:val="bottom"/>
            <w:gridSpan w:val="5"/>
            <w:vMerge w:val="restart"/>
          </w:tcPr>
          <w:p>
            <w:pPr>
              <w:ind w:left="500"/>
              <w:spacing w:after="0"/>
              <w:rPr>
                <w:sz w:val="20"/>
                <w:szCs w:val="20"/>
                <w:color w:val="auto"/>
              </w:rPr>
            </w:pPr>
            <w:r>
              <w:rPr>
                <w:rFonts w:ascii="Arial" w:cs="Arial" w:eastAsia="Arial" w:hAnsi="Arial"/>
                <w:sz w:val="12"/>
                <w:szCs w:val="12"/>
                <w:b w:val="1"/>
                <w:bCs w:val="1"/>
                <w:color w:val="auto"/>
              </w:rPr>
              <w:t>Treasury Shares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1540" w:type="dxa"/>
            <w:vAlign w:val="bottom"/>
            <w:gridSpan w:val="5"/>
            <w:vMerge w:val="continue"/>
          </w:tcPr>
          <w:p>
            <w:pPr>
              <w:spacing w:after="0"/>
              <w:rPr>
                <w:sz w:val="15"/>
                <w:szCs w:val="15"/>
                <w:color w:val="auto"/>
              </w:rPr>
            </w:pPr>
          </w:p>
        </w:tc>
        <w:tc>
          <w:tcPr>
            <w:tcW w:w="1580" w:type="dxa"/>
            <w:vAlign w:val="bottom"/>
            <w:gridSpan w:val="5"/>
          </w:tcPr>
          <w:p>
            <w:pPr>
              <w:ind w:left="520"/>
              <w:spacing w:after="0"/>
              <w:rPr>
                <w:sz w:val="20"/>
                <w:szCs w:val="20"/>
                <w:color w:val="auto"/>
              </w:rPr>
            </w:pPr>
            <w:r>
              <w:rPr>
                <w:rFonts w:ascii="Arial" w:cs="Arial" w:eastAsia="Arial" w:hAnsi="Arial"/>
                <w:sz w:val="12"/>
                <w:szCs w:val="12"/>
                <w:b w:val="1"/>
                <w:bCs w:val="1"/>
                <w:color w:val="auto"/>
              </w:rPr>
              <w:t>Shares</w:t>
            </w:r>
          </w:p>
        </w:tc>
        <w:tc>
          <w:tcPr>
            <w:tcW w:w="20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340" w:type="dxa"/>
            <w:vAlign w:val="bottom"/>
            <w:gridSpan w:val="3"/>
          </w:tcPr>
          <w:p>
            <w:pPr>
              <w:jc w:val="center"/>
              <w:ind w:right="100"/>
              <w:spacing w:after="0" w:line="117"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10"/>
                <w:szCs w:val="10"/>
                <w:color w:val="auto"/>
              </w:rPr>
            </w:pPr>
          </w:p>
        </w:tc>
        <w:tc>
          <w:tcPr>
            <w:tcW w:w="980" w:type="dxa"/>
            <w:vAlign w:val="bottom"/>
          </w:tcPr>
          <w:p>
            <w:pPr>
              <w:jc w:val="center"/>
              <w:ind w:right="7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700" w:type="dxa"/>
            <w:vAlign w:val="bottom"/>
          </w:tcPr>
          <w:p>
            <w:pPr>
              <w:spacing w:after="0"/>
              <w:rPr>
                <w:sz w:val="4"/>
                <w:szCs w:val="4"/>
                <w:color w:val="auto"/>
              </w:rPr>
            </w:pPr>
          </w:p>
        </w:tc>
        <w:tc>
          <w:tcPr>
            <w:tcW w:w="7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4"/>
                <w:szCs w:val="4"/>
                <w:color w:val="auto"/>
              </w:rPr>
            </w:pPr>
          </w:p>
        </w:tc>
        <w:tc>
          <w:tcPr>
            <w:tcW w:w="680" w:type="dxa"/>
            <w:vAlign w:val="bottom"/>
            <w:gridSpan w:val="2"/>
            <w:vMerge w:val="restart"/>
          </w:tcPr>
          <w:p>
            <w:pPr>
              <w:ind w:left="20"/>
              <w:spacing w:after="0" w:line="117" w:lineRule="exact"/>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4"/>
                <w:szCs w:val="4"/>
                <w:color w:val="auto"/>
              </w:rPr>
            </w:pPr>
          </w:p>
        </w:tc>
        <w:tc>
          <w:tcPr>
            <w:tcW w:w="700" w:type="dxa"/>
            <w:vAlign w:val="bottom"/>
            <w:gridSpan w:val="2"/>
            <w:vMerge w:val="restart"/>
          </w:tcPr>
          <w:p>
            <w:pPr>
              <w:ind w:left="20"/>
              <w:spacing w:after="0" w:line="117" w:lineRule="exact"/>
              <w:rPr>
                <w:sz w:val="20"/>
                <w:szCs w:val="20"/>
                <w:color w:val="auto"/>
              </w:rPr>
            </w:pPr>
            <w:r>
              <w:rPr>
                <w:rFonts w:ascii="Arial" w:cs="Arial" w:eastAsia="Arial" w:hAnsi="Arial"/>
                <w:sz w:val="12"/>
                <w:szCs w:val="12"/>
                <w:b w:val="1"/>
                <w:bCs w:val="1"/>
                <w:color w:val="auto"/>
              </w:rPr>
              <w:t>Amount</w:t>
            </w:r>
          </w:p>
        </w:tc>
        <w:tc>
          <w:tcPr>
            <w:tcW w:w="88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980" w:type="dxa"/>
            <w:vAlign w:val="bottom"/>
            <w:gridSpan w:val="2"/>
            <w:vMerge w:val="restart"/>
          </w:tcPr>
          <w:p>
            <w:pPr>
              <w:ind w:left="100"/>
              <w:spacing w:after="0" w:line="117"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4"/>
                <w:szCs w:val="4"/>
                <w:color w:val="auto"/>
              </w:rPr>
            </w:pPr>
          </w:p>
        </w:tc>
        <w:tc>
          <w:tcPr>
            <w:tcW w:w="860" w:type="dxa"/>
            <w:vAlign w:val="bottom"/>
            <w:gridSpan w:val="2"/>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72"/>
              <w:spacing w:after="0" w:line="117"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5"/>
        </w:trPr>
        <w:tc>
          <w:tcPr>
            <w:tcW w:w="17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70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Issued</w:t>
            </w:r>
          </w:p>
        </w:tc>
        <w:tc>
          <w:tcPr>
            <w:tcW w:w="10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Issued</w:t>
            </w:r>
          </w:p>
        </w:tc>
        <w:tc>
          <w:tcPr>
            <w:tcW w:w="1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restart"/>
          </w:tcPr>
          <w:p>
            <w:pPr>
              <w:jc w:val="center"/>
              <w:ind w:right="52"/>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9"/>
              </w:rPr>
              <w:t>Loss</w:t>
            </w:r>
          </w:p>
        </w:tc>
        <w:tc>
          <w:tcPr>
            <w:tcW w:w="8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77"/>
        </w:trPr>
        <w:tc>
          <w:tcPr>
            <w:tcW w:w="17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44,084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(17,971)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(1,363,550)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501,003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414,138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(494,922)</w:t>
            </w: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Restricted share units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vested, net of shares</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4"/>
                <w:szCs w:val="14"/>
                <w:color w:val="auto"/>
              </w:rPr>
              <w:t>withheld for taxes</w:t>
            </w: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10,653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10,653</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(25,441)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(25,441)</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noncontrolling interest</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accretion to redemption</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Net unrealized gain 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4"/>
                <w:szCs w:val="14"/>
                <w:color w:val="auto"/>
              </w:rPr>
              <w:t>13,822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13,822</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as cash flow hedges</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78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(6,835)</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translation, net of hedges</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44,196</w:t>
            </w: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1"/>
                <w:szCs w:val="11"/>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ind w:left="220"/>
              <w:spacing w:after="0"/>
              <w:rPr>
                <w:sz w:val="20"/>
                <w:szCs w:val="20"/>
                <w:color w:val="auto"/>
              </w:rPr>
            </w:pPr>
            <w:r>
              <w:rPr>
                <w:rFonts w:ascii="Arial" w:cs="Arial" w:eastAsia="Arial" w:hAnsi="Arial"/>
                <w:sz w:val="14"/>
                <w:szCs w:val="14"/>
                <w:color w:val="auto"/>
              </w:rPr>
              <w:t>(17,971)</w:t>
            </w:r>
          </w:p>
        </w:tc>
        <w:tc>
          <w:tcPr>
            <w:tcW w:w="100" w:type="dxa"/>
            <w:vAlign w:val="bottom"/>
          </w:tcPr>
          <w:p>
            <w:pPr>
              <w:spacing w:after="0"/>
              <w:rPr>
                <w:sz w:val="11"/>
                <w:szCs w:val="11"/>
                <w:color w:val="auto"/>
              </w:rPr>
            </w:pPr>
          </w:p>
        </w:tc>
        <w:tc>
          <w:tcPr>
            <w:tcW w:w="200" w:type="dxa"/>
            <w:vAlign w:val="bottom"/>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ind w:left="140"/>
              <w:spacing w:after="0"/>
              <w:rPr>
                <w:sz w:val="20"/>
                <w:szCs w:val="20"/>
                <w:color w:val="auto"/>
              </w:rPr>
            </w:pPr>
            <w:r>
              <w:rPr>
                <w:rFonts w:ascii="Arial" w:cs="Arial" w:eastAsia="Arial" w:hAnsi="Arial"/>
                <w:sz w:val="14"/>
                <w:szCs w:val="14"/>
                <w:color w:val="auto"/>
              </w:rPr>
              <w:t>(1,363,550)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509,444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385,972</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(40,141)</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(507,660)</w:t>
            </w: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2022</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Restricted share units</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vested, net of shares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2"/>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Share-based</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12,245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12,245</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(140,000)</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Redeemable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tcPr>
          <w:p>
            <w:pPr>
              <w:ind w:left="20"/>
              <w:spacing w:after="0" w:line="137" w:lineRule="exact"/>
              <w:rPr>
                <w:sz w:val="20"/>
                <w:szCs w:val="20"/>
                <w:color w:val="auto"/>
              </w:rPr>
            </w:pPr>
            <w:r>
              <w:rPr>
                <w:rFonts w:ascii="Arial" w:cs="Arial" w:eastAsia="Arial" w:hAnsi="Arial"/>
                <w:sz w:val="14"/>
                <w:szCs w:val="14"/>
                <w:color w:val="auto"/>
              </w:rPr>
              <w:t>accretion to redemption</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10,180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10,180</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rPr>
                <w:sz w:val="20"/>
                <w:szCs w:val="20"/>
                <w:color w:val="auto"/>
              </w:rPr>
            </w:pPr>
            <w:r>
              <w:rPr>
                <w:rFonts w:ascii="Arial" w:cs="Arial" w:eastAsia="Arial" w:hAnsi="Arial"/>
                <w:sz w:val="14"/>
                <w:szCs w:val="14"/>
                <w:color w:val="auto"/>
              </w:rPr>
              <w:t>value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unrealized loss on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cash flow hedges</w:t>
            </w: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68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7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4"/>
                <w:szCs w:val="14"/>
                <w:color w:val="auto"/>
              </w:rPr>
              <w:t>14,595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14,595</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translation, net of hedges</w:t>
            </w: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December 31,</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44,211</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(17,971)</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(1,363,550)</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521,531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256,152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(28,059)</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(613,311)</w:t>
            </w: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2022</w:t>
            </w: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Six Months Ended December 31,</w:t>
            </w:r>
          </w:p>
        </w:tc>
      </w:tr>
      <w:tr>
        <w:trPr>
          <w:trHeight w:val="188"/>
        </w:trPr>
        <w:tc>
          <w:tcPr>
            <w:tcW w:w="8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(163,281)</w:t>
            </w:r>
          </w:p>
        </w:tc>
        <w:tc>
          <w:tcPr>
            <w:tcW w:w="8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51,193</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81,816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89,746</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22,671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23,511</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116,927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3,977</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loss (gain) on derivatives not designated as hedging instruments included in net (loss) income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25,897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(23,020)</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(4,982)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(6,302)</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non-cash items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(13,102)</w:t>
            </w: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(26,249)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(23,327)</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10,960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69,318</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19,585</w:t>
            </w:r>
          </w:p>
        </w:tc>
      </w:tr>
      <w:tr>
        <w:trPr>
          <w:trHeight w:val="20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55,875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179,911</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(26,490)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(26,539)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acquisitions, net of cash acquired</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(68,946)</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(29,246)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(32,134)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 of assets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25,835</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(84,030)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32,330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27,000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for settlement of derivatives designated as hedging instruments</w:t>
            </w:r>
          </w:p>
        </w:tc>
        <w:tc>
          <w:tcPr>
            <w:tcW w:w="3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(1,880)</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0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(106,569)</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(77,281)</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borrowings of debt</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(7,671)</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debt issuance costs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(1,435)</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(2,898)</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finance lease obligations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(33,107)</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Purchase of noncontrolling interests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(95,567)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3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41</w:t>
            </w:r>
          </w:p>
        </w:tc>
      </w:tr>
      <w:tr>
        <w:trPr>
          <w:trHeight w:val="202"/>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(112,715)</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(49,357)</w:t>
            </w: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1,765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(5,137)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held for sale</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(165,774)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48,136</w:t>
            </w: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277,053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183,023</w:t>
            </w:r>
          </w:p>
        </w:tc>
      </w:tr>
      <w:tr>
        <w:trPr>
          <w:trHeight w:val="202"/>
        </w:trPr>
        <w:tc>
          <w:tcPr>
            <w:tcW w:w="80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111,279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231,159</w:t>
            </w:r>
          </w:p>
        </w:tc>
      </w:tr>
      <w:tr>
        <w:trPr>
          <w:trHeight w:val="20"/>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104775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gridSpan w:val="5"/>
          </w:tcPr>
          <w:p>
            <w:pPr>
              <w:jc w:val="right"/>
              <w:ind w:right="463"/>
              <w:spacing w:after="0"/>
              <w:rPr>
                <w:sz w:val="20"/>
                <w:szCs w:val="20"/>
                <w:color w:val="auto"/>
              </w:rPr>
            </w:pPr>
            <w:r>
              <w:rPr>
                <w:rFonts w:ascii="Arial" w:cs="Arial" w:eastAsia="Arial" w:hAnsi="Arial"/>
                <w:sz w:val="14"/>
                <w:szCs w:val="14"/>
                <w:b w:val="1"/>
                <w:bCs w:val="1"/>
                <w:color w:val="auto"/>
              </w:rPr>
              <w:t>Six Months Ended December 31,</w:t>
            </w:r>
          </w:p>
        </w:tc>
      </w:tr>
      <w:tr>
        <w:trPr>
          <w:trHeight w:val="189"/>
        </w:trPr>
        <w:tc>
          <w:tcPr>
            <w:tcW w:w="80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4"/>
                <w:szCs w:val="14"/>
                <w:b w:val="1"/>
                <w:bCs w:val="1"/>
                <w:color w:val="auto"/>
              </w:rPr>
              <w:t>2021</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420"/>
              <w:spacing w:after="0"/>
              <w:rPr>
                <w:sz w:val="20"/>
                <w:szCs w:val="20"/>
                <w:color w:val="auto"/>
              </w:rPr>
            </w:pPr>
            <w:r>
              <w:rPr>
                <w:rFonts w:ascii="Arial" w:cs="Arial" w:eastAsia="Arial" w:hAnsi="Arial"/>
                <w:sz w:val="16"/>
                <w:szCs w:val="16"/>
                <w:color w:val="auto"/>
              </w:rPr>
              <w:t>Interest</w:t>
            </w:r>
          </w:p>
        </w:tc>
        <w:tc>
          <w:tcPr>
            <w:tcW w:w="960" w:type="dxa"/>
            <w:vAlign w:val="bottom"/>
          </w:tcPr>
          <w:p>
            <w:pPr>
              <w:jc w:val="right"/>
              <w:ind w:right="788"/>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w w:val="98"/>
              </w:rPr>
              <w:t>50,820</w:t>
            </w:r>
          </w:p>
        </w:tc>
        <w:tc>
          <w:tcPr>
            <w:tcW w:w="8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49,687</w:t>
            </w:r>
          </w:p>
        </w:tc>
      </w:tr>
      <w:tr>
        <w:trPr>
          <w:trHeight w:val="209"/>
        </w:trPr>
        <w:tc>
          <w:tcPr>
            <w:tcW w:w="80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Income taxes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8"/>
              </w:rPr>
              <w:t>11,166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15,825</w:t>
            </w:r>
          </w:p>
        </w:tc>
      </w:tr>
      <w:tr>
        <w:trPr>
          <w:trHeight w:val="20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3,596</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9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9,903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9,818</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475</w:t>
            </w:r>
          </w:p>
        </w:tc>
      </w:tr>
      <w:tr>
        <w:trPr>
          <w:trHeight w:val="206"/>
        </w:trPr>
        <w:tc>
          <w:tcPr>
            <w:tcW w:w="8040" w:type="dxa"/>
            <w:vAlign w:val="bottom"/>
          </w:tcPr>
          <w:p>
            <w:pPr>
              <w:ind w:left="20"/>
              <w:spacing w:after="0"/>
              <w:rPr>
                <w:sz w:val="20"/>
                <w:szCs w:val="20"/>
                <w:color w:val="auto"/>
              </w:rPr>
            </w:pPr>
            <w:r>
              <w:rPr>
                <w:rFonts w:ascii="Arial" w:cs="Arial" w:eastAsia="Arial" w:hAnsi="Arial"/>
                <w:sz w:val="16"/>
                <w:szCs w:val="16"/>
                <w:color w:val="auto"/>
              </w:rPr>
              <w:t>Amounts accrued related to business acquisitions</w:t>
            </w:r>
          </w:p>
        </w:tc>
        <w:tc>
          <w:tcPr>
            <w:tcW w:w="9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6,838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52,677</w:t>
            </w:r>
          </w:p>
        </w:tc>
      </w:tr>
    </w:tbl>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30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3"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Cimpress is a strategically focused group of more than a dozen businesses that specialize in mass customization of printing and related products, via which we deliver large volumes of individually small-sized customized orders. Our products include a broad range of marketing materials, business cards, signage, promotional products, logo apparel, packaging, books and magazines, wall decor, photo merchandise, invitations and announcements,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17" w:lineRule="exact"/>
        <w:rPr>
          <w:sz w:val="20"/>
          <w:szCs w:val="20"/>
          <w:color w:val="auto"/>
        </w:rPr>
      </w:pPr>
    </w:p>
    <w:p>
      <w:pPr>
        <w:ind w:right="7420" w:firstLine="4"/>
        <w:spacing w:after="0" w:line="519" w:lineRule="auto"/>
        <w:tabs>
          <w:tab w:leader="none" w:pos="18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ind w:right="100" w:firstLine="623"/>
        <w:spacing w:after="0" w:line="263" w:lineRule="auto"/>
        <w:rPr>
          <w:sz w:val="20"/>
          <w:szCs w:val="20"/>
          <w:color w:val="auto"/>
        </w:rPr>
      </w:pPr>
      <w:r>
        <w:rPr>
          <w:rFonts w:ascii="Arial" w:cs="Arial" w:eastAsia="Arial" w:hAnsi="Arial"/>
          <w:sz w:val="17"/>
          <w:szCs w:val="17"/>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8"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Mandatorily Redeemable Noncontrolling Interests</w:t>
      </w:r>
    </w:p>
    <w:p>
      <w:pPr>
        <w:spacing w:after="0" w:line="248"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Noncontrolling interests held by third parties in consolidated subsidiaries are considered mandatorily redeemable when they are subject to an unconditional obligation to be redeemed by both parties. The redeemable noncontrolling interest must be required to be repurchased on a specified date or on the occurrence of a specified event that is certain to occur and is to be redeemed via the transfer of assets. Mandatorily redeemable noncontrolling interests are presented as liability-based financial instruments and are re-measured on a recurring basis to the expected redemption value.</w:t>
      </w:r>
    </w:p>
    <w:p>
      <w:pPr>
        <w:spacing w:after="0" w:line="193"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During the second quarter of fiscal 2023, the exercise of put options by the minority shareholders of three PrintBrothers businesses to redeem a portion of their equity interests triggered a mandatory redemption feature for the remaining minority interests after exercise. As such, we reclassified the remaining minority equity interests from redeemable noncontrolling interest to mandatorily redeemable noncontrolling interest, which is presented as part of other liabilities on the consolidated balance sheets. Refer to Note 10 for additional details.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Marketable Securities</w:t>
      </w:r>
    </w:p>
    <w:p>
      <w:pPr>
        <w:spacing w:after="0" w:line="196" w:lineRule="exact"/>
        <w:rPr>
          <w:sz w:val="20"/>
          <w:szCs w:val="20"/>
          <w:color w:val="auto"/>
        </w:rPr>
      </w:pPr>
    </w:p>
    <w:p>
      <w:pPr>
        <w:ind w:right="80" w:firstLine="623"/>
        <w:spacing w:after="0" w:line="263" w:lineRule="auto"/>
        <w:rPr>
          <w:sz w:val="20"/>
          <w:szCs w:val="20"/>
          <w:color w:val="auto"/>
        </w:rPr>
      </w:pPr>
      <w:r>
        <w:rPr>
          <w:rFonts w:ascii="Arial" w:cs="Arial" w:eastAsia="Arial" w:hAnsi="Arial"/>
          <w:sz w:val="17"/>
          <w:szCs w:val="17"/>
          <w:color w:val="auto"/>
        </w:rPr>
        <w:t>We hold certain investments that are classified as held-to-maturity (HTM) as we have the intent and ability to hold them to their maturity dates. Our policy is to invest in the following permitted classes of assets: overnight money market funds invested in U.S. Treasury securities and U.S. government agency securities, U.S. Treasury securities, specifically U.S. Treasury bills, notes, and bonds, U.S. government agency securities, bank time deposits, commercial paper, corporate notes and bonds, and medium term notes. We invest in securities with a maturity of two years or less. As the investments are classified as held-to-maturity they are recorded at amortized cost and interest income is recorded as it is earned within interest expense, net.</w:t>
      </w:r>
    </w:p>
    <w:p>
      <w:pPr>
        <w:spacing w:after="0" w:line="155"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three and six months ended December 31, 2022 and 2021.</w:t>
      </w:r>
    </w:p>
    <w:p>
      <w:pPr>
        <w:spacing w:after="0" w:line="154" w:lineRule="exact"/>
        <w:rPr>
          <w:sz w:val="20"/>
          <w:szCs w:val="20"/>
          <w:color w:val="auto"/>
        </w:rPr>
      </w:pPr>
    </w:p>
    <w:p>
      <w:pPr>
        <w:ind w:right="80" w:firstLine="623"/>
        <w:spacing w:after="0" w:line="295" w:lineRule="auto"/>
        <w:rPr>
          <w:sz w:val="20"/>
          <w:szCs w:val="20"/>
          <w:color w:val="auto"/>
        </w:rPr>
      </w:pPr>
      <w:r>
        <w:rPr>
          <w:rFonts w:ascii="Arial" w:cs="Arial" w:eastAsia="Arial" w:hAnsi="Arial"/>
          <w:sz w:val="17"/>
          <w:szCs w:val="17"/>
          <w:color w:val="auto"/>
        </w:rPr>
        <w:t>The following is a summary of the net carrying amount, unrealized gains, unrealized losses, and fair value of held-to-maturity securities by type and contractual maturity as of December 31, 2022 and June 30,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2"/>
                <w:szCs w:val="12"/>
                <w:b w:val="1"/>
                <w:bCs w:val="1"/>
                <w:color w:val="auto"/>
              </w:rPr>
              <w:t>December 31, 2022</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Unrealized losses</w:t>
            </w:r>
          </w:p>
        </w:tc>
        <w:tc>
          <w:tcPr>
            <w:tcW w:w="240" w:type="dxa"/>
            <w:vAlign w:val="bottom"/>
          </w:tcPr>
          <w:p>
            <w:pPr>
              <w:spacing w:after="0"/>
              <w:rPr>
                <w:sz w:val="16"/>
                <w:szCs w:val="16"/>
                <w:color w:val="auto"/>
              </w:rPr>
            </w:pPr>
          </w:p>
        </w:tc>
        <w:tc>
          <w:tcPr>
            <w:tcW w:w="1200" w:type="dxa"/>
            <w:vAlign w:val="bottom"/>
          </w:tcPr>
          <w:p>
            <w:pPr>
              <w:jc w:val="right"/>
              <w:ind w:right="324"/>
              <w:spacing w:after="0"/>
              <w:rPr>
                <w:sz w:val="20"/>
                <w:szCs w:val="20"/>
                <w:color w:val="auto"/>
              </w:rPr>
            </w:pPr>
            <w:r>
              <w:rPr>
                <w:rFonts w:ascii="Arial" w:cs="Arial" w:eastAsia="Arial" w:hAnsi="Arial"/>
                <w:sz w:val="14"/>
                <w:szCs w:val="14"/>
                <w:b w:val="1"/>
                <w:bCs w:val="1"/>
                <w:color w:val="auto"/>
              </w:rPr>
              <w:t>Fair value</w:t>
            </w: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40,985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40,758</w:t>
            </w:r>
          </w:p>
        </w:tc>
      </w:tr>
      <w:tr>
        <w:trPr>
          <w:trHeight w:val="209"/>
        </w:trPr>
        <w:tc>
          <w:tcPr>
            <w:tcW w:w="20" w:type="dxa"/>
            <w:vAlign w:val="bottom"/>
            <w:shd w:val="clear" w:color="auto" w:fill="CCEEFF"/>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39,517</w:t>
            </w:r>
          </w:p>
        </w:tc>
      </w:tr>
      <w:tr>
        <w:trPr>
          <w:trHeight w:val="207"/>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w:t>
            </w:r>
          </w:p>
        </w:tc>
      </w:tr>
      <w:tr>
        <w:trPr>
          <w:trHeight w:val="202"/>
        </w:trPr>
        <w:tc>
          <w:tcPr>
            <w:tcW w:w="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due within one year or less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84,473</w:t>
            </w:r>
          </w:p>
        </w:tc>
      </w:tr>
      <w:tr>
        <w:trPr>
          <w:trHeight w:val="194"/>
        </w:trPr>
        <w:tc>
          <w:tcPr>
            <w:tcW w:w="20" w:type="dxa"/>
            <w:vAlign w:val="bottom"/>
          </w:tcPr>
          <w:p>
            <w:pPr>
              <w:spacing w:after="0"/>
              <w:rPr>
                <w:sz w:val="16"/>
                <w:szCs w:val="16"/>
                <w:color w:val="auto"/>
              </w:rPr>
            </w:pPr>
          </w:p>
        </w:tc>
        <w:tc>
          <w:tcPr>
            <w:tcW w:w="6720" w:type="dxa"/>
            <w:vAlign w:val="bottom"/>
          </w:tcPr>
          <w:p>
            <w:pPr>
              <w:spacing w:after="0"/>
              <w:rPr>
                <w:sz w:val="20"/>
                <w:szCs w:val="20"/>
                <w:color w:val="auto"/>
              </w:rPr>
            </w:pPr>
            <w:r>
              <w:rPr>
                <w:rFonts w:ascii="Arial" w:cs="Arial" w:eastAsia="Arial" w:hAnsi="Arial"/>
                <w:sz w:val="14"/>
                <w:szCs w:val="14"/>
                <w:b w:val="1"/>
                <w:bCs w:val="1"/>
                <w:color w:val="auto"/>
              </w:rPr>
              <w:t>Due between one and two years: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9"/>
        </w:trPr>
        <w:tc>
          <w:tcPr>
            <w:tcW w:w="20" w:type="dxa"/>
            <w:vAlign w:val="bottom"/>
            <w:shd w:val="clear" w:color="auto" w:fill="CCEEFF"/>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11,891</w:t>
            </w:r>
          </w:p>
        </w:tc>
      </w:tr>
      <w:tr>
        <w:trPr>
          <w:trHeight w:val="207"/>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4,883</w:t>
            </w:r>
          </w:p>
        </w:tc>
      </w:tr>
      <w:tr>
        <w:trPr>
          <w:trHeight w:val="202"/>
        </w:trPr>
        <w:tc>
          <w:tcPr>
            <w:tcW w:w="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due within between one and two years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16,774</w:t>
            </w:r>
          </w:p>
        </w:tc>
      </w:tr>
      <w:tr>
        <w:trPr>
          <w:trHeight w:val="91"/>
        </w:trPr>
        <w:tc>
          <w:tcPr>
            <w:tcW w:w="20" w:type="dxa"/>
            <w:vAlign w:val="bottom"/>
            <w:tcBorders>
              <w:bottom w:val="single" w:sz="8" w:color="CCEEFF"/>
            </w:tcBorders>
          </w:tcPr>
          <w:p>
            <w:pPr>
              <w:spacing w:after="0"/>
              <w:rPr>
                <w:sz w:val="7"/>
                <w:szCs w:val="7"/>
                <w:color w:val="auto"/>
              </w:rPr>
            </w:pPr>
          </w:p>
        </w:tc>
        <w:tc>
          <w:tcPr>
            <w:tcW w:w="67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102,177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74"/>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2"/>
                <w:szCs w:val="12"/>
                <w:b w:val="1"/>
                <w:bCs w:val="1"/>
                <w:color w:val="auto"/>
                <w:w w:val="99"/>
              </w:rPr>
              <w:t>June 30, 2022</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Unrealized losses</w:t>
            </w:r>
          </w:p>
        </w:tc>
        <w:tc>
          <w:tcPr>
            <w:tcW w:w="240" w:type="dxa"/>
            <w:vAlign w:val="bottom"/>
          </w:tcPr>
          <w:p>
            <w:pPr>
              <w:spacing w:after="0"/>
              <w:rPr>
                <w:sz w:val="16"/>
                <w:szCs w:val="16"/>
                <w:color w:val="auto"/>
              </w:rPr>
            </w:pPr>
          </w:p>
        </w:tc>
        <w:tc>
          <w:tcPr>
            <w:tcW w:w="1200" w:type="dxa"/>
            <w:vAlign w:val="bottom"/>
          </w:tcPr>
          <w:p>
            <w:pPr>
              <w:jc w:val="right"/>
              <w:ind w:right="324"/>
              <w:spacing w:after="0"/>
              <w:rPr>
                <w:sz w:val="20"/>
                <w:szCs w:val="20"/>
                <w:color w:val="auto"/>
              </w:rPr>
            </w:pPr>
            <w:r>
              <w:rPr>
                <w:rFonts w:ascii="Arial" w:cs="Arial" w:eastAsia="Arial" w:hAnsi="Arial"/>
                <w:sz w:val="14"/>
                <w:szCs w:val="14"/>
                <w:b w:val="1"/>
                <w:bCs w:val="1"/>
                <w:color w:val="auto"/>
              </w:rPr>
              <w:t>Fair value</w:t>
            </w:r>
          </w:p>
        </w:tc>
      </w:tr>
      <w:tr>
        <w:trPr>
          <w:trHeight w:val="176"/>
        </w:trPr>
        <w:tc>
          <w:tcPr>
            <w:tcW w:w="20" w:type="dxa"/>
            <w:vAlign w:val="bottom"/>
          </w:tcPr>
          <w:p>
            <w:pPr>
              <w:spacing w:after="0"/>
              <w:rPr>
                <w:sz w:val="15"/>
                <w:szCs w:val="15"/>
                <w:color w:val="auto"/>
              </w:rPr>
            </w:pPr>
          </w:p>
        </w:tc>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Corporate debt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49,952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49,406</w:t>
            </w:r>
          </w:p>
        </w:tc>
      </w:tr>
      <w:tr>
        <w:trPr>
          <w:trHeight w:val="227"/>
        </w:trPr>
        <w:tc>
          <w:tcPr>
            <w:tcW w:w="20" w:type="dxa"/>
            <w:vAlign w:val="bottom"/>
          </w:tcPr>
          <w:p>
            <w:pPr>
              <w:spacing w:after="0"/>
              <w:rPr>
                <w:sz w:val="19"/>
                <w:szCs w:val="19"/>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49,952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49,406</w:t>
            </w: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(Expense) Income, Net</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(expense) income, net:</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4"/>
        </w:trPr>
        <w:tc>
          <w:tcPr>
            <w:tcW w:w="4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(Losses) gains on derivatives not designated as hedging</w:t>
            </w:r>
          </w:p>
        </w:tc>
        <w:tc>
          <w:tcPr>
            <w:tcW w:w="980" w:type="dxa"/>
            <w:vAlign w:val="bottom"/>
            <w:vMerge w:val="restart"/>
            <w:shd w:val="clear" w:color="auto" w:fill="CCEEFF"/>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(24,196)</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28"/>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6,481</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4,449</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19,808</w:t>
            </w:r>
          </w:p>
        </w:tc>
        <w:tc>
          <w:tcPr>
            <w:tcW w:w="0" w:type="dxa"/>
            <w:vAlign w:val="bottom"/>
          </w:tcPr>
          <w:p>
            <w:pPr>
              <w:spacing w:after="0"/>
              <w:rPr>
                <w:sz w:val="1"/>
                <w:szCs w:val="1"/>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 (1)</w:t>
            </w:r>
          </w:p>
        </w:tc>
        <w:tc>
          <w:tcPr>
            <w:tcW w:w="9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Currency-related gains, net (2)</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6,227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5,551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6"/>
                <w:szCs w:val="16"/>
                <w:color w:val="auto"/>
              </w:rPr>
              <w:t>6,030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5,874</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Arial" w:cs="Arial" w:eastAsia="Arial" w:hAnsi="Arial"/>
                <w:sz w:val="16"/>
                <w:szCs w:val="16"/>
                <w:color w:val="auto"/>
              </w:rPr>
              <w:t>Total other (expense) income, net</w:t>
            </w:r>
          </w:p>
        </w:tc>
        <w:tc>
          <w:tcPr>
            <w:tcW w:w="98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(17,392)</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28"/>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12,839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10,005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ind w:left="240" w:right="100" w:hanging="236"/>
        <w:spacing w:after="0" w:line="255"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as well as the ineffective portion of certain interest rate swap contracts that were de-designated from hedge accounting in the prior periods. For contracts not designated as hedging instruments, we realized gains of $16,368 and $30,988 for the three and six months ended December 31, 2022, and losses of $746 and $4,418 for the three and six months ended December 31, 2021. Refer to Note 4 for additional details relating to our derivative contracts.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11" w:name="page12"/>
    <w:bookmarkEnd w:id="11"/>
    <w:p>
      <w:pPr>
        <w:ind w:left="240" w:right="160" w:hanging="236"/>
        <w:spacing w:after="0" w:line="256"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Currency-related gains, net primarily relates to significant non-functional currency intercompany financing relationships that we may change at times and are subject to currency exchange rate volatility. In addition, we have a cross-currency swap designated as a cash flow hedge which hedges the remeasurement of an intercompany loan. Refer to Note 4 for additional details relating to this cash flow hedge.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Income Per Share Attributable to Cimpress plc</w:t>
      </w:r>
    </w:p>
    <w:p>
      <w:pPr>
        <w:spacing w:after="0" w:line="196"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Basic net (loss) income per share attributable to Cimpress plc is computed by dividing net (loss) income attributable to Cimpress plc by the weighted-average number of ordinary shares outstanding for the respective period. Diluted net (loss) income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440" w:type="dxa"/>
            <w:vAlign w:val="bottom"/>
            <w:gridSpan w:val="4"/>
          </w:tcPr>
          <w:p>
            <w:pPr>
              <w:ind w:left="660"/>
              <w:spacing w:after="0"/>
              <w:rPr>
                <w:sz w:val="20"/>
                <w:szCs w:val="20"/>
                <w:color w:val="auto"/>
              </w:rPr>
            </w:pPr>
            <w:r>
              <w:rPr>
                <w:rFonts w:ascii="Arial" w:cs="Arial" w:eastAsia="Arial" w:hAnsi="Arial"/>
                <w:sz w:val="12"/>
                <w:szCs w:val="12"/>
                <w:b w:val="1"/>
                <w:bCs w:val="1"/>
                <w:color w:val="auto"/>
              </w:rPr>
              <w:t>Three Months Ended December 31,</w:t>
            </w:r>
          </w:p>
        </w:tc>
        <w:tc>
          <w:tcPr>
            <w:tcW w:w="3360" w:type="dxa"/>
            <w:vAlign w:val="bottom"/>
            <w:gridSpan w:val="3"/>
          </w:tcPr>
          <w:p>
            <w:pPr>
              <w:jc w:val="right"/>
              <w:ind w:right="666"/>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4"/>
        </w:trPr>
        <w:tc>
          <w:tcPr>
            <w:tcW w:w="4420" w:type="dxa"/>
            <w:vAlign w:val="bottom"/>
            <w:tcBorders>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26,234,747</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26,096,786</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26,206,782</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26,084,518</w:t>
            </w:r>
          </w:p>
        </w:tc>
        <w:tc>
          <w:tcPr>
            <w:tcW w:w="0" w:type="dxa"/>
            <w:vAlign w:val="bottom"/>
          </w:tcPr>
          <w:p>
            <w:pPr>
              <w:spacing w:after="0"/>
              <w:rPr>
                <w:sz w:val="1"/>
                <w:szCs w:val="1"/>
                <w:color w:val="auto"/>
              </w:rPr>
            </w:pPr>
          </w:p>
        </w:tc>
      </w:tr>
      <w:tr>
        <w:trPr>
          <w:trHeight w:val="157"/>
        </w:trPr>
        <w:tc>
          <w:tcPr>
            <w:tcW w:w="4420" w:type="dxa"/>
            <w:vAlign w:val="bottom"/>
          </w:tcPr>
          <w:p>
            <w:pPr>
              <w:ind w:left="20"/>
              <w:spacing w:after="0" w:line="157" w:lineRule="exact"/>
              <w:rPr>
                <w:sz w:val="20"/>
                <w:szCs w:val="20"/>
                <w:color w:val="auto"/>
              </w:rPr>
            </w:pPr>
            <w:r>
              <w:rPr>
                <w:rFonts w:ascii="Arial" w:cs="Arial" w:eastAsia="Arial" w:hAnsi="Arial"/>
                <w:sz w:val="16"/>
                <w:szCs w:val="16"/>
                <w:color w:val="auto"/>
              </w:rPr>
              <w:t>Weighted average shares issuable upon exercise/vesting of</w:t>
            </w: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305,917</w:t>
            </w:r>
          </w:p>
        </w:tc>
        <w:tc>
          <w:tcPr>
            <w:tcW w:w="100" w:type="dxa"/>
            <w:vAlign w:val="bottom"/>
          </w:tcPr>
          <w:p>
            <w:pPr>
              <w:spacing w:after="0"/>
              <w:rPr>
                <w:sz w:val="13"/>
                <w:szCs w:val="13"/>
                <w:color w:val="auto"/>
              </w:rPr>
            </w:pP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ind w:right="6"/>
              <w:spacing w:after="0"/>
              <w:rPr>
                <w:sz w:val="20"/>
                <w:szCs w:val="20"/>
                <w:color w:val="auto"/>
              </w:rPr>
            </w:pPr>
            <w:r>
              <w:rPr>
                <w:rFonts w:ascii="Arial" w:cs="Arial" w:eastAsia="Arial" w:hAnsi="Arial"/>
                <w:sz w:val="16"/>
                <w:szCs w:val="16"/>
                <w:color w:val="auto"/>
              </w:rPr>
              <w:t>408,740</w:t>
            </w:r>
          </w:p>
        </w:tc>
        <w:tc>
          <w:tcPr>
            <w:tcW w:w="0" w:type="dxa"/>
            <w:vAlign w:val="bottom"/>
          </w:tcPr>
          <w:p>
            <w:pPr>
              <w:spacing w:after="0"/>
              <w:rPr>
                <w:sz w:val="1"/>
                <w:szCs w:val="1"/>
                <w:color w:val="auto"/>
              </w:rPr>
            </w:pPr>
          </w:p>
        </w:tc>
      </w:tr>
      <w:tr>
        <w:trPr>
          <w:trHeight w:val="206"/>
        </w:trPr>
        <w:tc>
          <w:tcPr>
            <w:tcW w:w="4420" w:type="dxa"/>
            <w:vAlign w:val="bottom"/>
          </w:tcPr>
          <w:p>
            <w:pPr>
              <w:ind w:left="20"/>
              <w:spacing w:after="0"/>
              <w:rPr>
                <w:sz w:val="20"/>
                <w:szCs w:val="20"/>
                <w:color w:val="auto"/>
              </w:rPr>
            </w:pPr>
            <w:r>
              <w:rPr>
                <w:rFonts w:ascii="Arial" w:cs="Arial" w:eastAsia="Arial" w:hAnsi="Arial"/>
                <w:sz w:val="16"/>
                <w:szCs w:val="16"/>
                <w:color w:val="auto"/>
              </w:rPr>
              <w:t>outstanding share options/RSUs/warrants (1)</w:t>
            </w:r>
          </w:p>
        </w:tc>
        <w:tc>
          <w:tcPr>
            <w:tcW w:w="1720" w:type="dxa"/>
            <w:vAlign w:val="bottom"/>
            <w:gridSpan w:val="2"/>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442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4"/>
                <w:szCs w:val="14"/>
                <w:color w:val="auto"/>
              </w:rPr>
              <w:t>Shares used in computing diluted net (loss) income per share</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26,234,747</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26,402,703</w:t>
            </w:r>
          </w:p>
        </w:tc>
        <w:tc>
          <w:tcPr>
            <w:tcW w:w="10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26,206,782</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26,493,258</w:t>
            </w:r>
          </w:p>
        </w:tc>
        <w:tc>
          <w:tcPr>
            <w:tcW w:w="0" w:type="dxa"/>
            <w:vAlign w:val="bottom"/>
          </w:tcPr>
          <w:p>
            <w:pPr>
              <w:spacing w:after="0"/>
              <w:rPr>
                <w:sz w:val="1"/>
                <w:szCs w:val="1"/>
                <w:color w:val="auto"/>
              </w:rPr>
            </w:pPr>
          </w:p>
        </w:tc>
      </w:tr>
      <w:tr>
        <w:trPr>
          <w:trHeight w:val="201"/>
        </w:trPr>
        <w:tc>
          <w:tcPr>
            <w:tcW w:w="442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attributable to Cimpress plc</w:t>
            </w: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line="142" w:lineRule="exact"/>
              <w:rPr>
                <w:sz w:val="20"/>
                <w:szCs w:val="20"/>
                <w:color w:val="auto"/>
              </w:rPr>
            </w:pPr>
            <w:r>
              <w:rPr>
                <w:rFonts w:ascii="Arial" w:cs="Arial" w:eastAsia="Arial" w:hAnsi="Arial"/>
                <w:sz w:val="16"/>
                <w:szCs w:val="16"/>
                <w:color w:val="auto"/>
              </w:rPr>
              <w:t>Weighted average anti-dilutive shares excluded from diluted</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420" w:type="dxa"/>
            <w:vAlign w:val="bottom"/>
            <w:vMerge w:val="continue"/>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3,286,936</w:t>
            </w:r>
          </w:p>
        </w:tc>
        <w:tc>
          <w:tcPr>
            <w:tcW w:w="100" w:type="dxa"/>
            <w:vAlign w:val="bottom"/>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567,220</w:t>
            </w:r>
          </w:p>
        </w:tc>
        <w:tc>
          <w:tcPr>
            <w:tcW w:w="100" w:type="dxa"/>
            <w:vAlign w:val="bottom"/>
          </w:tcPr>
          <w:p>
            <w:pPr>
              <w:spacing w:after="0"/>
              <w:rPr>
                <w:sz w:val="8"/>
                <w:szCs w:val="8"/>
                <w:color w:val="auto"/>
              </w:rPr>
            </w:pPr>
          </w:p>
        </w:tc>
        <w:tc>
          <w:tcPr>
            <w:tcW w:w="1640" w:type="dxa"/>
            <w:vAlign w:val="bottom"/>
            <w:vMerge w:val="restart"/>
          </w:tcPr>
          <w:p>
            <w:pPr>
              <w:jc w:val="right"/>
              <w:ind w:right="8"/>
              <w:spacing w:after="0"/>
              <w:rPr>
                <w:sz w:val="20"/>
                <w:szCs w:val="20"/>
                <w:color w:val="auto"/>
              </w:rPr>
            </w:pPr>
            <w:r>
              <w:rPr>
                <w:rFonts w:ascii="Arial" w:cs="Arial" w:eastAsia="Arial" w:hAnsi="Arial"/>
                <w:sz w:val="16"/>
                <w:szCs w:val="16"/>
                <w:color w:val="auto"/>
              </w:rPr>
              <w:t>2,987,875</w:t>
            </w:r>
          </w:p>
        </w:tc>
        <w:tc>
          <w:tcPr>
            <w:tcW w:w="100" w:type="dxa"/>
            <w:vAlign w:val="bottom"/>
          </w:tcPr>
          <w:p>
            <w:pPr>
              <w:spacing w:after="0"/>
              <w:rPr>
                <w:sz w:val="8"/>
                <w:szCs w:val="8"/>
                <w:color w:val="auto"/>
              </w:rPr>
            </w:pPr>
          </w:p>
        </w:tc>
        <w:tc>
          <w:tcPr>
            <w:tcW w:w="1620" w:type="dxa"/>
            <w:vAlign w:val="bottom"/>
            <w:vMerge w:val="restart"/>
          </w:tcPr>
          <w:p>
            <w:pPr>
              <w:jc w:val="right"/>
              <w:ind w:right="6"/>
              <w:spacing w:after="0"/>
              <w:rPr>
                <w:sz w:val="20"/>
                <w:szCs w:val="20"/>
                <w:color w:val="auto"/>
              </w:rPr>
            </w:pPr>
            <w:r>
              <w:rPr>
                <w:rFonts w:ascii="Arial" w:cs="Arial" w:eastAsia="Arial" w:hAnsi="Arial"/>
                <w:sz w:val="16"/>
                <w:szCs w:val="16"/>
                <w:color w:val="auto"/>
              </w:rPr>
              <w:t>292,834</w:t>
            </w:r>
          </w:p>
        </w:tc>
        <w:tc>
          <w:tcPr>
            <w:tcW w:w="0" w:type="dxa"/>
            <w:vAlign w:val="bottom"/>
          </w:tcPr>
          <w:p>
            <w:pPr>
              <w:spacing w:after="0"/>
              <w:rPr>
                <w:sz w:val="1"/>
                <w:szCs w:val="1"/>
                <w:color w:val="auto"/>
              </w:rPr>
            </w:pPr>
          </w:p>
        </w:tc>
      </w:tr>
      <w:tr>
        <w:trPr>
          <w:trHeight w:val="205"/>
        </w:trPr>
        <w:tc>
          <w:tcPr>
            <w:tcW w:w="442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Cimpress plc (1)(2)</w:t>
            </w: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14" w:lineRule="exact"/>
        <w:rPr>
          <w:sz w:val="20"/>
          <w:szCs w:val="20"/>
          <w:color w:val="auto"/>
        </w:rPr>
      </w:pPr>
    </w:p>
    <w:p>
      <w:pPr>
        <w:ind w:left="220" w:hanging="216"/>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RSUs and warrants is not included as they are anti-dilutive.</w:t>
      </w:r>
    </w:p>
    <w:p>
      <w:pPr>
        <w:spacing w:after="0" w:line="85" w:lineRule="exact"/>
        <w:rPr>
          <w:rFonts w:ascii="Arial" w:cs="Arial" w:eastAsia="Arial" w:hAnsi="Arial"/>
          <w:sz w:val="14"/>
          <w:szCs w:val="14"/>
          <w:color w:val="auto"/>
        </w:rPr>
      </w:pPr>
    </w:p>
    <w:p>
      <w:pPr>
        <w:ind w:left="240" w:right="80" w:hanging="236"/>
        <w:spacing w:after="0" w:line="266" w:lineRule="auto"/>
        <w:tabs>
          <w:tab w:leader="none" w:pos="214"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with Apollo Global Management, Inc., which included 7-year warrants with a strike price of $60 that have a potentially dilutive impact on our weighted average shares outstanding. For the three and six months ended December 31, 2022, the weighted average anti-dilutive effect of the warrants was 1,055,377 shares in both periods, and 281,884 and 345,722 shares for the three and six months ended December 31, 2021,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Adopted Accounting Standards</w:t>
      </w:r>
    </w:p>
    <w:p>
      <w:pPr>
        <w:spacing w:after="0" w:line="246"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In December 2022, the FASB issued Accounting Standards Update No. 2022 -06 "Reference Rate Reform (Topic 848) - Deferral of the Sunset Date of Topic 848" (ASU 2022-06), which extends the optional transition relief to ease the potential burden in accounting for reference rate reform on financial reporting. The transition relief is provided through December 30, 2024 based on the expectation that the London Interbank Offered Rate (LIBOR) will cease to be published as of June 30, 2023. We applied the transition guidance to our two Term SOFR interest rate swap contracts this quarter and will apply the guidance when updating existing interest rate swap contracts to index to a replacement rate. There was no material impact on our consolidated financial statements in the periods presented.</w:t>
      </w:r>
    </w:p>
    <w:p>
      <w:pPr>
        <w:spacing w:after="0" w:line="194" w:lineRule="exact"/>
        <w:rPr>
          <w:sz w:val="20"/>
          <w:szCs w:val="20"/>
          <w:color w:val="auto"/>
        </w:rPr>
      </w:pPr>
    </w:p>
    <w:p>
      <w:pPr>
        <w:ind w:right="40" w:firstLine="623"/>
        <w:spacing w:after="0" w:line="263" w:lineRule="auto"/>
        <w:rPr>
          <w:sz w:val="20"/>
          <w:szCs w:val="20"/>
          <w:color w:val="auto"/>
        </w:rPr>
      </w:pPr>
      <w:r>
        <w:rPr>
          <w:rFonts w:ascii="Arial" w:cs="Arial" w:eastAsia="Arial" w:hAnsi="Arial"/>
          <w:sz w:val="17"/>
          <w:szCs w:val="17"/>
          <w:color w:val="auto"/>
        </w:rPr>
        <w:t>In May 2021, the FASB issued Accounting Standards Update No. 2021-04 "Earnings Per Share (Topic 260), Debt—Modifications and Extinguishments (Subtopic 470-50), Compensation—Stock Compensation (Topic 718), and Derivatives and Hedging—Contracts in Entity’s Own Equity (Subtopic 815-40)" (ASU 2021-04), which provides authoritative guidance for the accounting treatment of contracts in an entity's own equity when calculating earnings per share. We adopted the standard on July 1, 2022. We recognize freestanding equity-classified warrants on our consolidated balance sheet and as the standard is applied prospectively, there was no impact on our consolidated financial statements in the current period.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Issued Accounting Standards to be Adopted</w:t>
      </w:r>
    </w:p>
    <w:p>
      <w:pPr>
        <w:spacing w:after="0" w:line="246"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In September 2022, the FASB issued Accounting Standards Update No. 2022-04 "Liabilities - Supplier Finance Programs (Subtopic 405-50)" (ASU 2022-04), which provides authoritative guidance for expanded disclosure requirements for supply chain finance programs. The standard is effective on July 1, 2023. Cimpress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12" w:name="page13"/>
    <w:bookmarkEnd w:id="12"/>
    <w:p>
      <w:pPr>
        <w:ind w:right="40"/>
        <w:spacing w:after="0" w:line="295" w:lineRule="auto"/>
        <w:rPr>
          <w:sz w:val="20"/>
          <w:szCs w:val="20"/>
          <w:color w:val="auto"/>
        </w:rPr>
      </w:pPr>
      <w:r>
        <w:rPr>
          <w:rFonts w:ascii="Arial" w:cs="Arial" w:eastAsia="Arial" w:hAnsi="Arial"/>
          <w:sz w:val="17"/>
          <w:szCs w:val="17"/>
          <w:color w:val="auto"/>
        </w:rPr>
        <w:t>businesses have an active supply chain finance program which will require additional disclosure after adoption of this standard. We will include the expanded disclosure requirements starting in the first quarter of fiscal 2024.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09" w:lineRule="exact"/>
        <w:rPr>
          <w:sz w:val="20"/>
          <w:szCs w:val="20"/>
          <w:color w:val="auto"/>
        </w:rPr>
      </w:pPr>
    </w:p>
    <w:p>
      <w:pPr>
        <w:ind w:right="320" w:firstLine="623"/>
        <w:spacing w:after="0" w:line="275"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55" w:lineRule="exact"/>
        <w:rPr>
          <w:sz w:val="20"/>
          <w:szCs w:val="20"/>
          <w:color w:val="auto"/>
        </w:rPr>
      </w:pPr>
    </w:p>
    <w:p>
      <w:pPr>
        <w:ind w:left="620" w:hanging="305"/>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p>
    <w:p>
      <w:pPr>
        <w:spacing w:after="0" w:line="116" w:lineRule="exact"/>
        <w:rPr>
          <w:rFonts w:ascii="Arial" w:cs="Arial" w:eastAsia="Arial" w:hAnsi="Arial"/>
          <w:sz w:val="17"/>
          <w:szCs w:val="17"/>
          <w:color w:val="auto"/>
        </w:rPr>
      </w:pPr>
    </w:p>
    <w:p>
      <w:pPr>
        <w:ind w:left="620" w:right="160" w:hanging="305"/>
        <w:spacing w:after="0" w:line="275"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or similar assets in markets that are not active and inputs that are observable for the asset or liability, either directly or indirectly, for substantially the full term of the financial instrument.</w:t>
      </w:r>
    </w:p>
    <w:p>
      <w:pPr>
        <w:spacing w:after="0" w:line="54" w:lineRule="exact"/>
        <w:rPr>
          <w:rFonts w:ascii="Arial" w:cs="Arial" w:eastAsia="Arial" w:hAnsi="Arial"/>
          <w:sz w:val="17"/>
          <w:szCs w:val="17"/>
          <w:color w:val="auto"/>
        </w:rPr>
      </w:pPr>
    </w:p>
    <w:p>
      <w:pPr>
        <w:ind w:left="620" w:hanging="305"/>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116"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rPr>
              <w:t>December 31, 2022</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22"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22"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53"/>
              <w:spacing w:after="0" w:line="130"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28"/>
              <w:spacing w:after="0" w:line="130"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17"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4"/>
                <w:szCs w:val="14"/>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23,550</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23,550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4,579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4,579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4,514</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4,514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recorded at fair value</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32,643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32,643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Cross-currency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88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(5,566)</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w w:val="99"/>
              </w:rPr>
              <w:t>June 30, 2022</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22"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22"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53"/>
              <w:spacing w:after="0" w:line="130"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28"/>
              <w:spacing w:after="0" w:line="130"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17"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4"/>
                <w:szCs w:val="14"/>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14,336</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14,336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20,638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20,638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3"/>
              </w:rPr>
              <w:t>10,611</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10,611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recorded at fair value</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45,585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45,585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Cross-currency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3" w:name="page14"/>
    <w:bookmarkEnd w:id="13"/>
    <w:p>
      <w:pPr>
        <w:ind w:right="240" w:firstLine="623"/>
        <w:spacing w:after="0" w:line="295" w:lineRule="auto"/>
        <w:rPr>
          <w:sz w:val="20"/>
          <w:szCs w:val="20"/>
          <w:color w:val="auto"/>
        </w:rPr>
      </w:pPr>
      <w:r>
        <w:rPr>
          <w:rFonts w:ascii="Arial" w:cs="Arial" w:eastAsia="Arial" w:hAnsi="Arial"/>
          <w:sz w:val="17"/>
          <w:szCs w:val="17"/>
          <w:color w:val="auto"/>
        </w:rPr>
        <w:t>During the six months ended December 31, 2022 and year ended June 30, 2022, there were no significant transfers in or out of Level 1, Level 2 and Level 3 classifications.</w:t>
      </w:r>
    </w:p>
    <w:p>
      <w:pPr>
        <w:spacing w:after="0" w:line="130"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43" w:lineRule="exact"/>
        <w:rPr>
          <w:sz w:val="20"/>
          <w:szCs w:val="20"/>
          <w:color w:val="auto"/>
        </w:rPr>
      </w:pPr>
    </w:p>
    <w:p>
      <w:pPr>
        <w:ind w:right="120" w:firstLine="623"/>
        <w:spacing w:after="0" w:line="263"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December 31, 2022,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94" w:lineRule="exact"/>
        <w:rPr>
          <w:sz w:val="20"/>
          <w:szCs w:val="20"/>
          <w:color w:val="auto"/>
        </w:rPr>
      </w:pPr>
    </w:p>
    <w:p>
      <w:pPr>
        <w:ind w:right="160" w:firstLine="623"/>
        <w:spacing w:after="0" w:line="261" w:lineRule="auto"/>
        <w:rPr>
          <w:sz w:val="20"/>
          <w:szCs w:val="20"/>
          <w:color w:val="auto"/>
        </w:rPr>
      </w:pPr>
      <w:r>
        <w:rPr>
          <w:rFonts w:ascii="Arial" w:cs="Arial" w:eastAsia="Arial" w:hAnsi="Arial"/>
          <w:sz w:val="17"/>
          <w:szCs w:val="17"/>
          <w:color w:val="auto"/>
        </w:rPr>
        <w:t>As of December 31, 2022 and June 30, 2022, the carrying amounts of our cash and cash equivalents, accounts receivable, accounts payable and other current liabilities approximated their estimated fair values. As of December 31, 2022 and June 30, 2022, the carrying value of our debt, excluding debt issuance costs and debt premiums and discounts, was $1,706,972 and $1,705,365, respectively, and the fair value was $1,530,471 and $1,600,627, respectively. Our debt at December 31, 2022 includes variable-rate debt instruments indexed to LIBOR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199" w:lineRule="exact"/>
        <w:rPr>
          <w:sz w:val="20"/>
          <w:szCs w:val="20"/>
          <w:color w:val="auto"/>
        </w:rPr>
      </w:pPr>
    </w:p>
    <w:p>
      <w:pPr>
        <w:jc w:val="both"/>
        <w:ind w:right="240" w:firstLine="623"/>
        <w:spacing w:after="0" w:line="275" w:lineRule="auto"/>
        <w:rPr>
          <w:sz w:val="20"/>
          <w:szCs w:val="20"/>
          <w:color w:val="auto"/>
        </w:rPr>
      </w:pPr>
      <w:r>
        <w:rPr>
          <w:rFonts w:ascii="Arial" w:cs="Arial" w:eastAsia="Arial" w:hAnsi="Arial"/>
          <w:sz w:val="17"/>
          <w:szCs w:val="17"/>
          <w:color w:val="auto"/>
        </w:rPr>
        <w:t>As of December 31, 2022 and June 30, 2022 our held-to-maturity marketable securities were held at an amortized cost of $102,177 and $49,952, respectively, while the fair value was $101,247 and $49,406, respectively. The securities were valued using quoted prices for identical assets in active markets, which fall into Level 1 under the fair value hierarchy.</w:t>
      </w:r>
    </w:p>
    <w:p>
      <w:pPr>
        <w:spacing w:after="0" w:line="185"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209" w:lineRule="exact"/>
        <w:rPr>
          <w:sz w:val="20"/>
          <w:szCs w:val="20"/>
          <w:color w:val="auto"/>
        </w:rPr>
      </w:pPr>
    </w:p>
    <w:p>
      <w:pPr>
        <w:ind w:right="140" w:firstLine="623"/>
        <w:spacing w:after="0" w:line="261" w:lineRule="auto"/>
        <w:rPr>
          <w:sz w:val="20"/>
          <w:szCs w:val="20"/>
          <w:color w:val="auto"/>
        </w:rPr>
      </w:pPr>
      <w:r>
        <w:rPr>
          <w:rFonts w:ascii="Arial" w:cs="Arial" w:eastAsia="Arial" w:hAnsi="Arial"/>
          <w:sz w:val="17"/>
          <w:szCs w:val="17"/>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have designated one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w:t>
      </w:r>
    </w:p>
    <w:p>
      <w:pPr>
        <w:spacing w:after="0" w:line="160"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The change in the fair value of derivatives not designated as hedges is recognized directly in earnings as a component of other (expense) income, net.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Interest Rate Risk</w:t>
      </w:r>
    </w:p>
    <w:p>
      <w:pPr>
        <w:spacing w:after="0" w:line="209"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4" w:name="page15"/>
    <w:bookmarkEnd w:id="14"/>
    <w:p>
      <w:pPr>
        <w:ind w:right="60"/>
        <w:spacing w:after="0" w:line="265" w:lineRule="auto"/>
        <w:rPr>
          <w:sz w:val="20"/>
          <w:szCs w:val="20"/>
          <w:color w:val="auto"/>
        </w:rPr>
      </w:pPr>
      <w:r>
        <w:rPr>
          <w:rFonts w:ascii="Arial" w:cs="Arial" w:eastAsia="Arial" w:hAnsi="Arial"/>
          <w:sz w:val="17"/>
          <w:szCs w:val="17"/>
          <w:color w:val="auto"/>
        </w:rPr>
        <w:t>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141"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As of December 31, 2022, we estimate that $8,207 will be reclassified from accumulated other comprehensive loss to interest expense, net during the twelve months ending December 31, 2023. As of December 31, 2022, we had fourteen effective outstanding interest rate swap contracts. Twelve of our swaps are indexed to USD LIBOR, while the remaining two are indexed to Term SOFR. The transition relief guidance from ASC 848 was applied to designate the two Term SOFR swap contracts that we entered into during the current quarter for hedge accounting. After USD LIBOR sunsets on June 30, 2023, we may convert our contracts to index to Term SOFR, otherwise the contracts will be subject to the fallback language within our credit agreement.</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interest rate swap contracts have varying start and maturity dates through April 2028.</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Notional Amounts</w:t>
            </w: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accruing interest as of December 31, 2022</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400,000</w:t>
            </w:r>
          </w:p>
        </w:tc>
      </w:tr>
      <w:tr>
        <w:trPr>
          <w:trHeight w:val="207"/>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430,000</w:t>
            </w:r>
          </w:p>
        </w:tc>
      </w:tr>
      <w:tr>
        <w:trPr>
          <w:trHeight w:val="22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830,000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Currency Risk</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68"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From time to time, we execute cross-currency swap contracts designated as cash flow hedges or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15" w:lineRule="exact"/>
        <w:rPr>
          <w:sz w:val="20"/>
          <w:szCs w:val="20"/>
          <w:color w:val="auto"/>
        </w:rPr>
      </w:pPr>
    </w:p>
    <w:p>
      <w:pPr>
        <w:ind w:right="80" w:firstLine="623"/>
        <w:spacing w:after="0" w:line="264" w:lineRule="auto"/>
        <w:rPr>
          <w:sz w:val="20"/>
          <w:szCs w:val="20"/>
          <w:color w:val="auto"/>
        </w:rPr>
      </w:pPr>
      <w:r>
        <w:rPr>
          <w:rFonts w:ascii="Arial" w:cs="Arial" w:eastAsia="Arial" w:hAnsi="Arial"/>
          <w:sz w:val="17"/>
          <w:szCs w:val="17"/>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December 31, 2022, we had one outstanding cross-currency swap contract designated as a cash flow hedge with a total notional amount of $58,478, maturing during June 2024. We entered into the cross-currency swap contract to hedge the risk of changes in one Euro-denominated intercompany loan entered into with one of our consolidated subsidiaries that has the Euro as its functional currency.</w:t>
      </w:r>
    </w:p>
    <w:p>
      <w:pPr>
        <w:spacing w:after="0" w:line="327" w:lineRule="exact"/>
        <w:rPr>
          <w:sz w:val="20"/>
          <w:szCs w:val="20"/>
          <w:color w:val="auto"/>
        </w:rPr>
      </w:pPr>
    </w:p>
    <w:p>
      <w:pPr>
        <w:jc w:val="both"/>
        <w:ind w:right="220" w:firstLine="623"/>
        <w:spacing w:after="0" w:line="275" w:lineRule="auto"/>
        <w:rPr>
          <w:sz w:val="20"/>
          <w:szCs w:val="20"/>
          <w:color w:val="auto"/>
        </w:rPr>
      </w:pPr>
      <w:r>
        <w:rPr>
          <w:rFonts w:ascii="Arial" w:cs="Arial" w:eastAsia="Arial" w:hAnsi="Arial"/>
          <w:sz w:val="17"/>
          <w:szCs w:val="17"/>
          <w:color w:val="auto"/>
        </w:rPr>
        <w:t>Amounts reported in accumulated other comprehensive loss will be reclassified to other (expense) income, net as interest payments are accrued or paid and upon remeasuring the intercompany loan. As of December 31, 2022, we estimate that $1,794 of income will be reclassified from accumulated other comprehensive loss to interest expense, net during the twelve months ending December 31, 2023.</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68"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Amounts reported in accumulated other comprehensive loss are recognized as a component of our cumulative translation adjustment.</w:t>
      </w:r>
    </w:p>
    <w:p>
      <w:pPr>
        <w:spacing w:after="0" w:line="139"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As of December 31, 2022, we have one intercompany loan designated as a net investment hedge with a total notional amount of $364,524 that matures in May 2028.</w:t>
      </w:r>
    </w:p>
    <w:p>
      <w:pPr>
        <w:spacing w:after="0" w:line="130" w:lineRule="exact"/>
        <w:rPr>
          <w:sz w:val="20"/>
          <w:szCs w:val="20"/>
          <w:color w:val="auto"/>
        </w:rPr>
      </w:pPr>
    </w:p>
    <w:p>
      <w:pPr>
        <w:ind w:right="40" w:firstLine="623"/>
        <w:spacing w:after="0" w:line="295"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three and six months ended December 31, 2022 and 2021, we experienced volatility within other (expense)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ind w:right="20"/>
        <w:spacing w:after="0" w:line="268" w:lineRule="auto"/>
        <w:rPr>
          <w:sz w:val="20"/>
          <w:szCs w:val="20"/>
          <w:color w:val="auto"/>
        </w:rPr>
      </w:pPr>
      <w:r>
        <w:rPr>
          <w:rFonts w:ascii="Arial" w:cs="Arial" w:eastAsia="Arial" w:hAnsi="Arial"/>
          <w:sz w:val="17"/>
          <w:szCs w:val="17"/>
          <w:color w:val="auto"/>
        </w:rPr>
        <w:t>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39"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color w:val="auto"/>
        </w:rPr>
        <w:t>As of December 31, 2022, we had the following outstanding currency derivative contracts that were not designated for hedge accounting and were used to hedge fluctuations in the U.S. dollar value of forecasted transactions or balances denominated in Australian Dollar, British Pound, Canadian Dollar, Danish Krone, Euro, Indian Rupee, Japanese Yen, Mexican Peso, New Zealand Dollar, Norwegian Krone, Philippine Peso, Swiss Franc and Swedish Krona: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Effective Date</w:t>
            </w: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 Instruments</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150"/>
        </w:trPr>
        <w:tc>
          <w:tcPr>
            <w:tcW w:w="1820" w:type="dxa"/>
            <w:vAlign w:val="bottom"/>
            <w:vMerge w:val="restart"/>
            <w:shd w:val="clear" w:color="auto" w:fill="CCEEFF"/>
          </w:tcPr>
          <w:p>
            <w:pPr>
              <w:jc w:val="right"/>
              <w:ind w:right="506"/>
              <w:spacing w:after="0"/>
              <w:rPr>
                <w:sz w:val="20"/>
                <w:szCs w:val="20"/>
                <w:color w:val="auto"/>
              </w:rPr>
            </w:pPr>
            <w:r>
              <w:rPr>
                <w:rFonts w:ascii="Arial" w:cs="Arial" w:eastAsia="Arial" w:hAnsi="Arial"/>
                <w:sz w:val="16"/>
                <w:szCs w:val="16"/>
                <w:color w:val="auto"/>
              </w:rPr>
              <w:t>$534,594</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March 2021 through December</w:t>
            </w:r>
          </w:p>
        </w:tc>
        <w:tc>
          <w:tcPr>
            <w:tcW w:w="24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7"/>
              </w:rPr>
              <w:t>Various dates through Dec 2024</w:t>
            </w:r>
          </w:p>
        </w:tc>
        <w:tc>
          <w:tcPr>
            <w:tcW w:w="2140" w:type="dxa"/>
            <w:vAlign w:val="bottom"/>
            <w:vMerge w:val="restart"/>
            <w:shd w:val="clear" w:color="auto" w:fill="CCEEFF"/>
          </w:tcPr>
          <w:p>
            <w:pPr>
              <w:jc w:val="right"/>
              <w:ind w:right="866"/>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3"/>
                <w:szCs w:val="13"/>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27"/>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2022</w:t>
            </w:r>
          </w:p>
        </w:tc>
        <w:tc>
          <w:tcPr>
            <w:tcW w:w="120" w:type="dxa"/>
            <w:vAlign w:val="bottom"/>
            <w:shd w:val="clear" w:color="auto" w:fill="CCEEFF"/>
          </w:tcPr>
          <w:p>
            <w:pPr>
              <w:spacing w:after="0"/>
              <w:rPr>
                <w:sz w:val="11"/>
                <w:szCs w:val="11"/>
                <w:color w:val="auto"/>
              </w:rPr>
            </w:pPr>
          </w:p>
        </w:tc>
        <w:tc>
          <w:tcPr>
            <w:tcW w:w="2440" w:type="dxa"/>
            <w:vAlign w:val="bottom"/>
            <w:gridSpan w:val="2"/>
            <w:vMerge w:val="continue"/>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209" w:lineRule="exact"/>
        <w:rPr>
          <w:sz w:val="20"/>
          <w:szCs w:val="20"/>
          <w:color w:val="auto"/>
        </w:rPr>
      </w:pPr>
    </w:p>
    <w:p>
      <w:pPr>
        <w:jc w:val="both"/>
        <w:ind w:firstLine="623"/>
        <w:spacing w:after="0" w:line="295"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December 31, 2022 and June 30, 2022. Our derivative asset and liability balances fluctuate with interest rate and currency exchange rate volatility.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2"/>
                <w:szCs w:val="12"/>
                <w:b w:val="1"/>
                <w:bCs w:val="1"/>
                <w:color w:val="auto"/>
              </w:rPr>
              <w:t>December 31, 2022</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40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rPr>
              <w:t>of recognized</w:t>
            </w: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liabilities</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96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2"/>
                <w:szCs w:val="12"/>
                <w:b w:val="1"/>
                <w:bCs w:val="1"/>
                <w:color w:val="auto"/>
              </w:rPr>
              <w:t>Derivatives in cash flow hedging</w:t>
            </w: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relationships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Interest rate swaps</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23,554</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23,550</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6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swaps</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103"/>
        </w:trPr>
        <w:tc>
          <w:tcPr>
            <w:tcW w:w="1960" w:type="dxa"/>
            <w:vAlign w:val="bottom"/>
            <w:vMerge w:val="continue"/>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9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23,554</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23,550</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11"/>
                <w:szCs w:val="11"/>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5,920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4,579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(6,128)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143"/>
        </w:trPr>
        <w:tc>
          <w:tcPr>
            <w:tcW w:w="196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4,537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4,514</w:t>
            </w: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65"/>
        </w:trPr>
        <w:tc>
          <w:tcPr>
            <w:tcW w:w="1960" w:type="dxa"/>
            <w:vAlign w:val="bottom"/>
            <w:vMerge w:val="continue"/>
          </w:tcPr>
          <w:p>
            <w:pPr>
              <w:spacing w:after="0"/>
              <w:rPr>
                <w:sz w:val="5"/>
                <w:szCs w:val="5"/>
                <w:color w:val="auto"/>
              </w:rPr>
            </w:pPr>
          </w:p>
        </w:tc>
        <w:tc>
          <w:tcPr>
            <w:tcW w:w="1020" w:type="dxa"/>
            <w:vAlign w:val="bottom"/>
            <w:gridSpan w:val="2"/>
            <w:vMerge w:val="restart"/>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96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60" w:type="dxa"/>
            <w:vAlign w:val="bottom"/>
          </w:tcPr>
          <w:p>
            <w:pPr>
              <w:spacing w:after="0"/>
              <w:rPr>
                <w:sz w:val="8"/>
                <w:szCs w:val="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96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10,457</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9,093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(4,253)</w:t>
            </w: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b w:val="1"/>
                <w:bCs w:val="1"/>
                <w:color w:val="auto"/>
              </w:rPr>
              <w:t>June 30, 2022</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40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rPr>
              <w:t>of recognized</w:t>
            </w: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liabilities</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Derivatives designated as</w:t>
            </w: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14,336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6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Cross-currency swaps</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03"/>
        </w:trPr>
        <w:tc>
          <w:tcPr>
            <w:tcW w:w="196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96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14,336</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70"/>
        </w:trPr>
        <w:tc>
          <w:tcPr>
            <w:tcW w:w="19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960" w:type="dxa"/>
            <w:vAlign w:val="bottom"/>
            <w:vMerge w:val="continue"/>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24,440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20,638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3"/>
        </w:trPr>
        <w:tc>
          <w:tcPr>
            <w:tcW w:w="196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10,612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color w:val="auto"/>
              </w:rPr>
              <w:t>10,611</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3"/>
        </w:trPr>
        <w:tc>
          <w:tcPr>
            <w:tcW w:w="1960" w:type="dxa"/>
            <w:vAlign w:val="bottom"/>
            <w:vMerge w:val="continue"/>
          </w:tcPr>
          <w:p>
            <w:pPr>
              <w:spacing w:after="0"/>
              <w:rPr>
                <w:sz w:val="12"/>
                <w:szCs w:val="12"/>
                <w:color w:val="auto"/>
              </w:rPr>
            </w:pPr>
          </w:p>
        </w:tc>
        <w:tc>
          <w:tcPr>
            <w:tcW w:w="10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35,052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31,249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70"/>
        </w:trPr>
        <w:tc>
          <w:tcPr>
            <w:tcW w:w="19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right="320" w:firstLine="623"/>
        <w:spacing w:after="0" w:line="278"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(loss) income, net of tax, for the three and six months ended December 31,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5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5"/>
              <w:spacing w:after="0"/>
              <w:rPr>
                <w:sz w:val="20"/>
                <w:szCs w:val="20"/>
                <w:color w:val="auto"/>
              </w:rPr>
            </w:pPr>
            <w:r>
              <w:rPr>
                <w:rFonts w:ascii="Arial" w:cs="Arial" w:eastAsia="Arial" w:hAnsi="Arial"/>
                <w:sz w:val="12"/>
                <w:szCs w:val="12"/>
                <w:b w:val="1"/>
                <w:bCs w:val="1"/>
                <w:color w:val="auto"/>
              </w:rPr>
              <w:t>2021</w:t>
            </w:r>
          </w:p>
        </w:tc>
      </w:tr>
      <w:tr>
        <w:trPr>
          <w:trHeight w:val="176"/>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60" w:type="dxa"/>
            <w:vAlign w:val="bottom"/>
          </w:tcPr>
          <w:p>
            <w:pPr>
              <w:jc w:val="right"/>
              <w:ind w:right="77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6"/>
                <w:szCs w:val="16"/>
                <w:color w:val="auto"/>
                <w:w w:val="89"/>
              </w:rPr>
              <w:t>$</w:t>
            </w: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5,021</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11,688</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5,540</w:t>
            </w: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(7,519)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(9,963)</w:t>
            </w:r>
          </w:p>
        </w:tc>
      </w:tr>
      <w:tr>
        <w:trPr>
          <w:trHeight w:val="194"/>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loan</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(18,636)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8,359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17,386</w:t>
            </w: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6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2,922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6,414</w:t>
            </w:r>
          </w:p>
        </w:tc>
      </w:tr>
      <w:tr>
        <w:trPr>
          <w:trHeight w:val="227"/>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CEEFF"/>
          </w:tcPr>
          <w:p>
            <w:pPr>
              <w:jc w:val="right"/>
              <w:ind w:right="771"/>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(24,285)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8,783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19,377</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both"/>
        <w:ind w:right="100" w:firstLine="623"/>
        <w:spacing w:after="0" w:line="295" w:lineRule="auto"/>
        <w:rPr>
          <w:sz w:val="20"/>
          <w:szCs w:val="20"/>
          <w:color w:val="auto"/>
        </w:rPr>
      </w:pPr>
      <w:r>
        <w:rPr>
          <w:rFonts w:ascii="Arial" w:cs="Arial" w:eastAsia="Arial" w:hAnsi="Arial"/>
          <w:sz w:val="17"/>
          <w:szCs w:val="17"/>
          <w:color w:val="auto"/>
        </w:rPr>
        <w:t>The following table presents reclassifications out of accumulated other comprehensive loss for the three and six months ended December 31, 2022 and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5920" w:type="dxa"/>
            <w:vAlign w:val="bottom"/>
            <w:gridSpan w:val="11"/>
            <w:vMerge w:val="restart"/>
          </w:tcPr>
          <w:p>
            <w:pPr>
              <w:jc w:val="right"/>
              <w:ind w:right="45"/>
              <w:spacing w:after="0"/>
              <w:rPr>
                <w:sz w:val="20"/>
                <w:szCs w:val="20"/>
                <w:color w:val="auto"/>
              </w:rPr>
            </w:pPr>
            <w:r>
              <w:rPr>
                <w:rFonts w:ascii="Arial" w:cs="Arial" w:eastAsia="Arial" w:hAnsi="Arial"/>
                <w:sz w:val="12"/>
                <w:szCs w:val="12"/>
                <w:b w:val="1"/>
                <w:bCs w:val="1"/>
                <w:color w:val="auto"/>
              </w:rPr>
              <w:t>Amount of Net Gain (Loss) Reclassified from Accumulated Other Comprehensive Loss into Income</w:t>
            </w:r>
          </w:p>
        </w:tc>
        <w:tc>
          <w:tcPr>
            <w:tcW w:w="266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5920" w:type="dxa"/>
            <w:vAlign w:val="bottom"/>
            <w:tcBorders>
              <w:bottom w:val="single" w:sz="8" w:color="auto"/>
            </w:tcBorders>
            <w:gridSpan w:val="11"/>
            <w:vMerge w:val="continue"/>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14"/>
                <w:szCs w:val="14"/>
                <w:color w:val="auto"/>
              </w:rPr>
            </w:pPr>
          </w:p>
        </w:tc>
        <w:tc>
          <w:tcPr>
            <w:tcW w:w="3000" w:type="dxa"/>
            <w:vAlign w:val="bottom"/>
            <w:gridSpan w:val="6"/>
          </w:tcPr>
          <w:p>
            <w:pPr>
              <w:ind w:left="440"/>
              <w:spacing w:after="0"/>
              <w:rPr>
                <w:sz w:val="20"/>
                <w:szCs w:val="20"/>
                <w:color w:val="auto"/>
              </w:rPr>
            </w:pPr>
            <w:r>
              <w:rPr>
                <w:rFonts w:ascii="Arial" w:cs="Arial" w:eastAsia="Arial" w:hAnsi="Arial"/>
                <w:sz w:val="12"/>
                <w:szCs w:val="12"/>
                <w:b w:val="1"/>
                <w:bCs w:val="1"/>
                <w:color w:val="auto"/>
              </w:rPr>
              <w:t>Three Months Ended December 31,</w:t>
            </w:r>
          </w:p>
        </w:tc>
        <w:tc>
          <w:tcPr>
            <w:tcW w:w="320" w:type="dxa"/>
            <w:vAlign w:val="bottom"/>
          </w:tcPr>
          <w:p>
            <w:pPr>
              <w:spacing w:after="0"/>
              <w:rPr>
                <w:sz w:val="14"/>
                <w:szCs w:val="14"/>
                <w:color w:val="auto"/>
              </w:rPr>
            </w:pPr>
          </w:p>
        </w:tc>
        <w:tc>
          <w:tcPr>
            <w:tcW w:w="2600" w:type="dxa"/>
            <w:vAlign w:val="bottom"/>
            <w:gridSpan w:val="4"/>
          </w:tcPr>
          <w:p>
            <w:pPr>
              <w:jc w:val="right"/>
              <w:ind w:right="445"/>
              <w:spacing w:after="0"/>
              <w:rPr>
                <w:sz w:val="20"/>
                <w:szCs w:val="20"/>
                <w:color w:val="auto"/>
              </w:rPr>
            </w:pPr>
            <w:r>
              <w:rPr>
                <w:rFonts w:ascii="Arial" w:cs="Arial" w:eastAsia="Arial" w:hAnsi="Arial"/>
                <w:sz w:val="12"/>
                <w:szCs w:val="12"/>
                <w:b w:val="1"/>
                <w:bCs w:val="1"/>
                <w:color w:val="auto"/>
              </w:rPr>
              <w:t>Six Months Ended December 31,</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2021</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660" w:type="dxa"/>
            <w:vAlign w:val="bottom"/>
          </w:tcPr>
          <w:p>
            <w:pPr>
              <w:ind w:left="20"/>
              <w:spacing w:after="0" w:line="126" w:lineRule="exact"/>
              <w:rPr>
                <w:sz w:val="20"/>
                <w:szCs w:val="20"/>
                <w:color w:val="auto"/>
              </w:rPr>
            </w:pPr>
            <w:r>
              <w:rPr>
                <w:rFonts w:ascii="Arial" w:cs="Arial" w:eastAsia="Arial" w:hAnsi="Arial"/>
                <w:sz w:val="14"/>
                <w:szCs w:val="14"/>
                <w:b w:val="1"/>
                <w:bCs w:val="1"/>
                <w:color w:val="auto"/>
              </w:rPr>
              <w:t>Derivatives in cash flow hedging</w:t>
            </w: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relationships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860" w:type="dxa"/>
            <w:vAlign w:val="bottom"/>
            <w:shd w:val="clear" w:color="auto" w:fill="CCEEFF"/>
          </w:tcPr>
          <w:p>
            <w:pPr>
              <w:jc w:val="right"/>
              <w:ind w:right="69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5,470</w:t>
            </w:r>
          </w:p>
        </w:tc>
        <w:tc>
          <w:tcPr>
            <w:tcW w:w="2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Interest expense, net</w:t>
            </w:r>
          </w:p>
        </w:tc>
        <w:tc>
          <w:tcPr>
            <w:tcW w:w="0" w:type="dxa"/>
            <w:vAlign w:val="bottom"/>
          </w:tcPr>
          <w:p>
            <w:pPr>
              <w:spacing w:after="0"/>
              <w:rPr>
                <w:sz w:val="1"/>
                <w:szCs w:val="1"/>
                <w:color w:val="auto"/>
              </w:rPr>
            </w:pPr>
          </w:p>
        </w:tc>
      </w:tr>
      <w:tr>
        <w:trPr>
          <w:trHeight w:val="207"/>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Cross-currency swaps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4,606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3,821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7,808</w:t>
            </w:r>
          </w:p>
        </w:tc>
        <w:tc>
          <w:tcPr>
            <w:tcW w:w="2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Other (expense) income, net</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6,794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13,278</w:t>
            </w:r>
          </w:p>
        </w:tc>
        <w:tc>
          <w:tcPr>
            <w:tcW w:w="2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(Loss) income before income taxes</w:t>
            </w:r>
          </w:p>
        </w:tc>
        <w:tc>
          <w:tcPr>
            <w:tcW w:w="0" w:type="dxa"/>
            <w:vAlign w:val="bottom"/>
          </w:tcPr>
          <w:p>
            <w:pPr>
              <w:spacing w:after="0"/>
              <w:rPr>
                <w:sz w:val="1"/>
                <w:szCs w:val="1"/>
                <w:color w:val="auto"/>
              </w:rPr>
            </w:pPr>
          </w:p>
        </w:tc>
      </w:tr>
      <w:tr>
        <w:trPr>
          <w:trHeight w:val="207"/>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36</w:t>
            </w:r>
          </w:p>
        </w:tc>
        <w:tc>
          <w:tcPr>
            <w:tcW w:w="2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Income tax expense</w:t>
            </w:r>
          </w:p>
        </w:tc>
        <w:tc>
          <w:tcPr>
            <w:tcW w:w="0" w:type="dxa"/>
            <w:vAlign w:val="bottom"/>
          </w:tcPr>
          <w:p>
            <w:pPr>
              <w:spacing w:after="0"/>
              <w:rPr>
                <w:sz w:val="1"/>
                <w:szCs w:val="1"/>
                <w:color w:val="auto"/>
              </w:rPr>
            </w:pPr>
          </w:p>
        </w:tc>
      </w:tr>
      <w:tr>
        <w:trPr>
          <w:trHeight w:val="22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7,768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13,314</w:t>
            </w:r>
          </w:p>
        </w:tc>
        <w:tc>
          <w:tcPr>
            <w:tcW w:w="2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7" w:name="page18"/>
    <w:bookmarkEnd w:id="17"/>
    <w:p>
      <w:pPr>
        <w:ind w:right="140" w:firstLine="623"/>
        <w:spacing w:after="0" w:line="275"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three and six months ended December 31, 2022 and 2021 for derivative instruments for which we did not elect hedge accounting and de-designated derivative financial instruments that did not qualify as hedging instruments.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80" w:type="dxa"/>
            <w:vAlign w:val="bottom"/>
            <w:gridSpan w:val="9"/>
            <w:vMerge w:val="restart"/>
          </w:tcPr>
          <w:p>
            <w:pPr>
              <w:jc w:val="right"/>
              <w:ind w:right="182"/>
              <w:spacing w:after="0"/>
              <w:rPr>
                <w:sz w:val="20"/>
                <w:szCs w:val="20"/>
                <w:color w:val="auto"/>
              </w:rPr>
            </w:pPr>
            <w:r>
              <w:rPr>
                <w:rFonts w:ascii="Arial" w:cs="Arial" w:eastAsia="Arial" w:hAnsi="Arial"/>
                <w:sz w:val="12"/>
                <w:szCs w:val="12"/>
                <w:b w:val="1"/>
                <w:bCs w:val="1"/>
                <w:color w:val="auto"/>
              </w:rPr>
              <w:t>Amount of Gain (Loss) Recognized in Net (Loss) Income</w:t>
            </w:r>
          </w:p>
        </w:tc>
        <w:tc>
          <w:tcPr>
            <w:tcW w:w="108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8"/>
        </w:trPr>
        <w:tc>
          <w:tcPr>
            <w:tcW w:w="2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gridSpan w:val="9"/>
            <w:vMerge w:val="continue"/>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5"/>
          </w:tcPr>
          <w:p>
            <w:pPr>
              <w:ind w:left="180"/>
              <w:spacing w:after="0"/>
              <w:rPr>
                <w:sz w:val="20"/>
                <w:szCs w:val="20"/>
                <w:color w:val="auto"/>
              </w:rPr>
            </w:pPr>
            <w:r>
              <w:rPr>
                <w:rFonts w:ascii="Arial" w:cs="Arial" w:eastAsia="Arial" w:hAnsi="Arial"/>
                <w:sz w:val="12"/>
                <w:szCs w:val="12"/>
                <w:b w:val="1"/>
                <w:bCs w:val="1"/>
                <w:color w:val="auto"/>
              </w:rPr>
              <w:t>Three Months Ended December 31,</w:t>
            </w:r>
          </w:p>
        </w:tc>
        <w:tc>
          <w:tcPr>
            <w:tcW w:w="320" w:type="dxa"/>
            <w:vAlign w:val="bottom"/>
          </w:tcPr>
          <w:p>
            <w:pPr>
              <w:spacing w:after="0"/>
              <w:rPr>
                <w:sz w:val="14"/>
                <w:szCs w:val="14"/>
                <w:color w:val="auto"/>
              </w:rPr>
            </w:pPr>
          </w:p>
        </w:tc>
        <w:tc>
          <w:tcPr>
            <w:tcW w:w="2600" w:type="dxa"/>
            <w:vAlign w:val="bottom"/>
            <w:gridSpan w:val="4"/>
          </w:tcPr>
          <w:p>
            <w:pPr>
              <w:jc w:val="right"/>
              <w:ind w:right="446"/>
              <w:spacing w:after="0"/>
              <w:rPr>
                <w:sz w:val="20"/>
                <w:szCs w:val="20"/>
                <w:color w:val="auto"/>
              </w:rPr>
            </w:pPr>
            <w:r>
              <w:rPr>
                <w:rFonts w:ascii="Arial" w:cs="Arial" w:eastAsia="Arial" w:hAnsi="Arial"/>
                <w:sz w:val="12"/>
                <w:szCs w:val="12"/>
                <w:b w:val="1"/>
                <w:bCs w:val="1"/>
                <w:color w:val="auto"/>
              </w:rPr>
              <w:t>Six Months Ended December 31,</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2021</w:t>
            </w:r>
          </w:p>
        </w:tc>
        <w:tc>
          <w:tcPr>
            <w:tcW w:w="26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20,024</w:t>
            </w:r>
          </w:p>
        </w:tc>
        <w:tc>
          <w:tcPr>
            <w:tcW w:w="2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Other (expense) income, net</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w:t>
            </w:r>
          </w:p>
        </w:tc>
        <w:tc>
          <w:tcPr>
            <w:tcW w:w="2660" w:type="dxa"/>
            <w:vAlign w:val="bottom"/>
          </w:tcPr>
          <w:p>
            <w:pPr>
              <w:jc w:val="center"/>
              <w:spacing w:after="0"/>
              <w:rPr>
                <w:sz w:val="20"/>
                <w:szCs w:val="20"/>
                <w:color w:val="auto"/>
              </w:rPr>
            </w:pPr>
            <w:r>
              <w:rPr>
                <w:rFonts w:ascii="Arial" w:cs="Arial" w:eastAsia="Arial" w:hAnsi="Arial"/>
                <w:sz w:val="14"/>
                <w:szCs w:val="14"/>
                <w:color w:val="auto"/>
                <w:w w:val="98"/>
              </w:rPr>
              <w:t>Other (expense) income, net</w:t>
            </w:r>
          </w:p>
        </w:tc>
        <w:tc>
          <w:tcPr>
            <w:tcW w:w="0" w:type="dxa"/>
            <w:vAlign w:val="bottom"/>
          </w:tcPr>
          <w:p>
            <w:pPr>
              <w:spacing w:after="0"/>
              <w:rPr>
                <w:sz w:val="1"/>
                <w:szCs w:val="1"/>
                <w:color w:val="auto"/>
              </w:rPr>
            </w:pPr>
          </w:p>
        </w:tc>
      </w:tr>
      <w:tr>
        <w:trPr>
          <w:trHeight w:val="227"/>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19,808</w:t>
            </w:r>
          </w:p>
        </w:tc>
        <w:tc>
          <w:tcPr>
            <w:tcW w:w="26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209" w:lineRule="exact"/>
        <w:rPr>
          <w:sz w:val="20"/>
          <w:szCs w:val="20"/>
          <w:color w:val="auto"/>
        </w:rPr>
      </w:pPr>
    </w:p>
    <w:p>
      <w:pPr>
        <w:ind w:firstLine="623"/>
        <w:spacing w:after="0" w:line="294"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income (loss) by component, net of tax of $3,888 for the six months ended December 31, 2022</w:t>
      </w:r>
      <w:r>
        <w:rPr>
          <w:rFonts w:ascii="Times New Roman" w:cs="Times New Roman" w:eastAsia="Times New Roman" w:hAnsi="Times New Roman"/>
          <w:sz w:val="17"/>
          <w:szCs w:val="17"/>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Gains on cash flow</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Losses on pension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6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hedges (1)</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benefit obligation</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hedges (2)</w:t>
            </w: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5,179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center"/>
              <w:ind w:left="827"/>
              <w:spacing w:after="0"/>
              <w:rPr>
                <w:sz w:val="20"/>
                <w:szCs w:val="20"/>
                <w:color w:val="auto"/>
              </w:rPr>
            </w:pPr>
            <w:r>
              <w:rPr>
                <w:rFonts w:ascii="Arial" w:cs="Arial" w:eastAsia="Arial" w:hAnsi="Arial"/>
                <w:sz w:val="16"/>
                <w:szCs w:val="16"/>
                <w:color w:val="auto"/>
                <w:w w:val="98"/>
              </w:rPr>
              <w:t>(86)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(47,128)</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10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6"/>
                <w:szCs w:val="16"/>
                <w:color w:val="auto"/>
              </w:rPr>
              <w:t>11,111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left="747"/>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Arial" w:cs="Arial" w:eastAsia="Arial" w:hAnsi="Arial"/>
                <w:sz w:val="16"/>
                <w:szCs w:val="16"/>
                <w:color w:val="auto"/>
              </w:rPr>
              <w:t>7,760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18,871</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 to net loss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847"/>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10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6"/>
                <w:szCs w:val="16"/>
                <w:color w:val="auto"/>
              </w:rPr>
              <w:t>11,309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left="747"/>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Arial" w:cs="Arial" w:eastAsia="Arial" w:hAnsi="Arial"/>
                <w:sz w:val="16"/>
                <w:szCs w:val="16"/>
                <w:color w:val="auto"/>
              </w:rPr>
              <w:t>7,760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19,069</w:t>
            </w: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16,488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center"/>
              <w:ind w:left="827"/>
              <w:spacing w:after="0"/>
              <w:rPr>
                <w:sz w:val="20"/>
                <w:szCs w:val="20"/>
                <w:color w:val="auto"/>
              </w:rPr>
            </w:pPr>
            <w:r>
              <w:rPr>
                <w:rFonts w:ascii="Arial" w:cs="Arial" w:eastAsia="Arial" w:hAnsi="Arial"/>
                <w:sz w:val="16"/>
                <w:szCs w:val="16"/>
                <w:color w:val="auto"/>
                <w:w w:val="98"/>
              </w:rPr>
              <w:t>(86)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125" w:lineRule="exact"/>
        <w:rPr>
          <w:sz w:val="20"/>
          <w:szCs w:val="20"/>
          <w:color w:val="auto"/>
        </w:rPr>
      </w:pPr>
    </w:p>
    <w:p>
      <w:pPr>
        <w:ind w:left="220" w:hanging="216"/>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Gains on cash flow hedges include our interest rate swap and cross-currency swap contracts designated in cash flow hedging relationships.</w:t>
      </w:r>
    </w:p>
    <w:p>
      <w:pPr>
        <w:spacing w:after="0" w:line="6" w:lineRule="exact"/>
        <w:rPr>
          <w:rFonts w:ascii="Arial" w:cs="Arial" w:eastAsia="Arial" w:hAnsi="Arial"/>
          <w:sz w:val="14"/>
          <w:szCs w:val="14"/>
          <w:color w:val="auto"/>
        </w:rPr>
      </w:pPr>
    </w:p>
    <w:p>
      <w:pPr>
        <w:ind w:left="220" w:hanging="216"/>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2022 and June 30, 2022, the translation adjustment is inclusive of both the unrealized and realized effects of our net investment hedges. Gains on currency</w:t>
      </w:r>
    </w:p>
    <w:p>
      <w:pPr>
        <w:spacing w:after="0" w:line="8" w:lineRule="exact"/>
        <w:rPr>
          <w:sz w:val="20"/>
          <w:szCs w:val="20"/>
          <w:color w:val="auto"/>
        </w:rPr>
      </w:pPr>
    </w:p>
    <w:p>
      <w:pPr>
        <w:ind w:left="240" w:right="120"/>
        <w:spacing w:after="0" w:line="263" w:lineRule="auto"/>
        <w:rPr>
          <w:sz w:val="20"/>
          <w:szCs w:val="20"/>
          <w:color w:val="auto"/>
        </w:rPr>
      </w:pPr>
      <w:r>
        <w:rPr>
          <w:rFonts w:ascii="Arial" w:cs="Arial" w:eastAsia="Arial" w:hAnsi="Arial"/>
          <w:sz w:val="14"/>
          <w:szCs w:val="14"/>
          <w:color w:val="auto"/>
        </w:rPr>
        <w:t>forward and swap contracts, net of tax, of $15,079 have been included in accumulated other comprehensive loss as of December 31, 2022 and June 30, 2022. Intercompany loan hedge gains of $42,519 and $51,003 have been included in accumulated other comprehensive loss as of December 31, 2022 and June 30, 2022,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of goodwill by reportable segment as of December 31, 2022 and June 30, 2022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The Print Group</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All Other Businesses</w:t>
            </w: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Total</w:t>
            </w:r>
          </w:p>
        </w:tc>
      </w:tr>
      <w:tr>
        <w:trPr>
          <w:trHeight w:val="205"/>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291,498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130,828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143,969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200,305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766,600</w:t>
            </w: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currency translation adjustments (1)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2,384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9,963</w:t>
            </w:r>
          </w:p>
        </w:tc>
      </w:tr>
      <w:tr>
        <w:trPr>
          <w:trHeight w:val="202"/>
        </w:trPr>
        <w:tc>
          <w:tcPr>
            <w:tcW w:w="424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293,882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134,447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147,929</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200,530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776,788</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(1) Related to goodwill held by subsidiaries whose functional currency is not the U.S. dollar.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7. Other Balance Sheet Components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included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2022</w:t>
            </w:r>
          </w:p>
        </w:tc>
        <w:tc>
          <w:tcPr>
            <w:tcW w:w="280" w:type="dxa"/>
            <w:vAlign w:val="bottom"/>
          </w:tcPr>
          <w:p>
            <w:pPr>
              <w:spacing w:after="0"/>
              <w:rPr>
                <w:sz w:val="14"/>
                <w:szCs w:val="14"/>
                <w:color w:val="auto"/>
              </w:rPr>
            </w:pPr>
          </w:p>
        </w:tc>
        <w:tc>
          <w:tcPr>
            <w:tcW w:w="1380" w:type="dxa"/>
            <w:vAlign w:val="bottom"/>
          </w:tcPr>
          <w:p>
            <w:pPr>
              <w:jc w:val="right"/>
              <w:ind w:right="363"/>
              <w:spacing w:after="0"/>
              <w:rPr>
                <w:sz w:val="20"/>
                <w:szCs w:val="20"/>
                <w:color w:val="auto"/>
              </w:rPr>
            </w:pPr>
            <w:r>
              <w:rPr>
                <w:rFonts w:ascii="Arial" w:cs="Arial" w:eastAsia="Arial" w:hAnsi="Arial"/>
                <w:sz w:val="12"/>
                <w:szCs w:val="12"/>
                <w:b w:val="1"/>
                <w:bCs w:val="1"/>
                <w:color w:val="auto"/>
              </w:rPr>
              <w:t>June 30, 2022</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67,900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78,521</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Income and indirect taxes</w:t>
            </w:r>
          </w:p>
        </w:tc>
        <w:tc>
          <w:tcPr>
            <w:tcW w:w="2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55,261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41,886</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20,887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25,925</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Shipping costs</w:t>
            </w:r>
          </w:p>
        </w:tc>
        <w:tc>
          <w:tcPr>
            <w:tcW w:w="2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13,492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10,228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party manufacturing and digital content costs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17,961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15,790</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Variable compensation incentives (1)</w:t>
            </w:r>
          </w:p>
        </w:tc>
        <w:tc>
          <w:tcPr>
            <w:tcW w:w="2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8,578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returns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6,286</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Restructuring costs (2)</w:t>
            </w:r>
          </w:p>
        </w:tc>
        <w:tc>
          <w:tcPr>
            <w:tcW w:w="2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5,239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13,449</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Interest payable</w:t>
            </w:r>
          </w:p>
        </w:tc>
        <w:tc>
          <w:tcPr>
            <w:tcW w:w="20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2,901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2,477</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61,607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56,885</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264,510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253,841</w:t>
            </w: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w:t>
      </w:r>
    </w:p>
    <w:p>
      <w:pPr>
        <w:spacing w:after="0" w:line="73" w:lineRule="exact"/>
        <w:rPr>
          <w:sz w:val="20"/>
          <w:szCs w:val="20"/>
          <w:color w:val="auto"/>
        </w:rPr>
      </w:pPr>
    </w:p>
    <w:p>
      <w:pPr>
        <w:ind w:left="220" w:hanging="216"/>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cash-based employee long-term incentives, which are variable based on the performance of individual businesses and vest over four years.</w:t>
      </w:r>
    </w:p>
    <w:p>
      <w:pPr>
        <w:spacing w:after="0" w:line="85" w:lineRule="exact"/>
        <w:rPr>
          <w:rFonts w:ascii="Arial" w:cs="Arial" w:eastAsia="Arial" w:hAnsi="Arial"/>
          <w:sz w:val="14"/>
          <w:szCs w:val="14"/>
          <w:color w:val="auto"/>
        </w:rPr>
      </w:pPr>
    </w:p>
    <w:p>
      <w:pPr>
        <w:ind w:left="220" w:hanging="216"/>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accrued restructuring charges related to severance benefits primarily from our fiscal year 2022 actions. Refer to Note 13 for additional details.</w:t>
      </w:r>
    </w:p>
    <w:p>
      <w:pPr>
        <w:spacing w:after="0" w:line="200" w:lineRule="exact"/>
        <w:rPr>
          <w:sz w:val="20"/>
          <w:szCs w:val="20"/>
          <w:color w:val="auto"/>
        </w:rPr>
      </w:pP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2022</w:t>
            </w:r>
          </w:p>
        </w:tc>
        <w:tc>
          <w:tcPr>
            <w:tcW w:w="260" w:type="dxa"/>
            <w:vAlign w:val="bottom"/>
          </w:tcPr>
          <w:p>
            <w:pPr>
              <w:spacing w:after="0"/>
              <w:rPr>
                <w:sz w:val="14"/>
                <w:szCs w:val="14"/>
                <w:color w:val="auto"/>
              </w:rPr>
            </w:pPr>
          </w:p>
        </w:tc>
        <w:tc>
          <w:tcPr>
            <w:tcW w:w="1380" w:type="dxa"/>
            <w:vAlign w:val="bottom"/>
          </w:tcPr>
          <w:p>
            <w:pPr>
              <w:jc w:val="right"/>
              <w:ind w:right="346"/>
              <w:spacing w:after="0"/>
              <w:rPr>
                <w:sz w:val="20"/>
                <w:szCs w:val="20"/>
                <w:color w:val="auto"/>
              </w:rPr>
            </w:pPr>
            <w:r>
              <w:rPr>
                <w:rFonts w:ascii="Arial" w:cs="Arial" w:eastAsia="Arial" w:hAnsi="Arial"/>
                <w:sz w:val="12"/>
                <w:szCs w:val="12"/>
                <w:b w:val="1"/>
                <w:bCs w:val="1"/>
                <w:color w:val="auto"/>
              </w:rPr>
              <w:t>June 30, 2022</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7,198</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6,684</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derivative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16,894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17,052</w:t>
            </w:r>
          </w:p>
        </w:tc>
      </w:tr>
      <w:tr>
        <w:trPr>
          <w:trHeight w:val="22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31,685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liabilities included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2022</w:t>
            </w:r>
          </w:p>
        </w:tc>
        <w:tc>
          <w:tcPr>
            <w:tcW w:w="28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Arial" w:cs="Arial" w:eastAsia="Arial" w:hAnsi="Arial"/>
                <w:sz w:val="12"/>
                <w:szCs w:val="12"/>
                <w:b w:val="1"/>
                <w:bCs w:val="1"/>
                <w:color w:val="auto"/>
              </w:rPr>
              <w:t>June 30, 2022</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rPr>
              <w:t>19,935</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14,699</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derivative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2,460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Mandatorily redeemable noncontrolling interest (1)</w:t>
            </w:r>
          </w:p>
        </w:tc>
        <w:tc>
          <w:tcPr>
            <w:tcW w:w="200" w:type="dxa"/>
            <w:vAlign w:val="bottom"/>
          </w:tcPr>
          <w:p>
            <w:pPr>
              <w:spacing w:after="0"/>
              <w:rPr>
                <w:sz w:val="17"/>
                <w:szCs w:val="17"/>
                <w:color w:val="auto"/>
              </w:rPr>
            </w:pPr>
          </w:p>
        </w:tc>
        <w:tc>
          <w:tcPr>
            <w:tcW w:w="1460" w:type="dxa"/>
            <w:vAlign w:val="bottom"/>
          </w:tcPr>
          <w:p>
            <w:pPr>
              <w:jc w:val="right"/>
              <w:ind w:right="5"/>
              <w:spacing w:after="0"/>
              <w:rPr>
                <w:sz w:val="20"/>
                <w:szCs w:val="20"/>
                <w:color w:val="auto"/>
              </w:rPr>
            </w:pPr>
            <w:r>
              <w:rPr>
                <w:rFonts w:ascii="Arial" w:cs="Arial" w:eastAsia="Arial" w:hAnsi="Arial"/>
                <w:sz w:val="16"/>
                <w:szCs w:val="16"/>
                <w:color w:val="auto"/>
              </w:rPr>
              <w:t>11,724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compensation incentives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17,577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19,934</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27,966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29,298</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79,662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64,394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w:t>
      </w:r>
    </w:p>
    <w:p>
      <w:pPr>
        <w:spacing w:after="0" w:line="60" w:lineRule="exact"/>
        <w:rPr>
          <w:sz w:val="20"/>
          <w:szCs w:val="20"/>
          <w:color w:val="auto"/>
        </w:rPr>
      </w:pPr>
    </w:p>
    <w:p>
      <w:pPr>
        <w:jc w:val="both"/>
        <w:ind w:left="240" w:right="160" w:hanging="236"/>
        <w:spacing w:after="0" w:line="261" w:lineRule="auto"/>
        <w:tabs>
          <w:tab w:leader="none" w:pos="2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second quarter of fiscal year 2023, we reclassified the noncontrolling interest for three businesses in the PrintBrothers reportable segment to other liabilities, due to the exercise of a put option in the current quarter for a portion of the minority equity interests that triggered a mandatory redemption feature for the remaining minority equity interest. Subsequent to the option exercise, we recognized an accretion adjustment to increase the liability by $2,142 to the estimated redemption value due to the businesses' continued strong performance, which is recognized within interest expense, net in our consolidated statements of operations</w:t>
      </w:r>
      <w:r>
        <w:rPr>
          <w:rFonts w:ascii="Arial" w:cs="Arial" w:eastAsia="Arial" w:hAnsi="Arial"/>
          <w:sz w:val="17"/>
          <w:szCs w:val="17"/>
          <w:color w:val="auto"/>
        </w:rPr>
        <w:t>.</w:t>
      </w:r>
      <w:r>
        <w:rPr>
          <w:rFonts w:ascii="Arial" w:cs="Arial" w:eastAsia="Arial" w:hAnsi="Arial"/>
          <w:sz w:val="14"/>
          <w:szCs w:val="14"/>
          <w:color w:val="auto"/>
        </w:rPr>
        <w:t xml:space="preserve"> Refer to Note 10 for additional details.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8.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2022</w:t>
            </w:r>
          </w:p>
        </w:tc>
        <w:tc>
          <w:tcPr>
            <w:tcW w:w="280" w:type="dxa"/>
            <w:vAlign w:val="bottom"/>
          </w:tcPr>
          <w:p>
            <w:pPr>
              <w:spacing w:after="0"/>
              <w:rPr>
                <w:sz w:val="14"/>
                <w:szCs w:val="14"/>
                <w:color w:val="auto"/>
              </w:rPr>
            </w:pPr>
          </w:p>
        </w:tc>
        <w:tc>
          <w:tcPr>
            <w:tcW w:w="138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2022</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 Senior Notes due 2026</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600,000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Senior secured credit facility</w:t>
            </w:r>
          </w:p>
        </w:tc>
        <w:tc>
          <w:tcPr>
            <w:tcW w:w="200" w:type="dxa"/>
            <w:vAlign w:val="bottom"/>
          </w:tcPr>
          <w:p>
            <w:pPr>
              <w:spacing w:after="0"/>
              <w:rPr>
                <w:sz w:val="17"/>
                <w:szCs w:val="17"/>
                <w:color w:val="auto"/>
              </w:rPr>
            </w:pP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1,100,238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1,097,302</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6,734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8,063</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and debt premiums (discounts)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(19,417)</w:t>
            </w: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outstanding, net</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1,689,277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1,685,948</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short-term debt (1)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10,218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10,386</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1,679,059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1,675,562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December 31, 2022 and June 30, 2022 are inclusive of short-term debt issuance costs, debt premiums and discounts of $3,502 and $3,498, respectively.</w:t>
      </w:r>
    </w:p>
    <w:p>
      <w:pPr>
        <w:spacing w:after="0" w:line="206"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 December 31, 2022, we were in compliance with all covenants in our debt contracts, including those under our amended and restated senior secured credit agreement ("Restated Credit Agreement") and the indenture governing our 2026 Notes (as defined below).</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May 17, 2021, we entered into a Restated Credit Agreement consisting of the following:</w:t>
      </w:r>
    </w:p>
    <w:p>
      <w:pPr>
        <w:spacing w:after="0" w:line="103" w:lineRule="exact"/>
        <w:rPr>
          <w:sz w:val="20"/>
          <w:szCs w:val="20"/>
          <w:color w:val="auto"/>
        </w:rPr>
      </w:pPr>
    </w:p>
    <w:p>
      <w:pPr>
        <w:ind w:left="620" w:hanging="305"/>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7"/>
          <w:szCs w:val="17"/>
          <w:color w:val="auto"/>
        </w:rPr>
        <w:t>A senior secured Term Loan B with a maturity date of May 17, 2028 (the “Term Loan B”), consisting of:</w:t>
      </w:r>
    </w:p>
    <w:p>
      <w:pPr>
        <w:spacing w:after="0" w:line="54" w:lineRule="exact"/>
        <w:rPr>
          <w:rFonts w:ascii="Arial" w:cs="Arial" w:eastAsia="Arial" w:hAnsi="Arial"/>
          <w:sz w:val="19"/>
          <w:szCs w:val="19"/>
          <w:color w:val="auto"/>
        </w:rPr>
      </w:pPr>
    </w:p>
    <w:p>
      <w:pPr>
        <w:ind w:left="1240" w:hanging="302"/>
        <w:spacing w:after="0"/>
        <w:tabs>
          <w:tab w:leader="none" w:pos="1240" w:val="left"/>
        </w:tabs>
        <w:numPr>
          <w:ilvl w:val="1"/>
          <w:numId w:val="11"/>
        </w:numPr>
        <w:rPr>
          <w:rFonts w:ascii="Arial" w:cs="Arial" w:eastAsia="Arial" w:hAnsi="Arial"/>
          <w:sz w:val="19"/>
          <w:szCs w:val="19"/>
          <w:color w:val="auto"/>
        </w:rPr>
      </w:pPr>
      <w:r>
        <w:rPr>
          <w:rFonts w:ascii="Arial" w:cs="Arial" w:eastAsia="Arial" w:hAnsi="Arial"/>
          <w:sz w:val="17"/>
          <w:szCs w:val="17"/>
          <w:color w:val="auto"/>
        </w:rPr>
        <w:t>a $795,000 tranche that bears interest at LIBOR (with a LIBOR floor of 0.50%) plus 3.50%, and</w:t>
      </w:r>
    </w:p>
    <w:p>
      <w:pPr>
        <w:spacing w:after="0" w:line="54" w:lineRule="exact"/>
        <w:rPr>
          <w:rFonts w:ascii="Arial" w:cs="Arial" w:eastAsia="Arial" w:hAnsi="Arial"/>
          <w:sz w:val="19"/>
          <w:szCs w:val="19"/>
          <w:color w:val="auto"/>
        </w:rPr>
      </w:pPr>
    </w:p>
    <w:p>
      <w:pPr>
        <w:ind w:left="1240" w:hanging="302"/>
        <w:spacing w:after="0"/>
        <w:tabs>
          <w:tab w:leader="none" w:pos="1240" w:val="left"/>
        </w:tabs>
        <w:numPr>
          <w:ilvl w:val="1"/>
          <w:numId w:val="11"/>
        </w:numPr>
        <w:rPr>
          <w:rFonts w:ascii="Arial" w:cs="Arial" w:eastAsia="Arial" w:hAnsi="Arial"/>
          <w:sz w:val="19"/>
          <w:szCs w:val="19"/>
          <w:color w:val="auto"/>
        </w:rPr>
      </w:pPr>
      <w:r>
        <w:rPr>
          <w:rFonts w:ascii="Arial" w:cs="Arial" w:eastAsia="Arial" w:hAnsi="Arial"/>
          <w:sz w:val="17"/>
          <w:szCs w:val="17"/>
          <w:color w:val="auto"/>
        </w:rPr>
        <w:t>a €300,000 tranche that bears interest at EURIBOR (with a EURIBOR floor of 0%) plus 3.50%; and</w:t>
      </w:r>
    </w:p>
    <w:p>
      <w:pPr>
        <w:spacing w:after="0" w:line="54" w:lineRule="exact"/>
        <w:rPr>
          <w:rFonts w:ascii="Arial" w:cs="Arial" w:eastAsia="Arial" w:hAnsi="Arial"/>
          <w:sz w:val="19"/>
          <w:szCs w:val="19"/>
          <w:color w:val="auto"/>
        </w:rPr>
      </w:pPr>
    </w:p>
    <w:p>
      <w:pPr>
        <w:ind w:left="620" w:right="100" w:hanging="305"/>
        <w:spacing w:after="0" w:line="244" w:lineRule="auto"/>
        <w:tabs>
          <w:tab w:leader="none" w:pos="609" w:val="left"/>
        </w:tabs>
        <w:numPr>
          <w:ilvl w:val="0"/>
          <w:numId w:val="11"/>
        </w:numPr>
        <w:rPr>
          <w:rFonts w:ascii="Arial" w:cs="Arial" w:eastAsia="Arial" w:hAnsi="Arial"/>
          <w:sz w:val="19"/>
          <w:szCs w:val="19"/>
          <w:color w:val="auto"/>
        </w:rPr>
      </w:pPr>
      <w:r>
        <w:rPr>
          <w:rFonts w:ascii="Arial" w:cs="Arial" w:eastAsia="Arial" w:hAnsi="Arial"/>
          <w:sz w:val="17"/>
          <w:szCs w:val="17"/>
          <w:color w:val="auto"/>
        </w:rPr>
        <w:t>A $250,000 senior secured revolving credit facility with a maturity date of May 17, 2026 (the “Revolving Credit Facility”). Borrowings under the Revolving Credit Facility bear interest at LIBOR (with a LIBOR floor of 0%) plus 2.50% to 3.00% depending on the Company’s First Lien Leverage Ratio, a net leverage calculation, as defined in the Restated Credit Agreement.</w:t>
      </w:r>
    </w:p>
    <w:p>
      <w:pPr>
        <w:spacing w:after="0" w:line="172" w:lineRule="exact"/>
        <w:rPr>
          <w:sz w:val="20"/>
          <w:szCs w:val="20"/>
          <w:color w:val="auto"/>
        </w:rPr>
      </w:pPr>
    </w:p>
    <w:p>
      <w:pPr>
        <w:ind w:right="920" w:firstLine="623"/>
        <w:spacing w:after="0" w:line="279" w:lineRule="auto"/>
        <w:rPr>
          <w:sz w:val="20"/>
          <w:szCs w:val="20"/>
          <w:color w:val="auto"/>
        </w:rPr>
      </w:pPr>
      <w:r>
        <w:rPr>
          <w:rFonts w:ascii="Arial" w:cs="Arial" w:eastAsia="Arial" w:hAnsi="Arial"/>
          <w:sz w:val="17"/>
          <w:szCs w:val="17"/>
          <w:color w:val="auto"/>
        </w:rPr>
        <w:t>LIBOR is expected to sunset on June 30, 2023, and under the terms of our Restated Credit Agreement our benchmark rate will automatically transition to Term SOFR.</w:t>
      </w:r>
    </w:p>
    <w:p>
      <w:pPr>
        <w:spacing w:after="0" w:line="156" w:lineRule="exact"/>
        <w:rPr>
          <w:sz w:val="20"/>
          <w:szCs w:val="20"/>
          <w:color w:val="auto"/>
        </w:rPr>
      </w:pPr>
    </w:p>
    <w:p>
      <w:pPr>
        <w:ind w:firstLine="623"/>
        <w:spacing w:after="0" w:line="250"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384" w:lineRule="exact"/>
        <w:rPr>
          <w:sz w:val="20"/>
          <w:szCs w:val="20"/>
          <w:color w:val="auto"/>
        </w:rPr>
      </w:pPr>
    </w:p>
    <w:p>
      <w:pPr>
        <w:jc w:val="both"/>
        <w:ind w:right="120" w:firstLine="623"/>
        <w:spacing w:after="0" w:line="275" w:lineRule="auto"/>
        <w:rPr>
          <w:sz w:val="20"/>
          <w:szCs w:val="20"/>
          <w:color w:val="auto"/>
        </w:rPr>
      </w:pPr>
      <w:r>
        <w:rPr>
          <w:rFonts w:ascii="Arial" w:cs="Arial" w:eastAsia="Arial" w:hAnsi="Arial"/>
          <w:sz w:val="17"/>
          <w:szCs w:val="17"/>
          <w:color w:val="auto"/>
        </w:rPr>
        <w:t>As of December 31, 2022, we have borrowings under the Restated Credit Agreement of $1,100,238 consisting of the Term Loan B, which amortizes over the loan period, with a final maturity date of May 17, 2028. We have no outstanding borrowings under our Revolving Credit Facility as of December 31, 2022.</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2022, the weighted-average interest rate on outstanding borrowings under the Restated Credit Agreement was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6.52%, inclusive of interest rate swap rates. We are also required to pay a commitment fee for our Revolving Credit Facility on unused balances of</w:t>
      </w:r>
    </w:p>
    <w:p>
      <w:pPr>
        <w:spacing w:after="0" w:line="1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0.35% to 0.45% depending on our First Lien Leverage Ratio. We have pledged the assets and/or share capital of a number of our subsidiaries as collateral for our debt as of December 31, 2022.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Notes</w:t>
      </w:r>
    </w:p>
    <w:p>
      <w:pPr>
        <w:spacing w:after="0" w:line="220" w:lineRule="exact"/>
        <w:rPr>
          <w:sz w:val="20"/>
          <w:szCs w:val="20"/>
          <w:color w:val="auto"/>
        </w:rPr>
      </w:pPr>
    </w:p>
    <w:p>
      <w:pPr>
        <w:ind w:right="260" w:firstLine="623"/>
        <w:spacing w:after="0" w:line="275" w:lineRule="auto"/>
        <w:rPr>
          <w:sz w:val="20"/>
          <w:szCs w:val="20"/>
          <w:color w:val="auto"/>
        </w:rPr>
      </w:pPr>
      <w:r>
        <w:rPr>
          <w:rFonts w:ascii="Arial" w:cs="Arial" w:eastAsia="Arial" w:hAnsi="Arial"/>
          <w:sz w:val="17"/>
          <w:szCs w:val="17"/>
          <w:color w:val="auto"/>
        </w:rPr>
        <w:t>We have issued $ 600,000 in aggregate principal of 7.0% Senior Notes due 2026 (the "2026 Notes"), which are unsecured. We can redeem some or all of the 2026 Notes at the redemption prices specified in the indenture that governs the 2026 Notes, plus accrued and unpaid interest to, but not including, the redemption date. As of December 31, 2022, we have not redeemed any of the 2026 Notes.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color w:val="auto"/>
        </w:rPr>
        <w:t>Other Debt</w:t>
      </w:r>
    </w:p>
    <w:p>
      <w:pPr>
        <w:spacing w:after="0" w:line="194"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color w:val="auto"/>
        </w:rPr>
        <w:t>Other debt consists primarily of term loans acquired through our various acquisitions or used to fund certain capital investments. As of December 31, 2022 and June 30, 2022, we had $6,734 and $8,063, respectively, outstanding for those obligations that are payable through March 2027.</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96" w:lineRule="exact"/>
        <w:rPr>
          <w:sz w:val="20"/>
          <w:szCs w:val="20"/>
          <w:color w:val="auto"/>
        </w:rPr>
      </w:pPr>
    </w:p>
    <w:p>
      <w:pPr>
        <w:ind w:right="80" w:firstLine="623"/>
        <w:spacing w:after="0" w:line="263" w:lineRule="auto"/>
        <w:rPr>
          <w:sz w:val="20"/>
          <w:szCs w:val="20"/>
          <w:color w:val="auto"/>
        </w:rPr>
      </w:pPr>
      <w:r>
        <w:rPr>
          <w:rFonts w:ascii="Arial" w:cs="Arial" w:eastAsia="Arial" w:hAnsi="Arial"/>
          <w:sz w:val="17"/>
          <w:szCs w:val="17"/>
          <w:color w:val="auto"/>
        </w:rPr>
        <w:t>Our income tax expense was $126,129 and $135,494 for the three and six months ended December 31, 2022, respectively, as compared to $17,298 and $26,679 for the three and six months ended December 31, 2021, respectively. Tax expense increased year over year for both comparable periods due to the Swiss valuation allowance, discussed below, offset by lower tax expense on decreased profits. Excluding the effect of discrete tax adjustments, our estimated annual effective tax rate is lower for fiscal year 2023 as compared to fiscal year 2022 primarily due to a forecasted pre-tax loss. Our effective tax rate continues to be negatively impacted by losses in certain jurisdictions where we are unable to recognize a tax benefit in the current period.</w:t>
      </w:r>
    </w:p>
    <w:p>
      <w:pPr>
        <w:spacing w:after="0" w:line="194"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color w:val="auto"/>
        </w:rPr>
        <w:t>During the second quarter of fiscal year 2023, we recorded a full valuation allowance on Swiss deferred tax assets of $116,694 primarily related to Swiss tax reform benefits recognized in fiscal year 2020 and tax loss carryforwards. Management concluded that based on the current period results, that objective and verifiable negative evidence of recent losses in Switzerland outweighed more subjective positive evidence of anticipated future income.</w:t>
      </w:r>
    </w:p>
    <w:p>
      <w:pPr>
        <w:spacing w:after="0" w:line="191"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As of December 31, 2022 we had unrecognized tax benefits of $15,852, including accrued interest and penalties of $1,658. We recognize interest and, if applicable, penalties related to unrecognized tax benefits in the provision for income taxes. If recognized, $7,777 of unrecognized tax benefits would reduce our tax expense. It is reasonably possible that a reduction in unrecognized tax benefits may occur within the next twelve months in the range of $370 to $420 related to the lapse of applicable statutes of limitations. We believe we have appropriately provided for all tax uncertainties.</w:t>
      </w:r>
    </w:p>
    <w:p>
      <w:pPr>
        <w:spacing w:after="0" w:line="167"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years 2014 through 2022 remain open for examination by the U.S. Internal Revenue Service and the years 2015 through 2022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181"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For some of our subsidiaries, we own a controlling equity stake, and a third party or key members of the business management team own a minority portion of the equity. The put options for several of our noncontrolling interests were exercised during the current quarter as summarized below. In addition to the noncontrolling interests described below, we also have several less significant minority interests that span multiple businesses and reportable segments.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PrintBrothers</w:t>
      </w:r>
    </w:p>
    <w:p>
      <w:pPr>
        <w:spacing w:after="0" w:line="181"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Members of the PrintBrothers management team hold minority equity interests in several businesses within the reportable segment. During the second quarter of fiscal year 2023, put options were exercised by the minority interest holders for a portion of their equity interests that required us to purchase 10% to 11% in three of the respective businesses for a total of $90,841. The exercise of the put options triggered a mandatory redemption feature for the remaining minority equity interests, which requires the purchase of the remaining 1% equity interests on the third anniversary of the put option exercise, absent the earlier exercise of a call option on the first and second anniversaries by Cimpress. The remaining noncontrolling interests are mandatorily redeemable, which requires the reclassification of the remaining equity interests to a liability, which has been presented in other liabilities within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ind w:left="620"/>
        <w:spacing w:after="0"/>
        <w:rPr>
          <w:sz w:val="20"/>
          <w:szCs w:val="20"/>
          <w:color w:val="auto"/>
        </w:rPr>
      </w:pPr>
      <w:r>
        <w:rPr>
          <w:rFonts w:ascii="Arial" w:cs="Arial" w:eastAsia="Arial" w:hAnsi="Arial"/>
          <w:sz w:val="17"/>
          <w:szCs w:val="17"/>
          <w:color w:val="auto"/>
        </w:rPr>
        <w:t>The following table presents the reconciliation of changes in our redeemable noncontrolling interests: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284"/>
              <w:spacing w:after="0"/>
              <w:rPr>
                <w:sz w:val="20"/>
                <w:szCs w:val="20"/>
                <w:color w:val="auto"/>
              </w:rPr>
            </w:pPr>
            <w:r>
              <w:rPr>
                <w:rFonts w:ascii="Arial" w:cs="Arial" w:eastAsia="Arial" w:hAnsi="Arial"/>
                <w:sz w:val="12"/>
                <w:szCs w:val="12"/>
                <w:b w:val="1"/>
                <w:bCs w:val="1"/>
                <w:color w:val="auto"/>
              </w:rPr>
              <w:t>Redeemable</w:t>
            </w:r>
          </w:p>
        </w:tc>
      </w:tr>
      <w:tr>
        <w:trPr>
          <w:trHeight w:val="175"/>
        </w:trPr>
        <w:tc>
          <w:tcPr>
            <w:tcW w:w="9800" w:type="dxa"/>
            <w:vAlign w:val="bottom"/>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Noncontrolling Interest</w:t>
            </w:r>
          </w:p>
        </w:tc>
      </w:tr>
      <w:tr>
        <w:trPr>
          <w:trHeight w:val="207"/>
        </w:trPr>
        <w:tc>
          <w:tcPr>
            <w:tcW w:w="9800" w:type="dxa"/>
            <w:vAlign w:val="bottom"/>
          </w:tcPr>
          <w:p>
            <w:pPr>
              <w:ind w:left="20"/>
              <w:spacing w:after="0"/>
              <w:rPr>
                <w:sz w:val="20"/>
                <w:szCs w:val="20"/>
                <w:color w:val="auto"/>
              </w:rPr>
            </w:pPr>
            <w:r>
              <w:rPr>
                <w:rFonts w:ascii="Arial" w:cs="Arial" w:eastAsia="Arial" w:hAnsi="Arial"/>
                <w:sz w:val="16"/>
                <w:szCs w:val="16"/>
                <w:color w:val="auto"/>
              </w:rPr>
              <w:t>Balance as of June 30, 2022</w:t>
            </w:r>
          </w:p>
        </w:tc>
        <w:tc>
          <w:tcPr>
            <w:tcW w:w="240" w:type="dxa"/>
            <w:vAlign w:val="bottom"/>
          </w:tcPr>
          <w:p>
            <w:pPr>
              <w:jc w:val="right"/>
              <w:ind w:right="6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131,483</w:t>
            </w: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r>
      <w:tr>
        <w:trPr>
          <w:trHeight w:val="207"/>
        </w:trPr>
        <w:tc>
          <w:tcPr>
            <w:tcW w:w="9800" w:type="dxa"/>
            <w:vAlign w:val="bottom"/>
          </w:tcPr>
          <w:p>
            <w:pPr>
              <w:ind w:left="20"/>
              <w:spacing w:after="0"/>
              <w:rPr>
                <w:sz w:val="20"/>
                <w:szCs w:val="20"/>
                <w:color w:val="auto"/>
              </w:rPr>
            </w:pPr>
            <w:r>
              <w:rPr>
                <w:rFonts w:ascii="Arial" w:cs="Arial" w:eastAsia="Arial" w:hAnsi="Arial"/>
                <w:sz w:val="16"/>
                <w:szCs w:val="16"/>
                <w:color w:val="auto"/>
              </w:rPr>
              <w:t>Distribution to noncontrolling interests (1)</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(3,652)</w:t>
            </w: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noncontrolling interest (2)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(95,567)</w:t>
            </w:r>
          </w:p>
        </w:tc>
      </w:tr>
      <w:tr>
        <w:trPr>
          <w:trHeight w:val="207"/>
        </w:trPr>
        <w:tc>
          <w:tcPr>
            <w:tcW w:w="9800" w:type="dxa"/>
            <w:vAlign w:val="bottom"/>
          </w:tcPr>
          <w:p>
            <w:pPr>
              <w:ind w:left="20"/>
              <w:spacing w:after="0"/>
              <w:rPr>
                <w:sz w:val="20"/>
                <w:szCs w:val="20"/>
                <w:color w:val="auto"/>
              </w:rPr>
            </w:pPr>
            <w:r>
              <w:rPr>
                <w:rFonts w:ascii="Arial" w:cs="Arial" w:eastAsia="Arial" w:hAnsi="Arial"/>
                <w:sz w:val="16"/>
                <w:szCs w:val="16"/>
                <w:color w:val="auto"/>
              </w:rPr>
              <w:t>Accretion to redemption value (3)</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(7,455)</w:t>
            </w: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Reclassification to mandatorily redeemable noncontrolling interest (4)</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(9,582)</w:t>
            </w:r>
          </w:p>
        </w:tc>
      </w:tr>
      <w:tr>
        <w:trPr>
          <w:trHeight w:val="207"/>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(4,822)</w:t>
            </w:r>
          </w:p>
        </w:tc>
      </w:tr>
      <w:tr>
        <w:trPr>
          <w:trHeight w:val="22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86" w:lineRule="exact"/>
        <w:rPr>
          <w:sz w:val="20"/>
          <w:szCs w:val="20"/>
          <w:color w:val="auto"/>
        </w:rPr>
      </w:pPr>
    </w:p>
    <w:p>
      <w:pPr>
        <w:ind w:left="220" w:hanging="216"/>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Distributions to noncontrolling interests include contractually required profit sharing payments made annually to the minority interest holders in one of the PrintBrothers businesses.</w:t>
      </w:r>
    </w:p>
    <w:p>
      <w:pPr>
        <w:spacing w:after="0" w:line="110" w:lineRule="exact"/>
        <w:rPr>
          <w:rFonts w:ascii="Arial" w:cs="Arial" w:eastAsia="Arial" w:hAnsi="Arial"/>
          <w:sz w:val="13"/>
          <w:szCs w:val="13"/>
          <w:color w:val="auto"/>
        </w:rPr>
      </w:pPr>
    </w:p>
    <w:p>
      <w:pPr>
        <w:ind w:left="240" w:right="480" w:hanging="236"/>
        <w:spacing w:after="0" w:line="262" w:lineRule="auto"/>
        <w:tabs>
          <w:tab w:leader="none" w:pos="214"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discussed above, we purchased an additional 10% to 11% of the equity interests in three PrintBrothers businesses during the second quarter of fiscal year 2023. We also purchased the 1% minority interest in our BuildASign business this quarter.</w:t>
      </w:r>
    </w:p>
    <w:p>
      <w:pPr>
        <w:spacing w:after="0" w:line="63" w:lineRule="exact"/>
        <w:rPr>
          <w:rFonts w:ascii="Arial" w:cs="Arial" w:eastAsia="Arial" w:hAnsi="Arial"/>
          <w:sz w:val="14"/>
          <w:szCs w:val="14"/>
          <w:color w:val="auto"/>
        </w:rPr>
      </w:pPr>
    </w:p>
    <w:p>
      <w:pPr>
        <w:ind w:left="240" w:right="340" w:hanging="236"/>
        <w:spacing w:after="0" w:line="281" w:lineRule="auto"/>
        <w:tabs>
          <w:tab w:leader="none" w:pos="214"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changes in the estimated redemption amount to the extent increases do not exceed the estimated fair value.</w:t>
      </w:r>
    </w:p>
    <w:p>
      <w:pPr>
        <w:spacing w:after="0" w:line="38" w:lineRule="exact"/>
        <w:rPr>
          <w:rFonts w:ascii="Arial" w:cs="Arial" w:eastAsia="Arial" w:hAnsi="Arial"/>
          <w:sz w:val="14"/>
          <w:szCs w:val="14"/>
          <w:color w:val="auto"/>
        </w:rPr>
      </w:pPr>
    </w:p>
    <w:p>
      <w:pPr>
        <w:ind w:left="240" w:right="220" w:hanging="236"/>
        <w:spacing w:after="0" w:line="255" w:lineRule="auto"/>
        <w:tabs>
          <w:tab w:leader="none" w:pos="214" w:val="left"/>
        </w:tabs>
        <w:numPr>
          <w:ilvl w:val="0"/>
          <w:numId w:val="12"/>
        </w:numPr>
        <w:rPr>
          <w:rFonts w:ascii="Arial" w:cs="Arial" w:eastAsia="Arial" w:hAnsi="Arial"/>
          <w:sz w:val="14"/>
          <w:szCs w:val="14"/>
          <w:color w:val="auto"/>
        </w:rPr>
      </w:pPr>
      <w:r>
        <w:rPr>
          <w:rFonts w:ascii="Arial" w:cs="Arial" w:eastAsia="Arial" w:hAnsi="Arial"/>
          <w:sz w:val="14"/>
          <w:szCs w:val="14"/>
          <w:color w:val="auto"/>
        </w:rPr>
        <w:t>During the second quarter of fiscal year 2023, the minority equity interest holders of three PrintBrothers businesses exercised a put option that triggered a mandatory redemption feature for the remaining minority equity interests. The remaining minority equity interests were reclassified to mandatorily redeemable noncontrolling interests, as part of other liabilities within the consolidated balance sheets. Refer above for additional information regarding the transaction and Note 7 for additional details about the reclassified liability balance.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209" w:lineRule="exact"/>
        <w:rPr>
          <w:sz w:val="20"/>
          <w:szCs w:val="20"/>
          <w:color w:val="auto"/>
        </w:rPr>
      </w:pPr>
    </w:p>
    <w:p>
      <w:pPr>
        <w:jc w:val="both"/>
        <w:ind w:right="620" w:firstLine="623"/>
        <w:spacing w:after="0" w:line="275"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33" w:lineRule="exact"/>
        <w:rPr>
          <w:sz w:val="20"/>
          <w:szCs w:val="20"/>
          <w:color w:val="auto"/>
        </w:rPr>
      </w:pPr>
    </w:p>
    <w:p>
      <w:pPr>
        <w:ind w:right="280" w:firstLine="623"/>
        <w:spacing w:after="0" w:line="295" w:lineRule="auto"/>
        <w:rPr>
          <w:sz w:val="20"/>
          <w:szCs w:val="20"/>
          <w:color w:val="auto"/>
        </w:rPr>
      </w:pPr>
      <w:r>
        <w:rPr>
          <w:rFonts w:ascii="Arial" w:cs="Arial" w:eastAsia="Arial" w:hAnsi="Arial"/>
          <w:sz w:val="17"/>
          <w:szCs w:val="17"/>
          <w:color w:val="auto"/>
        </w:rPr>
        <w:t>As of December 31, 2022, we have numerous operating segments under our management reporting structure which are reported in the following five reportable segments:</w:t>
      </w:r>
    </w:p>
    <w:p>
      <w:pPr>
        <w:spacing w:after="0" w:line="130" w:lineRule="exact"/>
        <w:rPr>
          <w:sz w:val="20"/>
          <w:szCs w:val="20"/>
          <w:color w:val="auto"/>
        </w:rPr>
      </w:pPr>
    </w:p>
    <w:p>
      <w:pPr>
        <w:jc w:val="both"/>
        <w:ind w:left="620" w:right="160" w:hanging="305"/>
        <w:spacing w:after="0" w:line="27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Vista - </w:t>
      </w:r>
      <w:r>
        <w:rPr>
          <w:rFonts w:ascii="Arial" w:cs="Arial" w:eastAsia="Arial" w:hAnsi="Arial"/>
          <w:sz w:val="17"/>
          <w:szCs w:val="17"/>
          <w:color w:val="auto"/>
        </w:rPr>
        <w:t>Vista is the parent brand of multiple offerings including VistaPrint, VistaCreate, 99designs by Vista, Vista Corporate Solutions,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Depositphotos, which together represent a full-service design, digital and print solution, elevating small businesses’ presence in physical and digital spaces and empowering them to achieve success.</w:t>
      </w:r>
    </w:p>
    <w:p>
      <w:pPr>
        <w:spacing w:after="0" w:line="145"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our druck.at, Printdeal, and WIRmachenDRUCK businesses.</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our Easyflyer, Exaprint, Pixartprinting, and Tradeprint businesses.</w:t>
      </w:r>
    </w:p>
    <w:p>
      <w:pPr>
        <w:spacing w:after="0" w:line="206" w:lineRule="exact"/>
        <w:rPr>
          <w:rFonts w:ascii="Arial" w:cs="Arial" w:eastAsia="Arial" w:hAnsi="Arial"/>
          <w:sz w:val="17"/>
          <w:szCs w:val="17"/>
          <w:color w:val="auto"/>
        </w:rPr>
      </w:pPr>
    </w:p>
    <w:p>
      <w:pPr>
        <w:ind w:left="620" w:right="180" w:hanging="305"/>
        <w:spacing w:after="0" w:line="29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Includes the global operations of our National Pen business, which manufactures and markets custom writing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promotional products, apparel and gifts.</w:t>
      </w:r>
    </w:p>
    <w:p>
      <w:pPr>
        <w:spacing w:after="0" w:line="129" w:lineRule="exact"/>
        <w:rPr>
          <w:rFonts w:ascii="Arial" w:cs="Arial" w:eastAsia="Arial" w:hAnsi="Arial"/>
          <w:sz w:val="17"/>
          <w:szCs w:val="17"/>
          <w:color w:val="auto"/>
        </w:rPr>
      </w:pPr>
    </w:p>
    <w:p>
      <w:pPr>
        <w:ind w:left="620" w:right="260" w:hanging="305"/>
        <w:spacing w:after="0" w:line="275" w:lineRule="auto"/>
        <w:tabs>
          <w:tab w:leader="none" w:pos="616"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Businesses </w:t>
      </w:r>
      <w:r>
        <w:rPr>
          <w:rFonts w:ascii="Arial" w:cs="Arial" w:eastAsia="Arial" w:hAnsi="Arial"/>
          <w:sz w:val="17"/>
          <w:szCs w:val="17"/>
          <w:color w:val="auto"/>
        </w:rPr>
        <w:t>- Includes two businesses grouped together based on materiality. In addition to BuildASign, which is a larger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profitable business, the All Other Businesses reportable segment consists of another, smaller business that we continue to manage at a relatively modest operating loss.</w:t>
      </w:r>
    </w:p>
    <w:p>
      <w:pPr>
        <w:spacing w:after="0" w:line="2" w:lineRule="exact"/>
        <w:rPr>
          <w:rFonts w:ascii="Arial" w:cs="Arial" w:eastAsia="Arial" w:hAnsi="Arial"/>
          <w:sz w:val="17"/>
          <w:szCs w:val="17"/>
          <w:i w:val="1"/>
          <w:iCs w:val="1"/>
          <w:color w:val="auto"/>
        </w:rPr>
      </w:pPr>
    </w:p>
    <w:p>
      <w:pPr>
        <w:ind w:left="1240" w:right="380" w:hanging="302"/>
        <w:spacing w:after="0" w:line="286" w:lineRule="auto"/>
        <w:tabs>
          <w:tab w:leader="none" w:pos="1236" w:val="left"/>
        </w:tabs>
        <w:numPr>
          <w:ilvl w:val="1"/>
          <w:numId w:val="13"/>
        </w:numPr>
        <w:rPr>
          <w:rFonts w:ascii="Arial" w:cs="Arial" w:eastAsia="Arial" w:hAnsi="Arial"/>
          <w:sz w:val="17"/>
          <w:szCs w:val="17"/>
          <w:b w:val="1"/>
          <w:bCs w:val="1"/>
          <w:color w:val="auto"/>
        </w:rPr>
      </w:pPr>
      <w:r>
        <w:rPr>
          <w:rFonts w:ascii="Arial" w:cs="Arial" w:eastAsia="Arial" w:hAnsi="Arial"/>
          <w:sz w:val="17"/>
          <w:szCs w:val="17"/>
          <w:color w:val="auto"/>
        </w:rPr>
        <w:t>BuildASign is an internet-based provider of canvas-print wall décor, business signage and other large-format printed products, based in Austin, Texas.</w:t>
      </w:r>
    </w:p>
    <w:p>
      <w:pPr>
        <w:spacing w:after="0" w:line="1" w:lineRule="exact"/>
        <w:rPr>
          <w:rFonts w:ascii="Arial" w:cs="Arial" w:eastAsia="Arial" w:hAnsi="Arial"/>
          <w:sz w:val="17"/>
          <w:szCs w:val="17"/>
          <w:b w:val="1"/>
          <w:bCs w:val="1"/>
          <w:color w:val="auto"/>
        </w:rPr>
      </w:pPr>
    </w:p>
    <w:p>
      <w:pPr>
        <w:ind w:left="1240" w:right="420" w:hanging="302"/>
        <w:spacing w:after="0" w:line="295" w:lineRule="auto"/>
        <w:tabs>
          <w:tab w:leader="none" w:pos="1236" w:val="left"/>
        </w:tabs>
        <w:numPr>
          <w:ilvl w:val="1"/>
          <w:numId w:val="13"/>
        </w:numPr>
        <w:rPr>
          <w:rFonts w:ascii="Arial" w:cs="Arial" w:eastAsia="Arial" w:hAnsi="Arial"/>
          <w:sz w:val="17"/>
          <w:szCs w:val="17"/>
          <w:color w:val="auto"/>
        </w:rPr>
      </w:pPr>
      <w:r>
        <w:rPr>
          <w:rFonts w:ascii="Arial" w:cs="Arial" w:eastAsia="Arial" w:hAnsi="Arial"/>
          <w:sz w:val="17"/>
          <w:szCs w:val="17"/>
          <w:color w:val="auto"/>
        </w:rPr>
        <w:t>Printi is an online printing leader in Brazil, which offers a superior customer experience with transparent and attractive pricing, reliable service and quality.</w:t>
      </w:r>
    </w:p>
    <w:p>
      <w:pPr>
        <w:spacing w:after="0" w:line="117" w:lineRule="exact"/>
        <w:rPr>
          <w:sz w:val="20"/>
          <w:szCs w:val="20"/>
          <w:color w:val="auto"/>
        </w:rPr>
      </w:pPr>
    </w:p>
    <w:p>
      <w:pPr>
        <w:jc w:val="both"/>
        <w:ind w:right="260" w:firstLine="623"/>
        <w:spacing w:after="0" w:line="268"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consolidation, internal audit and legal. These costs also include certain unallocated share-based compensation costs.</w:t>
      </w:r>
    </w:p>
    <w:p>
      <w:pPr>
        <w:spacing w:after="0" w:line="194" w:lineRule="exact"/>
        <w:rPr>
          <w:sz w:val="20"/>
          <w:szCs w:val="20"/>
          <w:color w:val="auto"/>
        </w:rPr>
      </w:pPr>
    </w:p>
    <w:p>
      <w:pPr>
        <w:ind w:right="260" w:firstLine="623"/>
        <w:spacing w:after="0" w:line="268" w:lineRule="auto"/>
        <w:rPr>
          <w:sz w:val="20"/>
          <w:szCs w:val="20"/>
          <w:color w:val="auto"/>
        </w:rPr>
      </w:pPr>
      <w:r>
        <w:rPr>
          <w:rFonts w:ascii="Arial" w:cs="Arial" w:eastAsia="Arial" w:hAnsi="Arial"/>
          <w:sz w:val="17"/>
          <w:szCs w:val="17"/>
          <w:color w:val="auto"/>
        </w:rPr>
        <w:t>The expense value of our PSU awards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spacing w:after="0" w:line="152" w:lineRule="exact"/>
        <w:rPr>
          <w:sz w:val="20"/>
          <w:szCs w:val="20"/>
          <w:color w:val="auto"/>
        </w:rPr>
      </w:pPr>
    </w:p>
    <w:p>
      <w:pPr>
        <w:ind w:right="340" w:firstLine="623"/>
        <w:spacing w:after="0" w:line="265"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28" w:lineRule="exact"/>
        <w:rPr>
          <w:sz w:val="20"/>
          <w:szCs w:val="20"/>
          <w:color w:val="auto"/>
        </w:rPr>
      </w:pPr>
    </w:p>
    <w:p>
      <w:pPr>
        <w:ind w:right="200" w:firstLine="623"/>
        <w:spacing w:after="0" w:line="265" w:lineRule="auto"/>
        <w:rPr>
          <w:sz w:val="20"/>
          <w:szCs w:val="20"/>
          <w:color w:val="auto"/>
        </w:rPr>
      </w:pPr>
      <w:r>
        <w:rPr>
          <w:rFonts w:ascii="Arial" w:cs="Arial" w:eastAsia="Arial" w:hAnsi="Arial"/>
          <w:sz w:val="17"/>
          <w:szCs w:val="17"/>
          <w:color w:val="auto"/>
        </w:rPr>
        <w:t>During the fourth quarter of fiscal 2022, we revised our internal reporting to reallocate certain third-party technology costs that were previously held within our Central and corporate costs to our Vista business and reportable segment. These include certain third-party costs that are variable in nature and the cost variability is primarily driven by decisions or volumes in the Vista business. We revised our presentation of the prior period results to reflect our updated segment reporting, which decreased both Vista segment EBITDA and Central and corporate costs by $1,923 and $3,042 for the three and six months ended December 31, 2021.</w:t>
      </w:r>
    </w:p>
    <w:p>
      <w:pPr>
        <w:spacing w:after="0" w:line="154" w:lineRule="exact"/>
        <w:rPr>
          <w:sz w:val="20"/>
          <w:szCs w:val="20"/>
          <w:color w:val="auto"/>
        </w:rPr>
      </w:pPr>
    </w:p>
    <w:p>
      <w:pPr>
        <w:jc w:val="both"/>
        <w:ind w:right="60" w:firstLine="623"/>
        <w:spacing w:after="0" w:line="275"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46" w:lineRule="exact"/>
        <w:rPr>
          <w:sz w:val="20"/>
          <w:szCs w:val="20"/>
          <w:color w:val="auto"/>
        </w:rPr>
      </w:pPr>
    </w:p>
    <w:p>
      <w:pPr>
        <w:ind w:firstLine="623"/>
        <w:spacing w:after="0" w:line="287" w:lineRule="auto"/>
        <w:rPr>
          <w:sz w:val="20"/>
          <w:szCs w:val="20"/>
          <w:color w:val="auto"/>
        </w:rPr>
      </w:pPr>
      <w:r>
        <w:rPr>
          <w:rFonts w:ascii="Arial" w:cs="Arial" w:eastAsia="Arial" w:hAnsi="Arial"/>
          <w:sz w:val="17"/>
          <w:szCs w:val="17"/>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2021</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440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791"/>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w w:val="96"/>
              </w:rPr>
              <w:t>437,736</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w w:val="93"/>
              </w:rPr>
              <w:t>448,114</w:t>
            </w:r>
          </w:p>
        </w:tc>
        <w:tc>
          <w:tcPr>
            <w:tcW w:w="8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807,105</w:t>
            </w:r>
          </w:p>
        </w:tc>
        <w:tc>
          <w:tcPr>
            <w:tcW w:w="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797,594</w:t>
            </w:r>
          </w:p>
        </w:tc>
      </w:tr>
      <w:tr>
        <w:trPr>
          <w:trHeight w:val="209"/>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148,598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137,694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281,297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263,051</w:t>
            </w:r>
          </w:p>
        </w:tc>
      </w:tr>
      <w:tr>
        <w:trPr>
          <w:trHeight w:val="207"/>
        </w:trPr>
        <w:tc>
          <w:tcPr>
            <w:tcW w:w="440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89,336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90,130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166,159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162,950</w:t>
            </w:r>
          </w:p>
        </w:tc>
      </w:tr>
      <w:tr>
        <w:trPr>
          <w:trHeight w:val="209"/>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120,621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124,717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202,287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193,981</w:t>
            </w:r>
          </w:p>
        </w:tc>
      </w:tr>
      <w:tr>
        <w:trPr>
          <w:trHeight w:val="207"/>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59,998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57,719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111,825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105,590</w:t>
            </w:r>
          </w:p>
        </w:tc>
      </w:tr>
      <w:tr>
        <w:trPr>
          <w:trHeight w:val="202"/>
        </w:trPr>
        <w:tc>
          <w:tcPr>
            <w:tcW w:w="4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segment revenue</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856,289</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858,374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1,568,673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1,523,166</w:t>
            </w:r>
          </w:p>
        </w:tc>
      </w:tr>
      <w:tr>
        <w:trPr>
          <w:trHeight w:val="207"/>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Inter-segment eliminations (1)</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(8,658)</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(15,851)</w:t>
            </w:r>
          </w:p>
        </w:tc>
      </w:tr>
      <w:tr>
        <w:trPr>
          <w:trHeight w:val="227"/>
        </w:trPr>
        <w:tc>
          <w:tcPr>
            <w:tcW w:w="4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consolidated revenue</w:t>
            </w: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6"/>
              </w:rPr>
              <w:t>845,202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3"/>
              </w:rPr>
              <w:t>849,716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1,548,617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1,507,315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Refer to the "Revenue by Geographic Region" tables below for detail of the inter-segment revenue within each respective segment.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2"/>
                <w:szCs w:val="12"/>
                <w:b w:val="1"/>
                <w:bCs w:val="1"/>
                <w:color w:val="auto"/>
              </w:rPr>
              <w:t>Three Months Ended December 31, 2022</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4"/>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4"/>
          </w:tcPr>
          <w:p>
            <w:pPr>
              <w:ind w:left="18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4"/>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6"/>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291,885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17"/>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62,208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52,200</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406,293</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395,322</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35,206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6,251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43,587</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11,087</w:t>
            </w:r>
          </w:p>
        </w:tc>
      </w:tr>
      <w:tr>
        <w:trPr>
          <w:trHeight w:val="200"/>
        </w:trPr>
        <w:tc>
          <w:tcPr>
            <w:tcW w:w="3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437,736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89,336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59,998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856,289</w:t>
            </w:r>
          </w:p>
        </w:tc>
      </w:tr>
      <w:tr>
        <w:trPr>
          <w:trHeight w:val="201"/>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(11,087)</w:t>
            </w:r>
          </w:p>
        </w:tc>
      </w:tr>
      <w:tr>
        <w:trPr>
          <w:trHeight w:val="202"/>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86"/>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437,234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148,089</w:t>
            </w:r>
          </w:p>
        </w:tc>
        <w:tc>
          <w:tcPr>
            <w:tcW w:w="400" w:type="dxa"/>
            <w:vAlign w:val="bottom"/>
            <w:gridSpan w:val="2"/>
          </w:tcPr>
          <w:p>
            <w:pPr>
              <w:jc w:val="right"/>
              <w:ind w:right="117"/>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86,291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115,137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58,451</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845,202</w:t>
            </w:r>
          </w:p>
        </w:tc>
      </w:tr>
      <w:tr>
        <w:trPr>
          <w:trHeight w:val="20"/>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2"/>
                <w:szCs w:val="12"/>
                <w:b w:val="1"/>
                <w:bCs w:val="1"/>
                <w:color w:val="auto"/>
              </w:rPr>
              <w:t>Six Months Ended December 31, 2022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4"/>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4"/>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106"/>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558,371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37"/>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111,655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95,492</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765,518</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280,471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161,282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698,136</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67,083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13,198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84,963</w:t>
            </w:r>
          </w:p>
        </w:tc>
      </w:tr>
      <w:tr>
        <w:trPr>
          <w:trHeight w:val="208"/>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20,056</w:t>
            </w:r>
          </w:p>
        </w:tc>
      </w:tr>
      <w:tr>
        <w:trPr>
          <w:trHeight w:val="201"/>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807,105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281,297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166,159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202,287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111,825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1,568,673</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(20,056)</w:t>
            </w:r>
          </w:p>
        </w:tc>
      </w:tr>
      <w:tr>
        <w:trPr>
          <w:trHeight w:val="202"/>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106"/>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806,093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280,471</w:t>
            </w:r>
          </w:p>
        </w:tc>
        <w:tc>
          <w:tcPr>
            <w:tcW w:w="400" w:type="dxa"/>
            <w:vAlign w:val="bottom"/>
            <w:gridSpan w:val="2"/>
          </w:tcPr>
          <w:p>
            <w:pPr>
              <w:jc w:val="right"/>
              <w:ind w:right="137"/>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161,282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192,081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108,690</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1,548,617</w:t>
            </w:r>
          </w:p>
        </w:tc>
      </w:tr>
      <w:tr>
        <w:trPr>
          <w:trHeight w:val="20"/>
        </w:trPr>
        <w:tc>
          <w:tcPr>
            <w:tcW w:w="3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2"/>
                <w:szCs w:val="12"/>
                <w:b w:val="1"/>
                <w:bCs w:val="1"/>
                <w:color w:val="auto"/>
              </w:rPr>
              <w:t>Three Months Ended December 31, 2021</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4"/>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4"/>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106"/>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289,615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37"/>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57,976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51,035</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398,626</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137,173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87,596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396,193</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5,901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54,897</w:t>
            </w:r>
          </w:p>
        </w:tc>
      </w:tr>
      <w:tr>
        <w:trPr>
          <w:trHeight w:val="208"/>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w:t>
            </w:r>
          </w:p>
        </w:tc>
      </w:tr>
      <w:tr>
        <w:trPr>
          <w:trHeight w:val="201"/>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448,114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137,694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90,130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124,717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57,719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858,374</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137,173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87,596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121,002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56,936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849,716</w:t>
            </w:r>
          </w:p>
        </w:tc>
      </w:tr>
      <w:tr>
        <w:trPr>
          <w:trHeight w:val="20"/>
        </w:trPr>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25"/>
        </w:trPr>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2"/>
                <w:szCs w:val="12"/>
                <w:b w:val="1"/>
                <w:bCs w:val="1"/>
                <w:color w:val="auto"/>
              </w:rPr>
              <w:t>Six Months Ended December 31, 2021</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4"/>
        </w:trPr>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4"/>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106"/>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534,064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37"/>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99,014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92,343</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725,421</w:t>
            </w: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262,301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158,751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684,860</w:t>
            </w:r>
          </w:p>
        </w:tc>
      </w:tr>
      <w:tr>
        <w:trPr>
          <w:trHeight w:val="20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72,563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11,709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97,034</w:t>
            </w:r>
          </w:p>
        </w:tc>
      </w:tr>
      <w:tr>
        <w:trPr>
          <w:trHeight w:val="208"/>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15,851</w:t>
            </w:r>
          </w:p>
        </w:tc>
      </w:tr>
      <w:tr>
        <w:trPr>
          <w:trHeight w:val="201"/>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797,594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263,051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162,950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193,981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105,590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1,523,166</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(15,851)</w:t>
            </w:r>
          </w:p>
        </w:tc>
      </w:tr>
      <w:tr>
        <w:trPr>
          <w:trHeight w:val="202"/>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106"/>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795,787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262,301</w:t>
            </w:r>
          </w:p>
        </w:tc>
        <w:tc>
          <w:tcPr>
            <w:tcW w:w="400" w:type="dxa"/>
            <w:vAlign w:val="bottom"/>
            <w:gridSpan w:val="2"/>
          </w:tcPr>
          <w:p>
            <w:pPr>
              <w:jc w:val="right"/>
              <w:ind w:right="137"/>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158,751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186,424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104,052</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1,507,315</w:t>
            </w:r>
          </w:p>
        </w:tc>
      </w:tr>
      <w:tr>
        <w:trPr>
          <w:trHeight w:val="20"/>
        </w:trPr>
        <w:tc>
          <w:tcPr>
            <w:tcW w:w="3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20"/>
        <w:spacing w:after="0"/>
        <w:rPr>
          <w:sz w:val="20"/>
          <w:szCs w:val="20"/>
          <w:color w:val="auto"/>
        </w:rPr>
      </w:pPr>
      <w:r>
        <w:rPr>
          <w:rFonts w:ascii="Arial" w:cs="Arial" w:eastAsia="Arial" w:hAnsi="Arial"/>
          <w:sz w:val="17"/>
          <w:szCs w:val="17"/>
          <w:color w:val="auto"/>
        </w:rPr>
        <w:t>The following table includes segment EBITDA by reportable segment, total income from operations and total (loss) income before income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taxes: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2"/>
                <w:szCs w:val="12"/>
                <w:b w:val="1"/>
                <w:bCs w:val="1"/>
                <w:color w:val="auto"/>
              </w:rPr>
              <w:t>2021</w:t>
            </w: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4400" w:type="dxa"/>
            <w:vAlign w:val="bottom"/>
          </w:tcPr>
          <w:p>
            <w:pPr>
              <w:ind w:left="32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791"/>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55,157</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90,766</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85,894</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157,686</w:t>
            </w:r>
          </w:p>
        </w:tc>
      </w:tr>
      <w:tr>
        <w:trPr>
          <w:trHeight w:val="209"/>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19,509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34,888</w:t>
            </w:r>
          </w:p>
        </w:tc>
      </w:tr>
      <w:tr>
        <w:trPr>
          <w:trHeight w:val="207"/>
        </w:trPr>
        <w:tc>
          <w:tcPr>
            <w:tcW w:w="440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13,681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16,358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25,901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30,747</w:t>
            </w:r>
          </w:p>
        </w:tc>
      </w:tr>
      <w:tr>
        <w:trPr>
          <w:trHeight w:val="209"/>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24,783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31,599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23,551</w:t>
            </w:r>
          </w:p>
        </w:tc>
      </w:tr>
      <w:tr>
        <w:trPr>
          <w:trHeight w:val="207"/>
        </w:trPr>
        <w:tc>
          <w:tcPr>
            <w:tcW w:w="44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All Other Businesses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5,406</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6,264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11,155</w:t>
            </w:r>
          </w:p>
        </w:tc>
      </w:tr>
      <w:tr>
        <w:trPr>
          <w:trHeight w:val="202"/>
        </w:trPr>
        <w:tc>
          <w:tcPr>
            <w:tcW w:w="44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segment EBITDA</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6"/>
              </w:rPr>
              <w:t>118,536</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3"/>
              </w:rPr>
              <w:t>163,592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181,365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258,027</w:t>
            </w:r>
          </w:p>
        </w:tc>
      </w:tr>
      <w:tr>
        <w:trPr>
          <w:trHeight w:val="200"/>
        </w:trPr>
        <w:tc>
          <w:tcPr>
            <w:tcW w:w="4400" w:type="dxa"/>
            <w:vAlign w:val="bottom"/>
          </w:tcPr>
          <w:p>
            <w:pPr>
              <w:ind w:left="320"/>
              <w:spacing w:after="0"/>
              <w:rPr>
                <w:sz w:val="20"/>
                <w:szCs w:val="20"/>
                <w:color w:val="auto"/>
              </w:rPr>
            </w:pPr>
            <w:r>
              <w:rPr>
                <w:rFonts w:ascii="Arial" w:cs="Arial" w:eastAsia="Arial" w:hAnsi="Arial"/>
                <w:sz w:val="16"/>
                <w:szCs w:val="16"/>
                <w:color w:val="auto"/>
              </w:rPr>
              <w:t>Central and corporate costs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(33,802)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(34,703)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(68,380)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(68,856)</w:t>
            </w:r>
          </w:p>
        </w:tc>
      </w:tr>
      <w:tr>
        <w:trPr>
          <w:trHeight w:val="209"/>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(89,746)</w:t>
            </w:r>
          </w:p>
        </w:tc>
      </w:tr>
      <w:tr>
        <w:trPr>
          <w:trHeight w:val="207"/>
        </w:trPr>
        <w:tc>
          <w:tcPr>
            <w:tcW w:w="4400" w:type="dxa"/>
            <w:vAlign w:val="bottom"/>
          </w:tcPr>
          <w:p>
            <w:pPr>
              <w:ind w:left="320"/>
              <w:spacing w:after="0"/>
              <w:rPr>
                <w:sz w:val="20"/>
                <w:szCs w:val="20"/>
                <w:color w:val="auto"/>
              </w:rPr>
            </w:pPr>
            <w:r>
              <w:rPr>
                <w:rFonts w:ascii="Arial" w:cs="Arial" w:eastAsia="Arial" w:hAnsi="Arial"/>
                <w:sz w:val="16"/>
                <w:szCs w:val="16"/>
                <w:color w:val="auto"/>
              </w:rPr>
              <w:t>Certain impairments and other adjustments</w:t>
            </w:r>
          </w:p>
        </w:tc>
        <w:tc>
          <w:tcPr>
            <w:tcW w:w="9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2,713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(2,531)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3,493</w:t>
            </w:r>
          </w:p>
        </w:tc>
      </w:tr>
      <w:tr>
        <w:trPr>
          <w:trHeight w:val="209"/>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Restructuring-related charges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w:t>
            </w:r>
          </w:p>
        </w:tc>
      </w:tr>
      <w:tr>
        <w:trPr>
          <w:trHeight w:val="200"/>
        </w:trPr>
        <w:tc>
          <w:tcPr>
            <w:tcW w:w="44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income from operations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33,578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85,981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102,920</w:t>
            </w:r>
          </w:p>
        </w:tc>
      </w:tr>
      <w:tr>
        <w:trPr>
          <w:trHeight w:val="202"/>
        </w:trPr>
        <w:tc>
          <w:tcPr>
            <w:tcW w:w="4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(expense) income, net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12,839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26,009</w:t>
            </w:r>
          </w:p>
        </w:tc>
      </w:tr>
      <w:tr>
        <w:trPr>
          <w:trHeight w:val="207"/>
        </w:trPr>
        <w:tc>
          <w:tcPr>
            <w:tcW w:w="44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Interest expense, net</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(53,403)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(51,057)</w:t>
            </w:r>
          </w:p>
        </w:tc>
      </w:tr>
      <w:tr>
        <w:trPr>
          <w:trHeight w:val="227"/>
        </w:trPr>
        <w:tc>
          <w:tcPr>
            <w:tcW w:w="4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(Loss) income before income taxes</w:t>
            </w: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73,451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77,872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2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2021</w:t>
            </w:r>
          </w:p>
        </w:tc>
      </w:tr>
      <w:tr>
        <w:trPr>
          <w:trHeight w:val="18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4280" w:type="dxa"/>
            <w:vAlign w:val="bottom"/>
          </w:tcPr>
          <w:p>
            <w:pPr>
              <w:ind w:left="34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1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14,193</w:t>
            </w:r>
          </w:p>
        </w:tc>
        <w:tc>
          <w:tcPr>
            <w:tcW w:w="100" w:type="dxa"/>
            <w:vAlign w:val="bottom"/>
          </w:tcPr>
          <w:p>
            <w:pPr>
              <w:spacing w:after="0"/>
              <w:rPr>
                <w:sz w:val="17"/>
                <w:szCs w:val="17"/>
                <w:color w:val="auto"/>
              </w:rPr>
            </w:pPr>
          </w:p>
        </w:tc>
        <w:tc>
          <w:tcPr>
            <w:tcW w:w="1020" w:type="dxa"/>
            <w:vAlign w:val="bottom"/>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17,563</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28,863</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33,966</w:t>
            </w:r>
          </w:p>
        </w:tc>
      </w:tr>
      <w:tr>
        <w:trPr>
          <w:trHeight w:val="209"/>
        </w:trPr>
        <w:tc>
          <w:tcPr>
            <w:tcW w:w="4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10,340</w:t>
            </w:r>
          </w:p>
        </w:tc>
      </w:tr>
      <w:tr>
        <w:trPr>
          <w:trHeight w:val="207"/>
        </w:trPr>
        <w:tc>
          <w:tcPr>
            <w:tcW w:w="428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5,799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13,196</w:t>
            </w:r>
          </w:p>
        </w:tc>
      </w:tr>
      <w:tr>
        <w:trPr>
          <w:trHeight w:val="209"/>
        </w:trPr>
        <w:tc>
          <w:tcPr>
            <w:tcW w:w="4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12,128</w:t>
            </w:r>
          </w:p>
        </w:tc>
      </w:tr>
      <w:tr>
        <w:trPr>
          <w:trHeight w:val="207"/>
        </w:trPr>
        <w:tc>
          <w:tcPr>
            <w:tcW w:w="428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4,326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9,423</w:t>
            </w:r>
          </w:p>
        </w:tc>
      </w:tr>
      <w:tr>
        <w:trPr>
          <w:trHeight w:val="208"/>
        </w:trPr>
        <w:tc>
          <w:tcPr>
            <w:tcW w:w="4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10,693</w:t>
            </w:r>
          </w:p>
        </w:tc>
      </w:tr>
      <w:tr>
        <w:trPr>
          <w:trHeight w:val="202"/>
        </w:trPr>
        <w:tc>
          <w:tcPr>
            <w:tcW w:w="4280" w:type="dxa"/>
            <w:vAlign w:val="bottom"/>
          </w:tcPr>
          <w:p>
            <w:pPr>
              <w:ind w:left="640"/>
              <w:spacing w:after="0"/>
              <w:rPr>
                <w:sz w:val="20"/>
                <w:szCs w:val="20"/>
                <w:color w:val="auto"/>
              </w:rPr>
            </w:pPr>
            <w:r>
              <w:rPr>
                <w:rFonts w:ascii="Arial" w:cs="Arial" w:eastAsia="Arial" w:hAnsi="Arial"/>
                <w:sz w:val="16"/>
                <w:szCs w:val="16"/>
                <w:color w:val="auto"/>
              </w:rPr>
              <w:t>Total depreciation and amortization</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45,314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81,816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89,746</w:t>
            </w:r>
          </w:p>
        </w:tc>
      </w:tr>
      <w:tr>
        <w:trPr>
          <w:trHeight w:val="20"/>
        </w:trPr>
        <w:tc>
          <w:tcPr>
            <w:tcW w:w="4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4"/>
              <w:spacing w:after="0"/>
              <w:rPr>
                <w:sz w:val="20"/>
                <w:szCs w:val="20"/>
                <w:color w:val="auto"/>
              </w:rPr>
            </w:pPr>
            <w:r>
              <w:rPr>
                <w:rFonts w:ascii="Arial" w:cs="Arial" w:eastAsia="Arial" w:hAnsi="Arial"/>
                <w:sz w:val="12"/>
                <w:szCs w:val="12"/>
                <w:b w:val="1"/>
                <w:bCs w:val="1"/>
                <w:color w:val="auto"/>
              </w:rPr>
              <w:t>2021</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4420" w:type="dxa"/>
            <w:vAlign w:val="bottom"/>
          </w:tcPr>
          <w:p>
            <w:pPr>
              <w:ind w:left="34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3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6,445</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7,881</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9,569</w:t>
            </w:r>
          </w:p>
        </w:tc>
        <w:tc>
          <w:tcPr>
            <w:tcW w:w="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10,359</w:t>
            </w:r>
          </w:p>
        </w:tc>
      </w:tr>
      <w:tr>
        <w:trPr>
          <w:trHeight w:val="209"/>
        </w:trPr>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2,716</w:t>
            </w:r>
          </w:p>
        </w:tc>
      </w:tr>
      <w:tr>
        <w:trPr>
          <w:trHeight w:val="207"/>
        </w:trPr>
        <w:tc>
          <w:tcPr>
            <w:tcW w:w="442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5,249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10,089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6,677</w:t>
            </w:r>
          </w:p>
        </w:tc>
      </w:tr>
      <w:tr>
        <w:trPr>
          <w:trHeight w:val="209"/>
        </w:trPr>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2,447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2,211</w:t>
            </w:r>
          </w:p>
        </w:tc>
      </w:tr>
      <w:tr>
        <w:trPr>
          <w:trHeight w:val="207"/>
        </w:trPr>
        <w:tc>
          <w:tcPr>
            <w:tcW w:w="442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2,157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1,835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3,672</w:t>
            </w:r>
          </w:p>
        </w:tc>
      </w:tr>
      <w:tr>
        <w:trPr>
          <w:trHeight w:val="208"/>
        </w:trPr>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789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904</w:t>
            </w:r>
          </w:p>
        </w:tc>
      </w:tr>
      <w:tr>
        <w:trPr>
          <w:trHeight w:val="202"/>
        </w:trPr>
        <w:tc>
          <w:tcPr>
            <w:tcW w:w="4420" w:type="dxa"/>
            <w:vAlign w:val="bottom"/>
          </w:tcPr>
          <w:p>
            <w:pPr>
              <w:ind w:left="640"/>
              <w:spacing w:after="0"/>
              <w:rPr>
                <w:sz w:val="20"/>
                <w:szCs w:val="20"/>
                <w:color w:val="auto"/>
              </w:rPr>
            </w:pPr>
            <w:r>
              <w:rPr>
                <w:rFonts w:ascii="Arial" w:cs="Arial" w:eastAsia="Arial" w:hAnsi="Arial"/>
                <w:sz w:val="16"/>
                <w:szCs w:val="16"/>
                <w:color w:val="auto"/>
              </w:rPr>
              <w:t>Total purchases of property, plant and equipment</w:t>
            </w: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14,732</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17,915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26,490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26,539</w:t>
            </w:r>
          </w:p>
        </w:tc>
      </w:tr>
      <w:tr>
        <w:trPr>
          <w:trHeight w:val="20"/>
        </w:trPr>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4"/>
        </w:trPr>
        <w:tc>
          <w:tcPr>
            <w:tcW w:w="43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5,139</w:t>
            </w:r>
          </w:p>
        </w:tc>
        <w:tc>
          <w:tcPr>
            <w:tcW w:w="100" w:type="dxa"/>
            <w:vAlign w:val="bottom"/>
          </w:tcPr>
          <w:p>
            <w:pPr>
              <w:spacing w:after="0"/>
              <w:rPr>
                <w:sz w:val="17"/>
                <w:szCs w:val="17"/>
                <w:color w:val="auto"/>
              </w:rPr>
            </w:pPr>
          </w:p>
        </w:tc>
        <w:tc>
          <w:tcPr>
            <w:tcW w:w="1020" w:type="dxa"/>
            <w:vAlign w:val="bottom"/>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8,618</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11,774</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16,190</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7"/>
        </w:trPr>
        <w:tc>
          <w:tcPr>
            <w:tcW w:w="430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07"/>
        </w:trPr>
        <w:tc>
          <w:tcPr>
            <w:tcW w:w="430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10,533</w:t>
            </w:r>
          </w:p>
        </w:tc>
        <w:tc>
          <w:tcPr>
            <w:tcW w:w="0" w:type="dxa"/>
            <w:vAlign w:val="bottom"/>
          </w:tcPr>
          <w:p>
            <w:pPr>
              <w:spacing w:after="0"/>
              <w:rPr>
                <w:sz w:val="1"/>
                <w:szCs w:val="1"/>
                <w:color w:val="auto"/>
              </w:rPr>
            </w:pPr>
          </w:p>
        </w:tc>
      </w:tr>
      <w:tr>
        <w:trPr>
          <w:trHeight w:val="137"/>
        </w:trPr>
        <w:tc>
          <w:tcPr>
            <w:tcW w:w="4300" w:type="dxa"/>
            <w:vAlign w:val="bottom"/>
          </w:tcPr>
          <w:p>
            <w:pPr>
              <w:ind w:left="640"/>
              <w:spacing w:after="0" w:line="137" w:lineRule="exact"/>
              <w:rPr>
                <w:sz w:val="20"/>
                <w:szCs w:val="20"/>
                <w:color w:val="auto"/>
              </w:rPr>
            </w:pPr>
            <w:r>
              <w:rPr>
                <w:rFonts w:ascii="Arial" w:cs="Arial" w:eastAsia="Arial" w:hAnsi="Arial"/>
                <w:sz w:val="14"/>
                <w:szCs w:val="14"/>
                <w:color w:val="auto"/>
              </w:rPr>
              <w:t>Total capitalization of software and website</w:t>
            </w:r>
          </w:p>
        </w:tc>
        <w:tc>
          <w:tcPr>
            <w:tcW w:w="980" w:type="dxa"/>
            <w:vAlign w:val="bottom"/>
            <w:vMerge w:val="restart"/>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1"/>
                <w:szCs w:val="11"/>
                <w:color w:val="auto"/>
              </w:rPr>
            </w:pPr>
          </w:p>
        </w:tc>
        <w:tc>
          <w:tcPr>
            <w:tcW w:w="1020" w:type="dxa"/>
            <w:vAlign w:val="bottom"/>
            <w:vMerge w:val="restart"/>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16,495</w:t>
            </w:r>
          </w:p>
        </w:tc>
        <w:tc>
          <w:tcPr>
            <w:tcW w:w="100" w:type="dxa"/>
            <w:vAlign w:val="bottom"/>
          </w:tcPr>
          <w:p>
            <w:pPr>
              <w:spacing w:after="0"/>
              <w:rPr>
                <w:sz w:val="11"/>
                <w:szCs w:val="11"/>
                <w:color w:val="auto"/>
              </w:rPr>
            </w:pPr>
          </w:p>
        </w:tc>
        <w:tc>
          <w:tcPr>
            <w:tcW w:w="400" w:type="dxa"/>
            <w:vAlign w:val="bottom"/>
            <w:vMerge w:val="restart"/>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29,246</w:t>
            </w:r>
          </w:p>
        </w:tc>
        <w:tc>
          <w:tcPr>
            <w:tcW w:w="100" w:type="dxa"/>
            <w:vAlign w:val="bottom"/>
          </w:tcPr>
          <w:p>
            <w:pPr>
              <w:spacing w:after="0"/>
              <w:rPr>
                <w:sz w:val="11"/>
                <w:szCs w:val="11"/>
                <w:color w:val="auto"/>
              </w:rPr>
            </w:pPr>
          </w:p>
        </w:tc>
        <w:tc>
          <w:tcPr>
            <w:tcW w:w="400" w:type="dxa"/>
            <w:vAlign w:val="bottom"/>
            <w:vMerge w:val="restart"/>
          </w:tcPr>
          <w:p>
            <w:pPr>
              <w:jc w:val="right"/>
              <w:ind w:right="202"/>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32,134</w:t>
            </w:r>
          </w:p>
        </w:tc>
        <w:tc>
          <w:tcPr>
            <w:tcW w:w="0" w:type="dxa"/>
            <w:vAlign w:val="bottom"/>
          </w:tcPr>
          <w:p>
            <w:pPr>
              <w:spacing w:after="0"/>
              <w:rPr>
                <w:sz w:val="1"/>
                <w:szCs w:val="1"/>
                <w:color w:val="auto"/>
              </w:rPr>
            </w:pPr>
          </w:p>
        </w:tc>
      </w:tr>
      <w:tr>
        <w:trPr>
          <w:trHeight w:val="186"/>
        </w:trPr>
        <w:tc>
          <w:tcPr>
            <w:tcW w:w="4300" w:type="dxa"/>
            <w:vAlign w:val="bottom"/>
          </w:tcPr>
          <w:p>
            <w:pPr>
              <w:ind w:left="640"/>
              <w:spacing w:after="0" w:line="181" w:lineRule="exact"/>
              <w:rPr>
                <w:sz w:val="20"/>
                <w:szCs w:val="20"/>
                <w:color w:val="auto"/>
              </w:rPr>
            </w:pPr>
            <w:r>
              <w:rPr>
                <w:rFonts w:ascii="Arial" w:cs="Arial" w:eastAsia="Arial" w:hAnsi="Arial"/>
                <w:sz w:val="16"/>
                <w:szCs w:val="16"/>
                <w:color w:val="auto"/>
              </w:rPr>
              <w:t>development costs</w:t>
            </w:r>
          </w:p>
        </w:tc>
        <w:tc>
          <w:tcPr>
            <w:tcW w:w="9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2022</w:t>
            </w:r>
          </w:p>
        </w:tc>
        <w:tc>
          <w:tcPr>
            <w:tcW w:w="260" w:type="dxa"/>
            <w:vAlign w:val="bottom"/>
          </w:tcPr>
          <w:p>
            <w:pPr>
              <w:spacing w:after="0"/>
              <w:rPr>
                <w:sz w:val="14"/>
                <w:szCs w:val="14"/>
                <w:color w:val="auto"/>
              </w:rPr>
            </w:pPr>
          </w:p>
        </w:tc>
        <w:tc>
          <w:tcPr>
            <w:tcW w:w="1340" w:type="dxa"/>
            <w:vAlign w:val="bottom"/>
          </w:tcPr>
          <w:p>
            <w:pPr>
              <w:jc w:val="right"/>
              <w:ind w:right="324"/>
              <w:spacing w:after="0"/>
              <w:rPr>
                <w:sz w:val="20"/>
                <w:szCs w:val="20"/>
                <w:color w:val="auto"/>
              </w:rPr>
            </w:pPr>
            <w:r>
              <w:rPr>
                <w:rFonts w:ascii="Arial" w:cs="Arial" w:eastAsia="Arial" w:hAnsi="Arial"/>
                <w:sz w:val="12"/>
                <w:szCs w:val="12"/>
                <w:b w:val="1"/>
                <w:bCs w:val="1"/>
                <w:color w:val="auto"/>
              </w:rPr>
              <w:t>June 30, 2022</w:t>
            </w:r>
          </w:p>
        </w:tc>
      </w:tr>
      <w:tr>
        <w:trPr>
          <w:trHeight w:val="207"/>
        </w:trPr>
        <w:tc>
          <w:tcPr>
            <w:tcW w:w="794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United States (2)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95,589</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Switzerland</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74,775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72,394</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67,240</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Canada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58,746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58,498</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Italy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48,262</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France</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25,855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25,383</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Jamaica</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18,744</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20,048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17,751</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Japan (3)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11,392</w:t>
            </w:r>
          </w:p>
        </w:tc>
      </w:tr>
      <w:tr>
        <w:trPr>
          <w:trHeight w:val="207"/>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94,263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90,677</w:t>
            </w:r>
          </w:p>
        </w:tc>
      </w:tr>
      <w:tr>
        <w:trPr>
          <w:trHeight w:val="227"/>
        </w:trPr>
        <w:tc>
          <w:tcPr>
            <w:tcW w:w="7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490,668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505,930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60" w:hanging="236"/>
        <w:spacing w:after="0" w:line="281" w:lineRule="auto"/>
        <w:tabs>
          <w:tab w:leader="none" w:pos="2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goodwill of $776,788 and $766,600, intangible assets, net of $131,274 and $154,730, deferred tax assets of $9,519 and $113,088, and marketable securities, non-current of $17,107 and zero as of December 31, 2022 and June 30, 2022, respectively.</w:t>
      </w:r>
    </w:p>
    <w:p>
      <w:pPr>
        <w:spacing w:after="0" w:line="51" w:lineRule="exact"/>
        <w:rPr>
          <w:rFonts w:ascii="Arial" w:cs="Arial" w:eastAsia="Arial" w:hAnsi="Arial"/>
          <w:sz w:val="14"/>
          <w:szCs w:val="14"/>
          <w:color w:val="auto"/>
        </w:rPr>
      </w:pPr>
    </w:p>
    <w:p>
      <w:pPr>
        <w:ind w:left="240" w:right="360" w:hanging="236"/>
        <w:spacing w:after="0" w:line="262" w:lineRule="auto"/>
        <w:tabs>
          <w:tab w:leader="none" w:pos="2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decrease of the United States long-lived assets is primarily driven by the termination of our Waltham, MA lease in August 2022 that resulted in a reduction to the operating lease asset and related leasehold improvements.</w:t>
      </w:r>
    </w:p>
    <w:p>
      <w:pPr>
        <w:spacing w:after="0" w:line="63" w:lineRule="exact"/>
        <w:rPr>
          <w:rFonts w:ascii="Arial" w:cs="Arial" w:eastAsia="Arial" w:hAnsi="Arial"/>
          <w:sz w:val="14"/>
          <w:szCs w:val="14"/>
          <w:color w:val="auto"/>
        </w:rPr>
      </w:pPr>
    </w:p>
    <w:p>
      <w:pPr>
        <w:ind w:left="240" w:right="260" w:hanging="236"/>
        <w:spacing w:after="0" w:line="281" w:lineRule="auto"/>
        <w:tabs>
          <w:tab w:leader="none" w:pos="2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decrease in Japan's long-lived assets is due to the planned sale of the land and building, which resulted in the reclassification of the carrying value to prepaid expenses and other current assets because it meets held-for-sale criteria during the current quarter. Refer to Note 13 for additional details.</w:t>
      </w:r>
    </w:p>
    <w:p>
      <w:pPr>
        <w:spacing w:after="0" w:line="235" w:lineRule="exact"/>
        <w:rPr>
          <w:sz w:val="20"/>
          <w:szCs w:val="20"/>
          <w:color w:val="auto"/>
        </w:rPr>
      </w:pPr>
    </w:p>
    <w:p>
      <w:pPr>
        <w:ind w:right="8200" w:firstLine="4"/>
        <w:spacing w:after="0" w:line="425" w:lineRule="auto"/>
        <w:tabs>
          <w:tab w:leader="none" w:pos="289"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Purchase Obligations</w:t>
      </w:r>
    </w:p>
    <w:p>
      <w:pPr>
        <w:spacing w:after="0" w:line="24" w:lineRule="exact"/>
        <w:rPr>
          <w:sz w:val="20"/>
          <w:szCs w:val="20"/>
          <w:color w:val="auto"/>
        </w:rPr>
      </w:pPr>
    </w:p>
    <w:p>
      <w:pPr>
        <w:ind w:right="100" w:firstLine="623"/>
        <w:spacing w:after="0" w:line="275" w:lineRule="auto"/>
        <w:rPr>
          <w:sz w:val="20"/>
          <w:szCs w:val="20"/>
          <w:color w:val="auto"/>
        </w:rPr>
      </w:pPr>
      <w:r>
        <w:rPr>
          <w:rFonts w:ascii="Arial" w:cs="Arial" w:eastAsia="Arial" w:hAnsi="Arial"/>
          <w:sz w:val="17"/>
          <w:szCs w:val="17"/>
          <w:color w:val="auto"/>
        </w:rPr>
        <w:t>At December 31, 2022, we had unrecorded commitments under contract of $235,619, including third-party cloud services of $87,452; inventory, third-party fulfillment and digital service purchase commitments of $69,588; software of $28,874; advertising of $20,862; production and computer equipment purchases of $5,798; professional and consulting fees of $4,206, and other unrecorded purchase commitments of $18,839.</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Obligations</w:t>
      </w:r>
    </w:p>
    <w:p>
      <w:pPr>
        <w:spacing w:after="0" w:line="233" w:lineRule="exact"/>
        <w:rPr>
          <w:sz w:val="20"/>
          <w:szCs w:val="20"/>
          <w:color w:val="auto"/>
        </w:rPr>
      </w:pPr>
    </w:p>
    <w:p>
      <w:pPr>
        <w:ind w:right="260" w:firstLine="623"/>
        <w:spacing w:after="0" w:line="295" w:lineRule="auto"/>
        <w:rPr>
          <w:sz w:val="20"/>
          <w:szCs w:val="20"/>
          <w:color w:val="auto"/>
        </w:rPr>
      </w:pPr>
      <w:r>
        <w:rPr>
          <w:rFonts w:ascii="Arial" w:cs="Arial" w:eastAsia="Arial" w:hAnsi="Arial"/>
          <w:sz w:val="17"/>
          <w:szCs w:val="17"/>
          <w:color w:val="auto"/>
        </w:rPr>
        <w:t>We deferred payments for several of our acquisitions, resulting in the recognition of a liability of $6,838 as of December 31, 2022, which primarily relates to a deferred payment for our acquisition of Depositphotos that is expected to be paid during the third quarter of fiscal 2023.</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194" w:lineRule="exact"/>
        <w:rPr>
          <w:sz w:val="20"/>
          <w:szCs w:val="20"/>
          <w:color w:val="auto"/>
        </w:rPr>
      </w:pPr>
    </w:p>
    <w:p>
      <w:pPr>
        <w:jc w:val="both"/>
        <w:ind w:right="20" w:firstLine="623"/>
        <w:spacing w:after="0" w:line="275" w:lineRule="auto"/>
        <w:rPr>
          <w:sz w:val="20"/>
          <w:szCs w:val="20"/>
          <w:color w:val="auto"/>
        </w:rPr>
      </w:pPr>
      <w:r>
        <w:rPr>
          <w:rFonts w:ascii="Arial" w:cs="Arial" w:eastAsia="Arial" w:hAnsi="Arial"/>
          <w:sz w:val="17"/>
          <w:szCs w:val="17"/>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26" w:name="page27"/>
    <w:bookmarkEnd w:id="26"/>
    <w:p>
      <w:pPr>
        <w:jc w:val="both"/>
        <w:ind w:right="160"/>
        <w:spacing w:after="0" w:line="275" w:lineRule="auto"/>
        <w:rPr>
          <w:sz w:val="20"/>
          <w:szCs w:val="20"/>
          <w:color w:val="auto"/>
        </w:rPr>
      </w:pPr>
      <w:r>
        <w:rPr>
          <w:rFonts w:ascii="Arial" w:cs="Arial" w:eastAsia="Arial" w:hAnsi="Arial"/>
          <w:sz w:val="17"/>
          <w:szCs w:val="17"/>
          <w:color w:val="auto"/>
        </w:rPr>
        <w:t>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Restructuring Charges</w:t>
      </w:r>
    </w:p>
    <w:p>
      <w:pPr>
        <w:spacing w:after="0" w:line="248" w:lineRule="exact"/>
        <w:rPr>
          <w:sz w:val="20"/>
          <w:szCs w:val="20"/>
          <w:color w:val="auto"/>
        </w:rPr>
      </w:pPr>
    </w:p>
    <w:p>
      <w:pPr>
        <w:ind w:right="160" w:firstLine="623"/>
        <w:spacing w:after="0" w:line="275" w:lineRule="auto"/>
        <w:rPr>
          <w:sz w:val="20"/>
          <w:szCs w:val="20"/>
          <w:color w:val="auto"/>
        </w:rPr>
      </w:pPr>
      <w:r>
        <w:rPr>
          <w:rFonts w:ascii="Arial" w:cs="Arial" w:eastAsia="Arial" w:hAnsi="Arial"/>
          <w:sz w:val="17"/>
          <w:szCs w:val="17"/>
          <w:color w:val="auto"/>
        </w:rPr>
        <w:t>Restructuring costs include one-time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w:t>
      </w:r>
    </w:p>
    <w:p>
      <w:pPr>
        <w:spacing w:after="0" w:line="185"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During the three and six months ended December 31, 2022, we recognized restructuring charges of $11,207 and $13,027, respectively, and immaterial charges in the prior comparable periods. For the three and six months ended December 31, 2022, $7,265 and $8,722, respectively, were recognized in our Vista reportable segment primarily related to the impairment and write-off of assets associated with our previously announced plan to exit the Japanese market. In addition, we recognized $3,561 for the three and six months ended December 31, 2022 within our All Other Businesses reportable segment, which includes losses related to our planned sale of our Chinese business, which closed in January 2023. The remaining costs in the current periods include severance and related benefits associated with previously announced actions in our National Pen reportable segment and in our central and corporate costs.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restructuring activity during the six months ended December 31,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Severance and Related</w:t>
            </w:r>
          </w:p>
        </w:tc>
        <w:tc>
          <w:tcPr>
            <w:tcW w:w="166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rPr>
              <w:t>Other Restructuring Costs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126"/>
              <w:spacing w:after="0"/>
              <w:rPr>
                <w:sz w:val="20"/>
                <w:szCs w:val="20"/>
                <w:color w:val="auto"/>
              </w:rPr>
            </w:pPr>
            <w:r>
              <w:rPr>
                <w:rFonts w:ascii="Arial" w:cs="Arial" w:eastAsia="Arial" w:hAnsi="Arial"/>
                <w:sz w:val="12"/>
                <w:szCs w:val="12"/>
                <w:b w:val="1"/>
                <w:bCs w:val="1"/>
                <w:color w:val="auto"/>
              </w:rPr>
              <w:t>Accrued restructuring</w:t>
            </w:r>
          </w:p>
        </w:tc>
        <w:tc>
          <w:tcPr>
            <w:tcW w:w="0" w:type="dxa"/>
            <w:vAlign w:val="bottom"/>
          </w:tcPr>
          <w:p>
            <w:pPr>
              <w:spacing w:after="0"/>
              <w:rPr>
                <w:sz w:val="1"/>
                <w:szCs w:val="1"/>
                <w:color w:val="auto"/>
              </w:rPr>
            </w:pPr>
          </w:p>
        </w:tc>
      </w:tr>
      <w:tr>
        <w:trPr>
          <w:trHeight w:val="170"/>
        </w:trPr>
        <w:tc>
          <w:tcPr>
            <w:tcW w:w="6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Benefits</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liability</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13,449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17"/>
                <w:szCs w:val="17"/>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2,335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10,692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13,027</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(9,827)</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Non-cash charges (1)</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(11,341)</w:t>
            </w:r>
          </w:p>
        </w:tc>
        <w:tc>
          <w:tcPr>
            <w:tcW w:w="0" w:type="dxa"/>
            <w:vAlign w:val="bottom"/>
          </w:tcPr>
          <w:p>
            <w:pPr>
              <w:spacing w:after="0"/>
              <w:rPr>
                <w:sz w:val="1"/>
                <w:szCs w:val="1"/>
                <w:color w:val="auto"/>
              </w:rPr>
            </w:pPr>
          </w:p>
        </w:tc>
      </w:tr>
      <w:tr>
        <w:trPr>
          <w:trHeight w:val="208"/>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2"/>
        </w:trPr>
        <w:tc>
          <w:tcPr>
            <w:tcW w:w="606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5,239</w:t>
            </w:r>
          </w:p>
        </w:tc>
        <w:tc>
          <w:tcPr>
            <w:tcW w:w="100" w:type="dxa"/>
            <w:vAlign w:val="bottom"/>
          </w:tcPr>
          <w:p>
            <w:pPr>
              <w:spacing w:after="0"/>
              <w:rPr>
                <w:sz w:val="17"/>
                <w:szCs w:val="17"/>
                <w:color w:val="auto"/>
              </w:rPr>
            </w:pPr>
          </w:p>
        </w:tc>
        <w:tc>
          <w:tcPr>
            <w:tcW w:w="580" w:type="dxa"/>
            <w:vAlign w:val="bottom"/>
          </w:tcPr>
          <w:p>
            <w:pPr>
              <w:jc w:val="right"/>
              <w:ind w:right="408"/>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5,239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6" w:lineRule="exact"/>
        <w:rPr>
          <w:sz w:val="20"/>
          <w:szCs w:val="20"/>
          <w:color w:val="auto"/>
        </w:rPr>
      </w:pPr>
    </w:p>
    <w:p>
      <w:pPr>
        <w:ind w:left="240" w:right="280" w:hanging="236"/>
        <w:spacing w:after="0" w:line="266" w:lineRule="auto"/>
        <w:tabs>
          <w:tab w:leader="none" w:pos="2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During the three and six months ended December 31, 2022, non-cash restructuring charges primarily includes the loss recorded on assets that are held-for-sale for our planned Japan and China exits as described above, and share-based compensation expense upon modification to accelerate the vesting of share-based compensation awards for the actions described above.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0" w:lineRule="exact"/>
        <w:rPr>
          <w:sz w:val="20"/>
          <w:szCs w:val="20"/>
          <w:color w:val="auto"/>
        </w:rPr>
      </w:pPr>
    </w:p>
    <w:p>
      <w:pPr>
        <w:ind w:right="40" w:firstLine="623"/>
        <w:spacing w:after="0" w:line="25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persistence of higher costs and supply chain disruptions and the expected impacts of those costs and disruptions on our business; our planned cost reductions and the expected effects of the cost reductions; the expected impacts of our mass customization platform; our competitive advantages; the expected effects of mid- and upper-funnel advertising in Vista; sufficiency of our liquidity position; legal proceedings; and sufficiency of our tax reserves.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inflation, and the lingering effects of the COVID-19 pandemic; our inability to mitigate increases in our costs by increasing our prices and taking other measures; our inability to make the cost reductions that we plan to make or the failure of the cost reductions to affect our financial results as expected; our inability to make the investments that we plan to make or the failure of those investments to achieve the results we expect; our failure to execute on the transformation of the Vista business; loss of key personnel or our inability to recruit talented personnel to drive performance of our businesses; the failure of businesses we acquire or invest in to perform as expected; our failure to develop and deploy our mass customization platform or the failure of the platform to drive the efficiencies and competitive advantages we expect; unanticipated changes in our markets, customers, or businesses; changes in the laws and regulations, or in the interpretation of laws and regulations, that affect our businesses; our failure to manage the growth and complexity of our business and expand our operations; our failure to maintain compliance with the covenants in our debt documents or to pay our debts when due; competitive pressures; general economic conditions, including the possibility of an economic downturn in some or all of our markets; and other factors described in this Report and the documents that we periodically file with the SEC.</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181"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Cimpress is a strategically focused group of more than a dozen businesses that specialize in mass customization of printing and related products, via which we deliver large volumes of individually small-sized customized orders. Our products include a broad range of marketing materials, business cards, signage, promotional products, logo apparel, packaging, books and magazines, wall decor, photo merchandise, invitations and announcements,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154" w:lineRule="exact"/>
        <w:rPr>
          <w:sz w:val="20"/>
          <w:szCs w:val="20"/>
          <w:color w:val="auto"/>
        </w:rPr>
      </w:pPr>
    </w:p>
    <w:p>
      <w:pPr>
        <w:ind w:right="420" w:firstLine="623"/>
        <w:spacing w:after="0" w:line="268" w:lineRule="auto"/>
        <w:rPr>
          <w:sz w:val="20"/>
          <w:szCs w:val="20"/>
          <w:color w:val="auto"/>
        </w:rPr>
      </w:pPr>
      <w:r>
        <w:rPr>
          <w:rFonts w:ascii="Arial" w:cs="Arial" w:eastAsia="Arial" w:hAnsi="Arial"/>
          <w:sz w:val="17"/>
          <w:szCs w:val="17"/>
          <w:color w:val="auto"/>
        </w:rPr>
        <w:t>As of December 31, 2022, we have numerous operating segments under our management reporting structure that are reported in the following five reportable segments: Vista, PrintBrothers, The Print Group, National Pen, and All Other Businesses. Refer to Note 11 in our accompanying consolidated financial statements for additional information relating to our reportable segments and our segment financial measures.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94" w:lineRule="exact"/>
        <w:rPr>
          <w:sz w:val="20"/>
          <w:szCs w:val="20"/>
          <w:color w:val="auto"/>
        </w:rPr>
      </w:pPr>
    </w:p>
    <w:p>
      <w:pPr>
        <w:ind w:right="260" w:firstLine="623"/>
        <w:spacing w:after="0" w:line="261"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cash interest expense;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and six months ended December 31, 2022 as compared to the three and six months ended December 31, 2021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Second Quarter Fiscal Year 2023</w:t>
      </w:r>
    </w:p>
    <w:p>
      <w:pPr>
        <w:spacing w:after="0" w:line="220" w:lineRule="exact"/>
        <w:rPr>
          <w:sz w:val="20"/>
          <w:szCs w:val="20"/>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was flat at $845.2 million.</w:t>
      </w:r>
    </w:p>
    <w:p>
      <w:pPr>
        <w:spacing w:after="0" w:line="116" w:lineRule="exact"/>
        <w:rPr>
          <w:rFonts w:ascii="Arial" w:cs="Arial" w:eastAsia="Arial" w:hAnsi="Arial"/>
          <w:sz w:val="17"/>
          <w:szCs w:val="17"/>
          <w:color w:val="auto"/>
        </w:rPr>
      </w:pPr>
    </w:p>
    <w:p>
      <w:pPr>
        <w:ind w:left="940" w:right="20" w:hanging="313"/>
        <w:spacing w:after="0" w:line="295"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Constant-currency revenue increased by 6% and by 5% when excluding the revenue of acquired companies for the first twelve months after acquisition (both non-GAAP financial measures).</w:t>
      </w:r>
    </w:p>
    <w:p>
      <w:pPr>
        <w:spacing w:after="0" w:line="38"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Operating income decreased by $52.4 million to $33.6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$30.9 million to $111.2 million.</w:t>
      </w:r>
    </w:p>
    <w:p>
      <w:pPr>
        <w:spacing w:after="0" w:line="116" w:lineRule="exact"/>
        <w:rPr>
          <w:rFonts w:ascii="Arial" w:cs="Arial" w:eastAsia="Arial" w:hAnsi="Arial"/>
          <w:sz w:val="17"/>
          <w:szCs w:val="17"/>
          <w:color w:val="auto"/>
        </w:rPr>
      </w:pPr>
    </w:p>
    <w:p>
      <w:pPr>
        <w:ind w:left="940" w:right="340" w:hanging="313"/>
        <w:spacing w:after="0" w:line="295"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Diluted net (loss) income per share attributable to Cimpress plc decreased from income of $2.08 to a loss of $5.34 per share in the current period.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Year to Date Fiscal Year 2023</w:t>
      </w:r>
    </w:p>
    <w:p>
      <w:pPr>
        <w:spacing w:after="0" w:line="220" w:lineRule="exact"/>
        <w:rPr>
          <w:sz w:val="20"/>
          <w:szCs w:val="20"/>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Revenue increased by 3% to $1,548.6 million.</w:t>
      </w:r>
    </w:p>
    <w:p>
      <w:pPr>
        <w:spacing w:after="0" w:line="116" w:lineRule="exact"/>
        <w:rPr>
          <w:rFonts w:ascii="Arial" w:cs="Arial" w:eastAsia="Arial" w:hAnsi="Arial"/>
          <w:sz w:val="17"/>
          <w:szCs w:val="17"/>
          <w:color w:val="auto"/>
        </w:rPr>
      </w:pPr>
    </w:p>
    <w:p>
      <w:pPr>
        <w:ind w:left="940" w:right="540" w:hanging="313"/>
        <w:spacing w:after="0" w:line="295"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Constant-currency revenue increased by 10% and by 9% when excluding the revenue of acquired companies for the first twelve months after acquisition (both non-GAAP financial measures).</w:t>
      </w:r>
    </w:p>
    <w:p>
      <w:pPr>
        <w:spacing w:after="0" w:line="38"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Operating income decreased by $87.3 million to $15.6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$52.9 million to $156.8 million.</w:t>
      </w:r>
    </w:p>
    <w:p>
      <w:pPr>
        <w:spacing w:after="0" w:line="116" w:lineRule="exact"/>
        <w:rPr>
          <w:rFonts w:ascii="Arial" w:cs="Arial" w:eastAsia="Arial" w:hAnsi="Arial"/>
          <w:sz w:val="17"/>
          <w:szCs w:val="17"/>
          <w:color w:val="auto"/>
        </w:rPr>
      </w:pPr>
    </w:p>
    <w:p>
      <w:pPr>
        <w:ind w:left="940" w:right="520" w:hanging="313"/>
        <w:spacing w:after="0" w:line="295"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Diluted net (loss) income per share attributable to Cimpress plc decreased from income of $1.82 to a loss of $6.31 in the current period.</w:t>
      </w:r>
    </w:p>
    <w:p>
      <w:pPr>
        <w:spacing w:after="0" w:line="38"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Cash provided by operating activities decreased by $124.0 million to $55.9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decreased by $121.1 million to $0.1 million.</w:t>
      </w:r>
    </w:p>
    <w:p>
      <w:pPr>
        <w:spacing w:after="0" w:line="207" w:lineRule="exact"/>
        <w:rPr>
          <w:sz w:val="20"/>
          <w:szCs w:val="20"/>
          <w:color w:val="auto"/>
        </w:rPr>
      </w:pPr>
    </w:p>
    <w:p>
      <w:pPr>
        <w:ind w:right="120" w:firstLine="623"/>
        <w:spacing w:after="0" w:line="265" w:lineRule="auto"/>
        <w:rPr>
          <w:sz w:val="20"/>
          <w:szCs w:val="20"/>
          <w:color w:val="auto"/>
        </w:rPr>
      </w:pPr>
      <w:r>
        <w:rPr>
          <w:rFonts w:ascii="Arial" w:cs="Arial" w:eastAsia="Arial" w:hAnsi="Arial"/>
          <w:sz w:val="17"/>
          <w:szCs w:val="17"/>
          <w:color w:val="auto"/>
        </w:rPr>
        <w:t>For the three months ended December 31, 2022, reported revenue was flat year over year, and currency exchange fluctuations had a significant negative effect on revenue. Constant-currency revenue grew across all segments including growth in revenue from new customers in the Vista business; however, constant-currency revenue from consumer products in Vista and BuildASign during this seasonally important quarter was down slightly. The increase in constant-currency revenue was due to growth across all businesses including the impact of increased pricing during the past twelve months, as these actions were one tool we used to mitigate inflationary cost pressures.</w:t>
      </w:r>
    </w:p>
    <w:p>
      <w:pPr>
        <w:spacing w:after="0" w:line="154"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For the three months ended December 31, 2022, the decrease in operating income was primarily due to the impact of cost inflation, as well as unfavorable product mix shifts in our Vista business, which both weighed on gross margins. Inflationary pressures on raw materials, energy and labor were partially offset by actions taken to increase pricing. We also recognized an increase in restructuring charges of $10.9 million, primarily related to exiting our businesses in Japan and China, as well as increased advertising spend mainly in Vista, driven by mid- and upper-funnel advertising. These cost increases were partially offset by cost containment measures put in place during the current quarter, which offset some of the year-over-year decline in gross profit.</w:t>
      </w:r>
    </w:p>
    <w:p>
      <w:pPr>
        <w:spacing w:after="0" w:line="143" w:lineRule="exact"/>
        <w:rPr>
          <w:sz w:val="20"/>
          <w:szCs w:val="20"/>
          <w:color w:val="auto"/>
        </w:rPr>
      </w:pPr>
    </w:p>
    <w:p>
      <w:pPr>
        <w:ind w:right="440" w:firstLine="623"/>
        <w:spacing w:after="0" w:line="268" w:lineRule="auto"/>
        <w:rPr>
          <w:sz w:val="20"/>
          <w:szCs w:val="20"/>
          <w:color w:val="auto"/>
        </w:rPr>
      </w:pPr>
      <w:r>
        <w:rPr>
          <w:rFonts w:ascii="Arial" w:cs="Arial" w:eastAsia="Arial" w:hAnsi="Arial"/>
          <w:sz w:val="17"/>
          <w:szCs w:val="17"/>
          <w:color w:val="auto"/>
        </w:rPr>
        <w:t>Adjusted EBITDA decreased year over year, primarily for the same reasons operating income decreased. Adjusted EBITDA excludes restructuring charges, share-based compensation expense, certain impairments, and non-cash gains on the sale of assets, and includes the realized gains or losses on our currency derivatives intended to hedge adjusted EBITDA. The net year-over-year impact of currency on consolidated adjusted EBITDA was a benefit of approximately $6.5 million for the three months ended December 31, 2022.</w:t>
      </w:r>
    </w:p>
    <w:p>
      <w:pPr>
        <w:spacing w:after="0" w:line="152"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Diluted net loss per share attributable to Cimpress plc increased for the three months ended December 31, 2022 primarily due to an increase in income tax expense of $108.8 million, driven by the recognition of a valuation allowance against Swiss deferred tax assets, for which we concluded recognition was no longer supported; the decrease in operating income as described above; and the effects of unrealized currency losses caused by exchanged rate volatility that more than offset realized gains recognized in the current quarter.</w:t>
      </w:r>
    </w:p>
    <w:p>
      <w:pPr>
        <w:spacing w:after="0" w:line="152" w:lineRule="exact"/>
        <w:rPr>
          <w:sz w:val="20"/>
          <w:szCs w:val="20"/>
          <w:color w:val="auto"/>
        </w:rPr>
      </w:pPr>
    </w:p>
    <w:p>
      <w:pPr>
        <w:ind w:right="120" w:firstLine="623"/>
        <w:spacing w:after="0" w:line="257" w:lineRule="auto"/>
        <w:rPr>
          <w:sz w:val="20"/>
          <w:szCs w:val="20"/>
          <w:color w:val="auto"/>
        </w:rPr>
      </w:pPr>
      <w:r>
        <w:rPr>
          <w:rFonts w:ascii="Arial" w:cs="Arial" w:eastAsia="Arial" w:hAnsi="Arial"/>
          <w:sz w:val="17"/>
          <w:szCs w:val="17"/>
          <w:color w:val="auto"/>
        </w:rPr>
        <w:t>As described above, the impact of cost inflation, net of price increases, continues to weigh on year-over-year profitability, and, in the Vista business, unfavorable product mix shift also was a significant contributor to a year-over-year reduction in gross profit. Each of our reportable segments has seen material increases in the cost of product substrates like paper, production materials like aluminum plates, freight and shipping charges, energy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ind w:right="160"/>
        <w:spacing w:after="0" w:line="253" w:lineRule="auto"/>
        <w:rPr>
          <w:sz w:val="20"/>
          <w:szCs w:val="20"/>
          <w:color w:val="auto"/>
        </w:rPr>
      </w:pPr>
      <w:r>
        <w:rPr>
          <w:rFonts w:ascii="Arial" w:cs="Arial" w:eastAsia="Arial" w:hAnsi="Arial"/>
          <w:sz w:val="17"/>
          <w:szCs w:val="17"/>
          <w:color w:val="auto"/>
        </w:rPr>
        <w:t>higher compensation costs due to inflationary pressures and a more competitive labor market. We believe our scale-based shared strategic capabilities and supplier relationships provide competitive advantages for our businesses to weather these challenges. However, during the second quarter of the current fiscal year, we put in place further operating cost containment measures that helped offset some of these impacts. Over the remainder of the fiscal year, we plan to take further steps to significantly reduce our cost base in support of expanding profitability as we exit the fiscal year.</w:t>
      </w:r>
    </w:p>
    <w:p>
      <w:pPr>
        <w:spacing w:after="0" w:line="151" w:lineRule="exact"/>
        <w:rPr>
          <w:sz w:val="20"/>
          <w:szCs w:val="20"/>
          <w:color w:val="auto"/>
        </w:rPr>
      </w:pPr>
    </w:p>
    <w:p>
      <w:pPr>
        <w:ind w:right="100" w:firstLine="623"/>
        <w:spacing w:after="0" w:line="275" w:lineRule="auto"/>
        <w:rPr>
          <w:sz w:val="20"/>
          <w:szCs w:val="20"/>
          <w:color w:val="auto"/>
        </w:rPr>
      </w:pPr>
      <w:r>
        <w:rPr>
          <w:rFonts w:ascii="Arial" w:cs="Arial" w:eastAsia="Arial" w:hAnsi="Arial"/>
          <w:sz w:val="17"/>
          <w:szCs w:val="17"/>
          <w:color w:val="auto"/>
        </w:rPr>
        <w:t>During the six months ended December 31, 2022, cash from operations decreased $124.0 million year over year due to the decrease in operating income described above, as well as decreased working capital cash flows of $77.6 million, largely driven by the continuation of elevated inventory levels that are intended to minimize availability risk, as well as less favorable benefits from accounts payable due in part to timing.</w:t>
      </w:r>
    </w:p>
    <w:p>
      <w:pPr>
        <w:spacing w:after="0" w:line="146" w:lineRule="exact"/>
        <w:rPr>
          <w:sz w:val="20"/>
          <w:szCs w:val="20"/>
          <w:color w:val="auto"/>
        </w:rPr>
      </w:pPr>
    </w:p>
    <w:p>
      <w:pPr>
        <w:ind w:right="320" w:firstLine="623"/>
        <w:spacing w:after="0" w:line="295" w:lineRule="auto"/>
        <w:rPr>
          <w:sz w:val="20"/>
          <w:szCs w:val="20"/>
          <w:color w:val="auto"/>
        </w:rPr>
      </w:pPr>
      <w:r>
        <w:rPr>
          <w:rFonts w:ascii="Arial" w:cs="Arial" w:eastAsia="Arial" w:hAnsi="Arial"/>
          <w:sz w:val="17"/>
          <w:szCs w:val="17"/>
          <w:color w:val="auto"/>
        </w:rPr>
        <w:t>Adjusted free cash flow decreased year over year by $121.1 million for the six months ended December 31, 2022, due to the operating cash flow decrease described above.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29" w:lineRule="exact"/>
        <w:rPr>
          <w:sz w:val="20"/>
          <w:szCs w:val="20"/>
          <w:color w:val="auto"/>
        </w:rPr>
      </w:pPr>
    </w:p>
    <w:p>
      <w:pPr>
        <w:ind w:right="100" w:firstLine="623"/>
        <w:spacing w:after="0" w:line="268" w:lineRule="auto"/>
        <w:rPr>
          <w:sz w:val="20"/>
          <w:szCs w:val="20"/>
          <w:color w:val="auto"/>
        </w:rPr>
      </w:pPr>
      <w:r>
        <w:rPr>
          <w:rFonts w:ascii="Arial" w:cs="Arial" w:eastAsia="Arial" w:hAnsi="Arial"/>
          <w:sz w:val="17"/>
          <w:szCs w:val="17"/>
          <w:color w:val="auto"/>
        </w:rPr>
        <w:t>Our businesses generate revenue primarily from the sale and shipment of customized products. We also generate revenue, to a much lesser extent (and primarily in our Vista business), from digital services, graphic design services, website design and hosting, and email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87" w:lineRule="exact"/>
        <w:rPr>
          <w:sz w:val="20"/>
          <w:szCs w:val="20"/>
          <w:color w:val="auto"/>
        </w:rPr>
      </w:pPr>
    </w:p>
    <w:p>
      <w:pPr>
        <w:ind w:right="140" w:firstLine="623"/>
        <w:spacing w:after="0" w:line="295" w:lineRule="auto"/>
        <w:rPr>
          <w:sz w:val="20"/>
          <w:szCs w:val="20"/>
          <w:color w:val="auto"/>
        </w:rPr>
      </w:pPr>
      <w:r>
        <w:rPr>
          <w:rFonts w:ascii="Arial" w:cs="Arial" w:eastAsia="Arial" w:hAnsi="Arial"/>
          <w:sz w:val="17"/>
          <w:szCs w:val="17"/>
          <w:color w:val="auto"/>
        </w:rPr>
        <w:t>Total revenue and revenue growth by reportable segment for the three and six months ended December 31, 2022 and 2021 are shown in the following table: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6"/>
            <w:vMerge w:val="restart"/>
          </w:tcPr>
          <w:p>
            <w:pPr>
              <w:jc w:val="right"/>
              <w:ind w:right="144"/>
              <w:spacing w:after="0"/>
              <w:rPr>
                <w:sz w:val="20"/>
                <w:szCs w:val="20"/>
                <w:color w:val="auto"/>
              </w:rPr>
            </w:pPr>
            <w:r>
              <w:rPr>
                <w:rFonts w:ascii="Arial" w:cs="Arial" w:eastAsia="Arial" w:hAnsi="Arial"/>
                <w:sz w:val="12"/>
                <w:szCs w:val="12"/>
                <w:b w:val="1"/>
                <w:bCs w:val="1"/>
                <w:color w:val="auto"/>
              </w:rPr>
              <w:t>Three Months Ended December 31,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82"/>
        </w:trPr>
        <w:tc>
          <w:tcPr>
            <w:tcW w:w="20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7" w:lineRule="exact"/>
              <w:rPr>
                <w:sz w:val="20"/>
                <w:szCs w:val="20"/>
                <w:color w:val="auto"/>
              </w:rPr>
            </w:pPr>
            <w:r>
              <w:rPr>
                <w:rFonts w:ascii="Arial" w:cs="Arial" w:eastAsia="Arial" w:hAnsi="Arial"/>
                <w:sz w:val="11"/>
                <w:szCs w:val="11"/>
                <w:b w:val="1"/>
                <w:bCs w:val="1"/>
                <w:color w:val="auto"/>
              </w:rPr>
              <w:t>Excluding</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326"/>
              <w:spacing w:after="0"/>
              <w:rPr>
                <w:sz w:val="20"/>
                <w:szCs w:val="20"/>
                <w:color w:val="auto"/>
              </w:rPr>
            </w:pPr>
            <w:r>
              <w:rPr>
                <w:rFonts w:ascii="Arial" w:cs="Arial" w:eastAsia="Arial" w:hAnsi="Arial"/>
                <w:sz w:val="12"/>
                <w:szCs w:val="12"/>
                <w:b w:val="1"/>
                <w:bCs w:val="1"/>
                <w:color w:val="auto"/>
              </w:rPr>
              <w:t>2022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2"/>
                <w:szCs w:val="12"/>
                <w:b w:val="1"/>
                <w:bCs w:val="1"/>
                <w:color w:val="auto"/>
              </w:rPr>
              <w:t>2021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78"/>
        </w:trPr>
        <w:tc>
          <w:tcPr>
            <w:tcW w:w="20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437,736</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448,114</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148,598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137,694</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90,130</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120,621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124,717</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57,719</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Inter-segment eliminations</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(11,087)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(8,658)</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845,202</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849,716</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line="20" w:lineRule="exact"/>
              <w:rPr>
                <w:sz w:val="1"/>
                <w:szCs w:val="1"/>
                <w:color w:val="auto"/>
              </w:rPr>
            </w:pPr>
          </w:p>
        </w:tc>
      </w:tr>
      <w:tr>
        <w:trPr>
          <w:trHeight w:val="322"/>
        </w:trPr>
        <w:tc>
          <w:tcPr>
            <w:tcW w:w="2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6"/>
            <w:vMerge w:val="restart"/>
          </w:tcPr>
          <w:p>
            <w:pPr>
              <w:jc w:val="right"/>
              <w:ind w:right="244"/>
              <w:spacing w:after="0"/>
              <w:rPr>
                <w:sz w:val="20"/>
                <w:szCs w:val="20"/>
                <w:color w:val="auto"/>
              </w:rPr>
            </w:pPr>
            <w:r>
              <w:rPr>
                <w:rFonts w:ascii="Arial" w:cs="Arial" w:eastAsia="Arial" w:hAnsi="Arial"/>
                <w:sz w:val="12"/>
                <w:szCs w:val="12"/>
                <w:b w:val="1"/>
                <w:bCs w:val="1"/>
                <w:color w:val="auto"/>
              </w:rPr>
              <w:t>Six Months Ended December 31,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20" w:type="dxa"/>
            <w:vAlign w:val="bottom"/>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97"/>
        </w:trPr>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7" w:lineRule="exact"/>
              <w:rPr>
                <w:sz w:val="20"/>
                <w:szCs w:val="20"/>
                <w:color w:val="auto"/>
              </w:rPr>
            </w:pPr>
            <w:r>
              <w:rPr>
                <w:rFonts w:ascii="Arial" w:cs="Arial" w:eastAsia="Arial" w:hAnsi="Arial"/>
                <w:sz w:val="11"/>
                <w:szCs w:val="11"/>
                <w:b w:val="1"/>
                <w:bCs w:val="1"/>
                <w:color w:val="auto"/>
              </w:rPr>
              <w:t>Excluding</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2022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2"/>
                <w:szCs w:val="12"/>
                <w:b w:val="1"/>
                <w:bCs w:val="1"/>
                <w:color w:val="auto"/>
              </w:rPr>
              <w:t>2021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78"/>
        </w:trPr>
        <w:tc>
          <w:tcPr>
            <w:tcW w:w="20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807,105</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797,594</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281,297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263,051</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22%</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20%</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166,159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162,950</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202,287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193,981</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105,590</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Inter-segment eliminations</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(20,056)</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(15,851)</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1,548,617</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1,507,315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34" w:lineRule="exact"/>
        <w:rPr>
          <w:sz w:val="20"/>
          <w:szCs w:val="20"/>
          <w:color w:val="auto"/>
        </w:rPr>
      </w:pPr>
    </w:p>
    <w:p>
      <w:pPr>
        <w:ind w:left="240" w:right="140" w:hanging="236"/>
        <w:spacing w:after="0" w:line="266"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p>
      <w:pPr>
        <w:ind w:left="240" w:right="60" w:hanging="236"/>
        <w:spacing w:after="0" w:line="254" w:lineRule="auto"/>
        <w:tabs>
          <w:tab w:leader="none" w:pos="214"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 For example, revenue from 99designs, which we acquired on October 1, 2020 in Q2 2021, is excluded from revenue growth in Q1 of fiscal year 2022 since there are no full quarter results in the comparable period, but revenue is included in revenue growth for Q2 through Q4 of fiscal year 2022. Our reportable segments-related growth is inclusive of inter-segment revenues, which are eliminated in our consolidated results.</w:t>
      </w:r>
    </w:p>
    <w:p>
      <w:pPr>
        <w:spacing w:after="0" w:line="4" w:lineRule="exact"/>
        <w:rPr>
          <w:rFonts w:ascii="Arial" w:cs="Arial" w:eastAsia="Arial" w:hAnsi="Arial"/>
          <w:sz w:val="14"/>
          <w:szCs w:val="14"/>
          <w:color w:val="auto"/>
        </w:rPr>
      </w:pPr>
    </w:p>
    <w:p>
      <w:pPr>
        <w:ind w:left="240" w:right="40"/>
        <w:spacing w:after="0" w:line="266" w:lineRule="auto"/>
        <w:rPr>
          <w:rFonts w:ascii="Arial" w:cs="Arial" w:eastAsia="Arial" w:hAnsi="Arial"/>
          <w:sz w:val="14"/>
          <w:szCs w:val="14"/>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Cost of Revenue</w:t>
      </w:r>
    </w:p>
    <w:p>
      <w:pPr>
        <w:spacing w:after="0" w:line="207"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4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7"/>
                <w:szCs w:val="17"/>
                <w:color w:val="auto"/>
              </w:rPr>
            </w:pPr>
          </w:p>
        </w:tc>
        <w:tc>
          <w:tcPr>
            <w:tcW w:w="3160" w:type="dxa"/>
            <w:vAlign w:val="bottom"/>
            <w:gridSpan w:val="5"/>
          </w:tcPr>
          <w:p>
            <w:pPr>
              <w:ind w:left="320"/>
              <w:spacing w:after="0"/>
              <w:rPr>
                <w:sz w:val="20"/>
                <w:szCs w:val="20"/>
                <w:color w:val="auto"/>
              </w:rPr>
            </w:pPr>
            <w:r>
              <w:rPr>
                <w:rFonts w:ascii="Arial" w:cs="Arial" w:eastAsia="Arial" w:hAnsi="Arial"/>
                <w:sz w:val="12"/>
                <w:szCs w:val="12"/>
                <w:b w:val="1"/>
                <w:bCs w:val="1"/>
                <w:color w:val="auto"/>
              </w:rPr>
              <w:t>Three Months Ended December 31,</w:t>
            </w:r>
          </w:p>
        </w:tc>
        <w:tc>
          <w:tcPr>
            <w:tcW w:w="420" w:type="dxa"/>
            <w:vAlign w:val="bottom"/>
          </w:tcPr>
          <w:p>
            <w:pPr>
              <w:spacing w:after="0"/>
              <w:rPr>
                <w:sz w:val="17"/>
                <w:szCs w:val="17"/>
                <w:color w:val="auto"/>
              </w:rPr>
            </w:pPr>
          </w:p>
        </w:tc>
        <w:tc>
          <w:tcPr>
            <w:tcW w:w="3080" w:type="dxa"/>
            <w:vAlign w:val="bottom"/>
            <w:gridSpan w:val="4"/>
          </w:tcPr>
          <w:p>
            <w:pPr>
              <w:jc w:val="right"/>
              <w:ind w:right="748"/>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414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2021</w:t>
            </w:r>
          </w:p>
        </w:tc>
      </w:tr>
      <w:tr>
        <w:trPr>
          <w:trHeight w:val="20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455,393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423,937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833,128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762,926</w:t>
            </w:r>
          </w:p>
        </w:tc>
      </w:tr>
      <w:tr>
        <w:trPr>
          <w:trHeight w:val="206"/>
        </w:trPr>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53.9 %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49.9 %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53.8 %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50.6 %</w:t>
            </w:r>
          </w:p>
        </w:tc>
      </w:tr>
    </w:tbl>
    <w:p>
      <w:pPr>
        <w:spacing w:after="0" w:line="167" w:lineRule="exact"/>
        <w:rPr>
          <w:sz w:val="20"/>
          <w:szCs w:val="20"/>
          <w:color w:val="auto"/>
        </w:rPr>
      </w:pPr>
    </w:p>
    <w:p>
      <w:pPr>
        <w:ind w:right="20" w:firstLine="623"/>
        <w:spacing w:after="0" w:line="260" w:lineRule="auto"/>
        <w:rPr>
          <w:sz w:val="20"/>
          <w:szCs w:val="20"/>
          <w:color w:val="auto"/>
        </w:rPr>
      </w:pPr>
      <w:r>
        <w:rPr>
          <w:rFonts w:ascii="Arial" w:cs="Arial" w:eastAsia="Arial" w:hAnsi="Arial"/>
          <w:sz w:val="17"/>
          <w:szCs w:val="17"/>
          <w:color w:val="auto"/>
        </w:rPr>
        <w:t>For the three and six months ended December 31, 2022, cost of revenue increased by $31.5 million and $70.2 million, respectively, as compared to the prior year periods, primarily due to the continued effects of global supply chain challenges that resulted in increased costs for product substrates like paper, production materials like aluminum plates, freight and shipping charges, and energy costs, as well as additional variable cost increases driven by the constant-currency revenue growth described above. Compensation costs were also higher due to the combination of a more competitive labor market and the inflationary environment in many jurisdictions where we operate. The overall impact of increased costs, net of pricing increases and manufacturing efficiencies, had varying impacts on our businesses during the three and six months ended December 31, 2022. We expect higher input costs to persist, although we are unable to predict for how long. We believe we are advantaged in this environment versus smaller competitors because our scale provides us with a stronger supplier negotiation position for both costs and availability of supply.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282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December 31,</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64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2022 vs. 2021</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2022 vs. 2021</w:t>
            </w:r>
          </w:p>
        </w:tc>
        <w:tc>
          <w:tcPr>
            <w:tcW w:w="0" w:type="dxa"/>
            <w:vAlign w:val="bottom"/>
          </w:tcPr>
          <w:p>
            <w:pPr>
              <w:spacing w:after="0"/>
              <w:rPr>
                <w:sz w:val="1"/>
                <w:szCs w:val="1"/>
                <w:color w:val="auto"/>
              </w:rPr>
            </w:pPr>
          </w:p>
        </w:tc>
      </w:tr>
      <w:tr>
        <w:trPr>
          <w:trHeight w:val="137"/>
        </w:trPr>
        <w:tc>
          <w:tcPr>
            <w:tcW w:w="26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Technology and development</w:t>
            </w: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77,723</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70,267</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8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152,198</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137,544</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8.3 %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9.1 %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205,148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208,616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406,078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383,313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24.3 %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24.6 %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26.2 %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General and administrative</w:t>
            </w: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49,791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46,726</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103,863</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93,274</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5.9 %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5.5 %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6.2 %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Amortization of acquired</w:t>
            </w: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12,362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13,882</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24,712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27,340</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assets</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1.6 %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 (1)</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11,207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3,550%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13,027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651,450%</w:t>
            </w: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(1) Refer to Note 13 in our accompanying consolidated financial statements for additional details relating to restructuring expense.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194"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Technology and development expenses increased by $7.5 million and $14.7 million for the three and six months ended December 31,</w:t>
      </w:r>
    </w:p>
    <w:p>
      <w:pPr>
        <w:spacing w:after="0" w:line="15" w:lineRule="exact"/>
        <w:rPr>
          <w:sz w:val="20"/>
          <w:szCs w:val="20"/>
          <w:color w:val="auto"/>
        </w:rPr>
      </w:pPr>
    </w:p>
    <w:p>
      <w:pPr>
        <w:ind w:right="340"/>
        <w:spacing w:after="0" w:line="227" w:lineRule="auto"/>
        <w:rPr>
          <w:sz w:val="20"/>
          <w:szCs w:val="20"/>
          <w:color w:val="auto"/>
        </w:rPr>
      </w:pPr>
      <w:r>
        <w:rPr>
          <w:rFonts w:ascii="Arial" w:cs="Arial" w:eastAsia="Arial" w:hAnsi="Arial"/>
          <w:sz w:val="17"/>
          <w:szCs w:val="17"/>
          <w:color w:val="auto"/>
        </w:rPr>
        <w:t>2022, respectively, as compared to the prior year periods. This increase is primarily driven by increased volume-related third-party technology costs due in part to higher customer demand. In addition, compensation costs increased year-over-year by $1.4 million and $4.4 million for the three and six months ended December 31, 2022, respectively, due to increases from our inflation-adjusted annual merit cycle and market adjustments. Other operating costs increased due to higher travel and training costs. These increases were partially offset by cost savings</w:t>
      </w:r>
    </w:p>
    <w:p>
      <w:pPr>
        <w:spacing w:after="0"/>
        <w:rPr>
          <w:sz w:val="20"/>
          <w:szCs w:val="20"/>
          <w:color w:val="auto"/>
        </w:rPr>
      </w:pPr>
      <w:r>
        <w:rPr>
          <w:rFonts w:ascii="Arial" w:cs="Arial" w:eastAsia="Arial" w:hAnsi="Arial"/>
          <w:sz w:val="17"/>
          <w:szCs w:val="17"/>
          <w:color w:val="auto"/>
        </w:rPr>
        <w:t>resulting from restructuring actions that reduced headcount in the fourth quarter of fiscal year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three and six months ended December 31, 2022, marketing and selling expenses decreased by $3.5 million and increased by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$22.8 million, respectively, as compared to the prior year periods. The decrease for the three months ended December 31, 2022 was primarily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driven by favorable impacts from currency exchange rate fluctuations, partially offset by increased advertising spend of $5.1 million, with increased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spend across most businesses. The increased spend for the six months ended December 31, 2022 was due to higher advertising spend of</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$25.8 million across Cimpress (including increases in mid- and upper-funnel spend, partially offset by lower performance advertising in Vista) and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higher compensation costs in Vista year over year.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94" w:lineRule="exact"/>
        <w:rPr>
          <w:sz w:val="20"/>
          <w:szCs w:val="20"/>
          <w:color w:val="auto"/>
        </w:rPr>
      </w:pPr>
    </w:p>
    <w:p>
      <w:pPr>
        <w:ind w:right="180" w:firstLine="623"/>
        <w:spacing w:after="0" w:line="295"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30"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For the three and six months ended December 31, 2022, general and administrative expenses increased by $3.1 million and $10.6 million, respectively, as compared to the prior year periods. Compensation costs increased year over year from higher headcount and the impacts of our inflation-adjusted annual merit cycle. Other cost increases included higher travel and training costs and consulting spend.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 net</w:t>
      </w:r>
    </w:p>
    <w:p>
      <w:pPr>
        <w:spacing w:after="0" w:line="207"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32" w:name="page33"/>
    <w:bookmarkEnd w:id="32"/>
    <w:p>
      <w:pPr>
        <w:ind w:left="620"/>
        <w:spacing w:after="0"/>
        <w:rPr>
          <w:sz w:val="20"/>
          <w:szCs w:val="20"/>
          <w:color w:val="auto"/>
        </w:rPr>
      </w:pPr>
      <w:r>
        <w:rPr>
          <w:rFonts w:ascii="Arial" w:cs="Arial" w:eastAsia="Arial" w:hAnsi="Arial"/>
          <w:sz w:val="17"/>
          <w:szCs w:val="17"/>
          <w:color w:val="auto"/>
        </w:rPr>
        <w:t>The following table summarizes the components of other (expense) income, net:</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5"/>
          </w:tcPr>
          <w:p>
            <w:pPr>
              <w:ind w:left="320"/>
              <w:spacing w:after="0"/>
              <w:rPr>
                <w:sz w:val="20"/>
                <w:szCs w:val="20"/>
                <w:color w:val="auto"/>
              </w:rPr>
            </w:pPr>
            <w:r>
              <w:rPr>
                <w:rFonts w:ascii="Arial" w:cs="Arial" w:eastAsia="Arial" w:hAnsi="Arial"/>
                <w:sz w:val="12"/>
                <w:szCs w:val="12"/>
                <w:b w:val="1"/>
                <w:bCs w:val="1"/>
                <w:color w:val="auto"/>
              </w:rPr>
              <w:t>Three Months Ended December 31,</w:t>
            </w:r>
          </w:p>
        </w:tc>
        <w:tc>
          <w:tcPr>
            <w:tcW w:w="4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666"/>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(Losses) gains on derivatives not designated as hedging</w:t>
            </w:r>
          </w:p>
        </w:tc>
        <w:tc>
          <w:tcPr>
            <w:tcW w:w="40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(24,196)</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6,481</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19,808</w:t>
            </w:r>
          </w:p>
        </w:tc>
        <w:tc>
          <w:tcPr>
            <w:tcW w:w="0" w:type="dxa"/>
            <w:vAlign w:val="bottom"/>
          </w:tcPr>
          <w:p>
            <w:pPr>
              <w:spacing w:after="0"/>
              <w:rPr>
                <w:sz w:val="1"/>
                <w:szCs w:val="1"/>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40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Currency-related gains, net</w:t>
            </w:r>
          </w:p>
        </w:tc>
        <w:tc>
          <w:tcPr>
            <w:tcW w:w="40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6"/>
                <w:szCs w:val="16"/>
                <w:color w:val="auto"/>
              </w:rPr>
              <w:t>6,227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5,551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5,874</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Arial" w:cs="Arial" w:eastAsia="Arial" w:hAnsi="Arial"/>
                <w:sz w:val="16"/>
                <w:szCs w:val="16"/>
                <w:color w:val="auto"/>
              </w:rPr>
              <w:t>Total other (expense) income, net</w:t>
            </w: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12,839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26,009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80" w:firstLine="623"/>
        <w:spacing w:after="0" w:line="275" w:lineRule="auto"/>
        <w:rPr>
          <w:sz w:val="20"/>
          <w:szCs w:val="20"/>
          <w:color w:val="auto"/>
        </w:rPr>
      </w:pPr>
      <w:r>
        <w:rPr>
          <w:rFonts w:ascii="Arial" w:cs="Arial" w:eastAsia="Arial" w:hAnsi="Arial"/>
          <w:sz w:val="17"/>
          <w:szCs w:val="17"/>
          <w:color w:val="auto"/>
        </w:rPr>
        <w:t>The decrease in other (expense) income,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w:t>
      </w:r>
    </w:p>
    <w:p>
      <w:pPr>
        <w:spacing w:after="0" w:line="133"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We experienced currency-related gains due to currency exchange rate volatility on our non-functional currency intercompany relationships, which we may alter from time to time. The impact of certain cross-currency swap contracts designated as cash flow hedges is included in our currency-related gains, net, offsetting the impact of certain non-functional currency intercompany relationships.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07"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Interest expense, net primarily consists of interest paid on outstanding debt balances, amortization of debt issuance costs, debt discounts, interest related to finance lease obligations and realized gains (losses) on effective interest rate swap contracts and certain cross-currency swap contracts. In addition, accretion adjustments related to our mandatorily redeemable noncontrolling interests are recognized in interest expense, net. Refer to Note 7 in the accompanying consolidated financial statements for additional details.</w:t>
      </w:r>
    </w:p>
    <w:p>
      <w:pPr>
        <w:spacing w:after="0" w:line="139"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Interest expense, net increased by $3.2 million and $2.3 million during the three and six months ended December 31, 2022, respectively, as compared to the prior year periods, primarily due to an accretion adjustment of $2.1 million during the second quarter of fiscal year 2023 for our mandatorily redeemable noncontrolling interests. In addition, the interest expense, net increase was impacted by a higher weighted-average interest rate, partially offset by an increase in interest income earned on our cash and marketable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rPr>
              <w:t>Three Months Ended December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4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2021</w:t>
            </w:r>
          </w:p>
        </w:tc>
      </w:tr>
      <w:tr>
        <w:trPr>
          <w:trHeight w:val="20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126,129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98"/>
              </w:rPr>
              <w:t>17,298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135,494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26,679</w:t>
            </w:r>
          </w:p>
        </w:tc>
      </w:tr>
      <w:tr>
        <w:trPr>
          <w:trHeight w:val="206"/>
        </w:trPr>
        <w:tc>
          <w:tcPr>
            <w:tcW w:w="414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400" w:type="dxa"/>
            <w:vAlign w:val="bottom"/>
          </w:tcPr>
          <w:p>
            <w:pPr>
              <w:spacing w:after="0"/>
              <w:rPr>
                <w:sz w:val="17"/>
                <w:szCs w:val="17"/>
                <w:color w:val="auto"/>
              </w:rPr>
            </w:pPr>
          </w:p>
        </w:tc>
        <w:tc>
          <w:tcPr>
            <w:tcW w:w="1280" w:type="dxa"/>
            <w:vAlign w:val="bottom"/>
          </w:tcPr>
          <w:p>
            <w:pPr>
              <w:ind w:left="500"/>
              <w:spacing w:after="0"/>
              <w:rPr>
                <w:sz w:val="20"/>
                <w:szCs w:val="20"/>
                <w:color w:val="auto"/>
              </w:rPr>
            </w:pPr>
            <w:r>
              <w:rPr>
                <w:rFonts w:ascii="Arial" w:cs="Arial" w:eastAsia="Arial" w:hAnsi="Arial"/>
                <w:sz w:val="16"/>
                <w:szCs w:val="16"/>
                <w:i w:val="1"/>
                <w:iCs w:val="1"/>
                <w:color w:val="auto"/>
                <w:w w:val="97"/>
              </w:rPr>
              <w:t>(1,016.3)%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23.6 %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(487.6)%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34.3 %</w:t>
            </w:r>
          </w:p>
        </w:tc>
      </w:tr>
    </w:tbl>
    <w:p>
      <w:pPr>
        <w:spacing w:after="0" w:line="297"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Income tax expense for the three and six months ended December 31, 2022 increased versus the prior comparative periods. During the second quarter of fiscal 2023, we recorded a full valuation allowance on Swiss deferred tax assets of $116.7 million primarily related to Swiss tax reform benefits recognized in fiscal 2020 and tax loss carryforwards. As of December 31, 2022, we concluded that objective and verifiable negative evidence of recent losses in Switzerland outweighed more subjective positive evidence of anticipated future income.</w:t>
      </w:r>
    </w:p>
    <w:p>
      <w:pPr>
        <w:spacing w:after="0" w:line="191" w:lineRule="exact"/>
        <w:rPr>
          <w:sz w:val="20"/>
          <w:szCs w:val="20"/>
          <w:color w:val="auto"/>
        </w:rPr>
      </w:pPr>
    </w:p>
    <w:p>
      <w:pPr>
        <w:ind w:right="100" w:firstLine="623"/>
        <w:spacing w:after="0" w:line="268"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209" w:lineRule="exact"/>
        <w:rPr>
          <w:sz w:val="20"/>
          <w:szCs w:val="20"/>
          <w:color w:val="auto"/>
        </w:rPr>
      </w:pPr>
    </w:p>
    <w:p>
      <w:pPr>
        <w:ind w:right="160" w:firstLine="623"/>
        <w:spacing w:after="0" w:line="275"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plus share-based compensation expense related to investment consideration; plus earn-out related charges; plus certain impairments; plus restructuring</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related charges; less gain on purchase or sale of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Vista</w:t>
      </w:r>
    </w:p>
    <w:p>
      <w:pPr>
        <w:spacing w:after="0" w:line="194"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During the fourth quarter of fiscal year 2022, we revised our internal reporting to reallocate certain third-party technology costs that were previously held within our Central and corporate costs to our Vista business and reportable segment. These include certain third-party costs that are variable in nature and the cost variability is primarily driven by decisions or volumes in the Vista business. We revised our presentation of all prior periods presented to reflect our updated segment reporting, which decreased both Vista segment EBITDA and Central and corporate costs by $1.9 million and $3.0 million, respectively, for the three and six months ended December 31,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6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437,736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448,114</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8"/>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807,105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797,594</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1%</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55,157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90,766</w:t>
            </w:r>
          </w:p>
        </w:tc>
        <w:tc>
          <w:tcPr>
            <w:tcW w:w="100" w:type="dxa"/>
            <w:vAlign w:val="bottom"/>
          </w:tcPr>
          <w:p>
            <w:pPr>
              <w:spacing w:after="0"/>
              <w:rPr>
                <w:sz w:val="17"/>
                <w:szCs w:val="17"/>
                <w:color w:val="auto"/>
              </w:rPr>
            </w:pPr>
          </w:p>
        </w:tc>
        <w:tc>
          <w:tcPr>
            <w:tcW w:w="1120" w:type="dxa"/>
            <w:vAlign w:val="bottom"/>
          </w:tcPr>
          <w:p>
            <w:pPr>
              <w:jc w:val="right"/>
              <w:ind w:right="268"/>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85,894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157,686</w:t>
            </w:r>
          </w:p>
        </w:tc>
        <w:tc>
          <w:tcPr>
            <w:tcW w:w="80" w:type="dxa"/>
            <w:vAlign w:val="bottom"/>
          </w:tcPr>
          <w:p>
            <w:pPr>
              <w:spacing w:after="0"/>
              <w:rPr>
                <w:sz w:val="17"/>
                <w:szCs w:val="17"/>
                <w:color w:val="auto"/>
              </w:rPr>
            </w:pPr>
          </w:p>
        </w:tc>
        <w:tc>
          <w:tcPr>
            <w:tcW w:w="1120" w:type="dxa"/>
            <w:vAlign w:val="bottom"/>
          </w:tcPr>
          <w:p>
            <w:pPr>
              <w:jc w:val="right"/>
              <w:ind w:right="268"/>
              <w:spacing w:after="0"/>
              <w:rPr>
                <w:sz w:val="20"/>
                <w:szCs w:val="20"/>
                <w:color w:val="auto"/>
              </w:rPr>
            </w:pPr>
            <w:r>
              <w:rPr>
                <w:rFonts w:ascii="Arial" w:cs="Arial" w:eastAsia="Arial" w:hAnsi="Arial"/>
                <w:sz w:val="16"/>
                <w:szCs w:val="16"/>
                <w:color w:val="auto"/>
              </w:rPr>
              <w:t>(46)%</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20" w:firstLine="623"/>
        <w:spacing w:after="0" w:line="260" w:lineRule="auto"/>
        <w:rPr>
          <w:sz w:val="20"/>
          <w:szCs w:val="20"/>
          <w:color w:val="auto"/>
        </w:rPr>
      </w:pPr>
      <w:r>
        <w:rPr>
          <w:rFonts w:ascii="Arial" w:cs="Arial" w:eastAsia="Arial" w:hAnsi="Arial"/>
          <w:sz w:val="17"/>
          <w:szCs w:val="17"/>
          <w:color w:val="auto"/>
        </w:rPr>
        <w:t>Vista's reported revenue growth for the three and six months ended December 31, 2022 was negatively affected by a currency impact of 4% in both periods. Vista's organic constant-currency revenue growth was 2% and 5%, respectively, for the three and six months ended December 31, 2022. Constant-currency revenue growth remained stronger in Europe, and constant-currency revenue in North America was flat during the typically seasonally significant second quarter. From a product perspective, the strongest growth was in the promotional products, apparel and gifts (PPAG) category, while holiday cards and invitations and announcements declined year over year particularly in the U.S. market. For the three and six months ended December 31, 2022, revenue growth was negatively impacted year over year by a decline in face mask sales of $3.4 million and $8.5 million, respectively, as well as lower revenue year over year of $2.6 million and $3.2 million, respectively, due to our planned exit from the Japanese market.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For the three and six months ended December 31, 2022, segment EBITDA declined by $35.6 million and $71.8 million, respectively. Gross profit declined year over year due to cost inflation partially offset by price increases, unfavorable changes in product mix, and negative currency impacts. Vista is experiencing the fastest growth in categories like promotional products, apparel and gifts that have lower gross margins despite higher average order values. Vista's advertising expense increased by $3.5 million and $23.5 million for the three and six months ended December 31, 2022, respectively, driven by higher mid- and upper-funnel advertising which we are testing in certain markets as we believe it may improve awareness and consideration with customers and prospects, as well as reduce our reliance on paid search advertising. The increase to higher mid- and upper-funnel advertising spend was partially offset by reduced performance advertising spend for both periods presented.</w:t>
      </w:r>
    </w:p>
    <w:p>
      <w:pPr>
        <w:spacing w:after="0" w:line="147" w:lineRule="exact"/>
        <w:rPr>
          <w:sz w:val="20"/>
          <w:szCs w:val="20"/>
          <w:color w:val="auto"/>
        </w:rPr>
      </w:pPr>
    </w:p>
    <w:p>
      <w:pPr>
        <w:ind w:right="100" w:firstLine="623"/>
        <w:spacing w:after="0" w:line="261" w:lineRule="auto"/>
        <w:rPr>
          <w:sz w:val="20"/>
          <w:szCs w:val="20"/>
          <w:color w:val="auto"/>
        </w:rPr>
      </w:pPr>
      <w:r>
        <w:rPr>
          <w:rFonts w:ascii="Arial" w:cs="Arial" w:eastAsia="Arial" w:hAnsi="Arial"/>
          <w:sz w:val="17"/>
          <w:szCs w:val="17"/>
          <w:color w:val="auto"/>
        </w:rPr>
        <w:t>For the three and six months ended December 31, 2022, operating expenses increased $6.1 million and $10.6 million, respectively, year over year. The increase for the year-to-date period is primarily due to increased growth investments made last year, which is lower sequentially as the investments have largely been lapped during the current quarter. These cost increases primarily relate to growth investments that include the hiring of talent, especially in user experience, design, product management, and data and analytics, as well as the impacts of inflation-adjusted merit increases effective July 1, 2022 that were larger than recent years. Increased investment in our VistaCreate business (acquired with Depositphotos in October 2021) also negatively impacted Vista's segment EBITDA results by approximately $2.1 million for the six months ended December 31, 2022. The investments are partially offset by the benefits from recent restructuring actions as well as further cost savings actions.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PrintBrothers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2022 vs. 2021</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148,598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137,694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281,297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263,051</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7%</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6"/>
                <w:szCs w:val="16"/>
                <w:color w:val="auto"/>
              </w:rPr>
              <w:t>19,509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18,605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34,500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34,888</w:t>
            </w:r>
          </w:p>
        </w:tc>
        <w:tc>
          <w:tcPr>
            <w:tcW w:w="80" w:type="dxa"/>
            <w:vAlign w:val="bottom"/>
          </w:tcPr>
          <w:p>
            <w:pPr>
              <w:spacing w:after="0"/>
              <w:rPr>
                <w:sz w:val="17"/>
                <w:szCs w:val="17"/>
                <w:color w:val="auto"/>
              </w:rPr>
            </w:pPr>
          </w:p>
        </w:tc>
        <w:tc>
          <w:tcPr>
            <w:tcW w:w="1120" w:type="dxa"/>
            <w:vAlign w:val="bottom"/>
          </w:tcPr>
          <w:p>
            <w:pPr>
              <w:jc w:val="right"/>
              <w:ind w:right="308"/>
              <w:spacing w:after="0"/>
              <w:rPr>
                <w:sz w:val="20"/>
                <w:szCs w:val="20"/>
                <w:color w:val="auto"/>
              </w:rPr>
            </w:pPr>
            <w:r>
              <w:rPr>
                <w:rFonts w:ascii="Arial" w:cs="Arial" w:eastAsia="Arial" w:hAnsi="Arial"/>
                <w:sz w:val="16"/>
                <w:szCs w:val="16"/>
                <w:color w:val="auto"/>
              </w:rPr>
              <w:t>(1)%</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40" w:firstLine="623"/>
        <w:spacing w:after="0" w:line="275" w:lineRule="auto"/>
        <w:rPr>
          <w:sz w:val="20"/>
          <w:szCs w:val="20"/>
          <w:color w:val="auto"/>
        </w:rPr>
      </w:pPr>
      <w:r>
        <w:rPr>
          <w:rFonts w:ascii="Arial" w:cs="Arial" w:eastAsia="Arial" w:hAnsi="Arial"/>
          <w:sz w:val="17"/>
          <w:szCs w:val="17"/>
          <w:color w:val="auto"/>
        </w:rPr>
        <w:t>PrintBrothers' reported revenue growth for the three and six months ended December 31, 2022 was negatively affected by currency impacts of 12% and 15%, respectively, resulting in a constant-currency revenue growth of 20% and 22%, respectively. This strong growth was driven by the recent introduction of new products, growth in order volumes and price increases implemented to address inflationary cost increases.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120" w:firstLine="623"/>
        <w:spacing w:after="0" w:line="261" w:lineRule="auto"/>
        <w:rPr>
          <w:sz w:val="20"/>
          <w:szCs w:val="20"/>
          <w:color w:val="auto"/>
        </w:rPr>
      </w:pPr>
      <w:r>
        <w:rPr>
          <w:rFonts w:ascii="Arial" w:cs="Arial" w:eastAsia="Arial" w:hAnsi="Arial"/>
          <w:sz w:val="17"/>
          <w:szCs w:val="17"/>
          <w:color w:val="auto"/>
        </w:rPr>
        <w:t>Despite a challenging supply chain and inflationary environment, PrintBrothers' segment EBITDA for the three months ended December 31, 2022 grew year over year, driven by the constant-currency revenue growth described above, as well as profit contribution from a business acquired in the last twelve months. For the six months ended December 31, 2022, Euro-based profitability increases were more than offset by year-over-year currency fluctuations. Currency exchange fluctuations negatively impacted segment EBITDA year over year by $1.8 million and $3.9 million, for the three and six months ended December 31, 2022, respectively. We continue to focus on key areas within these businesses to exploit scale advantages and improve their cost competitiveness. These businesses also continue to adopt technologies that are part of our mass customization platform, which we believe will further improve customer value and the efficiency of each business over the long term.</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6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526"/>
              <w:spacing w:after="0"/>
              <w:rPr>
                <w:sz w:val="20"/>
                <w:szCs w:val="20"/>
                <w:color w:val="auto"/>
              </w:rPr>
            </w:pPr>
            <w:r>
              <w:rPr>
                <w:rFonts w:ascii="Arial" w:cs="Arial" w:eastAsia="Arial" w:hAnsi="Arial"/>
                <w:sz w:val="12"/>
                <w:szCs w:val="12"/>
                <w:b w:val="1"/>
                <w:bCs w:val="1"/>
                <w:color w:val="auto"/>
              </w:rPr>
              <w:t>Six Months Ended December 31,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2022 vs. 2021</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CCEEFF"/>
            </w:tcBorders>
          </w:tcPr>
          <w:p>
            <w:pPr>
              <w:ind w:left="180"/>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89,336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90,130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8"/>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166,159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162,950</w:t>
            </w:r>
          </w:p>
        </w:tc>
        <w:tc>
          <w:tcPr>
            <w:tcW w:w="1220" w:type="dxa"/>
            <w:vAlign w:val="bottom"/>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2%</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13,681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16,358</w:t>
            </w:r>
          </w:p>
        </w:tc>
        <w:tc>
          <w:tcPr>
            <w:tcW w:w="10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6"/>
                <w:szCs w:val="16"/>
                <w:color w:val="auto"/>
              </w:rPr>
              <w:t>25,901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30,747</w:t>
            </w:r>
          </w:p>
        </w:tc>
        <w:tc>
          <w:tcPr>
            <w:tcW w:w="1220" w:type="dxa"/>
            <w:vAlign w:val="bottom"/>
            <w:gridSpan w:val="2"/>
          </w:tcPr>
          <w:p>
            <w:pPr>
              <w:jc w:val="right"/>
              <w:ind w:right="279"/>
              <w:spacing w:after="0"/>
              <w:rPr>
                <w:sz w:val="20"/>
                <w:szCs w:val="20"/>
                <w:color w:val="auto"/>
              </w:rPr>
            </w:pPr>
            <w:r>
              <w:rPr>
                <w:rFonts w:ascii="Arial" w:cs="Arial" w:eastAsia="Arial" w:hAnsi="Arial"/>
                <w:sz w:val="16"/>
                <w:szCs w:val="16"/>
                <w:color w:val="auto"/>
              </w:rPr>
              <w:t>(16)%</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jc w:val="both"/>
        <w:ind w:right="120" w:firstLine="623"/>
        <w:spacing w:after="0" w:line="275" w:lineRule="auto"/>
        <w:rPr>
          <w:sz w:val="20"/>
          <w:szCs w:val="20"/>
          <w:color w:val="auto"/>
        </w:rPr>
      </w:pPr>
      <w:r>
        <w:rPr>
          <w:rFonts w:ascii="Arial" w:cs="Arial" w:eastAsia="Arial" w:hAnsi="Arial"/>
          <w:sz w:val="17"/>
          <w:szCs w:val="17"/>
          <w:color w:val="auto"/>
        </w:rPr>
        <w:t>The Print Group's reported revenue for the three and six months ended December 31, 2022 was negatively affected by a currency impact of 12% and 15%, respectively, resulting in an increase to revenue on a constant-currency basis of 11% and 17%, respectively. Constant-currency revenue growth was largely driven by price increases that have been implemented over the past year to address inflationary cost increases.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The decrease in The Print Group's segment EBITDA during the three and six months ended December 31, 2022, as compared to the prior year periods, was driven by cost increases that included higher input costs that are impacted by ongoing supply chain disruptions and higher shipping and energy costs, which more than offset the benefits from the revenue growth described above. For the three and six months ended December 31, 2022, currency exchange fluctuations negatively impacted segment EBITDA year over year by $1.7 million and $3.9 million,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10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120,621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124,717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8"/>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202,287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193,981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4%</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6"/>
                <w:szCs w:val="16"/>
                <w:color w:val="auto"/>
              </w:rPr>
              <w:t>24,783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31,599</w:t>
            </w:r>
          </w:p>
        </w:tc>
        <w:tc>
          <w:tcPr>
            <w:tcW w:w="10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23,486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23,551</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25 %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180" w:firstLine="623"/>
        <w:spacing w:after="0" w:line="265" w:lineRule="auto"/>
        <w:rPr>
          <w:sz w:val="20"/>
          <w:szCs w:val="20"/>
          <w:color w:val="auto"/>
        </w:rPr>
      </w:pPr>
      <w:r>
        <w:rPr>
          <w:rFonts w:ascii="Arial" w:cs="Arial" w:eastAsia="Arial" w:hAnsi="Arial"/>
          <w:sz w:val="17"/>
          <w:szCs w:val="17"/>
          <w:color w:val="auto"/>
        </w:rPr>
        <w:t>For the three and six months ended December 31, 2022, National Pen's revenue growth was negatively affected by currency impacts of 6% and 7%, respectively, resulting in constant-currency revenue growth of 3% and 11%, respectively. Constant-currency revenue growth was driven by price increases that have been implemented over the past year to address inflationary cost increases, as well as volume growth in new product categories that include bags and drinkware. The year-over-year decline in face mask sales impacted National Pen's revenue by approximately $3.2 million and $7.3 million for the three and six months ended December 21, 2022,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Segment Profitability</w:t>
      </w:r>
    </w:p>
    <w:p>
      <w:pPr>
        <w:spacing w:after="0" w:line="207" w:lineRule="exact"/>
        <w:rPr>
          <w:sz w:val="20"/>
          <w:szCs w:val="20"/>
          <w:color w:val="auto"/>
        </w:rPr>
      </w:pPr>
    </w:p>
    <w:p>
      <w:pPr>
        <w:jc w:val="both"/>
        <w:ind w:right="20" w:firstLine="623"/>
        <w:spacing w:after="0" w:line="268" w:lineRule="auto"/>
        <w:rPr>
          <w:sz w:val="20"/>
          <w:szCs w:val="20"/>
          <w:color w:val="auto"/>
        </w:rPr>
      </w:pPr>
      <w:r>
        <w:rPr>
          <w:rFonts w:ascii="Arial" w:cs="Arial" w:eastAsia="Arial" w:hAnsi="Arial"/>
          <w:sz w:val="17"/>
          <w:szCs w:val="17"/>
          <w:color w:val="auto"/>
        </w:rPr>
        <w:t>The decrease in National Pen's segment EBITDA for the three and six months ended December 31, 2022 was driven by negative currency impacts of $5.2 million and $5.4 million, respectively. Both gross margin and contribution margin were flat year over year when excluding currency impacts. National Pen has benefited from the start of cost reductions related to inbound and outbound freight costs that are more significant for this business given the extent of the supply chain that originates in China.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60" w:type="dxa"/>
            <w:vAlign w:val="bottom"/>
            <w:gridSpan w:val="5"/>
          </w:tcPr>
          <w:p>
            <w:pPr>
              <w:ind w:left="200"/>
              <w:spacing w:after="0"/>
              <w:rPr>
                <w:sz w:val="20"/>
                <w:szCs w:val="20"/>
                <w:color w:val="auto"/>
              </w:rPr>
            </w:pPr>
            <w:r>
              <w:rPr>
                <w:rFonts w:ascii="Arial" w:cs="Arial" w:eastAsia="Arial" w:hAnsi="Arial"/>
                <w:sz w:val="12"/>
                <w:szCs w:val="12"/>
                <w:b w:val="1"/>
                <w:bCs w:val="1"/>
                <w:color w:val="auto"/>
              </w:rPr>
              <w:t>Three Months Ended December 31,</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100" w:type="dxa"/>
            <w:vAlign w:val="bottom"/>
          </w:tcPr>
          <w:p>
            <w:pPr>
              <w:spacing w:after="0"/>
              <w:rPr>
                <w:sz w:val="17"/>
                <w:szCs w:val="17"/>
                <w:color w:val="auto"/>
              </w:rPr>
            </w:pPr>
          </w:p>
        </w:tc>
      </w:tr>
      <w:tr>
        <w:trPr>
          <w:trHeight w:val="161"/>
        </w:trPr>
        <w:tc>
          <w:tcPr>
            <w:tcW w:w="25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2022 vs. 2021</w:t>
            </w:r>
          </w:p>
        </w:tc>
      </w:tr>
      <w:tr>
        <w:trPr>
          <w:trHeight w:val="20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59,998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57,719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111,825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105,590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r>
      <w:tr>
        <w:trPr>
          <w:trHeight w:val="207"/>
        </w:trPr>
        <w:tc>
          <w:tcPr>
            <w:tcW w:w="256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5,406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6,264</w:t>
            </w:r>
          </w:p>
        </w:tc>
        <w:tc>
          <w:tcPr>
            <w:tcW w:w="10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11,584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6"/>
              <w:spacing w:after="0"/>
              <w:rPr>
                <w:sz w:val="20"/>
                <w:szCs w:val="20"/>
                <w:color w:val="auto"/>
              </w:rPr>
            </w:pPr>
            <w:r>
              <w:rPr>
                <w:rFonts w:ascii="Arial" w:cs="Arial" w:eastAsia="Arial" w:hAnsi="Arial"/>
                <w:sz w:val="16"/>
                <w:szCs w:val="16"/>
                <w:color w:val="auto"/>
              </w:rPr>
              <w:t>11,155</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4%</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This segment consists of BuildASign, which is a larger and profitable business, and Printi, an early-stage business that we have managed at a relatively modest operating loss as previously described and planned.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400" w:firstLine="623"/>
        <w:spacing w:after="0" w:line="275" w:lineRule="auto"/>
        <w:rPr>
          <w:sz w:val="20"/>
          <w:szCs w:val="20"/>
          <w:color w:val="auto"/>
        </w:rPr>
      </w:pPr>
      <w:r>
        <w:rPr>
          <w:rFonts w:ascii="Arial" w:cs="Arial" w:eastAsia="Arial" w:hAnsi="Arial"/>
          <w:sz w:val="17"/>
          <w:szCs w:val="17"/>
          <w:color w:val="auto"/>
        </w:rPr>
        <w:t>All Other Businesses' constant-currency revenue growth was 3% and 6% during the three and six months ended December 31, 2022, respectively. BuildASign's signage products grew at double-digit rates, while home decor products were flat during the seasonally significant second quarter. Printi delivered solid revenue growth across product lines and channels.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color w:val="auto"/>
        </w:rPr>
        <w:t>The decrease in segment EBITDA for the three months ended December 31, 2022 as compared to the three months ended December 31, 2021, was due to higher input costs that had a larger impact during BuildASign's seasonally important second quarter and its home decor products. The increase in segment EBITDA for the six months ended December 31, 2022 as compared to the six months ended December 31, 2021, was driven by higher revenue and increased marketing efficiencies at both businesses during the first quarter of the current year. As Printi grows, it continues to increase gross margins and contribution margins, driving closer to delivering a positive contribution to segment EBITDA.</w:t>
      </w:r>
    </w:p>
    <w:p>
      <w:pPr>
        <w:spacing w:after="0" w:line="154" w:lineRule="exact"/>
        <w:rPr>
          <w:sz w:val="20"/>
          <w:szCs w:val="20"/>
          <w:color w:val="auto"/>
        </w:rPr>
      </w:pPr>
    </w:p>
    <w:p>
      <w:pPr>
        <w:ind w:right="160" w:firstLine="623"/>
        <w:spacing w:after="0" w:line="275" w:lineRule="auto"/>
        <w:rPr>
          <w:sz w:val="20"/>
          <w:szCs w:val="20"/>
          <w:color w:val="auto"/>
        </w:rPr>
      </w:pPr>
      <w:r>
        <w:rPr>
          <w:rFonts w:ascii="Arial" w:cs="Arial" w:eastAsia="Arial" w:hAnsi="Arial"/>
          <w:sz w:val="17"/>
          <w:szCs w:val="17"/>
          <w:color w:val="auto"/>
        </w:rPr>
        <w:t>During the fourth quarter of fiscal year 2022, we decided to divest our small, loss-making business in China (YSD), which is reported as part of this segment. Our loss was lower this quarter due to the decreased operating expenses as we prepared to divest the business, which was completed in early January 2023.</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Central and Corporate Costs</w:t>
      </w:r>
    </w:p>
    <w:p>
      <w:pPr>
        <w:spacing w:after="0" w:line="196" w:lineRule="exact"/>
        <w:rPr>
          <w:sz w:val="20"/>
          <w:szCs w:val="20"/>
          <w:color w:val="auto"/>
        </w:rPr>
      </w:pPr>
    </w:p>
    <w:p>
      <w:pPr>
        <w:ind w:right="26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54" w:lineRule="exact"/>
        <w:rPr>
          <w:sz w:val="20"/>
          <w:szCs w:val="20"/>
          <w:color w:val="auto"/>
        </w:rPr>
      </w:pPr>
    </w:p>
    <w:p>
      <w:pPr>
        <w:ind w:right="220" w:firstLine="623"/>
        <w:spacing w:after="0" w:line="275" w:lineRule="auto"/>
        <w:rPr>
          <w:sz w:val="20"/>
          <w:szCs w:val="20"/>
          <w:color w:val="auto"/>
        </w:rPr>
      </w:pPr>
      <w:r>
        <w:rPr>
          <w:rFonts w:ascii="Arial" w:cs="Arial" w:eastAsia="Arial" w:hAnsi="Arial"/>
          <w:sz w:val="17"/>
          <w:szCs w:val="17"/>
          <w:color w:val="auto"/>
        </w:rPr>
        <w:t>During the fourth quarter of fiscal year 2022, we revised our internal reporting to reallocate certain third-party technology costs that were previously held within our Central and corporate costs to our Vista business. We have revised our presentation of all prior periods presented to reflect our revised segment reporting. Refer to Note 11 in our accompanying consolidated financial statements for additional details.</w:t>
      </w:r>
    </w:p>
    <w:p>
      <w:pPr>
        <w:spacing w:after="0" w:line="146"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Central and corporate costs increased by $0.9 million and $0.5 million during the three and six months ended December 31, 2022, respectively, as compared to the prior periods, due to compensation increases as a result of our inflation-adjusted annual merit cycle and volume-related technology costs. Partially offsetting the compensation increases were savings from actions taken in the fourth quarter of fiscal 2022 to reduce headcount. In addition, unallocated share-based compensation was favorable versus the prior year, due in part to the granting of RSUs and options for most employees during the current year, as compared to PSUs in prior years.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8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2022</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2021</w:t>
            </w:r>
          </w:p>
        </w:tc>
      </w:tr>
      <w:tr>
        <w:trPr>
          <w:trHeight w:val="20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55,875</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179,911</w:t>
            </w:r>
          </w:p>
        </w:tc>
      </w:tr>
      <w:tr>
        <w:trPr>
          <w:trHeight w:val="207"/>
        </w:trPr>
        <w:tc>
          <w:tcPr>
            <w:tcW w:w="81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(106,569)</w:t>
            </w:r>
          </w:p>
        </w:tc>
        <w:tc>
          <w:tcPr>
            <w:tcW w:w="380" w:type="dxa"/>
            <w:vAlign w:val="bottom"/>
          </w:tcPr>
          <w:p>
            <w:pPr>
              <w:spacing w:after="0"/>
              <w:rPr>
                <w:sz w:val="17"/>
                <w:szCs w:val="17"/>
                <w:color w:val="auto"/>
              </w:rPr>
            </w:pPr>
          </w:p>
        </w:tc>
        <w:tc>
          <w:tcPr>
            <w:tcW w:w="1160" w:type="dxa"/>
            <w:vAlign w:val="bottom"/>
          </w:tcPr>
          <w:p>
            <w:pPr>
              <w:ind w:left="560"/>
              <w:spacing w:after="0"/>
              <w:rPr>
                <w:sz w:val="20"/>
                <w:szCs w:val="20"/>
                <w:color w:val="auto"/>
              </w:rPr>
            </w:pPr>
            <w:r>
              <w:rPr>
                <w:rFonts w:ascii="Arial" w:cs="Arial" w:eastAsia="Arial" w:hAnsi="Arial"/>
                <w:sz w:val="16"/>
                <w:szCs w:val="16"/>
                <w:color w:val="auto"/>
                <w:w w:val="97"/>
              </w:rPr>
              <w:t>(77,281)</w:t>
            </w:r>
          </w:p>
        </w:tc>
      </w:tr>
      <w:tr>
        <w:trPr>
          <w:trHeight w:val="20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(112,715)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7"/>
              </w:rPr>
              <w:t>(49,357)</w:t>
            </w:r>
          </w:p>
        </w:tc>
      </w:tr>
    </w:tbl>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cash flows during the six months ended December 31, 2022 related primarily to the following items: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207" w:lineRule="exact"/>
        <w:rPr>
          <w:sz w:val="20"/>
          <w:szCs w:val="20"/>
          <w:color w:val="auto"/>
        </w:rPr>
      </w:pPr>
    </w:p>
    <w:p>
      <w:pPr>
        <w:ind w:left="620" w:right="80" w:hanging="305"/>
        <w:spacing w:after="0" w:line="27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loss of $163.3 million, adjusted for non-cash items of $254.2 million primarily related to adjustments for deferred taxes of $116.9 million, depreciation and amortization of $81.8 million, unrealized currency-related losses of $20.9 million, and share-based compensation costs of $22.7 million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194" w:lineRule="exact"/>
        <w:rPr>
          <w:sz w:val="20"/>
          <w:szCs w:val="20"/>
          <w:color w:val="auto"/>
        </w:rPr>
      </w:pPr>
    </w:p>
    <w:p>
      <w:pPr>
        <w:ind w:left="620" w:right="1080" w:hanging="305"/>
        <w:spacing w:after="0" w:line="295"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Exercise of PrintBrothers' and BuildASign minority equity interest holders' put options for $95.6 million; refer to Note 10 in the accompanying consolidated financial statements for additional details</w:t>
      </w:r>
    </w:p>
    <w:p>
      <w:pPr>
        <w:spacing w:after="0" w:line="129" w:lineRule="exact"/>
        <w:rPr>
          <w:rFonts w:ascii="Arial" w:cs="Arial" w:eastAsia="Arial" w:hAnsi="Arial"/>
          <w:sz w:val="17"/>
          <w:szCs w:val="17"/>
          <w:color w:val="auto"/>
        </w:rPr>
      </w:pPr>
    </w:p>
    <w:p>
      <w:pPr>
        <w:ind w:left="620" w:right="420" w:hanging="305"/>
        <w:spacing w:after="0" w:line="275"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net working capital impacts of $35.1 million were a use of cash. The majority of this change in net working capital is impacted by increases to inventory that is held to mitigate the risk of supply availability due to ongoing supply chain disruptions and unfavorable changes to accounts payable, accrued expenses and other liabilities</w:t>
      </w:r>
    </w:p>
    <w:p>
      <w:pPr>
        <w:spacing w:after="0" w:line="145"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Purchase of held-to-maturity securities for $51.7 million, net of maturities</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Internal and external costs of $29.2 million for software and website development that we have capitalized</w:t>
      </w:r>
    </w:p>
    <w:p>
      <w:pPr>
        <w:spacing w:after="0" w:line="206" w:lineRule="exact"/>
        <w:rPr>
          <w:rFonts w:ascii="Arial" w:cs="Arial" w:eastAsia="Arial" w:hAnsi="Arial"/>
          <w:sz w:val="17"/>
          <w:szCs w:val="17"/>
          <w:color w:val="auto"/>
        </w:rPr>
      </w:pPr>
    </w:p>
    <w:p>
      <w:pPr>
        <w:ind w:left="620" w:right="400" w:hanging="305"/>
        <w:spacing w:after="0" w:line="295"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Capital expenditures of $26.5 million of which the majority related to the purchase of manufacturing and automation equipment for our production facilities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Repayments of debt, net of proceeds from debt, for $6.6 million</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Payments for finance lease arrangements of $4.3 million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7" w:name="page38"/>
    <w:bookmarkEnd w:id="37"/>
    <w:p>
      <w:pPr>
        <w:ind w:left="620" w:hanging="30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$3.7 million of distributions to noncontrolling interest holders</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$2.4 million</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Additional Liquidity and Capital Resources Information. </w:t>
      </w:r>
      <w:r>
        <w:rPr>
          <w:rFonts w:ascii="Arial" w:cs="Arial" w:eastAsia="Arial" w:hAnsi="Arial"/>
          <w:sz w:val="17"/>
          <w:szCs w:val="17"/>
          <w:color w:val="auto"/>
        </w:rPr>
        <w:t>At December 31, 2022, we had $111.3 million of 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$102.2 million of marketable securities and $1,707.0 million of debt, excluding debt issuance costs and debt premiums and discounts. During the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six months ended December 31, 2022, we financed our operations and strategic investments through internally generated cash flows from</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operations and cash on hand. We expect to finance our future operations through our cash, investments, operating cash flow and borrowings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under our debt arrangements.</w:t>
      </w:r>
    </w:p>
    <w:p>
      <w:pPr>
        <w:spacing w:after="0" w:line="191"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December 31, 2022,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$51.8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at December 31, 2022 are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Payments Due by Period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47"/>
              <w:spacing w:after="0" w:line="111" w:lineRule="exact"/>
              <w:rPr>
                <w:sz w:val="20"/>
                <w:szCs w:val="20"/>
                <w:color w:val="auto"/>
              </w:rPr>
            </w:pPr>
            <w:r>
              <w:rPr>
                <w:rFonts w:ascii="Arial" w:cs="Arial" w:eastAsia="Arial" w:hAnsi="Arial"/>
                <w:sz w:val="12"/>
                <w:szCs w:val="12"/>
                <w:b w:val="1"/>
                <w:bCs w:val="1"/>
                <w:color w:val="auto"/>
              </w:rPr>
              <w:t>Less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center"/>
              <w:ind w:right="226"/>
              <w:spacing w:after="0"/>
              <w:rPr>
                <w:sz w:val="20"/>
                <w:szCs w:val="20"/>
                <w:color w:val="auto"/>
              </w:rPr>
            </w:pPr>
            <w:r>
              <w:rPr>
                <w:rFonts w:ascii="Arial" w:cs="Arial" w:eastAsia="Arial" w:hAnsi="Arial"/>
                <w:sz w:val="12"/>
                <w:szCs w:val="12"/>
                <w:b w:val="1"/>
                <w:bCs w:val="1"/>
                <w:color w:val="auto"/>
              </w:rPr>
              <w:t>1-3</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right"/>
              <w:ind w:right="506"/>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27"/>
              <w:spacing w:after="0" w:line="111" w:lineRule="exact"/>
              <w:rPr>
                <w:sz w:val="20"/>
                <w:szCs w:val="20"/>
                <w:color w:val="auto"/>
              </w:rPr>
            </w:pPr>
            <w:r>
              <w:rPr>
                <w:rFonts w:ascii="Arial" w:cs="Arial" w:eastAsia="Arial" w:hAnsi="Arial"/>
                <w:sz w:val="12"/>
                <w:szCs w:val="12"/>
                <w:b w:val="1"/>
                <w:bCs w:val="1"/>
                <w:color w:val="auto"/>
              </w:rPr>
              <w:t>More</w:t>
            </w: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64"/>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47"/>
              <w:spacing w:after="0" w:line="117" w:lineRule="exact"/>
              <w:rPr>
                <w:sz w:val="20"/>
                <w:szCs w:val="20"/>
                <w:color w:val="auto"/>
              </w:rPr>
            </w:pPr>
            <w:r>
              <w:rPr>
                <w:rFonts w:ascii="Arial" w:cs="Arial" w:eastAsia="Arial" w:hAnsi="Arial"/>
                <w:sz w:val="12"/>
                <w:szCs w:val="12"/>
                <w:b w:val="1"/>
                <w:bCs w:val="1"/>
                <w:color w:val="auto"/>
              </w:rPr>
              <w:t>than 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7"/>
              <w:spacing w:after="0" w:line="117" w:lineRule="exact"/>
              <w:rPr>
                <w:sz w:val="20"/>
                <w:szCs w:val="20"/>
                <w:color w:val="auto"/>
              </w:rPr>
            </w:pPr>
            <w:r>
              <w:rPr>
                <w:rFonts w:ascii="Arial" w:cs="Arial" w:eastAsia="Arial" w:hAnsi="Arial"/>
                <w:sz w:val="12"/>
                <w:szCs w:val="12"/>
                <w:b w:val="1"/>
                <w:bCs w:val="1"/>
                <w:color w:val="auto"/>
                <w:w w:val="96"/>
              </w:rPr>
              <w:t>than 5</w:t>
            </w:r>
          </w:p>
        </w:tc>
        <w:tc>
          <w:tcPr>
            <w:tcW w:w="0" w:type="dxa"/>
            <w:vAlign w:val="bottom"/>
          </w:tcPr>
          <w:p>
            <w:pPr>
              <w:spacing w:after="0"/>
              <w:rPr>
                <w:sz w:val="1"/>
                <w:szCs w:val="1"/>
                <w:color w:val="auto"/>
              </w:rPr>
            </w:pPr>
          </w:p>
        </w:tc>
      </w:tr>
      <w:tr>
        <w:trPr>
          <w:trHeight w:val="178"/>
        </w:trPr>
        <w:tc>
          <w:tcPr>
            <w:tcW w:w="4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rPr>
              <w:t>year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w w:val="95"/>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w w:val="95"/>
              </w:rPr>
              <w:t>years</w:t>
            </w: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77,213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23,747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28,262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8,164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17,040</w:t>
            </w:r>
          </w:p>
        </w:tc>
        <w:tc>
          <w:tcPr>
            <w:tcW w:w="0" w:type="dxa"/>
            <w:vAlign w:val="bottom"/>
          </w:tcPr>
          <w:p>
            <w:pPr>
              <w:spacing w:after="0"/>
              <w:rPr>
                <w:sz w:val="1"/>
                <w:szCs w:val="1"/>
                <w:color w:val="auto"/>
              </w:rPr>
            </w:pPr>
          </w:p>
        </w:tc>
      </w:tr>
      <w:tr>
        <w:trPr>
          <w:trHeight w:val="207"/>
        </w:trPr>
        <w:tc>
          <w:tcPr>
            <w:tcW w:w="410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235,619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139,177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84,609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11,833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unsecured notes and interest payments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747,000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42,000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84,000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621,000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00" w:type="dxa"/>
            <w:vAlign w:val="bottom"/>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1,487,487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83,383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170,949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162,034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1,071,121</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6,734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2,549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00" w:type="dxa"/>
            <w:vAlign w:val="bottom"/>
          </w:tcPr>
          <w:p>
            <w:pPr>
              <w:ind w:left="20"/>
              <w:spacing w:after="0"/>
              <w:rPr>
                <w:sz w:val="20"/>
                <w:szCs w:val="20"/>
                <w:color w:val="auto"/>
              </w:rPr>
            </w:pPr>
            <w:r>
              <w:rPr>
                <w:rFonts w:ascii="Arial" w:cs="Arial" w:eastAsia="Arial" w:hAnsi="Arial"/>
                <w:sz w:val="16"/>
                <w:szCs w:val="16"/>
                <w:color w:val="auto"/>
              </w:rPr>
              <w:t>Finance leases, net of subleases (1)</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25,572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6,741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8,247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7,280</w:t>
            </w:r>
          </w:p>
        </w:tc>
        <w:tc>
          <w:tcPr>
            <w:tcW w:w="0" w:type="dxa"/>
            <w:vAlign w:val="bottom"/>
          </w:tcPr>
          <w:p>
            <w:pPr>
              <w:spacing w:after="0"/>
              <w:rPr>
                <w:sz w:val="1"/>
                <w:szCs w:val="1"/>
                <w:color w:val="auto"/>
              </w:rPr>
            </w:pPr>
          </w:p>
        </w:tc>
      </w:tr>
      <w:tr>
        <w:trPr>
          <w:trHeight w:val="20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6,838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6,838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Arial" w:cs="Arial" w:eastAsia="Arial" w:hAnsi="Arial"/>
                <w:sz w:val="16"/>
                <w:szCs w:val="16"/>
                <w:color w:val="auto"/>
              </w:rPr>
              <w:t>Total (3)</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2,586,463</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304,435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380,067</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806,520</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1,095,441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9" w:lineRule="exact"/>
        <w:rPr>
          <w:sz w:val="20"/>
          <w:szCs w:val="20"/>
          <w:color w:val="auto"/>
        </w:rPr>
      </w:pPr>
    </w:p>
    <w:p>
      <w:pPr>
        <w:ind w:left="240" w:right="20" w:hanging="236"/>
        <w:spacing w:after="0" w:line="280"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ind w:left="220" w:hanging="216"/>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Senior secured credit facility and interest payments include the effects of interest rate swaps, whether they are expected to be payments or receipts of cash.</w:t>
      </w:r>
    </w:p>
    <w:p>
      <w:pPr>
        <w:spacing w:after="0" w:line="98" w:lineRule="exact"/>
        <w:rPr>
          <w:rFonts w:ascii="Arial" w:cs="Arial" w:eastAsia="Arial" w:hAnsi="Arial"/>
          <w:sz w:val="14"/>
          <w:szCs w:val="14"/>
          <w:color w:val="auto"/>
        </w:rPr>
      </w:pPr>
    </w:p>
    <w:p>
      <w:pPr>
        <w:ind w:left="240" w:right="80" w:hanging="236"/>
        <w:spacing w:after="0" w:line="255"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$9.5 million as of December 31, 2022 have been excluded from the contractual obligations table above. See Note 9 in our accompanying consolidated financial statements for further information on uncertain tax positions.</w:t>
      </w:r>
    </w:p>
    <w:p>
      <w:pPr>
        <w:spacing w:after="0" w:line="163" w:lineRule="exact"/>
        <w:rPr>
          <w:sz w:val="20"/>
          <w:szCs w:val="20"/>
          <w:color w:val="auto"/>
        </w:rPr>
      </w:pPr>
    </w:p>
    <w:p>
      <w:pPr>
        <w:jc w:val="both"/>
        <w:ind w:right="160" w:firstLine="623"/>
        <w:spacing w:after="0" w:line="275"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manufacturing facilities and office space under operating leases expiring on various dates through 2037.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certain lease agreements require security deposits in the form of bank guarantees and letters of credit, with $1.8 million in the aggregate outstanding as of December 31, 2022.</w:t>
      </w:r>
    </w:p>
    <w:p>
      <w:pPr>
        <w:spacing w:after="0" w:line="133"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December 31, 2022, we had unrecorded commitments under contract of $235.6 million.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consisted of third-party cloud services of $87.5 million; inventory, third-party fulfillment and digital service purchase commitments of $69.6 million; software of $28.9 million; advertising of $20.9 million; production and computer equipment purchases of $5.8 million; commitments for professional and consulting fees of $4.2 million; and other unrecorded purchase commitments of $18.8 million.</w:t>
      </w:r>
    </w:p>
    <w:p>
      <w:pPr>
        <w:spacing w:after="0" w:line="152"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As of December 31, 2022, we have borrowings under our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$1,100.2 million consisting of the Term Loan B, which amortizes over the loan period, with a final maturity date of May 17, 2028. Our $250.0 million Revolving Credit Facility under our Restated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ind w:right="40"/>
        <w:spacing w:after="0" w:line="261" w:lineRule="auto"/>
        <w:rPr>
          <w:sz w:val="20"/>
          <w:szCs w:val="20"/>
          <w:color w:val="auto"/>
        </w:rPr>
      </w:pPr>
      <w:r>
        <w:rPr>
          <w:rFonts w:ascii="Arial" w:cs="Arial" w:eastAsia="Arial" w:hAnsi="Arial"/>
          <w:sz w:val="17"/>
          <w:szCs w:val="17"/>
          <w:color w:val="auto"/>
        </w:rPr>
        <w:t>Credit Agreement has $243.7 million unused as of December 31, 2022.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May 17, 2026. Interest payable included in the above table is based on the interest rate as of June 30, 2022 and assumes all LIBOR-based revolving loan amounts outstanding will not be paid until maturity but that the term loan amortization payments will be made according to our defined schedule.</w:t>
      </w:r>
    </w:p>
    <w:p>
      <w:pPr>
        <w:spacing w:after="0" w:line="147" w:lineRule="exact"/>
        <w:rPr>
          <w:sz w:val="20"/>
          <w:szCs w:val="20"/>
          <w:color w:val="auto"/>
        </w:rPr>
      </w:pPr>
    </w:p>
    <w:p>
      <w:pPr>
        <w:ind w:right="160" w:firstLine="623"/>
        <w:spacing w:after="0" w:line="295" w:lineRule="auto"/>
        <w:rPr>
          <w:sz w:val="20"/>
          <w:szCs w:val="20"/>
          <w:color w:val="auto"/>
        </w:rPr>
      </w:pPr>
      <w:r>
        <w:rPr>
          <w:rFonts w:ascii="Arial" w:cs="Arial" w:eastAsia="Arial" w:hAnsi="Arial"/>
          <w:sz w:val="17"/>
          <w:szCs w:val="17"/>
          <w:i w:val="1"/>
          <w:iCs w:val="1"/>
          <w:color w:val="auto"/>
        </w:rPr>
        <w:t xml:space="preserve">Senior Unsecured Notes and Interest Payments. </w:t>
      </w:r>
      <w:r>
        <w:rPr>
          <w:rFonts w:ascii="Arial" w:cs="Arial" w:eastAsia="Arial" w:hAnsi="Arial"/>
          <w:sz w:val="17"/>
          <w:szCs w:val="17"/>
          <w:color w:val="auto"/>
        </w:rPr>
        <w:t>Our $600.0 million of 2026 Notes bear interest at a rate of 7.0% per annum and mature</w:t>
      </w:r>
      <w:r>
        <w:rPr>
          <w:rFonts w:ascii="Arial" w:cs="Arial" w:eastAsia="Arial" w:hAnsi="Arial"/>
          <w:sz w:val="17"/>
          <w:szCs w:val="17"/>
          <w:i w:val="1"/>
          <w:iCs w:val="1"/>
          <w:color w:val="auto"/>
        </w:rPr>
        <w:t xml:space="preserve"> </w:t>
      </w:r>
      <w:r>
        <w:rPr>
          <w:rFonts w:ascii="Arial" w:cs="Arial" w:eastAsia="Arial" w:hAnsi="Arial"/>
          <w:sz w:val="17"/>
          <w:szCs w:val="17"/>
          <w:color w:val="auto"/>
        </w:rPr>
        <w:t>on June 15, 2026. Interest on the notes is payable semi-annually on June 15 and December 15 of each year.</w:t>
      </w:r>
    </w:p>
    <w:p>
      <w:pPr>
        <w:spacing w:after="0" w:line="130"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7.0% Senior Notes due 2026 contain covenants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 or limit certain activities and transactions by Cimpress and our subsidiaries. As of December 31, 2022, we were in compliance with all covenants under our Restated Credit Agreement and the indenture governing our 2026 Notes. Refer to Note 8 in our accompanying consolidated financial statements for additional information.</w:t>
      </w:r>
    </w:p>
    <w:p>
      <w:pPr>
        <w:spacing w:after="0" w:line="152" w:lineRule="exact"/>
        <w:rPr>
          <w:sz w:val="20"/>
          <w:szCs w:val="20"/>
          <w:color w:val="auto"/>
        </w:rPr>
      </w:pPr>
    </w:p>
    <w:p>
      <w:pPr>
        <w:jc w:val="both"/>
        <w:ind w:right="320" w:firstLine="623"/>
        <w:spacing w:after="0" w:line="275"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fund certain capital investments. As of December 31, 2022, we had $6.7 million outstanding for those obligations that have repayments due on various dates through March 2027.</w:t>
      </w:r>
    </w:p>
    <w:p>
      <w:pPr>
        <w:spacing w:after="0" w:line="133" w:lineRule="exact"/>
        <w:rPr>
          <w:sz w:val="20"/>
          <w:szCs w:val="20"/>
          <w:color w:val="auto"/>
        </w:rPr>
      </w:pPr>
    </w:p>
    <w:p>
      <w:pPr>
        <w:ind w:firstLine="623"/>
        <w:spacing w:after="0" w:line="266"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machinery and plant equipment under finance lease agreements that expire at various dates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2028. The aggregate carrying value of the leased equipment under finance leases included in property, plant and equipment, net in our consolidated balance sheet at December 31, 2022 is $23.6 million, net of accumulated depreciation of $35.6 million. The present value of lease installments not yet due included in other current liabilities and other liabilities in our consolidated balance sheet at December 31, 2022 amounts to $27.1 million.</w:t>
      </w:r>
    </w:p>
    <w:p>
      <w:pPr>
        <w:spacing w:after="0" w:line="366"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i w:val="1"/>
          <w:iCs w:val="1"/>
          <w:color w:val="auto"/>
        </w:rPr>
        <w:t xml:space="preserve">Other Obligations. </w:t>
      </w:r>
      <w:r>
        <w:rPr>
          <w:rFonts w:ascii="Arial" w:cs="Arial" w:eastAsia="Arial" w:hAnsi="Arial"/>
          <w:sz w:val="17"/>
          <w:szCs w:val="17"/>
          <w:color w:val="auto"/>
        </w:rPr>
        <w:t>Other obligations consist of deferred payments relating to previous acquisitions, including the deferred payment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our Depositphotos acquisition that is payable in October 2022, subject to any outstanding indemnification claims.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196"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plus earn-out related charges plus certain impairments plus restructuring related charges plus realized gains or losses on currency derivatives less gain on purchase or sale of subsidiaries.</w:t>
      </w:r>
    </w:p>
    <w:p>
      <w:pPr>
        <w:spacing w:after="0" w:line="154" w:lineRule="exact"/>
        <w:rPr>
          <w:sz w:val="20"/>
          <w:szCs w:val="20"/>
          <w:color w:val="auto"/>
        </w:rPr>
      </w:pPr>
    </w:p>
    <w:p>
      <w:pPr>
        <w:ind w:right="40" w:firstLine="623"/>
        <w:spacing w:after="0" w:line="260"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58" w:lineRule="exact"/>
        <w:rPr>
          <w:sz w:val="20"/>
          <w:szCs w:val="20"/>
          <w:color w:val="auto"/>
        </w:rPr>
      </w:pPr>
    </w:p>
    <w:p>
      <w:pPr>
        <w:ind w:right="280" w:firstLine="623"/>
        <w:spacing w:after="0" w:line="295"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Adjusted free cash flow is defined as net cash provided by operating</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39" w:name="page40"/>
    <w:bookmarkEnd w:id="39"/>
    <w:p>
      <w:pPr>
        <w:ind w:right="80"/>
        <w:spacing w:after="0" w:line="263" w:lineRule="auto"/>
        <w:rPr>
          <w:sz w:val="20"/>
          <w:szCs w:val="20"/>
          <w:color w:val="auto"/>
        </w:rPr>
      </w:pPr>
      <w:r>
        <w:rPr>
          <w:rFonts w:ascii="Arial" w:cs="Arial" w:eastAsia="Arial" w:hAnsi="Arial"/>
          <w:sz w:val="17"/>
          <w:szCs w:val="17"/>
          <w:color w:val="auto"/>
        </w:rPr>
        <w:t>activities less purchases of property, plant and equipment, purchases of intangible assets not related to acquisitions, and capitalization of software and website development costs that are included in net cash used in investing activities, plus the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43"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operating income and adjusted EBITDA for the three and six months ended December 31, 2022 and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7"/>
                <w:szCs w:val="17"/>
                <w:color w:val="auto"/>
              </w:rPr>
            </w:pPr>
          </w:p>
        </w:tc>
        <w:tc>
          <w:tcPr>
            <w:tcW w:w="3100" w:type="dxa"/>
            <w:vAlign w:val="bottom"/>
            <w:gridSpan w:val="5"/>
          </w:tcPr>
          <w:p>
            <w:pPr>
              <w:ind w:left="280"/>
              <w:spacing w:after="0"/>
              <w:rPr>
                <w:sz w:val="20"/>
                <w:szCs w:val="20"/>
                <w:color w:val="auto"/>
              </w:rPr>
            </w:pPr>
            <w:r>
              <w:rPr>
                <w:rFonts w:ascii="Arial" w:cs="Arial" w:eastAsia="Arial" w:hAnsi="Arial"/>
                <w:sz w:val="12"/>
                <w:szCs w:val="12"/>
                <w:b w:val="1"/>
                <w:bCs w:val="1"/>
                <w:color w:val="auto"/>
              </w:rPr>
              <w:t>Three Months Ended December 31,</w:t>
            </w:r>
          </w:p>
        </w:tc>
        <w:tc>
          <w:tcPr>
            <w:tcW w:w="400" w:type="dxa"/>
            <w:vAlign w:val="bottom"/>
          </w:tcPr>
          <w:p>
            <w:pPr>
              <w:spacing w:after="0"/>
              <w:rPr>
                <w:sz w:val="17"/>
                <w:szCs w:val="17"/>
                <w:color w:val="auto"/>
              </w:rPr>
            </w:pPr>
          </w:p>
        </w:tc>
        <w:tc>
          <w:tcPr>
            <w:tcW w:w="2900" w:type="dxa"/>
            <w:vAlign w:val="bottom"/>
            <w:gridSpan w:val="4"/>
          </w:tcPr>
          <w:p>
            <w:pPr>
              <w:jc w:val="right"/>
              <w:ind w:right="624"/>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1"/>
        </w:trPr>
        <w:tc>
          <w:tcPr>
            <w:tcW w:w="446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33,578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85,981</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102,920</w:t>
            </w:r>
          </w:p>
        </w:tc>
        <w:tc>
          <w:tcPr>
            <w:tcW w:w="0" w:type="dxa"/>
            <w:vAlign w:val="bottom"/>
          </w:tcPr>
          <w:p>
            <w:pPr>
              <w:spacing w:after="0"/>
              <w:rPr>
                <w:sz w:val="1"/>
                <w:szCs w:val="1"/>
                <w:color w:val="auto"/>
              </w:rPr>
            </w:pPr>
          </w:p>
        </w:tc>
      </w:tr>
      <w:tr>
        <w:trPr>
          <w:trHeight w:val="207"/>
        </w:trPr>
        <w:tc>
          <w:tcPr>
            <w:tcW w:w="4460" w:type="dxa"/>
            <w:vAlign w:val="bottom"/>
          </w:tcPr>
          <w:p>
            <w:pPr>
              <w:ind w:left="20"/>
              <w:spacing w:after="0"/>
              <w:rPr>
                <w:sz w:val="20"/>
                <w:szCs w:val="20"/>
                <w:color w:val="auto"/>
              </w:rPr>
            </w:pPr>
            <w:r>
              <w:rPr>
                <w:rFonts w:ascii="Arial" w:cs="Arial" w:eastAsia="Arial" w:hAnsi="Arial"/>
                <w:sz w:val="16"/>
                <w:szCs w:val="16"/>
                <w:color w:val="auto"/>
              </w:rPr>
              <w:t>Exclude expense (benefit) impact of:</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40,874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45,314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89,746</w:t>
            </w:r>
          </w:p>
        </w:tc>
        <w:tc>
          <w:tcPr>
            <w:tcW w:w="0" w:type="dxa"/>
            <w:vAlign w:val="bottom"/>
          </w:tcPr>
          <w:p>
            <w:pPr>
              <w:spacing w:after="0"/>
              <w:rPr>
                <w:sz w:val="1"/>
                <w:szCs w:val="1"/>
                <w:color w:val="auto"/>
              </w:rPr>
            </w:pPr>
          </w:p>
        </w:tc>
      </w:tr>
      <w:tr>
        <w:trPr>
          <w:trHeight w:val="207"/>
        </w:trPr>
        <w:tc>
          <w:tcPr>
            <w:tcW w:w="446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11,547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12,505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23,511</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Certain impairments and other adjustments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07"/>
        </w:trPr>
        <w:tc>
          <w:tcPr>
            <w:tcW w:w="4460" w:type="dxa"/>
            <w:vAlign w:val="bottom"/>
          </w:tcPr>
          <w:p>
            <w:pPr>
              <w:ind w:left="140"/>
              <w:spacing w:after="0"/>
              <w:rPr>
                <w:sz w:val="20"/>
                <w:szCs w:val="20"/>
                <w:color w:val="auto"/>
              </w:rPr>
            </w:pPr>
            <w:r>
              <w:rPr>
                <w:rFonts w:ascii="Arial" w:cs="Arial" w:eastAsia="Arial" w:hAnsi="Arial"/>
                <w:sz w:val="16"/>
                <w:szCs w:val="16"/>
                <w:color w:val="auto"/>
              </w:rPr>
              <w:t>Restructuring-related charges</w:t>
            </w: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11,207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307</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58"/>
        </w:trPr>
        <w:tc>
          <w:tcPr>
            <w:tcW w:w="4460" w:type="dxa"/>
            <w:vAlign w:val="bottom"/>
            <w:shd w:val="clear" w:color="auto" w:fill="CCEEFF"/>
          </w:tcPr>
          <w:p>
            <w:pPr>
              <w:ind w:left="140"/>
              <w:spacing w:after="0" w:line="158" w:lineRule="exact"/>
              <w:rPr>
                <w:sz w:val="20"/>
                <w:szCs w:val="20"/>
                <w:color w:val="auto"/>
              </w:rPr>
            </w:pPr>
            <w:r>
              <w:rPr>
                <w:rFonts w:ascii="Arial" w:cs="Arial" w:eastAsia="Arial" w:hAnsi="Arial"/>
                <w:sz w:val="16"/>
                <w:szCs w:val="16"/>
                <w:color w:val="auto"/>
              </w:rPr>
              <w:t>Realized gains (losses) on currency derivatives not included</w:t>
            </w:r>
          </w:p>
        </w:tc>
        <w:tc>
          <w:tcPr>
            <w:tcW w:w="3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14,901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21,770</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 operating income (1)</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111,182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142,068</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156,777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209,684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60" w:lineRule="exact"/>
        <w:rPr>
          <w:sz w:val="20"/>
          <w:szCs w:val="20"/>
          <w:color w:val="auto"/>
        </w:rPr>
      </w:pPr>
    </w:p>
    <w:p>
      <w:pPr>
        <w:ind w:left="240" w:right="280" w:hanging="236"/>
        <w:spacing w:after="0" w:line="281" w:lineRule="auto"/>
        <w:tabs>
          <w:tab w:leader="none" w:pos="21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realized gains (losses) include only the impacts of certain currency derivative contracts that are intended to hedge our exposure to foreign currencies for which we do not apply hedge accounting. See Note 4 in our accompanying consolidated financial statements for further information.</w:t>
      </w:r>
    </w:p>
    <w:p>
      <w:pPr>
        <w:spacing w:after="0" w:line="289" w:lineRule="exact"/>
        <w:rPr>
          <w:sz w:val="20"/>
          <w:szCs w:val="20"/>
          <w:color w:val="auto"/>
        </w:rPr>
      </w:pPr>
    </w:p>
    <w:p>
      <w:pPr>
        <w:ind w:right="280" w:firstLine="623"/>
        <w:spacing w:after="0" w:line="295" w:lineRule="auto"/>
        <w:rPr>
          <w:sz w:val="20"/>
          <w:szCs w:val="20"/>
          <w:color w:val="auto"/>
        </w:rPr>
      </w:pPr>
      <w:r>
        <w:rPr>
          <w:rFonts w:ascii="Arial" w:cs="Arial" w:eastAsia="Arial" w:hAnsi="Arial"/>
          <w:sz w:val="17"/>
          <w:szCs w:val="17"/>
          <w:color w:val="auto"/>
        </w:rPr>
        <w:t>The table below sets forth net cash provided by operating activities and adjusted free cash flow for the six months ended December 31, 2022 and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66"/>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78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2021</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179,911</w:t>
            </w:r>
          </w:p>
        </w:tc>
      </w:tr>
      <w:tr>
        <w:trPr>
          <w:trHeight w:val="207"/>
        </w:trPr>
        <w:tc>
          <w:tcPr>
            <w:tcW w:w="786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(26,539)</w:t>
            </w:r>
          </w:p>
        </w:tc>
      </w:tr>
      <w:tr>
        <w:trPr>
          <w:trHeight w:val="208"/>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(29,246)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(32,134)</w:t>
            </w:r>
          </w:p>
        </w:tc>
      </w:tr>
      <w:tr>
        <w:trPr>
          <w:trHeight w:val="202"/>
        </w:trPr>
        <w:tc>
          <w:tcPr>
            <w:tcW w:w="7860" w:type="dxa"/>
            <w:vAlign w:val="bottom"/>
          </w:tcPr>
          <w:p>
            <w:pPr>
              <w:ind w:left="20"/>
              <w:spacing w:after="0"/>
              <w:rPr>
                <w:sz w:val="20"/>
                <w:szCs w:val="20"/>
                <w:color w:val="auto"/>
              </w:rPr>
            </w:pPr>
            <w:r>
              <w:rPr>
                <w:rFonts w:ascii="Arial" w:cs="Arial" w:eastAsia="Arial" w:hAnsi="Arial"/>
                <w:sz w:val="16"/>
                <w:szCs w:val="16"/>
                <w:color w:val="auto"/>
              </w:rPr>
              <w:t>Adjusted free cash flow</w:t>
            </w: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121,238</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207" w:lineRule="exact"/>
        <w:rPr>
          <w:sz w:val="20"/>
          <w:szCs w:val="20"/>
          <w:color w:val="auto"/>
        </w:rPr>
      </w:pPr>
    </w:p>
    <w:p>
      <w:pPr>
        <w:jc w:val="both"/>
        <w:ind w:right="340" w:firstLine="623"/>
        <w:spacing w:after="0" w:line="275" w:lineRule="auto"/>
        <w:rPr>
          <w:sz w:val="20"/>
          <w:szCs w:val="20"/>
          <w:color w:val="auto"/>
        </w:rPr>
      </w:pPr>
      <w:r>
        <w:rPr>
          <w:rFonts w:ascii="Arial" w:cs="Arial" w:eastAsia="Arial" w:hAnsi="Arial"/>
          <w:sz w:val="17"/>
          <w:szCs w:val="17"/>
          <w:color w:val="auto"/>
        </w:rPr>
        <w:t>As of December 31, 2022,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33" w:lineRule="exact"/>
        <w:rPr>
          <w:sz w:val="20"/>
          <w:szCs w:val="20"/>
          <w:color w:val="auto"/>
        </w:rPr>
      </w:pPr>
    </w:p>
    <w:p>
      <w:pPr>
        <w:ind w:right="40" w:firstLine="623"/>
        <w:spacing w:after="0" w:line="295" w:lineRule="auto"/>
        <w:rPr>
          <w:sz w:val="20"/>
          <w:szCs w:val="20"/>
          <w:color w:val="auto"/>
        </w:rPr>
      </w:pPr>
      <w:r>
        <w:rPr>
          <w:rFonts w:ascii="Arial" w:cs="Arial" w:eastAsia="Arial" w:hAnsi="Arial"/>
          <w:sz w:val="17"/>
          <w:szCs w:val="17"/>
          <w:color w:val="auto"/>
        </w:rPr>
        <w:t>As of December 31, 2022, we had $1,100 million of variable-rate debt. As a result, we have exposure to market risk for changes in interest rates related to these obligations. In order to mitigate our exposure to interest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ind w:right="180"/>
        <w:spacing w:after="0" w:line="268" w:lineRule="auto"/>
        <w:rPr>
          <w:sz w:val="20"/>
          <w:szCs w:val="20"/>
          <w:color w:val="auto"/>
        </w:rPr>
      </w:pPr>
      <w:r>
        <w:rPr>
          <w:rFonts w:ascii="Arial" w:cs="Arial" w:eastAsia="Arial" w:hAnsi="Arial"/>
          <w:sz w:val="17"/>
          <w:szCs w:val="17"/>
          <w:color w:val="auto"/>
        </w:rPr>
        <w:t>rate changes related to our variable rate debt, we execute interest rate swap contracts to fix the interest rate on a portion of our outstanding or forecasted long-term debt with varying maturities. As of December 31, 2022, a hypothetical 100 basis point increase in rates, inclusive of the impact of our outstanding interest rate swaps that are accruing interest as of December 31, 2022, would result in a $7.4 million impact to interest expense over the next 12 months.</w:t>
      </w:r>
    </w:p>
    <w:p>
      <w:pPr>
        <w:spacing w:after="0" w:line="139"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4" w:lineRule="exact"/>
        <w:rPr>
          <w:sz w:val="20"/>
          <w:szCs w:val="20"/>
          <w:color w:val="auto"/>
        </w:rPr>
      </w:pPr>
    </w:p>
    <w:p>
      <w:pPr>
        <w:ind w:left="620" w:hanging="30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w:t>
      </w:r>
    </w:p>
    <w:p>
      <w:pPr>
        <w:spacing w:after="0" w:line="28" w:lineRule="exact"/>
        <w:rPr>
          <w:rFonts w:ascii="Arial" w:cs="Arial" w:eastAsia="Arial" w:hAnsi="Arial"/>
          <w:sz w:val="17"/>
          <w:szCs w:val="17"/>
          <w:color w:val="auto"/>
        </w:rPr>
      </w:pPr>
    </w:p>
    <w:p>
      <w:pPr>
        <w:ind w:left="620" w:right="80"/>
        <w:spacing w:after="0" w:line="265" w:lineRule="auto"/>
        <w:rPr>
          <w:rFonts w:ascii="Arial" w:cs="Arial" w:eastAsia="Arial" w:hAnsi="Arial"/>
          <w:sz w:val="17"/>
          <w:szCs w:val="17"/>
          <w:color w:val="auto"/>
        </w:rPr>
      </w:pPr>
      <w:r>
        <w:rPr>
          <w:rFonts w:ascii="Arial" w:cs="Arial" w:eastAsia="Arial" w:hAnsi="Arial"/>
          <w:sz w:val="17"/>
          <w:szCs w:val="17"/>
          <w:color w:val="auto"/>
        </w:rPr>
        <w:t>U.S. dollar 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54" w:lineRule="exact"/>
        <w:rPr>
          <w:rFonts w:ascii="Arial" w:cs="Arial" w:eastAsia="Arial" w:hAnsi="Arial"/>
          <w:sz w:val="17"/>
          <w:szCs w:val="17"/>
          <w:color w:val="auto"/>
        </w:rPr>
      </w:pPr>
    </w:p>
    <w:p>
      <w:pPr>
        <w:ind w:left="620" w:right="120"/>
        <w:spacing w:after="0" w:line="268" w:lineRule="auto"/>
        <w:rPr>
          <w:rFonts w:ascii="Arial" w:cs="Arial" w:eastAsia="Arial" w:hAnsi="Arial"/>
          <w:sz w:val="17"/>
          <w:szCs w:val="17"/>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w:t>
      </w:r>
    </w:p>
    <w:p>
      <w:pPr>
        <w:spacing w:after="0" w:line="139" w:lineRule="exact"/>
        <w:rPr>
          <w:rFonts w:ascii="Arial" w:cs="Arial" w:eastAsia="Arial" w:hAnsi="Arial"/>
          <w:sz w:val="17"/>
          <w:szCs w:val="17"/>
          <w:color w:val="auto"/>
        </w:rPr>
      </w:pPr>
    </w:p>
    <w:p>
      <w:pPr>
        <w:ind w:left="620" w:right="100"/>
        <w:spacing w:after="0" w:line="268" w:lineRule="auto"/>
        <w:rPr>
          <w:rFonts w:ascii="Arial" w:cs="Arial" w:eastAsia="Arial" w:hAnsi="Arial"/>
          <w:sz w:val="17"/>
          <w:szCs w:val="17"/>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activity, for example, revenue.</w:t>
      </w:r>
    </w:p>
    <w:p>
      <w:pPr>
        <w:spacing w:after="0" w:line="152" w:lineRule="exact"/>
        <w:rPr>
          <w:rFonts w:ascii="Arial" w:cs="Arial" w:eastAsia="Arial" w:hAnsi="Arial"/>
          <w:sz w:val="17"/>
          <w:szCs w:val="17"/>
          <w:color w:val="auto"/>
        </w:rPr>
      </w:pPr>
    </w:p>
    <w:p>
      <w:pPr>
        <w:ind w:left="620" w:hanging="305"/>
        <w:spacing w:after="0" w:line="265"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w:t>
      </w:r>
    </w:p>
    <w:p>
      <w:pPr>
        <w:spacing w:after="0" w:line="153" w:lineRule="exact"/>
        <w:rPr>
          <w:rFonts w:ascii="Arial" w:cs="Arial" w:eastAsia="Arial" w:hAnsi="Arial"/>
          <w:sz w:val="17"/>
          <w:szCs w:val="17"/>
          <w:color w:val="auto"/>
        </w:rPr>
      </w:pPr>
    </w:p>
    <w:p>
      <w:pPr>
        <w:ind w:left="620" w:right="20" w:hanging="305"/>
        <w:spacing w:after="0" w:line="258" w:lineRule="auto"/>
        <w:tabs>
          <w:tab w:leader="none" w:pos="616"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 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cross-currency swaps designated as cash flow hedges. A hypothetical decrease in exchange rates of 10% against the functional currency of our subsidiaries would have resulted in a change of $10.5 million and $14.0 million on our (loss) income before income taxes for the three and six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92" w:lineRule="exact"/>
        <w:rPr>
          <w:sz w:val="20"/>
          <w:szCs w:val="20"/>
          <w:color w:val="auto"/>
        </w:rPr>
      </w:pPr>
    </w:p>
    <w:p>
      <w:pPr>
        <w:ind w:firstLine="623"/>
        <w:spacing w:after="0" w:line="25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92"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13a-15(f) and 15d-15(f) under the Exchange Act) during the three months ended December 31, 2022 that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42" w:name="page43"/>
    <w:bookmarkEnd w:id="42"/>
    <w:p>
      <w:pPr>
        <w:ind w:left="4080"/>
        <w:spacing w:after="0"/>
        <w:rPr>
          <w:sz w:val="20"/>
          <w:szCs w:val="20"/>
          <w:color w:val="auto"/>
        </w:rPr>
      </w:pPr>
      <w:r>
        <w:rPr>
          <w:rFonts w:ascii="Arial" w:cs="Arial" w:eastAsia="Arial" w:hAnsi="Arial"/>
          <w:sz w:val="21"/>
          <w:szCs w:val="21"/>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 and Financial Statement Schedules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60" w:type="dxa"/>
            <w:vAlign w:val="bottom"/>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0" w:type="dxa"/>
            <w:vAlign w:val="bottom"/>
            <w:tcBorders>
              <w:bottom w:val="single" w:sz="8" w:color="0000FF"/>
            </w:tcBorders>
          </w:tcPr>
          <w:p>
            <w:pPr>
              <w:spacing w:after="0" w:line="168" w:lineRule="exact"/>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p>
        </w:tc>
        <w:tc>
          <w:tcPr>
            <w:tcW w:w="360" w:type="dxa"/>
            <w:vAlign w:val="bottom"/>
          </w:tcPr>
          <w:p>
            <w:pPr>
              <w:spacing w:after="0"/>
              <w:rPr>
                <w:sz w:val="14"/>
                <w:szCs w:val="14"/>
                <w:color w:val="auto"/>
              </w:rPr>
            </w:pPr>
          </w:p>
        </w:tc>
        <w:tc>
          <w:tcPr>
            <w:tcW w:w="10360" w:type="dxa"/>
            <w:vAlign w:val="bottom"/>
          </w:tcPr>
          <w:p>
            <w:pPr>
              <w:ind w:left="200"/>
              <w:spacing w:after="0" w:line="168" w:lineRule="exact"/>
              <w:rPr>
                <w:sz w:val="20"/>
                <w:szCs w:val="20"/>
                <w:color w:val="auto"/>
              </w:rPr>
            </w:pPr>
            <w:r>
              <w:rPr>
                <w:rFonts w:ascii="Arial" w:cs="Arial" w:eastAsia="Arial" w:hAnsi="Arial"/>
                <w:sz w:val="16"/>
                <w:szCs w:val="16"/>
                <w:color w:val="auto"/>
                <w:w w:val="97"/>
              </w:rPr>
              <w:t>2020 Equity Incentive Plan, as amended, is incorporated by reference to our Current Report on Form 8-K filed with the SEC on November 17, 2022</w:t>
            </w:r>
          </w:p>
        </w:tc>
        <w:tc>
          <w:tcPr>
            <w:tcW w:w="0" w:type="dxa"/>
            <w:vAlign w:val="bottom"/>
          </w:tcPr>
          <w:p>
            <w:pPr>
              <w:spacing w:after="0"/>
              <w:rPr>
                <w:sz w:val="1"/>
                <w:szCs w:val="1"/>
                <w:color w:val="auto"/>
              </w:rPr>
            </w:pPr>
          </w:p>
        </w:tc>
      </w:tr>
      <w:tr>
        <w:trPr>
          <w:trHeight w:val="188"/>
        </w:trPr>
        <w:tc>
          <w:tcPr>
            <w:tcW w:w="3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c>
          <w:tcPr>
            <w:tcW w:w="0" w:type="dxa"/>
            <w:vAlign w:val="bottom"/>
          </w:tcPr>
          <w:p>
            <w:pPr>
              <w:spacing w:after="0"/>
              <w:rPr>
                <w:sz w:val="1"/>
                <w:szCs w:val="1"/>
                <w:color w:val="auto"/>
              </w:rPr>
            </w:pPr>
          </w:p>
        </w:tc>
      </w:tr>
      <w:tr>
        <w:trPr>
          <w:trHeight w:val="188"/>
        </w:trPr>
        <w:tc>
          <w:tcPr>
            <w:tcW w:w="3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c>
          <w:tcPr>
            <w:tcW w:w="0" w:type="dxa"/>
            <w:vAlign w:val="bottom"/>
          </w:tcPr>
          <w:p>
            <w:pPr>
              <w:spacing w:after="0"/>
              <w:rPr>
                <w:sz w:val="1"/>
                <w:szCs w:val="1"/>
                <w:color w:val="auto"/>
              </w:rPr>
            </w:pPr>
          </w:p>
        </w:tc>
      </w:tr>
      <w:tr>
        <w:trPr>
          <w:trHeight w:val="188"/>
        </w:trPr>
        <w:tc>
          <w:tcPr>
            <w:tcW w:w="3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w w:val="97"/>
              </w:rPr>
              <w:t>Certification pursuant to 18 U.S.C. Section 1350, as adopted pursuant to Section 906 of the Sarbanes-Oxley Act of 2002, by Chief Executive Officer</w:t>
            </w: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360" w:type="dxa"/>
            <w:vAlign w:val="bottom"/>
          </w:tcPr>
          <w:p>
            <w:pPr>
              <w:ind w:left="200"/>
              <w:spacing w:after="0"/>
              <w:rPr>
                <w:sz w:val="20"/>
                <w:szCs w:val="20"/>
                <w:color w:val="auto"/>
              </w:rPr>
            </w:pPr>
            <w:r>
              <w:rPr>
                <w:rFonts w:ascii="Arial" w:cs="Arial" w:eastAsia="Arial" w:hAnsi="Arial"/>
                <w:sz w:val="16"/>
                <w:szCs w:val="16"/>
                <w:color w:val="auto"/>
              </w:rPr>
              <w:t>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40"/>
          </w:cols>
          <w:pgMar w:left="320" w:top="970" w:right="539" w:bottom="1440" w:gutter="0" w:footer="0" w:header="0"/>
        </w:sectPr>
      </w:pPr>
    </w:p>
    <w:bookmarkStart w:id="43" w:name="page44"/>
    <w:bookmarkEnd w:id="43"/>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131"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tabs>
          <w:tab w:leader="none" w:pos="2520" w:val="left"/>
        </w:tabs>
        <w:rPr>
          <w:sz w:val="20"/>
          <w:szCs w:val="20"/>
          <w:color w:val="auto"/>
        </w:rPr>
      </w:pPr>
      <w:r>
        <w:rPr>
          <w:rFonts w:ascii="Arial" w:cs="Arial" w:eastAsia="Arial" w:hAnsi="Arial"/>
          <w:sz w:val="17"/>
          <w:szCs w:val="17"/>
          <w:color w:val="auto"/>
        </w:rPr>
        <w:t>January 26, 2023</w:t>
      </w:r>
      <w:r>
        <w:rPr>
          <w:sz w:val="20"/>
          <w:szCs w:val="20"/>
          <w:color w:val="auto"/>
        </w:rPr>
        <w:tab/>
      </w:r>
      <w:r>
        <w:rPr>
          <w:rFonts w:ascii="Arial" w:cs="Arial" w:eastAsia="Arial" w:hAnsi="Arial"/>
          <w:sz w:val="17"/>
          <w:szCs w:val="17"/>
          <w:color w:val="auto"/>
        </w:rPr>
        <w:t>Cimpress plc</w:t>
      </w:r>
    </w:p>
    <w:p>
      <w:pPr>
        <w:spacing w:after="0" w:line="363" w:lineRule="exact"/>
        <w:rPr>
          <w:sz w:val="20"/>
          <w:szCs w:val="20"/>
          <w:color w:val="auto"/>
        </w:rPr>
      </w:pPr>
    </w:p>
    <w:p>
      <w:pPr>
        <w:ind w:left="5500"/>
        <w:spacing w:after="0"/>
        <w:tabs>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18415</wp:posOffset>
            </wp:positionV>
            <wp:extent cx="3296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Chief Financial Officer</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080"/>
          </w:cols>
          <w:pgMar w:left="320" w:top="1068" w:right="49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Amendment No. 1 to</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2020 Equity Incentive Plan</w:t>
      </w:r>
    </w:p>
    <w:p>
      <w:pPr>
        <w:spacing w:after="0" w:line="200" w:lineRule="exact"/>
        <w:rPr>
          <w:sz w:val="20"/>
          <w:szCs w:val="20"/>
          <w:color w:val="auto"/>
        </w:rPr>
      </w:pPr>
    </w:p>
    <w:p>
      <w:pPr>
        <w:spacing w:after="0" w:line="209" w:lineRule="exact"/>
        <w:rPr>
          <w:sz w:val="20"/>
          <w:szCs w:val="20"/>
          <w:color w:val="auto"/>
        </w:rPr>
      </w:pPr>
    </w:p>
    <w:p>
      <w:pPr>
        <w:ind w:right="60" w:firstLine="623"/>
        <w:spacing w:after="0" w:line="237" w:lineRule="auto"/>
        <w:rPr>
          <w:sz w:val="20"/>
          <w:szCs w:val="20"/>
          <w:color w:val="auto"/>
        </w:rPr>
      </w:pPr>
      <w:r>
        <w:rPr>
          <w:rFonts w:ascii="Times New Roman" w:cs="Times New Roman" w:eastAsia="Times New Roman" w:hAnsi="Times New Roman"/>
          <w:sz w:val="21"/>
          <w:szCs w:val="21"/>
          <w:color w:val="auto"/>
        </w:rPr>
        <w:t>The 2020 Equity Incentive Plan of Cimpress plc is amended as follows, and capitalized terms used and not defined herein have the respective meanings ascribed to such terms in the 2020 Equity Incentive Plan: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Section 4(a)(1) is deleted in its entirety and replaced with the following:</w:t>
      </w:r>
    </w:p>
    <w:p>
      <w:pPr>
        <w:spacing w:after="0" w:line="200" w:lineRule="exact"/>
        <w:rPr>
          <w:sz w:val="20"/>
          <w:szCs w:val="20"/>
          <w:color w:val="auto"/>
        </w:rPr>
      </w:pPr>
    </w:p>
    <w:p>
      <w:pPr>
        <w:ind w:right="20" w:firstLine="1246"/>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Authorized Number of Ordinary Shares</w:t>
      </w:r>
      <w:r>
        <w:rPr>
          <w:rFonts w:ascii="Times New Roman" w:cs="Times New Roman" w:eastAsia="Times New Roman" w:hAnsi="Times New Roman"/>
          <w:sz w:val="21"/>
          <w:szCs w:val="21"/>
          <w:color w:val="auto"/>
        </w:rPr>
        <w:t>. Subject to adjustment under Section 9, the Company may make Awards under the Plan for up to a total of 5,500,000 ordinary shares, €0.01 nominal value per share, of the Company (the “</w:t>
      </w:r>
      <w:r>
        <w:rPr>
          <w:rFonts w:ascii="Times New Roman" w:cs="Times New Roman" w:eastAsia="Times New Roman" w:hAnsi="Times New Roman"/>
          <w:sz w:val="21"/>
          <w:szCs w:val="21"/>
          <w:b w:val="1"/>
          <w:bCs w:val="1"/>
          <w:i w:val="1"/>
          <w:iCs w:val="1"/>
          <w:color w:val="auto"/>
        </w:rPr>
        <w:t>Ordinary Shares</w:t>
      </w:r>
      <w:r>
        <w:rPr>
          <w:rFonts w:ascii="Times New Roman" w:cs="Times New Roman" w:eastAsia="Times New Roman" w:hAnsi="Times New Roman"/>
          <w:sz w:val="21"/>
          <w:szCs w:val="21"/>
          <w:color w:val="auto"/>
        </w:rPr>
        <w:t>”) plus the number of Ordinary Shares subject to awards granted under the 2016 Performance Equity Plan that expire or are terminated, surrendered, canceled, or forfeited as more specifically set forth in Section 4(a)(2)(B) below. The Company may grant Incentive Stock Options (as defined in Section 5(b)) under the Plan covering a maximum of 5,500,000 Ordinary Shares in the aggregate. Shares issued under the Plan may consist in whole or in part of authorized but unissued shares or treasury shares."</w:t>
      </w:r>
    </w:p>
    <w:p>
      <w:pPr>
        <w:spacing w:after="0" w:line="200" w:lineRule="exact"/>
        <w:rPr>
          <w:sz w:val="20"/>
          <w:szCs w:val="20"/>
          <w:color w:val="auto"/>
        </w:rPr>
      </w:pPr>
    </w:p>
    <w:p>
      <w:pPr>
        <w:spacing w:after="0" w:line="209" w:lineRule="exact"/>
        <w:rPr>
          <w:sz w:val="20"/>
          <w:szCs w:val="20"/>
          <w:color w:val="auto"/>
        </w:rPr>
      </w:pPr>
    </w:p>
    <w:p>
      <w:pPr>
        <w:ind w:left="3120"/>
        <w:spacing w:after="0" w:line="237" w:lineRule="auto"/>
        <w:rPr>
          <w:sz w:val="20"/>
          <w:szCs w:val="20"/>
          <w:color w:val="auto"/>
        </w:rPr>
      </w:pPr>
      <w:r>
        <w:rPr>
          <w:rFonts w:ascii="Times New Roman" w:cs="Times New Roman" w:eastAsia="Times New Roman" w:hAnsi="Times New Roman"/>
          <w:sz w:val="21"/>
          <w:szCs w:val="21"/>
          <w:color w:val="auto"/>
        </w:rPr>
        <w:t>Amendment adopted by the Board on September 21, 2022 and by the Company’s shareholders on November 16, 2022</w:t>
      </w:r>
    </w:p>
    <w:p>
      <w:pPr>
        <w:sectPr>
          <w:pgSz w:w="11900" w:h="16838" w:orient="portrait"/>
          <w:cols w:equalWidth="0" w:num="1">
            <w:col w:w="11240"/>
          </w:cols>
          <w:pgMar w:left="320" w:top="1335"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CIMPRESS PLC</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2020 EQUITY INCENTIVE PLAN</w:t>
      </w:r>
    </w:p>
    <w:p>
      <w:pPr>
        <w:spacing w:after="0" w:line="178" w:lineRule="exact"/>
        <w:rPr>
          <w:sz w:val="20"/>
          <w:szCs w:val="20"/>
          <w:color w:val="auto"/>
        </w:rPr>
      </w:pPr>
    </w:p>
    <w:p>
      <w:pPr>
        <w:ind w:left="620" w:hanging="616"/>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p>
    <w:p>
      <w:pPr>
        <w:spacing w:after="0" w:line="170" w:lineRule="exact"/>
        <w:rPr>
          <w:sz w:val="20"/>
          <w:szCs w:val="20"/>
          <w:color w:val="auto"/>
        </w:rPr>
      </w:pPr>
    </w:p>
    <w:p>
      <w:pPr>
        <w:ind w:right="20" w:firstLine="623"/>
        <w:spacing w:after="0" w:line="213" w:lineRule="auto"/>
        <w:rPr>
          <w:sz w:val="20"/>
          <w:szCs w:val="20"/>
          <w:color w:val="auto"/>
        </w:rPr>
      </w:pPr>
      <w:r>
        <w:rPr>
          <w:rFonts w:ascii="Times New Roman" w:cs="Times New Roman" w:eastAsia="Times New Roman" w:hAnsi="Times New Roman"/>
          <w:sz w:val="21"/>
          <w:szCs w:val="21"/>
          <w:color w:val="auto"/>
        </w:rPr>
        <w:t>The purpose of this 2020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of Cimpress plc, a public limited company incorporated under the laws of Ireland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is to advance the interests of the Company’s shareholders by enhancing the Company’s ability to attract, retain and motivate individuals who are expected to make important contributions to the Company and by providing such individuals with equity ownership opportunities and performance-based incentives that are intended to better align the interests of the individuals with those of the Company’s shareholders. Except where the context otherwise requires, the term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includes any of the Company’s present or future parent or subsidiary corporations as defined in Sections 424(e) or (f) of the United States Internal Revenue Code of 1986, as amended, and any regulations thereunder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left="620" w:hanging="616"/>
        <w:spacing w:after="0"/>
        <w:tabs>
          <w:tab w:leader="none" w:pos="6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p>
    <w:p>
      <w:pPr>
        <w:spacing w:after="0" w:line="174" w:lineRule="exact"/>
        <w:rPr>
          <w:sz w:val="20"/>
          <w:szCs w:val="20"/>
          <w:color w:val="auto"/>
        </w:rPr>
      </w:pPr>
    </w:p>
    <w:p>
      <w:pPr>
        <w:ind w:right="180" w:firstLine="623"/>
        <w:spacing w:after="0" w:line="229" w:lineRule="auto"/>
        <w:rPr>
          <w:sz w:val="20"/>
          <w:szCs w:val="20"/>
          <w:color w:val="auto"/>
        </w:rPr>
      </w:pPr>
      <w:r>
        <w:rPr>
          <w:rFonts w:ascii="Times New Roman" w:cs="Times New Roman" w:eastAsia="Times New Roman" w:hAnsi="Times New Roman"/>
          <w:sz w:val="20"/>
          <w:szCs w:val="20"/>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or any successor form) are eligible to be granted Awards under the Plan. Each person who is granted an Award under the Plan is deemed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Options (as defined in Section 5), SARs (as defined in Section 6), Restricted Shares (as defined in Section 7), RSUs (as defined in Section 7), and Other Share-Based Awards (as defined in Section 8).</w:t>
      </w:r>
    </w:p>
    <w:p>
      <w:pPr>
        <w:spacing w:after="0" w:line="149" w:lineRule="exact"/>
        <w:rPr>
          <w:sz w:val="20"/>
          <w:szCs w:val="20"/>
          <w:color w:val="auto"/>
        </w:rPr>
      </w:pPr>
    </w:p>
    <w:p>
      <w:pPr>
        <w:ind w:left="620" w:hanging="616"/>
        <w:spacing w:after="0"/>
        <w:tabs>
          <w:tab w:leader="none" w:pos="6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and Delegation</w:t>
      </w:r>
    </w:p>
    <w:p>
      <w:pPr>
        <w:spacing w:after="0" w:line="173" w:lineRule="exact"/>
        <w:rPr>
          <w:rFonts w:ascii="Times New Roman" w:cs="Times New Roman" w:eastAsia="Times New Roman" w:hAnsi="Times New Roman"/>
          <w:sz w:val="21"/>
          <w:szCs w:val="21"/>
          <w:color w:val="auto"/>
        </w:rPr>
      </w:pPr>
    </w:p>
    <w:p>
      <w:pPr>
        <w:ind w:right="20" w:firstLine="627"/>
        <w:spacing w:after="0" w:line="213" w:lineRule="auto"/>
        <w:tabs>
          <w:tab w:leader="none" w:pos="124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by Board</w:t>
      </w:r>
      <w:r>
        <w:rPr>
          <w:rFonts w:ascii="Times New Roman" w:cs="Times New Roman" w:eastAsia="Times New Roman" w:hAnsi="Times New Roman"/>
          <w:sz w:val="21"/>
          <w:szCs w:val="21"/>
          <w:color w:val="auto"/>
        </w:rPr>
        <w:t>. The Board administers the Plan and has the authority to grant Awards, including but not limited to determining which individuals will be granted Awards, the timing of granting Awards, the type(s) of Awards to be granted, and the terms and conditions of each Award; to adopt, amend and repeal such administrative rules, guidelines and practices relating to the Plan as it deems advisable; and to exercise such powers and perform such acts as the Board deems necessary, desirable, convenient or expedient to promote the best interests of the Company that are not in conflict with the provisions of the Plan. The Board may construe and interpret the terms of the Plan and any Award agreements entered into under the Plan. The Board may correct any defect, supply any omission or reconcile any inconsistency in the Plan or any Award in the manner and to the extent it deems expedient, and it is the sole and final judge of such expediency. All decisions by the Board are made in the Board’s sole discretion and are final and binding on all persons having or claiming any interest in the Plan or in any Award.</w:t>
      </w:r>
    </w:p>
    <w:p>
      <w:pPr>
        <w:spacing w:after="0" w:line="147" w:lineRule="exact"/>
        <w:rPr>
          <w:rFonts w:ascii="Times New Roman" w:cs="Times New Roman" w:eastAsia="Times New Roman" w:hAnsi="Times New Roman"/>
          <w:sz w:val="21"/>
          <w:szCs w:val="21"/>
          <w:color w:val="auto"/>
        </w:rPr>
      </w:pPr>
    </w:p>
    <w:p>
      <w:pPr>
        <w:ind w:firstLine="627"/>
        <w:spacing w:after="0" w:line="216" w:lineRule="auto"/>
        <w:tabs>
          <w:tab w:leader="none" w:pos="124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Appointment of Committees</w:t>
      </w:r>
      <w:r>
        <w:rPr>
          <w:rFonts w:ascii="Times New Roman" w:cs="Times New Roman" w:eastAsia="Times New Roman" w:hAnsi="Times New Roman"/>
          <w:sz w:val="21"/>
          <w:szCs w:val="21"/>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All references in the Plan to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mean the Board, a Committee or the officers referred to in Section 3(c), in the latter two cases to the extent that the Board’s powers or authority under the Plan have been delegated to such Committee or officers. The Board may revoke or amend the terms of a delegation under this Section 3(b) or under Section 3(c) at any time, but such action shall not invalidate any prior actions of the Board’s delegate or delegates that were consistent with the terms of the Plan.</w:t>
      </w:r>
    </w:p>
    <w:p>
      <w:pPr>
        <w:sectPr>
          <w:pgSz w:w="11900" w:h="16838" w:orient="portrait"/>
          <w:cols w:equalWidth="0" w:num="1">
            <w:col w:w="11220"/>
          </w:cols>
          <w:pgMar w:left="320" w:top="1341" w:right="359" w:bottom="1440" w:gutter="0" w:footer="0" w:header="0"/>
        </w:sectPr>
      </w:pPr>
    </w:p>
    <w:bookmarkStart w:id="46" w:name="page47"/>
    <w:bookmarkEnd w:id="46"/>
    <w:p>
      <w:pPr>
        <w:ind w:left="-4" w:right="40" w:firstLine="627"/>
        <w:spacing w:after="0" w:line="214" w:lineRule="auto"/>
        <w:tabs>
          <w:tab w:leader="none" w:pos="1239"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Delegation to Officers</w:t>
      </w:r>
      <w:r>
        <w:rPr>
          <w:rFonts w:ascii="Times New Roman" w:cs="Times New Roman" w:eastAsia="Times New Roman" w:hAnsi="Times New Roman"/>
          <w:sz w:val="21"/>
          <w:szCs w:val="21"/>
          <w:color w:val="auto"/>
        </w:rPr>
        <w:t>. To the extent permitted by applicable law, the Board may delegate to one or more officers of the Company the power to grant Awards (subject to any limitations under the Plan) to employees or officers of the Company and to exercise such other powers under the Plan as the Board may determine. However, the Board shall fix the terms of such Awards to be granted by such officers (including the exercise price of such Awards, if any, which may include a formula by which the exercise price is determined) and the maximum number of shares subject to such Awards that the officers may grant, and no officer is authorized to grant such Awards to any (1) “executive officer” of the Company (as defined by Rule 3b-7 under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(2) “officer” of the Company (as defined by Rule 16a-1 under the Exchange Act), or (3) member of the Board.</w:t>
      </w:r>
    </w:p>
    <w:p>
      <w:pPr>
        <w:spacing w:after="0" w:line="146"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Ordinary Shares Available for Awards; Plan Limits</w:t>
      </w:r>
    </w:p>
    <w:p>
      <w:pPr>
        <w:spacing w:after="0" w:line="173" w:lineRule="exact"/>
        <w:rPr>
          <w:rFonts w:ascii="Times New Roman" w:cs="Times New Roman" w:eastAsia="Times New Roman" w:hAnsi="Times New Roman"/>
          <w:sz w:val="21"/>
          <w:szCs w:val="21"/>
          <w:color w:val="auto"/>
        </w:rPr>
      </w:pPr>
    </w:p>
    <w:p>
      <w:pPr>
        <w:ind w:left="1236" w:hanging="613"/>
        <w:spacing w:after="0"/>
        <w:tabs>
          <w:tab w:leader="none" w:pos="1236"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Shares; Share Counting</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left="-4" w:firstLine="1250"/>
        <w:spacing w:after="0" w:line="216" w:lineRule="auto"/>
        <w:tabs>
          <w:tab w:leader="none" w:pos="1861" w:val="left"/>
        </w:tabs>
        <w:numPr>
          <w:ilvl w:val="2"/>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Authorized Number of Ordinary Shares</w:t>
      </w:r>
      <w:r>
        <w:rPr>
          <w:rFonts w:ascii="Times New Roman" w:cs="Times New Roman" w:eastAsia="Times New Roman" w:hAnsi="Times New Roman"/>
          <w:sz w:val="21"/>
          <w:szCs w:val="21"/>
          <w:color w:val="auto"/>
        </w:rPr>
        <w:t>. Subject to adjustment under Section 9, the Company may make Awards under the Plan for up to a total of 3,500,000 ordinary shares, €0.01 nominal value per share, of the Company (the “</w:t>
      </w:r>
      <w:r>
        <w:rPr>
          <w:rFonts w:ascii="Times New Roman" w:cs="Times New Roman" w:eastAsia="Times New Roman" w:hAnsi="Times New Roman"/>
          <w:sz w:val="21"/>
          <w:szCs w:val="21"/>
          <w:b w:val="1"/>
          <w:bCs w:val="1"/>
          <w:i w:val="1"/>
          <w:iCs w:val="1"/>
          <w:color w:val="auto"/>
        </w:rPr>
        <w:t>Ordinary Shares</w:t>
      </w:r>
      <w:r>
        <w:rPr>
          <w:rFonts w:ascii="Times New Roman" w:cs="Times New Roman" w:eastAsia="Times New Roman" w:hAnsi="Times New Roman"/>
          <w:sz w:val="21"/>
          <w:szCs w:val="21"/>
          <w:color w:val="auto"/>
        </w:rPr>
        <w:t>”) plus the number of Ordinary Shares subject to awards granted under the 2016 Performance Equity Plan that expire or are terminated, surrendered, canceled, or forfeited as more specifically set forth in Section 4(a)(2)(B) below. The Company may grant Incentive Stock Options (as defined in Section 5(b)) under the Plan covering a maximum of 3,500,000 Ordinary Shares in the aggregate. Shares issued under the Plan may consist in whole or in part of authorized but unissued shares or treasury shares.</w:t>
      </w:r>
    </w:p>
    <w:p>
      <w:pPr>
        <w:spacing w:after="0" w:line="149" w:lineRule="exact"/>
        <w:rPr>
          <w:rFonts w:ascii="Times New Roman" w:cs="Times New Roman" w:eastAsia="Times New Roman" w:hAnsi="Times New Roman"/>
          <w:sz w:val="21"/>
          <w:szCs w:val="21"/>
          <w:color w:val="auto"/>
        </w:rPr>
      </w:pPr>
    </w:p>
    <w:p>
      <w:pPr>
        <w:ind w:left="-4" w:right="80" w:firstLine="1250"/>
        <w:spacing w:after="0" w:line="237" w:lineRule="auto"/>
        <w:tabs>
          <w:tab w:leader="none" w:pos="1861" w:val="left"/>
        </w:tabs>
        <w:numPr>
          <w:ilvl w:val="2"/>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Counting</w:t>
      </w:r>
      <w:r>
        <w:rPr>
          <w:rFonts w:ascii="Times New Roman" w:cs="Times New Roman" w:eastAsia="Times New Roman" w:hAnsi="Times New Roman"/>
          <w:sz w:val="21"/>
          <w:szCs w:val="21"/>
          <w:color w:val="auto"/>
        </w:rPr>
        <w:t>. For purposes of counting the number of shares available under the share limits specified in this Section 4(a), the following provisions apply:</w:t>
      </w:r>
    </w:p>
    <w:p>
      <w:pPr>
        <w:spacing w:after="0" w:line="146" w:lineRule="exact"/>
        <w:rPr>
          <w:rFonts w:ascii="Times New Roman" w:cs="Times New Roman" w:eastAsia="Times New Roman" w:hAnsi="Times New Roman"/>
          <w:sz w:val="21"/>
          <w:szCs w:val="21"/>
          <w:color w:val="auto"/>
        </w:rPr>
      </w:pPr>
    </w:p>
    <w:p>
      <w:pPr>
        <w:ind w:left="-4" w:right="120" w:firstLine="1873"/>
        <w:spacing w:after="0" w:line="233" w:lineRule="auto"/>
        <w:tabs>
          <w:tab w:leader="none" w:pos="2478" w:val="left"/>
        </w:tabs>
        <w:numPr>
          <w:ilvl w:val="3"/>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Ordinary Shares covered by SARs are counted against the share limits specified in this Section 4(a), except that if the Company grants an SAR in tandem with an Option for the same number of Ordinary Shares and provides that only one such Award may be exercised (a “</w:t>
      </w:r>
      <w:r>
        <w:rPr>
          <w:rFonts w:ascii="Times New Roman" w:cs="Times New Roman" w:eastAsia="Times New Roman" w:hAnsi="Times New Roman"/>
          <w:sz w:val="20"/>
          <w:szCs w:val="20"/>
          <w:b w:val="1"/>
          <w:bCs w:val="1"/>
          <w:i w:val="1"/>
          <w:iCs w:val="1"/>
          <w:color w:val="auto"/>
        </w:rPr>
        <w:t>Tandem SAR</w:t>
      </w:r>
      <w:r>
        <w:rPr>
          <w:rFonts w:ascii="Times New Roman" w:cs="Times New Roman" w:eastAsia="Times New Roman" w:hAnsi="Times New Roman"/>
          <w:sz w:val="20"/>
          <w:szCs w:val="20"/>
          <w:color w:val="auto"/>
        </w:rPr>
        <w:t>”), only the shares covered by the Option, and not the shares covered by the Tandem SAR, are so counted, and the expiration of one in connection with the other’s exercise does not restore shares to the Plan.</w:t>
      </w:r>
    </w:p>
    <w:p>
      <w:pPr>
        <w:spacing w:after="0" w:line="145" w:lineRule="exact"/>
        <w:rPr>
          <w:rFonts w:ascii="Times New Roman" w:cs="Times New Roman" w:eastAsia="Times New Roman" w:hAnsi="Times New Roman"/>
          <w:sz w:val="20"/>
          <w:szCs w:val="20"/>
          <w:color w:val="auto"/>
        </w:rPr>
      </w:pPr>
    </w:p>
    <w:p>
      <w:pPr>
        <w:ind w:left="-4" w:right="40" w:firstLine="1873"/>
        <w:spacing w:after="0" w:line="211" w:lineRule="auto"/>
        <w:tabs>
          <w:tab w:leader="none" w:pos="2480" w:val="left"/>
        </w:tabs>
        <w:numPr>
          <w:ilvl w:val="3"/>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Award or, after the Effective Date (as defined below), any award granted under the Company’s 2016 Performance Equity Plan (i) expires or is terminated, surrendered or canceled without having been fully exercised or is forfeited in whole or in part (including as the result of Ordinary Shares subject to such award being redeemed by the Company at the original issuance price pursuant to a contractual redemption right) or (ii) results in any Ordinary Shares not being issued (including as a result of an SAR that was settleable either in cash or in shares actually being settled in cash), the unused Ordinary Shares covered by such award are again available for the grant of Awards; for clarity, without limiting the foregoing, with respect to performance share unit awards under the 2016 Performance Equity Plan that are outstanding as of the Effective Date and that subsequently expire or are terminated, surrendered, canceled or forfeited in whole or in part, one Ordinary Shares for each unit subject to each such award becomes available for the grant of Awards under this Plan. However, in the case of Incentive Stock Options, the foregoing is subject to any limitations under the Code; in the case of the exercise of an SAR, the number of shares counted against the share limits specified in this Section 4(a) is the full number of shares subject to the SAR multiplied by the percentage of the SAR actually exercised, regardless of the number of shares actually used to settle such SAR upon exercise; and the shares covered by a Tandem SAR do not again become available for grant upon the expiration or termination of such Tandem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36"/>
          </w:cols>
          <w:pgMar w:left="324" w:top="1345" w:right="339" w:bottom="1440" w:gutter="0" w:footer="0" w:header="0"/>
        </w:sectPr>
      </w:pPr>
    </w:p>
    <w:bookmarkStart w:id="47" w:name="page48"/>
    <w:bookmarkEnd w:id="47"/>
    <w:p>
      <w:pPr>
        <w:ind w:left="-4" w:right="40" w:firstLine="1873"/>
        <w:spacing w:after="0" w:line="222" w:lineRule="auto"/>
        <w:tabs>
          <w:tab w:leader="none" w:pos="2480"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Ordinary Shares that a Participant delivers to the Company (whether by actual delivery, attestation or net exercise) to (i) purchase Ordinary Shares upon the exercise of an Award or (ii) satisfy tax withholding obligations (including shares retained from the Award or, after the Effective Date, any award granted under the Company’s 2016 Performance Equity Plan creating the tax obligation) are not added back to the number of shares available for the future grant of Awards.</w:t>
      </w:r>
    </w:p>
    <w:p>
      <w:pPr>
        <w:spacing w:after="0" w:line="144" w:lineRule="exact"/>
        <w:rPr>
          <w:rFonts w:ascii="Times New Roman" w:cs="Times New Roman" w:eastAsia="Times New Roman" w:hAnsi="Times New Roman"/>
          <w:sz w:val="21"/>
          <w:szCs w:val="21"/>
          <w:color w:val="auto"/>
        </w:rPr>
      </w:pPr>
    </w:p>
    <w:p>
      <w:pPr>
        <w:ind w:left="-4" w:right="140" w:firstLine="1873"/>
        <w:spacing w:after="0" w:line="237" w:lineRule="auto"/>
        <w:tabs>
          <w:tab w:leader="none" w:pos="2478"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Ordinary Shares repurchased or redeemed by the Company on the open market using the proceeds from the exercise of an Award do not increase the number of shares available for future grant of Awards.</w:t>
      </w:r>
    </w:p>
    <w:p>
      <w:pPr>
        <w:spacing w:after="0" w:line="146" w:lineRule="exact"/>
        <w:rPr>
          <w:rFonts w:ascii="Times New Roman" w:cs="Times New Roman" w:eastAsia="Times New Roman" w:hAnsi="Times New Roman"/>
          <w:sz w:val="21"/>
          <w:szCs w:val="21"/>
          <w:color w:val="auto"/>
        </w:rPr>
      </w:pPr>
    </w:p>
    <w:p>
      <w:pPr>
        <w:ind w:left="-4" w:firstLine="627"/>
        <w:spacing w:after="0" w:line="216" w:lineRule="auto"/>
        <w:tabs>
          <w:tab w:leader="none" w:pos="1239"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Substitute Awards</w:t>
      </w:r>
      <w:r>
        <w:rPr>
          <w:rFonts w:ascii="Times New Roman" w:cs="Times New Roman" w:eastAsia="Times New Roman" w:hAnsi="Times New Roman"/>
          <w:sz w:val="21"/>
          <w:szCs w:val="21"/>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on such terms as the Board deems appropriate in the circumstances, notwithstanding any limitations on Awards contained in the Plan. Substitute Awards do not count against the overall share limit set forth in Section 4(a) or any sublimits contained in the Plan, except as may be required by reason of Section 422 and related provisions of the Code.</w:t>
      </w:r>
    </w:p>
    <w:p>
      <w:pPr>
        <w:spacing w:after="0" w:line="149" w:lineRule="exact"/>
        <w:rPr>
          <w:rFonts w:ascii="Times New Roman" w:cs="Times New Roman" w:eastAsia="Times New Roman" w:hAnsi="Times New Roman"/>
          <w:sz w:val="21"/>
          <w:szCs w:val="21"/>
          <w:color w:val="auto"/>
        </w:rPr>
      </w:pPr>
    </w:p>
    <w:p>
      <w:pPr>
        <w:ind w:left="616" w:hanging="616"/>
        <w:spacing w:after="0"/>
        <w:tabs>
          <w:tab w:leader="none" w:pos="61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Options</w:t>
      </w:r>
    </w:p>
    <w:p>
      <w:pPr>
        <w:spacing w:after="0" w:line="169" w:lineRule="exact"/>
        <w:rPr>
          <w:rFonts w:ascii="Times New Roman" w:cs="Times New Roman" w:eastAsia="Times New Roman" w:hAnsi="Times New Roman"/>
          <w:sz w:val="21"/>
          <w:szCs w:val="21"/>
          <w:color w:val="auto"/>
        </w:rPr>
      </w:pPr>
    </w:p>
    <w:p>
      <w:pPr>
        <w:ind w:left="-4" w:right="20" w:firstLine="627"/>
        <w:spacing w:after="0" w:line="223" w:lineRule="auto"/>
        <w:tabs>
          <w:tab w:leader="none" w:pos="1239"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The Board may grant options to purchase Ordinary Shares (each, an “</w:t>
      </w:r>
      <w:r>
        <w:rPr>
          <w:rFonts w:ascii="Times New Roman" w:cs="Times New Roman" w:eastAsia="Times New Roman" w:hAnsi="Times New Roman"/>
          <w:sz w:val="21"/>
          <w:szCs w:val="21"/>
          <w:b w:val="1"/>
          <w:bCs w:val="1"/>
          <w:i w:val="1"/>
          <w:iCs w:val="1"/>
          <w:color w:val="auto"/>
        </w:rPr>
        <w:t>Option</w:t>
      </w:r>
      <w:r>
        <w:rPr>
          <w:rFonts w:ascii="Times New Roman" w:cs="Times New Roman" w:eastAsia="Times New Roman" w:hAnsi="Times New Roman"/>
          <w:sz w:val="21"/>
          <w:szCs w:val="21"/>
          <w:color w:val="auto"/>
        </w:rPr>
        <w:t>”) and shall determine the number of Ordinary Shares covered by each Option, the exercise price of each Option and such conditions and limitations applicable to the exercise of each Option, including conditions relating to applicable federal or state securities laws, as it considers necessary or advisable.</w:t>
      </w:r>
    </w:p>
    <w:p>
      <w:pPr>
        <w:spacing w:after="0" w:line="144" w:lineRule="exact"/>
        <w:rPr>
          <w:rFonts w:ascii="Times New Roman" w:cs="Times New Roman" w:eastAsia="Times New Roman" w:hAnsi="Times New Roman"/>
          <w:sz w:val="21"/>
          <w:szCs w:val="21"/>
          <w:color w:val="auto"/>
        </w:rPr>
      </w:pPr>
    </w:p>
    <w:p>
      <w:pPr>
        <w:ind w:left="-4" w:right="40" w:firstLine="627"/>
        <w:spacing w:after="0" w:line="215" w:lineRule="auto"/>
        <w:tabs>
          <w:tab w:leader="none" w:pos="123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Incentive Stock Options</w:t>
      </w:r>
      <w:r>
        <w:rPr>
          <w:rFonts w:ascii="Times New Roman" w:cs="Times New Roman" w:eastAsia="Times New Roman" w:hAnsi="Times New Roman"/>
          <w:sz w:val="21"/>
          <w:szCs w:val="21"/>
          <w:color w:val="auto"/>
        </w:rPr>
        <w:t>. An Option that is designated and qualified as an “incentive stock option” as defined in Section 422 of the Code (an “</w:t>
      </w:r>
      <w:r>
        <w:rPr>
          <w:rFonts w:ascii="Times New Roman" w:cs="Times New Roman" w:eastAsia="Times New Roman" w:hAnsi="Times New Roman"/>
          <w:sz w:val="21"/>
          <w:szCs w:val="21"/>
          <w:b w:val="1"/>
          <w:bCs w:val="1"/>
          <w:i w:val="1"/>
          <w:iCs w:val="1"/>
          <w:color w:val="auto"/>
        </w:rPr>
        <w:t>Incentive Stock Option</w:t>
      </w:r>
      <w:r>
        <w:rPr>
          <w:rFonts w:ascii="Times New Roman" w:cs="Times New Roman" w:eastAsia="Times New Roman" w:hAnsi="Times New Roman"/>
          <w:sz w:val="21"/>
          <w:szCs w:val="21"/>
          <w:color w:val="auto"/>
        </w:rPr>
        <w:t>”) may be granted only to employees of Cimpress plc, any of the parent or subsidiary corporations of Cimpress plc as defined in Sections 424(e) or (f) of the Code, and any other entities the employees of which are eligible to receive Incentive Stock Options under the Code, in each case as of the date of grant of the Option. An Option that is not designated, or does not qualify, as an Incentive Stock Option is a “</w:t>
      </w:r>
      <w:r>
        <w:rPr>
          <w:rFonts w:ascii="Times New Roman" w:cs="Times New Roman" w:eastAsia="Times New Roman" w:hAnsi="Times New Roman"/>
          <w:sz w:val="21"/>
          <w:szCs w:val="21"/>
          <w:b w:val="1"/>
          <w:bCs w:val="1"/>
          <w:i w:val="1"/>
          <w:iCs w:val="1"/>
          <w:color w:val="auto"/>
        </w:rPr>
        <w:t>Nonstatutory Share Option</w:t>
      </w:r>
      <w:r>
        <w:rPr>
          <w:rFonts w:ascii="Times New Roman" w:cs="Times New Roman" w:eastAsia="Times New Roman" w:hAnsi="Times New Roman"/>
          <w:sz w:val="21"/>
          <w:szCs w:val="21"/>
          <w:color w:val="auto"/>
        </w:rPr>
        <w:t>.” The Company has no liability to a Participant or any other party if an Option (or any part thereof) that is intended to be an Incentive Stock Option does not qualify as an Incentive Stock Option or if the Company converts an Incentive Stock Option to a Nonstatutory Share Option.</w:t>
      </w:r>
    </w:p>
    <w:p>
      <w:pPr>
        <w:spacing w:after="0" w:line="147" w:lineRule="exact"/>
        <w:rPr>
          <w:rFonts w:ascii="Times New Roman" w:cs="Times New Roman" w:eastAsia="Times New Roman" w:hAnsi="Times New Roman"/>
          <w:sz w:val="21"/>
          <w:szCs w:val="21"/>
          <w:color w:val="auto"/>
        </w:rPr>
      </w:pPr>
    </w:p>
    <w:p>
      <w:pPr>
        <w:ind w:left="-4" w:right="80" w:firstLine="627"/>
        <w:spacing w:after="0" w:line="224" w:lineRule="auto"/>
        <w:tabs>
          <w:tab w:leader="none" w:pos="123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Board shall establish the exercise price of each Option and specify the exercise price in the applicable Option agreement. The exercise price may not be less than 100% of the Fair Market Value per Ordinary Share on the date the Option is granted, unless the Board approves the grant of an Option with an exercise price to be determined on a future date, in which case the exercise price may not be less than 100% of the Fair Market Value on such future date. Notwithstanding the foregoing, Options may be granted with an exercise price per share that is less than 100% of the Fair Market Value on the date of grant pursuant to a transaction described in, and in a manner consistent with, Section 424(a) of the Code. “</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the fair market value of the Ordinary Shares determined in good faith by the Board, unless the Ordinary Shares are listed on a stock exchange or traded on an established market, in which case Fair Market Value shall be determined by reference to market quotations.</w:t>
      </w:r>
    </w:p>
    <w:p>
      <w:pPr>
        <w:spacing w:after="0" w:line="151" w:lineRule="exact"/>
        <w:rPr>
          <w:rFonts w:ascii="Times New Roman" w:cs="Times New Roman" w:eastAsia="Times New Roman" w:hAnsi="Times New Roman"/>
          <w:sz w:val="20"/>
          <w:szCs w:val="20"/>
          <w:color w:val="auto"/>
        </w:rPr>
      </w:pPr>
    </w:p>
    <w:p>
      <w:pPr>
        <w:ind w:left="-4" w:right="360" w:firstLine="627"/>
        <w:spacing w:after="0" w:line="237" w:lineRule="auto"/>
        <w:tabs>
          <w:tab w:leader="none" w:pos="123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 of Options</w:t>
      </w:r>
      <w:r>
        <w:rPr>
          <w:rFonts w:ascii="Times New Roman" w:cs="Times New Roman" w:eastAsia="Times New Roman" w:hAnsi="Times New Roman"/>
          <w:sz w:val="21"/>
          <w:szCs w:val="21"/>
          <w:color w:val="auto"/>
        </w:rPr>
        <w:t>. Each Option is exercisable at such times and subject to such terms and conditions as the Board may specify in the applicable Option agreement, except that no Option may have a term in excess of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36"/>
          </w:cols>
          <w:pgMar w:left="324" w:top="1345" w:right="339" w:bottom="1440" w:gutter="0" w:footer="0" w:header="0"/>
        </w:sectPr>
      </w:pPr>
    </w:p>
    <w:bookmarkStart w:id="48" w:name="page49"/>
    <w:bookmarkEnd w:id="48"/>
    <w:p>
      <w:pPr>
        <w:ind w:left="-20" w:right="140" w:firstLine="627"/>
        <w:spacing w:after="0" w:line="216" w:lineRule="auto"/>
        <w:tabs>
          <w:tab w:leader="none" w:pos="122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Options</w:t>
      </w:r>
      <w:r>
        <w:rPr>
          <w:rFonts w:ascii="Times New Roman" w:cs="Times New Roman" w:eastAsia="Times New Roman" w:hAnsi="Times New Roman"/>
          <w:sz w:val="21"/>
          <w:szCs w:val="21"/>
          <w:color w:val="auto"/>
        </w:rPr>
        <w:t>. Options may be exercised by delivery to the Company of a notice of exercise in a form (which may be electronic) approved by the Company, together with payment in full (in the manner specified in Section 5(f)) of the exercise price for the number of Ordinary Shares for which the Option is exercised. The Company shall deliver Ordinary Shares subject to the Option as soon as practicable after the Participant has fulfilled the requirements contained in the Option agreement and applicable provisions of laws (including the satisfaction of any withholding taxes that the Company is obligated to withhold with respect to the Participant).</w:t>
      </w:r>
    </w:p>
    <w:p>
      <w:pPr>
        <w:spacing w:after="0" w:line="149" w:lineRule="exact"/>
        <w:rPr>
          <w:rFonts w:ascii="Times New Roman" w:cs="Times New Roman" w:eastAsia="Times New Roman" w:hAnsi="Times New Roman"/>
          <w:sz w:val="21"/>
          <w:szCs w:val="21"/>
          <w:color w:val="auto"/>
        </w:rPr>
      </w:pPr>
    </w:p>
    <w:p>
      <w:pPr>
        <w:ind w:left="-20" w:right="380" w:firstLine="627"/>
        <w:spacing w:after="0" w:line="237" w:lineRule="auto"/>
        <w:tabs>
          <w:tab w:leader="none" w:pos="122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Upon Exercise</w:t>
      </w:r>
      <w:r>
        <w:rPr>
          <w:rFonts w:ascii="Times New Roman" w:cs="Times New Roman" w:eastAsia="Times New Roman" w:hAnsi="Times New Roman"/>
          <w:sz w:val="21"/>
          <w:szCs w:val="21"/>
          <w:color w:val="auto"/>
        </w:rPr>
        <w:t>. Ordinary Shares purchased upon the exercise of an Option granted under the Plan must be paid for as follows:</w:t>
      </w:r>
    </w:p>
    <w:p>
      <w:pPr>
        <w:spacing w:after="0" w:line="146" w:lineRule="exact"/>
        <w:rPr>
          <w:rFonts w:ascii="Times New Roman" w:cs="Times New Roman" w:eastAsia="Times New Roman" w:hAnsi="Times New Roman"/>
          <w:sz w:val="21"/>
          <w:szCs w:val="21"/>
          <w:color w:val="auto"/>
        </w:rPr>
      </w:pPr>
    </w:p>
    <w:p>
      <w:pPr>
        <w:ind w:left="1840" w:hanging="610"/>
        <w:spacing w:after="0"/>
        <w:tabs>
          <w:tab w:leader="none" w:pos="184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cash or by check, payable to the order of the Company;</w:t>
      </w:r>
    </w:p>
    <w:p>
      <w:pPr>
        <w:spacing w:after="0" w:line="173" w:lineRule="exact"/>
        <w:rPr>
          <w:rFonts w:ascii="Times New Roman" w:cs="Times New Roman" w:eastAsia="Times New Roman" w:hAnsi="Times New Roman"/>
          <w:sz w:val="21"/>
          <w:szCs w:val="21"/>
          <w:color w:val="auto"/>
        </w:rPr>
      </w:pPr>
    </w:p>
    <w:p>
      <w:pPr>
        <w:ind w:left="-20" w:right="100" w:firstLine="1250"/>
        <w:spacing w:after="0" w:line="227" w:lineRule="auto"/>
        <w:tabs>
          <w:tab w:leader="none" w:pos="184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the applicable Option agreement may provide or the Board may approve in its sole discretion, by an arrangement that is acceptable to the Company with a creditworthy broker to deliver promptly to the Company sufficient funds to pay the exercise price and any required tax withholding;</w:t>
      </w:r>
    </w:p>
    <w:p>
      <w:pPr>
        <w:spacing w:after="0" w:line="145" w:lineRule="exact"/>
        <w:rPr>
          <w:rFonts w:ascii="Times New Roman" w:cs="Times New Roman" w:eastAsia="Times New Roman" w:hAnsi="Times New Roman"/>
          <w:sz w:val="21"/>
          <w:szCs w:val="21"/>
          <w:color w:val="auto"/>
        </w:rPr>
      </w:pPr>
    </w:p>
    <w:p>
      <w:pPr>
        <w:ind w:left="-20" w:firstLine="1250"/>
        <w:spacing w:after="0" w:line="218" w:lineRule="auto"/>
        <w:tabs>
          <w:tab w:leader="none" w:pos="184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provided for in the applicable Option agreement or approved by the Board, in its sole discretion, by delivery (either by actual delivery or attestation) of Ordinary Shares owned by the Participant valued at their Fair Market Value, so long as (A) such method of payment is then permitted under applicable law, (B) the Participant owned such Ordinary Shares, if acquired directly from the Company, for such minimum period of time, if any, as the Board may establish in its discretion and (C) such Ordinary Shares are not subject to any redemption, forfeiture, unfulfilled vesting or other similar requirements;</w:t>
      </w:r>
    </w:p>
    <w:p>
      <w:pPr>
        <w:spacing w:after="0" w:line="149" w:lineRule="exact"/>
        <w:rPr>
          <w:rFonts w:ascii="Times New Roman" w:cs="Times New Roman" w:eastAsia="Times New Roman" w:hAnsi="Times New Roman"/>
          <w:sz w:val="21"/>
          <w:szCs w:val="21"/>
          <w:color w:val="auto"/>
        </w:rPr>
      </w:pPr>
    </w:p>
    <w:p>
      <w:pPr>
        <w:ind w:left="-20" w:right="360" w:firstLine="1250"/>
        <w:spacing w:after="0" w:line="218" w:lineRule="auto"/>
        <w:tabs>
          <w:tab w:leader="none" w:pos="184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and provided for in the applicable Nonstatutory Share Option agreement or approved by the Board in its sole discretion, by delivery of a notice of “net exercise” to the Company, as a result of which the Participant would receive (A) the number of shares underlying the portion of the Option being exercised, less (B) such number of shares as is equal to (i) the aggregate exercise price for the portion of the Option being exercised divided by (ii) the Fair Market Value on the date of exercise;</w:t>
      </w:r>
    </w:p>
    <w:p>
      <w:pPr>
        <w:spacing w:after="0" w:line="149" w:lineRule="exact"/>
        <w:rPr>
          <w:rFonts w:ascii="Times New Roman" w:cs="Times New Roman" w:eastAsia="Times New Roman" w:hAnsi="Times New Roman"/>
          <w:sz w:val="21"/>
          <w:szCs w:val="21"/>
          <w:color w:val="auto"/>
        </w:rPr>
      </w:pPr>
    </w:p>
    <w:p>
      <w:pPr>
        <w:ind w:left="-20" w:right="240" w:firstLine="1250"/>
        <w:spacing w:after="0" w:line="237" w:lineRule="auto"/>
        <w:tabs>
          <w:tab w:leader="none" w:pos="184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and provided for in the applicable Option agreement or approved by the Board, in its sole discretion, by payment of such other lawful consideration as the Board may determine; or</w:t>
      </w:r>
    </w:p>
    <w:p>
      <w:pPr>
        <w:spacing w:after="0" w:line="146" w:lineRule="exact"/>
        <w:rPr>
          <w:rFonts w:ascii="Times New Roman" w:cs="Times New Roman" w:eastAsia="Times New Roman" w:hAnsi="Times New Roman"/>
          <w:sz w:val="21"/>
          <w:szCs w:val="21"/>
          <w:color w:val="auto"/>
        </w:rPr>
      </w:pPr>
    </w:p>
    <w:p>
      <w:pPr>
        <w:ind w:left="1840" w:hanging="610"/>
        <w:spacing w:after="0"/>
        <w:tabs>
          <w:tab w:leader="none" w:pos="184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any combination of the above permitted forms of payment.</w:t>
      </w:r>
    </w:p>
    <w:p>
      <w:pPr>
        <w:spacing w:after="0" w:line="174" w:lineRule="exact"/>
        <w:rPr>
          <w:sz w:val="20"/>
          <w:szCs w:val="20"/>
          <w:color w:val="auto"/>
        </w:rPr>
      </w:pPr>
    </w:p>
    <w:p>
      <w:pPr>
        <w:ind w:left="-20" w:right="220" w:firstLine="627"/>
        <w:spacing w:after="0" w:line="218" w:lineRule="auto"/>
        <w:tabs>
          <w:tab w:leader="none" w:pos="122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Limit on Incentive Stock Options</w:t>
      </w:r>
      <w:r>
        <w:rPr>
          <w:rFonts w:ascii="Times New Roman" w:cs="Times New Roman" w:eastAsia="Times New Roman" w:hAnsi="Times New Roman"/>
          <w:sz w:val="21"/>
          <w:szCs w:val="21"/>
          <w:color w:val="auto"/>
        </w:rPr>
        <w:t>. To the extent required for “incentive stock option” treatment under Section 422 of the Code, the aggregate Fair Market Value (determined as of the time of grant) of the Ordinary Shares with respect to which Incentive Stock Options granted under this Plan and any other plan of the Company or its parent and subsidiary corporations become exercisable for the first time by a Participant during any calendar year shall not exceed $100,000. To the extent that any Option exceeds this limit, it constitutes a Nonstatutory Share Option.</w:t>
      </w:r>
    </w:p>
    <w:p>
      <w:pPr>
        <w:spacing w:after="0" w:line="149" w:lineRule="exact"/>
        <w:rPr>
          <w:rFonts w:ascii="Times New Roman" w:cs="Times New Roman" w:eastAsia="Times New Roman" w:hAnsi="Times New Roman"/>
          <w:sz w:val="21"/>
          <w:szCs w:val="21"/>
          <w:color w:val="auto"/>
        </w:rPr>
      </w:pPr>
    </w:p>
    <w:p>
      <w:pPr>
        <w:ind w:left="-20" w:firstLine="627"/>
        <w:spacing w:after="0" w:line="218" w:lineRule="auto"/>
        <w:tabs>
          <w:tab w:leader="none" w:pos="122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on Repricing</w:t>
      </w:r>
      <w:r>
        <w:rPr>
          <w:rFonts w:ascii="Times New Roman" w:cs="Times New Roman" w:eastAsia="Times New Roman" w:hAnsi="Times New Roman"/>
          <w:sz w:val="21"/>
          <w:szCs w:val="21"/>
          <w:color w:val="auto"/>
        </w:rPr>
        <w:t>. Unless such action is approved by the Company’s shareholders, the Company may not (except as provided for 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4(b)) covering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00"/>
          </w:cols>
          <w:pgMar w:left="340" w:top="1345" w:right="359" w:bottom="1440" w:gutter="0" w:footer="0" w:header="0"/>
        </w:sectPr>
      </w:pPr>
    </w:p>
    <w:bookmarkStart w:id="49" w:name="page50"/>
    <w:bookmarkEnd w:id="49"/>
    <w:p>
      <w:pPr>
        <w:ind w:right="80"/>
        <w:spacing w:after="0" w:line="222" w:lineRule="auto"/>
        <w:rPr>
          <w:sz w:val="20"/>
          <w:szCs w:val="20"/>
          <w:color w:val="auto"/>
        </w:rPr>
      </w:pPr>
      <w:r>
        <w:rPr>
          <w:rFonts w:ascii="Times New Roman" w:cs="Times New Roman" w:eastAsia="Times New Roman" w:hAnsi="Times New Roman"/>
          <w:sz w:val="21"/>
          <w:szCs w:val="21"/>
          <w:color w:val="auto"/>
        </w:rPr>
        <w:t>or a different number of Ordinary Shares and having an exercise price per share lower than the then-current exercise price per share of the cancelled option; (3) cancel in exchange for a cash payment any outstanding Option with an exercise price per share above the then-current Fair Market Value, other than pursuant to Section 9; or (4) take any other action under the Plan that constitutes a “repricing” within the meaning of the rules of the NASDAQ Stock Market (“</w:t>
      </w:r>
      <w:r>
        <w:rPr>
          <w:rFonts w:ascii="Times New Roman" w:cs="Times New Roman" w:eastAsia="Times New Roman" w:hAnsi="Times New Roman"/>
          <w:sz w:val="21"/>
          <w:szCs w:val="21"/>
          <w:b w:val="1"/>
          <w:bCs w:val="1"/>
          <w:i w:val="1"/>
          <w:iCs w:val="1"/>
          <w:color w:val="auto"/>
        </w:rPr>
        <w:t>NASDAQ</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620" w:hanging="616"/>
        <w:spacing w:after="0"/>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Appreciation Rights</w:t>
      </w:r>
    </w:p>
    <w:p>
      <w:pPr>
        <w:spacing w:after="0" w:line="169" w:lineRule="exact"/>
        <w:rPr>
          <w:rFonts w:ascii="Times New Roman" w:cs="Times New Roman" w:eastAsia="Times New Roman" w:hAnsi="Times New Roman"/>
          <w:sz w:val="21"/>
          <w:szCs w:val="21"/>
          <w:color w:val="auto"/>
        </w:rPr>
      </w:pPr>
    </w:p>
    <w:p>
      <w:pPr>
        <w:ind w:right="440" w:firstLine="627"/>
        <w:spacing w:after="0" w:line="234" w:lineRule="auto"/>
        <w:tabs>
          <w:tab w:leader="none" w:pos="1242"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Board may grant Awards consisting of share appreciation rights (“</w:t>
      </w:r>
      <w:r>
        <w:rPr>
          <w:rFonts w:ascii="Times New Roman" w:cs="Times New Roman" w:eastAsia="Times New Roman" w:hAnsi="Times New Roman"/>
          <w:sz w:val="20"/>
          <w:szCs w:val="20"/>
          <w:b w:val="1"/>
          <w:bCs w:val="1"/>
          <w:i w:val="1"/>
          <w:iCs w:val="1"/>
          <w:color w:val="auto"/>
        </w:rPr>
        <w:t>SARs</w:t>
      </w:r>
      <w:r>
        <w:rPr>
          <w:rFonts w:ascii="Times New Roman" w:cs="Times New Roman" w:eastAsia="Times New Roman" w:hAnsi="Times New Roman"/>
          <w:sz w:val="20"/>
          <w:szCs w:val="20"/>
          <w:color w:val="auto"/>
        </w:rPr>
        <w:t>”) entitling the holder, upon exercise, to receive an amount of Ordinary Shares or cash or a combination thereof (such form to be determined by the Board) determined by reference to appreciation, from and after the date of grant, in the Fair Market Value of an Ordinary Share over the measurement price established pursuant to Section 6(b). The date as of which such appreciation is determined is the exercise date.</w:t>
      </w:r>
    </w:p>
    <w:p>
      <w:pPr>
        <w:spacing w:after="0" w:line="145" w:lineRule="exact"/>
        <w:rPr>
          <w:rFonts w:ascii="Times New Roman" w:cs="Times New Roman" w:eastAsia="Times New Roman" w:hAnsi="Times New Roman"/>
          <w:sz w:val="20"/>
          <w:szCs w:val="20"/>
          <w:color w:val="auto"/>
        </w:rPr>
      </w:pPr>
    </w:p>
    <w:p>
      <w:pPr>
        <w:ind w:right="80" w:firstLine="627"/>
        <w:spacing w:after="0" w:line="222" w:lineRule="auto"/>
        <w:tabs>
          <w:tab w:leader="none" w:pos="1242"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Measurement Price</w:t>
      </w:r>
      <w:r>
        <w:rPr>
          <w:rFonts w:ascii="Times New Roman" w:cs="Times New Roman" w:eastAsia="Times New Roman" w:hAnsi="Times New Roman"/>
          <w:sz w:val="21"/>
          <w:szCs w:val="21"/>
          <w:color w:val="auto"/>
        </w:rPr>
        <w:t>. The Board shall establish the measurement price of each SAR and specify it in the applicable SAR agreement. The measurement price may not be less than 100% of the Fair Market Value on the date the SAR is granted, unless the Board approves the grant of an SAR effective as of a future date, in which case the measurement price may not be less than 100% of the Fair Market Value on such future date.</w:t>
      </w:r>
    </w:p>
    <w:p>
      <w:pPr>
        <w:spacing w:after="0" w:line="144" w:lineRule="exact"/>
        <w:rPr>
          <w:rFonts w:ascii="Times New Roman" w:cs="Times New Roman" w:eastAsia="Times New Roman" w:hAnsi="Times New Roman"/>
          <w:sz w:val="21"/>
          <w:szCs w:val="21"/>
          <w:color w:val="auto"/>
        </w:rPr>
      </w:pPr>
    </w:p>
    <w:p>
      <w:pPr>
        <w:ind w:right="300" w:firstLine="627"/>
        <w:spacing w:after="0" w:line="237" w:lineRule="auto"/>
        <w:tabs>
          <w:tab w:leader="none" w:pos="123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 of SARs</w:t>
      </w:r>
      <w:r>
        <w:rPr>
          <w:rFonts w:ascii="Times New Roman" w:cs="Times New Roman" w:eastAsia="Times New Roman" w:hAnsi="Times New Roman"/>
          <w:sz w:val="21"/>
          <w:szCs w:val="21"/>
          <w:color w:val="auto"/>
        </w:rPr>
        <w:t>. Each SAR is exercisable at such times and subject to such terms and conditions as the Board may specify in the applicable SAR agreement, except that no SAR may have a term in excess of 10 years.</w:t>
      </w:r>
    </w:p>
    <w:p>
      <w:pPr>
        <w:spacing w:after="0" w:line="146" w:lineRule="exact"/>
        <w:rPr>
          <w:rFonts w:ascii="Times New Roman" w:cs="Times New Roman" w:eastAsia="Times New Roman" w:hAnsi="Times New Roman"/>
          <w:sz w:val="21"/>
          <w:szCs w:val="21"/>
          <w:color w:val="auto"/>
        </w:rPr>
      </w:pPr>
    </w:p>
    <w:p>
      <w:pPr>
        <w:ind w:right="80" w:firstLine="627"/>
        <w:spacing w:after="0" w:line="237" w:lineRule="auto"/>
        <w:tabs>
          <w:tab w:leader="none" w:pos="123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SARs</w:t>
      </w:r>
      <w:r>
        <w:rPr>
          <w:rFonts w:ascii="Times New Roman" w:cs="Times New Roman" w:eastAsia="Times New Roman" w:hAnsi="Times New Roman"/>
          <w:sz w:val="21"/>
          <w:szCs w:val="21"/>
          <w:color w:val="auto"/>
        </w:rPr>
        <w:t>. SARs may be exercised by delivery to the Company of a notice of exercise in a form (which may be electronic) approved by the Company, together with any other documents required by the Board.</w:t>
      </w:r>
    </w:p>
    <w:p>
      <w:pPr>
        <w:spacing w:after="0" w:line="146" w:lineRule="exact"/>
        <w:rPr>
          <w:rFonts w:ascii="Times New Roman" w:cs="Times New Roman" w:eastAsia="Times New Roman" w:hAnsi="Times New Roman"/>
          <w:sz w:val="21"/>
          <w:szCs w:val="21"/>
          <w:color w:val="auto"/>
        </w:rPr>
      </w:pPr>
    </w:p>
    <w:p>
      <w:pPr>
        <w:ind w:firstLine="627"/>
        <w:spacing w:after="0" w:line="214" w:lineRule="auto"/>
        <w:tabs>
          <w:tab w:leader="none" w:pos="1242"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on Repricing</w:t>
      </w:r>
      <w:r>
        <w:rPr>
          <w:rFonts w:ascii="Times New Roman" w:cs="Times New Roman" w:eastAsia="Times New Roman" w:hAnsi="Times New Roman"/>
          <w:sz w:val="21"/>
          <w:szCs w:val="21"/>
          <w:color w:val="auto"/>
        </w:rPr>
        <w:t>. Unless such action is approved by the Company’s shareholders, the Company may not (except as provided for under Section 9)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4(b)) covering the same or a different number of Ordinary Shares and having an exercise or measurement price per share lower than the then-current measurement price per share of the cancelled SAR; (3) cancel in exchange for a cash payment any outstanding SAR with a measurement price per share above the then-current Fair Market Value, other than pursuant to Section 9; or (4) take any other action under the Plan that constitutes a “repricing” within the meaning of the rules of NASDAQ.</w:t>
      </w:r>
    </w:p>
    <w:p>
      <w:pPr>
        <w:spacing w:after="0" w:line="146" w:lineRule="exact"/>
        <w:rPr>
          <w:rFonts w:ascii="Times New Roman" w:cs="Times New Roman" w:eastAsia="Times New Roman" w:hAnsi="Times New Roman"/>
          <w:sz w:val="21"/>
          <w:szCs w:val="21"/>
          <w:color w:val="auto"/>
        </w:rPr>
      </w:pPr>
    </w:p>
    <w:p>
      <w:pPr>
        <w:ind w:left="620" w:hanging="616"/>
        <w:spacing w:after="0"/>
        <w:tabs>
          <w:tab w:leader="none" w:pos="6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Shares; Restricted Share Units</w:t>
      </w:r>
    </w:p>
    <w:p>
      <w:pPr>
        <w:spacing w:after="0" w:line="169" w:lineRule="exact"/>
        <w:rPr>
          <w:rFonts w:ascii="Times New Roman" w:cs="Times New Roman" w:eastAsia="Times New Roman" w:hAnsi="Times New Roman"/>
          <w:sz w:val="21"/>
          <w:szCs w:val="21"/>
          <w:color w:val="auto"/>
        </w:rPr>
      </w:pPr>
    </w:p>
    <w:p>
      <w:pPr>
        <w:ind w:right="120" w:firstLine="627"/>
        <w:spacing w:after="0" w:line="217" w:lineRule="auto"/>
        <w:tabs>
          <w:tab w:leader="none" w:pos="1243"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The Board may grant Awards entitling recipients to acquire Ordinary Shares (“</w:t>
      </w:r>
      <w:r>
        <w:rPr>
          <w:rFonts w:ascii="Times New Roman" w:cs="Times New Roman" w:eastAsia="Times New Roman" w:hAnsi="Times New Roman"/>
          <w:sz w:val="21"/>
          <w:szCs w:val="21"/>
          <w:b w:val="1"/>
          <w:bCs w:val="1"/>
          <w:i w:val="1"/>
          <w:iCs w:val="1"/>
          <w:color w:val="auto"/>
        </w:rPr>
        <w:t>Restricted Shares</w:t>
      </w:r>
      <w:r>
        <w:rPr>
          <w:rFonts w:ascii="Times New Roman" w:cs="Times New Roman" w:eastAsia="Times New Roman" w:hAnsi="Times New Roman"/>
          <w:sz w:val="21"/>
          <w:szCs w:val="21"/>
          <w:color w:val="auto"/>
        </w:rPr>
        <w:t>”), subject to the right of the Company to redeem all or part of such shares at their issue price or other stated or formula price (or to require forfeiture of such shares if issued at no cost) from the recipient if conditions specified by the Board in the applicable Award are not satisfied before the end of the applicable restriction period(s) established by the Board for such Award. The Board may also grant Awards consisting of restricted share units entitling the recipient to receive Ordinary Shares or cash to be delivered when such Award vests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(Awards of Restricted Shares and RSUs are each referred to herein as a “</w:t>
      </w:r>
      <w:r>
        <w:rPr>
          <w:rFonts w:ascii="Times New Roman" w:cs="Times New Roman" w:eastAsia="Times New Roman" w:hAnsi="Times New Roman"/>
          <w:sz w:val="21"/>
          <w:szCs w:val="21"/>
          <w:b w:val="1"/>
          <w:bCs w:val="1"/>
          <w:i w:val="1"/>
          <w:iCs w:val="1"/>
          <w:color w:val="auto"/>
        </w:rPr>
        <w:t>Restricted Share Award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45" w:right="339" w:bottom="1440" w:gutter="0" w:footer="0" w:header="0"/>
        </w:sectPr>
      </w:pPr>
    </w:p>
    <w:bookmarkStart w:id="50" w:name="page51"/>
    <w:bookmarkEnd w:id="50"/>
    <w:p>
      <w:pPr>
        <w:ind w:right="100" w:firstLine="627"/>
        <w:spacing w:after="0" w:line="218" w:lineRule="auto"/>
        <w:tabs>
          <w:tab w:leader="none" w:pos="1242"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 for All Restricted Share Awards</w:t>
      </w:r>
      <w:r>
        <w:rPr>
          <w:rFonts w:ascii="Times New Roman" w:cs="Times New Roman" w:eastAsia="Times New Roman" w:hAnsi="Times New Roman"/>
          <w:sz w:val="21"/>
          <w:szCs w:val="21"/>
          <w:color w:val="auto"/>
        </w:rPr>
        <w:t>. The Board shall determine the terms and conditions of a Restricted Share Award, including the conditions for vesting and redemption (or forfeiture) and the issue price, if any. Upon the grant of Restricted Shares and payment of any applicable purchase price, a Participant has the rights of a shareholder with respect to the voting of the Restricted Shares and receipt of dividends, but any dividends paid by the Company during the vesting period will accrue and will not be paid to the Participant until and only to the extent the Restricted Shares vest.</w:t>
      </w:r>
    </w:p>
    <w:p>
      <w:pPr>
        <w:spacing w:after="0" w:line="149" w:lineRule="exact"/>
        <w:rPr>
          <w:rFonts w:ascii="Times New Roman" w:cs="Times New Roman" w:eastAsia="Times New Roman" w:hAnsi="Times New Roman"/>
          <w:sz w:val="21"/>
          <w:szCs w:val="21"/>
          <w:color w:val="auto"/>
        </w:rPr>
      </w:pPr>
    </w:p>
    <w:p>
      <w:pPr>
        <w:ind w:left="1240" w:hanging="613"/>
        <w:spacing w:after="0"/>
        <w:tabs>
          <w:tab w:leader="none" w:pos="124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Provisions Relating to RSUs</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right="200" w:firstLine="1250"/>
        <w:spacing w:after="0" w:line="216" w:lineRule="auto"/>
        <w:tabs>
          <w:tab w:leader="none" w:pos="1865"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Upon the vesting of and/or lapsing of any other restrictions (i.e., settlement) with respect to RSUs, the Participant is entitled to receive from the Company the number of Ordinary Shares determined by the Board and set forth in the applicable Award agreement or (if so provided in the applicable Award agreement) an amount of cash equal to the Fair Market Value of the number of Ordinary Shares determined by the Board and set forth in the applicable Award agreement. The Board may, in its discretion, provide that settlement of RSUs be deferred, on a mandatory basis or at the election of the Participant in a manner that complies with Section 409A of the Code, if applicable.</w:t>
      </w:r>
    </w:p>
    <w:p>
      <w:pPr>
        <w:spacing w:after="0" w:line="149"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 A Participant has no voting rights with respect to any RSUs.</w:t>
      </w:r>
    </w:p>
    <w:p>
      <w:pPr>
        <w:spacing w:after="0" w:line="173" w:lineRule="exact"/>
        <w:rPr>
          <w:rFonts w:ascii="Times New Roman" w:cs="Times New Roman" w:eastAsia="Times New Roman" w:hAnsi="Times New Roman"/>
          <w:sz w:val="21"/>
          <w:szCs w:val="21"/>
          <w:color w:val="auto"/>
        </w:rPr>
      </w:pPr>
    </w:p>
    <w:p>
      <w:pPr>
        <w:ind w:right="40" w:firstLine="1250"/>
        <w:spacing w:after="0" w:line="214" w:lineRule="auto"/>
        <w:tabs>
          <w:tab w:leader="none" w:pos="1865"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The Award agreement for RSUs may provide Participants with the right to receive an amount equal to any dividends or other distributions declared and paid on an equal number of outstanding Ordinary Shares (“</w:t>
      </w:r>
      <w:r>
        <w:rPr>
          <w:rFonts w:ascii="Times New Roman" w:cs="Times New Roman" w:eastAsia="Times New Roman" w:hAnsi="Times New Roman"/>
          <w:sz w:val="21"/>
          <w:szCs w:val="21"/>
          <w:b w:val="1"/>
          <w:bCs w:val="1"/>
          <w:i w:val="1"/>
          <w:iCs w:val="1"/>
          <w:color w:val="auto"/>
        </w:rPr>
        <w:t>Dividend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Equivalents</w:t>
      </w:r>
      <w:r>
        <w:rPr>
          <w:rFonts w:ascii="Times New Roman" w:cs="Times New Roman" w:eastAsia="Times New Roman" w:hAnsi="Times New Roman"/>
          <w:sz w:val="21"/>
          <w:szCs w:val="21"/>
          <w:color w:val="auto"/>
        </w:rPr>
        <w:t>”). The Company may pay Dividend Equivalents currently or credit them to an account for the Participant, may settle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Dividend Equivalents in cash and/or Ordinary Shares and may provide that the Dividend Equivalents are subject to the same restrictions on transfer and forfeitability as the RSUs with respect to which they are paid, in each case to the extent provided in the Award agreement. Dividend Equivalents granted as a component of an Award of RSUs must provide that such Dividend Equivalents will be settled only upon settlement or payment of, or lapse of restrictions on, such RSUs, and that such Dividend Equivalents will expire or be forfeited or annulled under the same conditions as such RSUs.</w:t>
      </w:r>
    </w:p>
    <w:p>
      <w:pPr>
        <w:spacing w:after="0" w:line="146" w:lineRule="exact"/>
        <w:rPr>
          <w:rFonts w:ascii="Times New Roman" w:cs="Times New Roman" w:eastAsia="Times New Roman" w:hAnsi="Times New Roman"/>
          <w:sz w:val="21"/>
          <w:szCs w:val="21"/>
          <w:color w:val="auto"/>
        </w:rPr>
      </w:pPr>
    </w:p>
    <w:p>
      <w:pPr>
        <w:ind w:left="620" w:hanging="616"/>
        <w:spacing w:after="0"/>
        <w:tabs>
          <w:tab w:leader="none" w:pos="6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Share-Based Awards</w:t>
      </w:r>
    </w:p>
    <w:p>
      <w:pPr>
        <w:spacing w:after="0" w:line="173" w:lineRule="exact"/>
        <w:rPr>
          <w:rFonts w:ascii="Times New Roman" w:cs="Times New Roman" w:eastAsia="Times New Roman" w:hAnsi="Times New Roman"/>
          <w:sz w:val="21"/>
          <w:szCs w:val="21"/>
          <w:color w:val="auto"/>
        </w:rPr>
      </w:pPr>
    </w:p>
    <w:p>
      <w:pPr>
        <w:ind w:firstLine="627"/>
        <w:spacing w:after="0" w:line="218" w:lineRule="auto"/>
        <w:tabs>
          <w:tab w:leader="none" w:pos="1243"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The Company may grant to Participants hereunder other Awards of Ordinary Shares and other Awards that are valued in whole or in part by reference to, or are otherwise based on, Ordinary Shares or other property (“</w:t>
      </w:r>
      <w:r>
        <w:rPr>
          <w:rFonts w:ascii="Times New Roman" w:cs="Times New Roman" w:eastAsia="Times New Roman" w:hAnsi="Times New Roman"/>
          <w:sz w:val="21"/>
          <w:szCs w:val="21"/>
          <w:b w:val="1"/>
          <w:bCs w:val="1"/>
          <w:i w:val="1"/>
          <w:iCs w:val="1"/>
          <w:color w:val="auto"/>
        </w:rPr>
        <w:t>Other Share-Based-Awards</w:t>
      </w:r>
      <w:r>
        <w:rPr>
          <w:rFonts w:ascii="Times New Roman" w:cs="Times New Roman" w:eastAsia="Times New Roman" w:hAnsi="Times New Roman"/>
          <w:sz w:val="21"/>
          <w:szCs w:val="21"/>
          <w:color w:val="auto"/>
        </w:rPr>
        <w:t>”). Such Other Share-Based Awards are also available as a form of payment in the settlement of other Awards granted under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Plan or as payment in lieu of compensation to which a Participant is otherwise entitled. The Company may pay Other Share-Based Awards in Ordinary Shares or cash, as the Board determines.</w:t>
      </w:r>
    </w:p>
    <w:p>
      <w:pPr>
        <w:spacing w:after="0" w:line="149" w:lineRule="exact"/>
        <w:rPr>
          <w:rFonts w:ascii="Times New Roman" w:cs="Times New Roman" w:eastAsia="Times New Roman" w:hAnsi="Times New Roman"/>
          <w:sz w:val="21"/>
          <w:szCs w:val="21"/>
          <w:color w:val="auto"/>
        </w:rPr>
      </w:pPr>
    </w:p>
    <w:p>
      <w:pPr>
        <w:ind w:right="60" w:firstLine="627"/>
        <w:spacing w:after="0" w:line="237" w:lineRule="auto"/>
        <w:tabs>
          <w:tab w:leader="none" w:pos="1242"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Subject to the provisions of the Plan, the Board shall determine the terms and conditions of each Other Share-Based Award, including any purchase price applicable thereto.</w:t>
      </w:r>
    </w:p>
    <w:p>
      <w:pPr>
        <w:spacing w:after="0" w:line="146" w:lineRule="exact"/>
        <w:rPr>
          <w:rFonts w:ascii="Times New Roman" w:cs="Times New Roman" w:eastAsia="Times New Roman" w:hAnsi="Times New Roman"/>
          <w:sz w:val="21"/>
          <w:szCs w:val="21"/>
          <w:color w:val="auto"/>
        </w:rPr>
      </w:pPr>
    </w:p>
    <w:p>
      <w:pPr>
        <w:ind w:left="620" w:hanging="616"/>
        <w:spacing w:after="0"/>
        <w:tabs>
          <w:tab w:leader="none" w:pos="6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for Changes in Ordinary Shares and Certain Other Events</w:t>
      </w:r>
    </w:p>
    <w:p>
      <w:pPr>
        <w:spacing w:after="0" w:line="173" w:lineRule="exact"/>
        <w:rPr>
          <w:rFonts w:ascii="Times New Roman" w:cs="Times New Roman" w:eastAsia="Times New Roman" w:hAnsi="Times New Roman"/>
          <w:sz w:val="21"/>
          <w:szCs w:val="21"/>
          <w:color w:val="auto"/>
        </w:rPr>
      </w:pPr>
    </w:p>
    <w:p>
      <w:pPr>
        <w:ind w:right="780" w:firstLine="627"/>
        <w:spacing w:after="0" w:line="227" w:lineRule="auto"/>
        <w:tabs>
          <w:tab w:leader="none" w:pos="124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Capitalization</w:t>
      </w:r>
      <w:r>
        <w:rPr>
          <w:rFonts w:ascii="Times New Roman" w:cs="Times New Roman" w:eastAsia="Times New Roman" w:hAnsi="Times New Roman"/>
          <w:sz w:val="21"/>
          <w:szCs w:val="21"/>
          <w:color w:val="auto"/>
        </w:rPr>
        <w:t>. In the event of any stock split, reverse stock split, stock dividend, recapitalization, combination of shares, reclassification of shares, spin-off or other similar change in capitalization or event, or any dividend or distribution to holders of Ordinary Shares other than an ordinary cash dividend, the Company shall equitably adjust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45" w:right="339" w:bottom="1440" w:gutter="0" w:footer="0" w:header="0"/>
        </w:sectPr>
      </w:pPr>
    </w:p>
    <w:bookmarkStart w:id="51" w:name="page52"/>
    <w:bookmarkEnd w:id="51"/>
    <w:p>
      <w:pPr>
        <w:jc w:val="both"/>
        <w:ind w:right="140"/>
        <w:spacing w:after="0" w:line="225" w:lineRule="auto"/>
        <w:rPr>
          <w:sz w:val="20"/>
          <w:szCs w:val="20"/>
          <w:color w:val="auto"/>
        </w:rPr>
      </w:pPr>
      <w:r>
        <w:rPr>
          <w:rFonts w:ascii="Times New Roman" w:cs="Times New Roman" w:eastAsia="Times New Roman" w:hAnsi="Times New Roman"/>
          <w:sz w:val="20"/>
          <w:szCs w:val="20"/>
          <w:color w:val="auto"/>
        </w:rPr>
        <w:t>make substituted Awards, if applicable) in the manner determined by the Board (1) the number and class of securities available under the Plan, (2) the share counting rules and sublimits set forth in Section 4(a), (3) the number and class of securities and exercise price per share of each outstanding Option, (4) the share and per-share provisions and the measurement price of each outstanding SAR,</w:t>
      </w:r>
    </w:p>
    <w:p>
      <w:pPr>
        <w:ind w:right="20" w:firstLine="4"/>
        <w:spacing w:after="0" w:line="211" w:lineRule="auto"/>
        <w:tabs>
          <w:tab w:leader="none" w:pos="29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subject to and the redemption price per share subject to each outstanding Restricted Share Award, and (6) the share and per-share-related provisions and the purchase price, if any, of each outstanding Other Share-Based Award. Without limiting the generality of the foregoing, if the Company effects a split of the Ordinary Shares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is entitled to receive, on the distribution date, the stock dividend with respect to the Ordinary Shares acquired upon such Option exercise, notwithstanding the fact that such shares were not outstanding as of the close of business on the record date for such stock dividend.</w:t>
      </w:r>
    </w:p>
    <w:p>
      <w:pPr>
        <w:spacing w:after="0" w:line="146" w:lineRule="exact"/>
        <w:rPr>
          <w:rFonts w:ascii="Times New Roman" w:cs="Times New Roman" w:eastAsia="Times New Roman" w:hAnsi="Times New Roman"/>
          <w:sz w:val="21"/>
          <w:szCs w:val="21"/>
          <w:color w:val="auto"/>
        </w:rPr>
      </w:pPr>
    </w:p>
    <w:p>
      <w:pPr>
        <w:ind w:left="1240" w:hanging="613"/>
        <w:spacing w:after="0"/>
        <w:tabs>
          <w:tab w:leader="none" w:pos="124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Reorganization Events</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ind w:right="120" w:firstLine="1250"/>
        <w:spacing w:after="0" w:line="214" w:lineRule="auto"/>
        <w:tabs>
          <w:tab w:leader="none" w:pos="1865"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i w:val="1"/>
          <w:iCs w:val="1"/>
          <w:color w:val="auto"/>
        </w:rPr>
        <w:t>Reorganization Event</w:t>
      </w:r>
      <w:r>
        <w:rPr>
          <w:rFonts w:ascii="Times New Roman" w:cs="Times New Roman" w:eastAsia="Times New Roman" w:hAnsi="Times New Roman"/>
          <w:sz w:val="21"/>
          <w:szCs w:val="21"/>
          <w:color w:val="auto"/>
        </w:rPr>
        <w:t>” means (A) any merger or consolidation of the Company with or into another entity as a result of which all of the Ordinary Shares of the Company are converted into or exchanged for the right to receive cash, securities or other property or are cancelled; (B) any transfer or disposition of all of the Ordinary Shares of the Company for cash, securities or other property pursuant to a share exchange or other transaction; (C) the sale of all or substantially all of the assets of the Company on a consolidated basis to an unrelated person or entity; (D) any other transaction in which the owners of the Company’s outstanding voting power immediately prior to such transaction do not own a majority of the outstanding voting power of the Company or any successor entity immediately upon completion of the transaction other than as a result of the acquisition of securities directly from the Company; or (E) any liquidation or dissolution of the Company.</w:t>
      </w:r>
    </w:p>
    <w:p>
      <w:pPr>
        <w:spacing w:after="0" w:line="150"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Consequences of a Reorganization Event on Awards Other than Restricted Shares</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firstLine="1873"/>
        <w:spacing w:after="0" w:line="221" w:lineRule="auto"/>
        <w:tabs>
          <w:tab w:leader="none" w:pos="2482" w:val="left"/>
        </w:tabs>
        <w:numPr>
          <w:ilvl w:val="3"/>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Reorganization Event, the Board may take any one or more of the following actions as to all or any (or any portion of) outstanding Awards other than Restricted Shares on such terms as the Board determines (except to the extent specifically provided otherwise in an applicable Award agreement or another agreement between the Company and the Participant): (i) provide that the acquiring or succeeding corporation (or an affiliate thereof) assume such Awards or substitute substantially equivalent awards; (ii) upon written notice to a Participant, provide that all of the Participant’s unexercised Awards will terminate immediately before the consummation of such Reorganization Event unless exercised by the Participant (to the extent then exercisable) within a specified period after the date of such notice; (iii) provide that outstanding Awards become exercisable, realizable, or deliverable, or restrictions applicable to an Award lapse, in whole or in part before or upon such Reorganization Event; (iv) in the event of a Reorganization Event under the terms of which holders of Ordinary Shares will receive upon consummation thereof a cash payment for each Ordinary Share surrendered in the Reorganization Event (the “</w:t>
      </w:r>
      <w:r>
        <w:rPr>
          <w:rFonts w:ascii="Times New Roman" w:cs="Times New Roman" w:eastAsia="Times New Roman" w:hAnsi="Times New Roman"/>
          <w:sz w:val="20"/>
          <w:szCs w:val="20"/>
          <w:b w:val="1"/>
          <w:bCs w:val="1"/>
          <w:i w:val="1"/>
          <w:iCs w:val="1"/>
          <w:color w:val="auto"/>
        </w:rPr>
        <w:t>Acquisition Price</w:t>
      </w:r>
      <w:r>
        <w:rPr>
          <w:rFonts w:ascii="Times New Roman" w:cs="Times New Roman" w:eastAsia="Times New Roman" w:hAnsi="Times New Roman"/>
          <w:sz w:val="20"/>
          <w:szCs w:val="20"/>
          <w:color w:val="auto"/>
        </w:rPr>
        <w:t>”), make or provide for a cash payment to Participants with respect to each Award held by a Participant equal to (A) the number of Ordinary Shares subject to the vested portion of the Award (after giving effect to any acceleration of vesting that occurs upon or immediately before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convert into the right to receive liquidation proceeds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20"/>
          </w:cols>
          <w:pgMar w:left="320" w:top="1345" w:right="359" w:bottom="1440" w:gutter="0" w:footer="0" w:header="0"/>
        </w:sectPr>
      </w:pPr>
    </w:p>
    <w:bookmarkStart w:id="52" w:name="page53"/>
    <w:bookmarkEnd w:id="52"/>
    <w:p>
      <w:pPr>
        <w:ind w:right="20"/>
        <w:spacing w:after="0" w:line="227" w:lineRule="auto"/>
        <w:rPr>
          <w:sz w:val="20"/>
          <w:szCs w:val="20"/>
          <w:color w:val="auto"/>
        </w:rPr>
      </w:pPr>
      <w:r>
        <w:rPr>
          <w:rFonts w:ascii="Times New Roman" w:cs="Times New Roman" w:eastAsia="Times New Roman" w:hAnsi="Times New Roman"/>
          <w:sz w:val="21"/>
          <w:szCs w:val="21"/>
          <w:color w:val="auto"/>
        </w:rPr>
        <w:t>applicable, net of the exercise, measurement or purchase price thereof and any applicable tax withholdings); and (vi) any combination of the foregoing. In taking any of the actions permitted under this Section 9(b)(2), the Board is not obligated by the Plan to treat all Awards, all Awards held by a Participant, or all Awards of the same type, identically.</w:t>
      </w:r>
    </w:p>
    <w:p>
      <w:pPr>
        <w:spacing w:after="0" w:line="145" w:lineRule="exact"/>
        <w:rPr>
          <w:sz w:val="20"/>
          <w:szCs w:val="20"/>
          <w:color w:val="auto"/>
        </w:rPr>
      </w:pPr>
    </w:p>
    <w:p>
      <w:pPr>
        <w:ind w:firstLine="1873"/>
        <w:spacing w:after="0" w:line="212" w:lineRule="auto"/>
        <w:tabs>
          <w:tab w:leader="none" w:pos="2483"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terms of Section 9(b)(2)(A), in the case of outstanding RSUs that are subject to Section 409A of the Code: (i) if the applicable RSU agreement provides that the RSUs shall be settled upon a “change in control event” within the meaning of Treasury Regulation Section 1.409A-3(i)(5)(i), and the Reorganization Event constitutes such a “change in control event,” as defined under Treasury Regulation Section 1.409A-3(i)(5)(i), then no assumption or substitution is permitted pursuant to Section 9(b)(2)(A)(i) and the RSUs shall instead be settled in accordance with the terms of the applicable RSU agreement; and (ii) the Board may only undertake the actions set forth in clauses (iii), (iv) or (v) of Section 9(b)(2)(A) if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RSUs pursuant to clause (i) of Section 9(b)(2)(A), then the unvested RSUs terminate immediately before the consummation of the Reorganization Event without any payment in exchange therefor.</w:t>
      </w:r>
    </w:p>
    <w:p>
      <w:pPr>
        <w:spacing w:after="0" w:line="151" w:lineRule="exact"/>
        <w:rPr>
          <w:rFonts w:ascii="Times New Roman" w:cs="Times New Roman" w:eastAsia="Times New Roman" w:hAnsi="Times New Roman"/>
          <w:sz w:val="21"/>
          <w:szCs w:val="21"/>
          <w:color w:val="auto"/>
        </w:rPr>
      </w:pPr>
    </w:p>
    <w:p>
      <w:pPr>
        <w:ind w:firstLine="1873"/>
        <w:spacing w:after="0" w:line="211" w:lineRule="auto"/>
        <w:tabs>
          <w:tab w:leader="none" w:pos="2483"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Section 9(b)(2)(A)(i), an Award (other than Restricted Shares) is considered assumed if, after consummation of the Reorganization Event, such Award confers the right to purchase or receive pursuant to the terms of such Award, for each Ordinary Share subject to the Award immediately before the consummation of the Reorganization Event, the consideration (whether cash, securities or other property) received as a result of the Reorganization Event by holders of Ordinary Shares for each Ordinary Share held immediately before the consummation of the Reorganization Event (and if holders were offered a choice of consideration, the type of consideration chosen by the holders of a majority of the outstanding Ordinary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consideration received as a result of the Reorganization Event is not solely common stock of the acquiring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Ordinary Shares as a result of the Reorganization Event.</w:t>
      </w:r>
    </w:p>
    <w:p>
      <w:pPr>
        <w:spacing w:after="0" w:line="152" w:lineRule="exact"/>
        <w:rPr>
          <w:rFonts w:ascii="Times New Roman" w:cs="Times New Roman" w:eastAsia="Times New Roman" w:hAnsi="Times New Roman"/>
          <w:sz w:val="21"/>
          <w:szCs w:val="21"/>
          <w:color w:val="auto"/>
        </w:rPr>
      </w:pPr>
    </w:p>
    <w:p>
      <w:pPr>
        <w:ind w:firstLine="1250"/>
        <w:spacing w:after="0" w:line="212" w:lineRule="auto"/>
        <w:tabs>
          <w:tab w:leader="none" w:pos="186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Consequences of a Reorganization Event on Restricted Shares</w:t>
      </w:r>
      <w:r>
        <w:rPr>
          <w:rFonts w:ascii="Times New Roman" w:cs="Times New Roman" w:eastAsia="Times New Roman" w:hAnsi="Times New Roman"/>
          <w:sz w:val="21"/>
          <w:szCs w:val="21"/>
          <w:color w:val="auto"/>
        </w:rPr>
        <w:t xml:space="preserve">. Upon the occurrence of a Reorganization Event other than a liquidation or dissolution of the Company, the redemption and other rights of the Company with respect to outstanding Restricted Shares inure to the benefit of the Company’s successor and, unless the Board determines otherwise, apply to the cash, securities or other property which the Ordinary Shares were converted into or exchanged for pursuant to such Reorganization Event in the same manner and to the same extent as they applied to such Restricted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Board may provide for termination or deemed satisfaction of such redemption or other rights under the instrument evidencing any Restricted Shares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Shares or any other agreement between a Participant and the Company, all restrictions and conditions on all Restricted Shares then outstanding are automatically deemed terminated or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160"/>
          </w:cols>
          <w:pgMar w:left="320" w:top="1345" w:right="419" w:bottom="1440" w:gutter="0" w:footer="0" w:header="0"/>
        </w:sectPr>
      </w:pPr>
    </w:p>
    <w:bookmarkStart w:id="53" w:name="page54"/>
    <w:bookmarkEnd w:id="53"/>
    <w:p>
      <w:pPr>
        <w:ind w:left="620" w:hanging="616"/>
        <w:spacing w:after="0"/>
        <w:tabs>
          <w:tab w:leader="none" w:pos="6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 Applicable to Awards</w:t>
      </w:r>
    </w:p>
    <w:p>
      <w:pPr>
        <w:spacing w:after="0" w:line="173" w:lineRule="exact"/>
        <w:rPr>
          <w:rFonts w:ascii="Times New Roman" w:cs="Times New Roman" w:eastAsia="Times New Roman" w:hAnsi="Times New Roman"/>
          <w:sz w:val="21"/>
          <w:szCs w:val="21"/>
          <w:color w:val="auto"/>
        </w:rPr>
      </w:pPr>
    </w:p>
    <w:p>
      <w:pPr>
        <w:ind w:right="20" w:firstLine="627"/>
        <w:spacing w:after="0" w:line="223" w:lineRule="auto"/>
        <w:tabs>
          <w:tab w:leader="none" w:pos="124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 of Awards</w:t>
      </w:r>
      <w:r>
        <w:rPr>
          <w:rFonts w:ascii="Times New Roman" w:cs="Times New Roman" w:eastAsia="Times New Roman" w:hAnsi="Times New Roman"/>
          <w:sz w:val="20"/>
          <w:szCs w:val="20"/>
          <w:color w:val="auto"/>
        </w:rPr>
        <w:t>. The person who is granted an Award may not sell, assign, transfer, pledge or otherwise encumber such Award, either voluntarily or by operation of law, except by will or the laws of descent and distribution or, other than in the case of an Incentive Stock Option and Awards that are subject to Section 409A of the Code, pursuant to a qualified domestic relations order. During the life of the Participant, only the Participant may exercise such Award. Notwithstanding the immediately preceding two sentences, the Board may permit or provide in an Award for the gratuitous transfer of the Award by the Participant without consideration, subject to any limitations that the Board deems appropriate. The Company is not required to recognize any such permitted transfer until such time as such permitted transferee, as a condition to such transfer, delivers to the Company a written instrument in form and substance satisfactory to the Company confirming that such transferee is bound by all of the terms and conditions of the Award and the Plan. References to a Participant, to the extent relevant in the context, include references to authorized transferees. For the avoidance of doubt, nothing contained in this Section 10(a) is deemed to restrict a transfer to the Company.</w:t>
      </w:r>
    </w:p>
    <w:p>
      <w:pPr>
        <w:spacing w:after="0" w:line="147" w:lineRule="exact"/>
        <w:rPr>
          <w:rFonts w:ascii="Times New Roman" w:cs="Times New Roman" w:eastAsia="Times New Roman" w:hAnsi="Times New Roman"/>
          <w:sz w:val="20"/>
          <w:szCs w:val="20"/>
          <w:color w:val="auto"/>
        </w:rPr>
      </w:pPr>
    </w:p>
    <w:p>
      <w:pPr>
        <w:ind w:right="60" w:firstLine="627"/>
        <w:spacing w:after="0" w:line="237" w:lineRule="auto"/>
        <w:tabs>
          <w:tab w:leader="none" w:pos="124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Documentation</w:t>
      </w:r>
      <w:r>
        <w:rPr>
          <w:rFonts w:ascii="Times New Roman" w:cs="Times New Roman" w:eastAsia="Times New Roman" w:hAnsi="Times New Roman"/>
          <w:sz w:val="21"/>
          <w:szCs w:val="21"/>
          <w:color w:val="auto"/>
        </w:rPr>
        <w:t>. Each Award is evidenced in such form (written, electronic or otherwise) as the Board determines. Each Award may contain terms and conditions in addition to those set forth in the Plan.</w:t>
      </w:r>
    </w:p>
    <w:p>
      <w:pPr>
        <w:spacing w:after="0" w:line="146" w:lineRule="exact"/>
        <w:rPr>
          <w:rFonts w:ascii="Times New Roman" w:cs="Times New Roman" w:eastAsia="Times New Roman" w:hAnsi="Times New Roman"/>
          <w:sz w:val="21"/>
          <w:szCs w:val="21"/>
          <w:color w:val="auto"/>
        </w:rPr>
      </w:pPr>
    </w:p>
    <w:p>
      <w:pPr>
        <w:jc w:val="both"/>
        <w:ind w:right="60" w:firstLine="627"/>
        <w:spacing w:after="0" w:line="222" w:lineRule="auto"/>
        <w:tabs>
          <w:tab w:leader="none" w:pos="1243"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 Discretion</w:t>
      </w:r>
      <w:r>
        <w:rPr>
          <w:rFonts w:ascii="Times New Roman" w:cs="Times New Roman" w:eastAsia="Times New Roman" w:hAnsi="Times New Roman"/>
          <w:sz w:val="21"/>
          <w:szCs w:val="21"/>
          <w:color w:val="auto"/>
        </w:rPr>
        <w:t>. Except as otherwise provided by the Plan, the Company may make each Award alone or in addition or in relation to any other Award. The terms of each Award need not be identical, and the Board need not treat Participants uniformly. The Board may also use different methods to determine Fair Market Value depending on whether the Fair Market Value is in reference to the grant, exercise, vesting, settlement, or payout of an Award.</w:t>
      </w:r>
    </w:p>
    <w:p>
      <w:pPr>
        <w:spacing w:after="0" w:line="144" w:lineRule="exact"/>
        <w:rPr>
          <w:rFonts w:ascii="Times New Roman" w:cs="Times New Roman" w:eastAsia="Times New Roman" w:hAnsi="Times New Roman"/>
          <w:sz w:val="21"/>
          <w:szCs w:val="21"/>
          <w:color w:val="auto"/>
        </w:rPr>
      </w:pPr>
    </w:p>
    <w:p>
      <w:pPr>
        <w:ind w:firstLine="627"/>
        <w:spacing w:after="0" w:line="221" w:lineRule="auto"/>
        <w:tabs>
          <w:tab w:leader="none" w:pos="1242"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(1) the beneficiary that a Participant designates, in a manner determined by the Board, to receive amounts due or exercise rights of the Participant in the event of the Participant’s death or</w:t>
      </w:r>
    </w:p>
    <w:p>
      <w:pPr>
        <w:spacing w:after="0" w:line="3"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(2) in the absence of an effective designation by a Participant, the Participant’s estate.</w:t>
      </w:r>
    </w:p>
    <w:p>
      <w:pPr>
        <w:spacing w:after="0" w:line="149" w:lineRule="exact"/>
        <w:rPr>
          <w:rFonts w:ascii="Times New Roman" w:cs="Times New Roman" w:eastAsia="Times New Roman" w:hAnsi="Times New Roman"/>
          <w:sz w:val="20"/>
          <w:szCs w:val="20"/>
          <w:color w:val="auto"/>
        </w:rPr>
      </w:pPr>
    </w:p>
    <w:p>
      <w:pPr>
        <w:ind w:firstLine="627"/>
        <w:spacing w:after="0" w:line="222" w:lineRule="auto"/>
        <w:tabs>
          <w:tab w:leader="none" w:pos="124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Participant must satisfy all applicable taxes, charges, levies or social insurance contributions required to be withheld in any jurisdiction before the Company will deliver Ordinary Shares or otherwise recognize ownership of Ordinary Shares under an Award. The Company may decide to satisfy the tax withholding obligations through additional withholding on salary, wages or other compensation or amounts owed to the Participant. If the Company elects not to or cannot withhold from other compensation, the Participant must pay the Company the full amount, if any, required for tax withholding or have a broker tender to the Company cash equal to the tax withholding obligations. The Participant shall be accountable for any taxes, which are chargeable on any assessable income deriving from the grant, exercise, purchase, or vesting of, or other dealing in Awards or Ordinary Shares issued pursuant to an Award. The Company shall not become liable for any of the Participant’s taxes as a result of the Participant’s participation in the Plan. In respect of such assessable income, the Participant shall indemnify the Company which is or may be treated as the employer of the Participant in respect of the taxes. Pursuant to this indemnity, where necessary, the Participant shall make such arrangements as the Company requires to meet the cost of the tax withholding obligations. Payment of tax withholding obligations is due before the Company will issue any Ordinary Shares on exercise, vesting or release from forfeiture of an Award or at the same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45" w:right="339" w:bottom="1440" w:gutter="0" w:footer="0" w:header="0"/>
        </w:sectPr>
      </w:pPr>
    </w:p>
    <w:bookmarkStart w:id="54" w:name="page55"/>
    <w:bookmarkEnd w:id="54"/>
    <w:p>
      <w:pPr>
        <w:ind w:right="20"/>
        <w:spacing w:after="0" w:line="210" w:lineRule="auto"/>
        <w:rPr>
          <w:sz w:val="20"/>
          <w:szCs w:val="20"/>
          <w:color w:val="auto"/>
        </w:rPr>
      </w:pPr>
      <w:r>
        <w:rPr>
          <w:rFonts w:ascii="Times New Roman" w:cs="Times New Roman" w:eastAsia="Times New Roman" w:hAnsi="Times New Roman"/>
          <w:sz w:val="21"/>
          <w:szCs w:val="21"/>
          <w:color w:val="auto"/>
        </w:rPr>
        <w:t>as payment of the exercise or purchase price, unless the Company determines otherwise. If provided for in an Award or approved by the Board in its sole discretion, a Participant may satisfy such tax withholding obligations in whole or in part by delivery (either by actual delivery or attestation) of Ordinary Shares, including Ordinary Shares retained from the Award creating the tax withholding obligation, valued at their Fair Market Value. If provided for in an Award or approved by the Board in its sole discretion, the Company may also require such tax withholding obligations to be satisfied, in whole or in part, by an arrangement whereby a certain number of Ordinary Shares issued pursuant to any Award are immediately sold and proceeds from such sale are remitted to the Company in an amount that would satisfy the tax withholding obligations. However, except as otherwise provided by the Board, the total tax withholding where Ordinary Shares are being used or sold to satisfy such tax withholding obligations cannot exceed the Company’s maximum statutory withholding obligations, except that, to the extent that the Company is able to retain or cause the sale of Ordinary Shares having a Fair Market Value that exceeds the statutory maximum applicable withholding tax without financial accounting implications or the Company is withholding in a jurisdiction that does not have a statutory maximum withholding tax, the Company may retain or cause the sale of such number of Ordinary Shares (up to the number of Ordinary Shares having a Fair Market Value equal to the maximum individual statutory rate of tax) as the Company determines in its sole discretion to satisfy the tax withholding obligations associated with any Award. The Company (i) makes no representations or undertaking regarding the tax consequences to any Participant with respect to any Award and (ii) does not commit to structure the terms of the Award to reduce or eliminate the Participant’s liability for taxes.</w:t>
      </w:r>
    </w:p>
    <w:p>
      <w:pPr>
        <w:spacing w:after="0" w:line="150" w:lineRule="exact"/>
        <w:rPr>
          <w:sz w:val="20"/>
          <w:szCs w:val="20"/>
          <w:color w:val="auto"/>
        </w:rPr>
      </w:pPr>
    </w:p>
    <w:p>
      <w:pPr>
        <w:ind w:right="100" w:firstLine="627"/>
        <w:spacing w:after="0" w:line="218" w:lineRule="auto"/>
        <w:tabs>
          <w:tab w:leader="none" w:pos="124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of Award</w:t>
      </w:r>
      <w:r>
        <w:rPr>
          <w:rFonts w:ascii="Times New Roman" w:cs="Times New Roman" w:eastAsia="Times New Roman" w:hAnsi="Times New Roman"/>
          <w:sz w:val="21"/>
          <w:szCs w:val="21"/>
          <w:color w:val="auto"/>
        </w:rPr>
        <w:t>. Except as otherwise provided in the Plan, the Board may amend, modify or terminate any outstanding Award, including but not limited to, substituting therefor another Award of the same or a different type, changing the date of exercise or realization, and converting an Incentive Stock Option to a Nonstatutory Share Option. The Participant’s consent to such action is required unless (1) the Board determines that the action, taking into account any related action, does not materially and adversely affect the Participant’s rights under the Plan or (2) the change is permitted under Section 9.</w:t>
      </w:r>
    </w:p>
    <w:p>
      <w:pPr>
        <w:spacing w:after="0" w:line="149" w:lineRule="exact"/>
        <w:rPr>
          <w:rFonts w:ascii="Times New Roman" w:cs="Times New Roman" w:eastAsia="Times New Roman" w:hAnsi="Times New Roman"/>
          <w:sz w:val="21"/>
          <w:szCs w:val="21"/>
          <w:color w:val="auto"/>
        </w:rPr>
      </w:pPr>
    </w:p>
    <w:p>
      <w:pPr>
        <w:ind w:firstLine="627"/>
        <w:spacing w:after="0" w:line="215" w:lineRule="auto"/>
        <w:tabs>
          <w:tab w:leader="none" w:pos="124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on Delivery of Shares</w:t>
      </w:r>
      <w:r>
        <w:rPr>
          <w:rFonts w:ascii="Times New Roman" w:cs="Times New Roman" w:eastAsia="Times New Roman" w:hAnsi="Times New Roman"/>
          <w:sz w:val="21"/>
          <w:szCs w:val="21"/>
          <w:color w:val="auto"/>
        </w:rPr>
        <w:t>. The Company is not obligated to deliver any Ordinary Shares pursuant to the Plan or to remove restrictions from shares previously issued or delivered under the Plan until (1) all conditions of the Award have been met or removed to the satisfaction of the Company; (2) in the opinion of the Company’s counsel, all other legal matters in connection with the issuance and delivery of such shares have been satisfied, including any applicable securities laws and regulations and any applicable stock exchange or stock market rules and regulations; and (3) the Participant has executed and delivered to the Company such representations or agreements as the Company may consider appropriate to satisfy the requirements of any applicable laws, rules or regulations.</w:t>
      </w:r>
    </w:p>
    <w:p>
      <w:pPr>
        <w:spacing w:after="0" w:line="147" w:lineRule="exact"/>
        <w:rPr>
          <w:rFonts w:ascii="Times New Roman" w:cs="Times New Roman" w:eastAsia="Times New Roman" w:hAnsi="Times New Roman"/>
          <w:sz w:val="21"/>
          <w:szCs w:val="21"/>
          <w:color w:val="auto"/>
        </w:rPr>
      </w:pPr>
    </w:p>
    <w:p>
      <w:pPr>
        <w:ind w:firstLine="627"/>
        <w:spacing w:after="0" w:line="216" w:lineRule="auto"/>
        <w:tabs>
          <w:tab w:leader="none" w:pos="124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Nominal Value</w:t>
      </w:r>
      <w:r>
        <w:rPr>
          <w:rFonts w:ascii="Times New Roman" w:cs="Times New Roman" w:eastAsia="Times New Roman" w:hAnsi="Times New Roman"/>
          <w:sz w:val="21"/>
          <w:szCs w:val="21"/>
          <w:color w:val="auto"/>
        </w:rPr>
        <w:t>. Notwithstanding any other provision of this Plan, no Ordinary Shares in the authorized but unissued share capital of the Company shall be issued in settlement of an Award unless they are paid-up, on issuance, to at least their nominal value. If the Board determines that an Award is to be settled by the issuance of authorized but unissued Shares, the Board may decide that the Shares so issued will be: (1) paid-up from the exercise price (if any); (2) otherwise paid-up by the Participant; (3) subject to applicable law, paid-up by the Company from distributable profits or other reserves which may be applied for that purpose; or (4) subject to applicable law, paid-up by a subsidiary of the Company or by another person.</w:t>
      </w:r>
    </w:p>
    <w:p>
      <w:pPr>
        <w:spacing w:after="0" w:line="149" w:lineRule="exact"/>
        <w:rPr>
          <w:rFonts w:ascii="Times New Roman" w:cs="Times New Roman" w:eastAsia="Times New Roman" w:hAnsi="Times New Roman"/>
          <w:sz w:val="21"/>
          <w:szCs w:val="21"/>
          <w:color w:val="auto"/>
        </w:rPr>
      </w:pPr>
    </w:p>
    <w:p>
      <w:pPr>
        <w:ind w:right="60" w:firstLine="627"/>
        <w:spacing w:after="0" w:line="237" w:lineRule="auto"/>
        <w:tabs>
          <w:tab w:leader="none" w:pos="123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Acceleration</w:t>
      </w:r>
      <w:r>
        <w:rPr>
          <w:rFonts w:ascii="Times New Roman" w:cs="Times New Roman" w:eastAsia="Times New Roman" w:hAnsi="Times New Roman"/>
          <w:sz w:val="21"/>
          <w:szCs w:val="21"/>
          <w:color w:val="auto"/>
        </w:rPr>
        <w:t>. The Board may at any time provide that any Award becomes immediately exercisable in whole or in part, free of some or all restrictions or conditions, or otherwise realizable in whole or in part,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20" w:top="1345" w:right="359" w:bottom="1440" w:gutter="0" w:footer="0" w:header="0"/>
        </w:sectPr>
      </w:pPr>
    </w:p>
    <w:bookmarkStart w:id="55" w:name="page56"/>
    <w:bookmarkEnd w:id="55"/>
    <w:p>
      <w:pPr>
        <w:ind w:left="616" w:hanging="616"/>
        <w:spacing w:after="0"/>
        <w:tabs>
          <w:tab w:leader="none" w:pos="6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p>
    <w:p>
      <w:pPr>
        <w:spacing w:after="0" w:line="173" w:lineRule="exact"/>
        <w:rPr>
          <w:rFonts w:ascii="Times New Roman" w:cs="Times New Roman" w:eastAsia="Times New Roman" w:hAnsi="Times New Roman"/>
          <w:sz w:val="21"/>
          <w:szCs w:val="21"/>
          <w:color w:val="auto"/>
        </w:rPr>
      </w:pPr>
    </w:p>
    <w:p>
      <w:pPr>
        <w:ind w:left="-4" w:right="40" w:firstLine="627"/>
        <w:spacing w:after="0" w:line="222" w:lineRule="auto"/>
        <w:tabs>
          <w:tab w:leader="none" w:pos="1239"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Employment or Other Status</w:t>
      </w:r>
      <w:r>
        <w:rPr>
          <w:rFonts w:ascii="Times New Roman" w:cs="Times New Roman" w:eastAsia="Times New Roman" w:hAnsi="Times New Roman"/>
          <w:sz w:val="21"/>
          <w:szCs w:val="21"/>
          <w:color w:val="auto"/>
        </w:rPr>
        <w:t>. No person has any claim or right to be granted an Award by virtue of the adoption of the Plan, and the grant of an Award may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44" w:lineRule="exact"/>
        <w:rPr>
          <w:rFonts w:ascii="Times New Roman" w:cs="Times New Roman" w:eastAsia="Times New Roman" w:hAnsi="Times New Roman"/>
          <w:sz w:val="21"/>
          <w:szCs w:val="21"/>
          <w:color w:val="auto"/>
        </w:rPr>
      </w:pPr>
    </w:p>
    <w:p>
      <w:pPr>
        <w:ind w:left="-4" w:right="100" w:firstLine="627"/>
        <w:spacing w:after="0" w:line="227" w:lineRule="auto"/>
        <w:tabs>
          <w:tab w:leader="none" w:pos="123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Shareholder</w:t>
      </w:r>
      <w:r>
        <w:rPr>
          <w:rFonts w:ascii="Times New Roman" w:cs="Times New Roman" w:eastAsia="Times New Roman" w:hAnsi="Times New Roman"/>
          <w:sz w:val="21"/>
          <w:szCs w:val="21"/>
          <w:color w:val="auto"/>
        </w:rPr>
        <w:t>. Subject to the provisions of the applicable Award, no Participant or Designated Beneficiary has any rights as a shareholder with respect to any Ordinary Shares to be distributed with respect to an Award until becoming the record holder of such shares.</w:t>
      </w:r>
    </w:p>
    <w:p>
      <w:pPr>
        <w:spacing w:after="0" w:line="145" w:lineRule="exact"/>
        <w:rPr>
          <w:rFonts w:ascii="Times New Roman" w:cs="Times New Roman" w:eastAsia="Times New Roman" w:hAnsi="Times New Roman"/>
          <w:sz w:val="21"/>
          <w:szCs w:val="21"/>
          <w:color w:val="auto"/>
        </w:rPr>
      </w:pPr>
    </w:p>
    <w:p>
      <w:pPr>
        <w:jc w:val="both"/>
        <w:ind w:left="-4" w:right="120" w:firstLine="627"/>
        <w:spacing w:after="0" w:line="222" w:lineRule="auto"/>
        <w:tabs>
          <w:tab w:leader="none" w:pos="1239"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 and Term of Plan</w:t>
      </w:r>
      <w:r>
        <w:rPr>
          <w:rFonts w:ascii="Times New Roman" w:cs="Times New Roman" w:eastAsia="Times New Roman" w:hAnsi="Times New Roman"/>
          <w:sz w:val="21"/>
          <w:szCs w:val="21"/>
          <w:color w:val="auto"/>
        </w:rPr>
        <w:t>. The Plan becomes effective the date it is approved by the Company’s shareholders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The Company shall not grant any Awards under the Plan after the expiration of 10 years from the Effective Date, but Awards previously granted may extend beyond that date. No grants of Incentive Stock Options may be made under the Plan after the expiration of 10 years from the date the Plan is approved by the Board.</w:t>
      </w:r>
    </w:p>
    <w:p>
      <w:pPr>
        <w:spacing w:after="0" w:line="144" w:lineRule="exact"/>
        <w:rPr>
          <w:rFonts w:ascii="Times New Roman" w:cs="Times New Roman" w:eastAsia="Times New Roman" w:hAnsi="Times New Roman"/>
          <w:sz w:val="21"/>
          <w:szCs w:val="21"/>
          <w:color w:val="auto"/>
        </w:rPr>
      </w:pPr>
    </w:p>
    <w:p>
      <w:pPr>
        <w:ind w:left="-4" w:right="20" w:firstLine="627"/>
        <w:spacing w:after="0" w:line="222" w:lineRule="auto"/>
        <w:tabs>
          <w:tab w:leader="none" w:pos="123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color w:val="auto"/>
        </w:rPr>
        <w:t>. The Board may amend, suspend or terminate the Plan or any portion thereof at any time, except that (1) no amendment that would require shareholder approval under the rules of NASDAQ may be made effective until the Company’s shareholders approve such amendment, and (2) no amendment to the Plan (A) materially increasing the number of shares authorized under the Plan (other than pursuant to Sections 4(b) or 9), (B) expanding the types of Awards that may be granted under the Plan, or (C) materially expanding the class of participants eligible to participate in the Plan is effective until the Company’s shareholders approve such amendment. In addition, if at any time the approval of the Company’s shareholders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applies to, and is binding on the holders of, all Awards outstanding under the Plan at the time the amendment is adopted, so long as the Board determines that such amendment, taking into account any related action, does not materially and adversely affect the rights of Participants under the Plan.</w:t>
      </w:r>
    </w:p>
    <w:p>
      <w:pPr>
        <w:spacing w:after="0" w:line="152" w:lineRule="exact"/>
        <w:rPr>
          <w:rFonts w:ascii="Times New Roman" w:cs="Times New Roman" w:eastAsia="Times New Roman" w:hAnsi="Times New Roman"/>
          <w:sz w:val="20"/>
          <w:szCs w:val="20"/>
          <w:color w:val="auto"/>
        </w:rPr>
      </w:pPr>
    </w:p>
    <w:p>
      <w:pPr>
        <w:ind w:left="-4" w:firstLine="627"/>
        <w:spacing w:after="0" w:line="213" w:lineRule="auto"/>
        <w:tabs>
          <w:tab w:leader="none" w:pos="1239"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Participating Affiliates; Authorization of Sub-Plans (including for grants to non-U.S. employees)</w:t>
      </w:r>
      <w:r>
        <w:rPr>
          <w:rFonts w:ascii="Times New Roman" w:cs="Times New Roman" w:eastAsia="Times New Roman" w:hAnsi="Times New Roman"/>
          <w:sz w:val="21"/>
          <w:szCs w:val="21"/>
          <w:color w:val="auto"/>
        </w:rPr>
        <w:t>. The Board has the authority to determine which of the Company’s present or future parent or subsidiary corporations as defined in Sections 424(e) or (f) of the Code are covered by and eligible to participate in the Plan. The Board may from time to time establish one or more sub-plans under the Plan for purposes of satisfying applicable securities, tax or other laws of various jurisdictions. The Board may establish such sub-plans by adopting supplements to the Plan containing (1) such limitations on the Board’s discretion under the Plan as the Board deems necessary or desirable or (2) such additional terms and conditions not otherwise inconsistent with the Plan as the Board deems necessary or desirable. All supplements adopted by the Board are deemed to be part of the Plan, but each supplement applies only to Participants within the affected jurisdiction and the Company is not required to provide copies of any supplement to Participants in any jurisdiction that is not the subject of such supplement.</w:t>
      </w:r>
    </w:p>
    <w:p>
      <w:pPr>
        <w:spacing w:after="0" w:line="147" w:lineRule="exact"/>
        <w:rPr>
          <w:rFonts w:ascii="Times New Roman" w:cs="Times New Roman" w:eastAsia="Times New Roman" w:hAnsi="Times New Roman"/>
          <w:sz w:val="21"/>
          <w:szCs w:val="21"/>
          <w:color w:val="auto"/>
        </w:rPr>
      </w:pPr>
    </w:p>
    <w:p>
      <w:pPr>
        <w:ind w:left="-4" w:right="760" w:firstLine="627"/>
        <w:spacing w:after="0" w:line="237" w:lineRule="auto"/>
        <w:tabs>
          <w:tab w:leader="none" w:pos="1242"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 of the Code</w:t>
      </w:r>
      <w:r>
        <w:rPr>
          <w:rFonts w:ascii="Times New Roman" w:cs="Times New Roman" w:eastAsia="Times New Roman" w:hAnsi="Times New Roman"/>
          <w:sz w:val="21"/>
          <w:szCs w:val="21"/>
          <w:color w:val="auto"/>
        </w:rPr>
        <w:t>. Except as provided in individual Award agreements initially or by amendment, if and to the extent (1) any portion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16"/>
          </w:cols>
          <w:pgMar w:left="324" w:top="1345" w:right="359" w:bottom="1440" w:gutter="0" w:footer="0" w:header="0"/>
        </w:sectPr>
      </w:pPr>
    </w:p>
    <w:bookmarkStart w:id="56" w:name="page57"/>
    <w:bookmarkEnd w:id="56"/>
    <w:p>
      <w:pPr>
        <w:ind w:right="80"/>
        <w:spacing w:after="0" w:line="211" w:lineRule="auto"/>
        <w:rPr>
          <w:sz w:val="20"/>
          <w:szCs w:val="20"/>
          <w:color w:val="auto"/>
        </w:rPr>
      </w:pPr>
      <w:r>
        <w:rPr>
          <w:rFonts w:ascii="Times New Roman" w:cs="Times New Roman" w:eastAsia="Times New Roman" w:hAnsi="Times New Roman"/>
          <w:sz w:val="21"/>
          <w:szCs w:val="21"/>
          <w:color w:val="auto"/>
        </w:rPr>
        <w:t>payment, compensation or other benefit provided to a Participant pursuant to the Plan in connection with his or her employment termination constitutes “nonqualified deferred compensation” within the meaning of Section 409A of the Code and (2)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will not be paid before the earlier of six months plus one day after the date of “separation from service” (as determined under Section 409A of the Code) or the Participant’s death (the “</w:t>
      </w:r>
      <w:r>
        <w:rPr>
          <w:rFonts w:ascii="Times New Roman" w:cs="Times New Roman" w:eastAsia="Times New Roman" w:hAnsi="Times New Roman"/>
          <w:sz w:val="21"/>
          <w:szCs w:val="21"/>
          <w:b w:val="1"/>
          <w:bCs w:val="1"/>
          <w:i w:val="1"/>
          <w:iCs w:val="1"/>
          <w:color w:val="auto"/>
        </w:rPr>
        <w:t>New Payment Date</w:t>
      </w:r>
      <w:r>
        <w:rPr>
          <w:rFonts w:ascii="Times New Roman" w:cs="Times New Roman" w:eastAsia="Times New Roman" w:hAnsi="Times New Roman"/>
          <w:sz w:val="21"/>
          <w:szCs w:val="21"/>
          <w:color w:val="auto"/>
        </w:rPr>
        <w:t>”), except as Section 409A of the Code may then permit. The Company shall pay to the Participant in a lump sum on such New Payment Date the aggregate of any payments that otherwise would have been paid to the Participant during the period between the date of separation from service and the New Payment Date, and the Company shall make any remaining payments on their original schedule. The Company makes no representation or warranty and has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52" w:lineRule="exact"/>
        <w:rPr>
          <w:sz w:val="20"/>
          <w:szCs w:val="20"/>
          <w:color w:val="auto"/>
        </w:rPr>
      </w:pPr>
    </w:p>
    <w:p>
      <w:pPr>
        <w:ind w:firstLine="627"/>
        <w:spacing w:after="0" w:line="214" w:lineRule="auto"/>
        <w:tabs>
          <w:tab w:leader="none" w:pos="124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Liability</w:t>
      </w:r>
      <w:r>
        <w:rPr>
          <w:rFonts w:ascii="Times New Roman" w:cs="Times New Roman" w:eastAsia="Times New Roman" w:hAnsi="Times New Roman"/>
          <w:sz w:val="21"/>
          <w:szCs w:val="21"/>
          <w:color w:val="auto"/>
        </w:rPr>
        <w:t>. Notwithstanding any other provisions of the Plan, no individual acting as a director, officer, employee or agent of the Company is liable to any Participant, former Participant, spouse, beneficiary, or any other person for any claim, loss, liability, or expense incurred in connection with the Plan, nor is any such individual personally liable with respect to the Plan because of any contract or other instrument he or she executes in his or her capacity as a director, officer, employee or agent of the Company. The Company shall indemnify and hold harmless each director, officer, employee or agent of the Company to whom any duty or power relating to the administration or interpretation of the Plan is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46" w:lineRule="exact"/>
        <w:rPr>
          <w:rFonts w:ascii="Times New Roman" w:cs="Times New Roman" w:eastAsia="Times New Roman" w:hAnsi="Times New Roman"/>
          <w:sz w:val="21"/>
          <w:szCs w:val="21"/>
          <w:color w:val="auto"/>
        </w:rPr>
      </w:pPr>
    </w:p>
    <w:p>
      <w:pPr>
        <w:ind w:right="800" w:firstLine="627"/>
        <w:spacing w:after="0" w:line="237" w:lineRule="auto"/>
        <w:tabs>
          <w:tab w:leader="none" w:pos="124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provisions of the Plan and all Awards made hereunder are governed by and interpreted in accordance with the laws of Ireland, excluding choice-of-law principles.</w:t>
      </w:r>
    </w:p>
    <w:p>
      <w:pPr>
        <w:spacing w:after="0" w:line="146" w:lineRule="exact"/>
        <w:rPr>
          <w:rFonts w:ascii="Times New Roman" w:cs="Times New Roman" w:eastAsia="Times New Roman" w:hAnsi="Times New Roman"/>
          <w:sz w:val="21"/>
          <w:szCs w:val="21"/>
          <w:color w:val="auto"/>
        </w:rPr>
      </w:pPr>
    </w:p>
    <w:p>
      <w:pPr>
        <w:ind w:right="40" w:firstLine="627"/>
        <w:spacing w:after="0" w:line="218" w:lineRule="auto"/>
        <w:tabs>
          <w:tab w:leader="none" w:pos="123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Repurchase Shares</w:t>
      </w:r>
      <w:r>
        <w:rPr>
          <w:rFonts w:ascii="Times New Roman" w:cs="Times New Roman" w:eastAsia="Times New Roman" w:hAnsi="Times New Roman"/>
          <w:sz w:val="21"/>
          <w:szCs w:val="21"/>
          <w:color w:val="auto"/>
        </w:rPr>
        <w:t>. To the extent any Award granted by the Company, whether prior to, or after, the Effective Time contains a contractual right on the part of the Company to repurchase Ordinary Shares, such right shall, for all purposes of the Companies Act 2014 of Ireland, as amended, constitute a right to redeem the Ordinary Shares (and any relevant Ordinary Shares which are issued subject to such a redemption right shall be issued as redeemable Ordinary Shares without further action on the part of the Board, any committee of the Board or any delegate of the Board).</w:t>
      </w:r>
    </w:p>
    <w:p>
      <w:pPr>
        <w:spacing w:after="0" w:line="200" w:lineRule="exact"/>
        <w:rPr>
          <w:sz w:val="20"/>
          <w:szCs w:val="20"/>
          <w:color w:val="auto"/>
        </w:rPr>
      </w:pPr>
    </w:p>
    <w:p>
      <w:pPr>
        <w:spacing w:after="0" w:line="391" w:lineRule="exact"/>
        <w:rPr>
          <w:sz w:val="20"/>
          <w:szCs w:val="20"/>
          <w:color w:val="auto"/>
        </w:rPr>
      </w:pPr>
    </w:p>
    <w:p>
      <w:pPr>
        <w:ind w:left="3120" w:right="80"/>
        <w:spacing w:after="0" w:line="237" w:lineRule="auto"/>
        <w:rPr>
          <w:sz w:val="20"/>
          <w:szCs w:val="20"/>
          <w:color w:val="auto"/>
        </w:rPr>
      </w:pPr>
      <w:r>
        <w:rPr>
          <w:rFonts w:ascii="Times New Roman" w:cs="Times New Roman" w:eastAsia="Times New Roman" w:hAnsi="Times New Roman"/>
          <w:sz w:val="21"/>
          <w:szCs w:val="21"/>
          <w:color w:val="auto"/>
        </w:rPr>
        <w:t>Adopted by the Board on August 26, 2020 and by the Company’s shareholders on November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4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16" w:lineRule="exact"/>
        <w:rPr>
          <w:sz w:val="20"/>
          <w:szCs w:val="20"/>
          <w:color w:val="auto"/>
        </w:rPr>
      </w:pPr>
    </w:p>
    <w:p>
      <w:pPr>
        <w:ind w:left="620" w:hanging="305"/>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90" w:lineRule="exact"/>
        <w:rPr>
          <w:rFonts w:ascii="Arial" w:cs="Arial" w:eastAsia="Arial" w:hAnsi="Arial"/>
          <w:sz w:val="17"/>
          <w:szCs w:val="17"/>
          <w:color w:val="auto"/>
        </w:rPr>
      </w:pPr>
    </w:p>
    <w:p>
      <w:pPr>
        <w:ind w:left="620" w:right="200" w:hanging="305"/>
        <w:spacing w:after="0" w:line="243" w:lineRule="auto"/>
        <w:tabs>
          <w:tab w:leader="none" w:pos="60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20" w:right="260" w:hanging="305"/>
        <w:spacing w:after="0" w:line="224" w:lineRule="auto"/>
        <w:tabs>
          <w:tab w:leader="none" w:pos="60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74"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42" w:lineRule="exact"/>
        <w:rPr>
          <w:rFonts w:ascii="Arial" w:cs="Arial" w:eastAsia="Arial" w:hAnsi="Arial"/>
          <w:sz w:val="17"/>
          <w:szCs w:val="17"/>
          <w:color w:val="auto"/>
        </w:rPr>
      </w:pPr>
    </w:p>
    <w:p>
      <w:pPr>
        <w:ind w:left="1240" w:right="440" w:hanging="302"/>
        <w:spacing w:after="0" w:line="243" w:lineRule="auto"/>
        <w:tabs>
          <w:tab w:leader="none" w:pos="1229"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240" w:right="20" w:hanging="302"/>
        <w:spacing w:after="0" w:line="243" w:lineRule="auto"/>
        <w:tabs>
          <w:tab w:leader="none" w:pos="1232"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1240" w:right="300" w:hanging="302"/>
        <w:spacing w:after="0" w:line="263" w:lineRule="auto"/>
        <w:tabs>
          <w:tab w:leader="none" w:pos="1229"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Date: January 26, 2023</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7062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36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87" w:lineRule="exact"/>
        <w:rPr>
          <w:sz w:val="20"/>
          <w:szCs w:val="20"/>
          <w:color w:val="auto"/>
        </w:rPr>
      </w:pPr>
    </w:p>
    <w:p>
      <w:pPr>
        <w:ind w:left="620" w:hanging="305"/>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103" w:lineRule="exact"/>
        <w:rPr>
          <w:rFonts w:ascii="Arial" w:cs="Arial" w:eastAsia="Arial" w:hAnsi="Arial"/>
          <w:sz w:val="17"/>
          <w:szCs w:val="17"/>
          <w:color w:val="auto"/>
        </w:rPr>
      </w:pPr>
    </w:p>
    <w:p>
      <w:pPr>
        <w:ind w:left="620" w:right="200" w:hanging="305"/>
        <w:spacing w:after="0" w:line="236" w:lineRule="auto"/>
        <w:tabs>
          <w:tab w:leader="none" w:pos="60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20" w:right="260" w:hanging="305"/>
        <w:spacing w:after="0" w:line="232" w:lineRule="auto"/>
        <w:tabs>
          <w:tab w:leader="none" w:pos="60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61"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5" w:lineRule="exact"/>
        <w:rPr>
          <w:rFonts w:ascii="Arial" w:cs="Arial" w:eastAsia="Arial" w:hAnsi="Arial"/>
          <w:sz w:val="17"/>
          <w:szCs w:val="17"/>
          <w:color w:val="auto"/>
        </w:rPr>
      </w:pPr>
    </w:p>
    <w:p>
      <w:pPr>
        <w:ind w:left="1240" w:right="440" w:hanging="302"/>
        <w:spacing w:after="0" w:line="236" w:lineRule="auto"/>
        <w:tabs>
          <w:tab w:leader="none" w:pos="1229"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240" w:right="20" w:hanging="302"/>
        <w:spacing w:after="0" w:line="236" w:lineRule="auto"/>
        <w:tabs>
          <w:tab w:leader="none" w:pos="1232"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40" w:right="300" w:hanging="302"/>
        <w:spacing w:after="0" w:line="247" w:lineRule="auto"/>
        <w:tabs>
          <w:tab w:leader="none" w:pos="1229"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January 26, 2023</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18415</wp:posOffset>
            </wp:positionV>
            <wp:extent cx="17062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36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32.1</w:t>
      </w:r>
    </w:p>
    <w:p>
      <w:pPr>
        <w:spacing w:after="0" w:line="246"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ind w:right="20" w:firstLine="709"/>
        <w:spacing w:after="0" w:line="232" w:lineRule="auto"/>
        <w:rPr>
          <w:sz w:val="20"/>
          <w:szCs w:val="20"/>
          <w:color w:val="auto"/>
        </w:rPr>
      </w:pPr>
      <w:r>
        <w:rPr>
          <w:rFonts w:ascii="Arial" w:cs="Arial" w:eastAsia="Arial" w:hAnsi="Arial"/>
          <w:sz w:val="17"/>
          <w:szCs w:val="17"/>
          <w:color w:val="auto"/>
        </w:rPr>
        <w:t>In connection with the Quarterly Report on Form 10-Q of Cimpress plc (the “Company”) for the quarter ended December 31, 2022 as filed with the Securities and Exchange Commission on the date hereof (the “Report”), the undersigned, Robert S. Keane, Chief Executive Officer, and</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Sean E. Quinn, Chief Financial Officer, of the Company, each hereby certifies, pursuant to 18 U.S.C. Section 1350, that, to his knowledge on the date hereof:</w:t>
      </w:r>
    </w:p>
    <w:p>
      <w:pPr>
        <w:spacing w:after="0" w:line="57" w:lineRule="exact"/>
        <w:rPr>
          <w:sz w:val="20"/>
          <w:szCs w:val="20"/>
          <w:color w:val="auto"/>
        </w:rPr>
      </w:pPr>
    </w:p>
    <w:p>
      <w:pPr>
        <w:ind w:left="620" w:hanging="305"/>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0" w:lineRule="exact"/>
        <w:rPr>
          <w:rFonts w:ascii="Arial" w:cs="Arial" w:eastAsia="Arial" w:hAnsi="Arial"/>
          <w:sz w:val="17"/>
          <w:szCs w:val="17"/>
          <w:color w:val="auto"/>
        </w:rPr>
      </w:pPr>
    </w:p>
    <w:p>
      <w:pPr>
        <w:ind w:left="620" w:right="460" w:hanging="305"/>
        <w:spacing w:after="0" w:line="263" w:lineRule="auto"/>
        <w:tabs>
          <w:tab w:leader="none" w:pos="60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7"/>
                <w:szCs w:val="17"/>
                <w:color w:val="auto"/>
              </w:rPr>
              <w:t>Date: January 26, 2023</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S. Keane</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781"/>
        </w:trPr>
        <w:tc>
          <w:tcPr>
            <w:tcW w:w="8160" w:type="dxa"/>
            <w:vAlign w:val="bottom"/>
          </w:tcPr>
          <w:p>
            <w:pPr>
              <w:spacing w:after="0"/>
              <w:rPr>
                <w:sz w:val="20"/>
                <w:szCs w:val="20"/>
                <w:color w:val="auto"/>
              </w:rPr>
            </w:pPr>
            <w:r>
              <w:rPr>
                <w:rFonts w:ascii="Arial" w:cs="Arial" w:eastAsia="Arial" w:hAnsi="Arial"/>
                <w:sz w:val="17"/>
                <w:szCs w:val="17"/>
                <w:color w:val="auto"/>
              </w:rPr>
              <w:t>Date: January 26, 2023</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E. Quinn</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lvl w:ilvl="1">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lvl w:ilvl="1">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2"/>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2"/>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2"/>
    </w:lvl>
  </w:abstractNum>
  <w:abstractNum w:abstractNumId="28">
    <w:nsid w:val="2D517796"/>
    <w:multiLevelType w:val="hybridMultilevel"/>
    <w:lvl w:ilvl="0">
      <w:lvlJc w:val="left"/>
      <w:lvlText w:val="%1."/>
      <w:numFmt w:val="decimal"/>
      <w:start w:val="3"/>
    </w:lvl>
    <w:lvl w:ilvl="1">
      <w:lvlJc w:val="left"/>
      <w:lvlText w:val="(%2)"/>
      <w:numFmt w:val="lowerLetter"/>
      <w:start w:val="1"/>
    </w:lvl>
  </w:abstractNum>
  <w:abstractNum w:abstractNumId="29">
    <w:nsid w:val="580BD78F"/>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upperLetter"/>
      <w:start w:val="1"/>
    </w:lvl>
  </w:abstractNum>
  <w:abstractNum w:abstractNumId="30">
    <w:nsid w:val="153EA438"/>
    <w:multiLevelType w:val="hybridMultilevel"/>
    <w:lvl w:ilvl="0">
      <w:lvlJc w:val="left"/>
      <w:lvlText w:val="%1."/>
      <w:numFmt w:val="decimal"/>
      <w:start w:val="4"/>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31">
    <w:nsid w:val="3855585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32">
    <w:nsid w:val="70A64E2A"/>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33">
    <w:nsid w:val="6A2342EC"/>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34">
    <w:nsid w:val="2A487CB0"/>
    <w:multiLevelType w:val="hybridMultilevel"/>
    <w:lvl w:ilvl="0">
      <w:lvlJc w:val="left"/>
      <w:lvlText w:val="(%1)"/>
      <w:numFmt w:val="lowerLetter"/>
      <w:start w:val="5"/>
    </w:lvl>
    <w:lvl w:ilvl="1">
      <w:lvlJc w:val="left"/>
      <w:lvlText w:val="(%2)"/>
      <w:numFmt w:val="decimal"/>
      <w:start w:val="1"/>
    </w:lvl>
  </w:abstractNum>
  <w:abstractNum w:abstractNumId="35">
    <w:nsid w:val="1D4ED43B"/>
    <w:multiLevelType w:val="hybridMultilevel"/>
    <w:lvl w:ilvl="0">
      <w:lvlJc w:val="left"/>
      <w:lvlText w:val="(%1)"/>
      <w:numFmt w:val="lowerLetter"/>
      <w:start w:val="2"/>
    </w:lvl>
  </w:abstractNum>
  <w:abstractNum w:abstractNumId="36">
    <w:nsid w:val="725A06FB"/>
    <w:multiLevelType w:val="hybridMultilevel"/>
    <w:lvl w:ilvl="0">
      <w:lvlJc w:val="left"/>
      <w:lvlText w:val="%1."/>
      <w:numFmt w:val="decimal"/>
      <w:start w:val="6"/>
    </w:lvl>
    <w:lvl w:ilvl="1">
      <w:lvlJc w:val="left"/>
      <w:lvlText w:val="(%2)"/>
      <w:numFmt w:val="lowerLetter"/>
      <w:start w:val="7"/>
    </w:lvl>
  </w:abstractNum>
  <w:abstractNum w:abstractNumId="37">
    <w:nsid w:val="2CD89A32"/>
    <w:multiLevelType w:val="hybridMultilevel"/>
    <w:lvl w:ilvl="0">
      <w:lvlJc w:val="left"/>
      <w:lvlText w:val="%1"/>
      <w:numFmt w:val="decimal"/>
      <w:start w:val="1"/>
    </w:lvl>
    <w:lvl w:ilvl="1">
      <w:lvlJc w:val="left"/>
      <w:lvlText w:val="(%2)"/>
      <w:numFmt w:val="lowerLetter"/>
      <w:start w:val="1"/>
    </w:lvl>
  </w:abstractNum>
  <w:abstractNum w:abstractNumId="38">
    <w:nsid w:val="57E4CCA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9">
    <w:nsid w:val="7A6D8D3C"/>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0">
    <w:nsid w:val="4B588F54"/>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1">
    <w:nsid w:val="542289EC"/>
    <w:multiLevelType w:val="hybridMultilevel"/>
    <w:lvl w:ilvl="0">
      <w:lvlJc w:val="left"/>
      <w:lvlText w:val="(%1)"/>
      <w:numFmt w:val="decimal"/>
      <w:start w:val="5"/>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42">
    <w:nsid w:val="6DE91B18"/>
    <w:multiLevelType w:val="hybridMultilevel"/>
    <w:lvl w:ilvl="0">
      <w:lvlJc w:val="left"/>
      <w:lvlText w:val="%1"/>
      <w:numFmt w:val="decimal"/>
      <w:start w:val="1"/>
    </w:lvl>
    <w:lvl w:ilvl="1">
      <w:lvlJc w:val="left"/>
      <w:lvlText w:val="(%2)"/>
      <w:numFmt w:val="upperLetter"/>
      <w:start w:val="2"/>
    </w:lvl>
  </w:abstractNum>
  <w:abstractNum w:abstractNumId="43">
    <w:nsid w:val="38437FDB"/>
    <w:multiLevelType w:val="hybridMultilevel"/>
    <w:lvl w:ilvl="0">
      <w:lvlJc w:val="left"/>
      <w:lvlText w:val="(%1)"/>
      <w:numFmt w:val="decimal"/>
      <w:start w:val="1"/>
    </w:lvl>
    <w:lvl w:ilvl="1">
      <w:lvlJc w:val="left"/>
      <w:lvlText w:val="%2"/>
      <w:numFmt w:val="upperLetter"/>
      <w:start w:val="1"/>
    </w:lvl>
  </w:abstractNum>
  <w:abstractNum w:abstractNumId="44">
    <w:nsid w:val="7644A45C"/>
    <w:multiLevelType w:val="hybridMultilevel"/>
    <w:lvl w:ilvl="0">
      <w:lvlJc w:val="left"/>
      <w:lvlText w:val="%1."/>
      <w:numFmt w:val="decimal"/>
      <w:start w:val="10"/>
    </w:lvl>
    <w:lvl w:ilvl="1">
      <w:lvlJc w:val="left"/>
      <w:lvlText w:val="(%2)"/>
      <w:numFmt w:val="lowerLetter"/>
      <w:start w:val="1"/>
    </w:lvl>
  </w:abstractNum>
  <w:abstractNum w:abstractNumId="45">
    <w:nsid w:val="32FFF902"/>
    <w:multiLevelType w:val="hybridMultilevel"/>
    <w:lvl w:ilvl="0">
      <w:lvlJc w:val="left"/>
      <w:lvlText w:val="(%1)"/>
      <w:numFmt w:val="lowerLetter"/>
      <w:start w:val="6"/>
    </w:lvl>
  </w:abstractNum>
  <w:abstractNum w:abstractNumId="46">
    <w:nsid w:val="684A481A"/>
    <w:multiLevelType w:val="hybridMultilevel"/>
    <w:lvl w:ilvl="0">
      <w:lvlJc w:val="left"/>
      <w:lvlText w:val="%1."/>
      <w:numFmt w:val="decimal"/>
      <w:start w:val="11"/>
    </w:lvl>
    <w:lvl w:ilvl="1">
      <w:lvlJc w:val="left"/>
      <w:lvlText w:val="(%2)"/>
      <w:numFmt w:val="lowerLetter"/>
      <w:start w:val="1"/>
    </w:lvl>
  </w:abstractNum>
  <w:abstractNum w:abstractNumId="47">
    <w:nsid w:val="579478FE"/>
    <w:multiLevelType w:val="hybridMultilevel"/>
    <w:lvl w:ilvl="0">
      <w:lvlJc w:val="left"/>
      <w:lvlText w:val="(%1)"/>
      <w:numFmt w:val="lowerLetter"/>
      <w:start w:val="7"/>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2023-01-26T16:18:36Z</dcterms:created>
  <dcterms:modified xsi:type="dcterms:W3CDTF">2023-01-26T16:18:36Z</dcterms:modified>
</cp:coreProperties>
</file>